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85922" w14:textId="77777777" w:rsidR="00C1144B" w:rsidRPr="00125F07" w:rsidRDefault="00C1144B" w:rsidP="00306A56">
      <w:pPr>
        <w:pStyle w:val="Title"/>
        <w:ind w:firstLine="0"/>
      </w:pPr>
    </w:p>
    <w:p w14:paraId="734027F1" w14:textId="7FB0F6AC" w:rsidR="00C1144B" w:rsidRPr="00125F07" w:rsidRDefault="00D02823" w:rsidP="00306A56">
      <w:pPr>
        <w:ind w:firstLine="0"/>
      </w:pPr>
      <w:r>
        <w:rPr>
          <w:noProof/>
          <w:lang w:val="es-CO" w:eastAsia="es-CO"/>
        </w:rPr>
        <w:drawing>
          <wp:anchor distT="0" distB="0" distL="114300" distR="114300" simplePos="0" relativeHeight="251654144" behindDoc="0" locked="0" layoutInCell="1" allowOverlap="1" wp14:anchorId="2E113265" wp14:editId="0D8D4587">
            <wp:simplePos x="0" y="0"/>
            <wp:positionH relativeFrom="column">
              <wp:posOffset>1310640</wp:posOffset>
            </wp:positionH>
            <wp:positionV relativeFrom="paragraph">
              <wp:posOffset>-310515</wp:posOffset>
            </wp:positionV>
            <wp:extent cx="3036570" cy="1104265"/>
            <wp:effectExtent l="0" t="0" r="0" b="0"/>
            <wp:wrapNone/>
            <wp:docPr id="6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pic:spPr>
                </pic:pic>
              </a:graphicData>
            </a:graphic>
            <wp14:sizeRelH relativeFrom="page">
              <wp14:pctWidth>0</wp14:pctWidth>
            </wp14:sizeRelH>
            <wp14:sizeRelV relativeFrom="page">
              <wp14:pctHeight>0</wp14:pctHeight>
            </wp14:sizeRelV>
          </wp:anchor>
        </w:drawing>
      </w:r>
    </w:p>
    <w:p w14:paraId="7F494A66" w14:textId="77777777" w:rsidR="00C1144B" w:rsidRPr="00125F07" w:rsidRDefault="00C1144B" w:rsidP="00306A56">
      <w:pPr>
        <w:ind w:firstLine="0"/>
      </w:pPr>
    </w:p>
    <w:p w14:paraId="39B82304" w14:textId="77777777" w:rsidR="0078520C" w:rsidRPr="00125F07" w:rsidRDefault="0078520C" w:rsidP="00306A56">
      <w:pPr>
        <w:ind w:firstLine="0"/>
      </w:pPr>
    </w:p>
    <w:p w14:paraId="682422F2" w14:textId="77777777" w:rsidR="00C1144B" w:rsidRPr="00125F07" w:rsidRDefault="00C1144B" w:rsidP="00306A56">
      <w:pPr>
        <w:ind w:firstLine="0"/>
      </w:pPr>
    </w:p>
    <w:p w14:paraId="4D5D9D97" w14:textId="3BB22EED" w:rsidR="00985A2E" w:rsidRPr="00985A2E" w:rsidRDefault="00985A2E" w:rsidP="00985A2E">
      <w:pPr>
        <w:jc w:val="center"/>
        <w:rPr>
          <w:b/>
          <w:bCs/>
          <w:color w:val="auto"/>
          <w:sz w:val="28"/>
          <w:szCs w:val="28"/>
        </w:rPr>
      </w:pPr>
      <w:r w:rsidRPr="00985A2E">
        <w:rPr>
          <w:b/>
          <w:bCs/>
          <w:sz w:val="32"/>
          <w:szCs w:val="32"/>
          <w:shd w:val="clear" w:color="auto" w:fill="FFFFFF"/>
        </w:rPr>
        <w:t>Stigma towards facial disfigurement; testing awareness and imagined contact</w:t>
      </w:r>
      <w:r w:rsidR="00C07EA3">
        <w:rPr>
          <w:b/>
          <w:bCs/>
          <w:sz w:val="32"/>
          <w:szCs w:val="32"/>
          <w:shd w:val="clear" w:color="auto" w:fill="FFFFFF"/>
        </w:rPr>
        <w:t xml:space="preserve"> strategies</w:t>
      </w:r>
      <w:r w:rsidRPr="00985A2E">
        <w:rPr>
          <w:b/>
          <w:bCs/>
          <w:sz w:val="32"/>
          <w:szCs w:val="32"/>
          <w:shd w:val="clear" w:color="auto" w:fill="FFFFFF"/>
        </w:rPr>
        <w:t xml:space="preserve"> in </w:t>
      </w:r>
      <w:r w:rsidR="001871E7">
        <w:rPr>
          <w:b/>
          <w:bCs/>
          <w:sz w:val="32"/>
          <w:szCs w:val="32"/>
          <w:shd w:val="clear" w:color="auto" w:fill="FFFFFF"/>
        </w:rPr>
        <w:t xml:space="preserve">the reduction of </w:t>
      </w:r>
      <w:r w:rsidRPr="00985A2E">
        <w:rPr>
          <w:b/>
          <w:bCs/>
          <w:sz w:val="32"/>
          <w:szCs w:val="32"/>
          <w:shd w:val="clear" w:color="auto" w:fill="FFFFFF"/>
        </w:rPr>
        <w:t>stigma towards</w:t>
      </w:r>
      <w:r w:rsidR="001871E7">
        <w:rPr>
          <w:b/>
          <w:bCs/>
          <w:sz w:val="32"/>
          <w:szCs w:val="32"/>
          <w:shd w:val="clear" w:color="auto" w:fill="FFFFFF"/>
        </w:rPr>
        <w:t xml:space="preserve"> people with</w:t>
      </w:r>
      <w:r w:rsidRPr="00985A2E">
        <w:rPr>
          <w:b/>
          <w:bCs/>
          <w:sz w:val="32"/>
          <w:szCs w:val="32"/>
          <w:shd w:val="clear" w:color="auto" w:fill="FFFFFF"/>
        </w:rPr>
        <w:t xml:space="preserve"> visible facial differences</w:t>
      </w:r>
      <w:r w:rsidRPr="00985A2E">
        <w:rPr>
          <w:b/>
          <w:bCs/>
          <w:sz w:val="32"/>
          <w:szCs w:val="32"/>
        </w:rPr>
        <w:br/>
      </w:r>
    </w:p>
    <w:p w14:paraId="1B73977A" w14:textId="77777777" w:rsidR="00985A2E" w:rsidRPr="00985A2E" w:rsidRDefault="00985A2E" w:rsidP="00985A2E">
      <w:pPr>
        <w:jc w:val="center"/>
        <w:rPr>
          <w:sz w:val="28"/>
          <w:szCs w:val="28"/>
        </w:rPr>
      </w:pPr>
    </w:p>
    <w:p w14:paraId="3C86F332" w14:textId="77777777" w:rsidR="00985A2E" w:rsidRPr="00985A2E" w:rsidRDefault="00985A2E" w:rsidP="00985A2E">
      <w:pPr>
        <w:tabs>
          <w:tab w:val="center" w:pos="4513"/>
          <w:tab w:val="right" w:pos="9026"/>
        </w:tabs>
        <w:spacing w:after="0" w:line="240" w:lineRule="auto"/>
        <w:jc w:val="center"/>
        <w:rPr>
          <w:sz w:val="28"/>
          <w:szCs w:val="28"/>
        </w:rPr>
      </w:pPr>
      <w:r w:rsidRPr="00985A2E">
        <w:rPr>
          <w:sz w:val="28"/>
          <w:szCs w:val="28"/>
        </w:rPr>
        <w:t>By:</w:t>
      </w:r>
    </w:p>
    <w:p w14:paraId="202C90C5" w14:textId="77777777" w:rsidR="00985A2E" w:rsidRPr="00985A2E" w:rsidRDefault="00985A2E" w:rsidP="00985A2E">
      <w:pPr>
        <w:tabs>
          <w:tab w:val="center" w:pos="4513"/>
          <w:tab w:val="right" w:pos="9026"/>
        </w:tabs>
        <w:spacing w:after="0" w:line="240" w:lineRule="auto"/>
        <w:jc w:val="center"/>
        <w:rPr>
          <w:sz w:val="28"/>
          <w:szCs w:val="28"/>
        </w:rPr>
      </w:pPr>
    </w:p>
    <w:p w14:paraId="68BA939B" w14:textId="77777777" w:rsidR="00985A2E" w:rsidRPr="00985A2E" w:rsidRDefault="00985A2E" w:rsidP="00985A2E">
      <w:pPr>
        <w:tabs>
          <w:tab w:val="center" w:pos="4513"/>
          <w:tab w:val="right" w:pos="9026"/>
        </w:tabs>
        <w:spacing w:after="0" w:line="240" w:lineRule="auto"/>
        <w:jc w:val="center"/>
        <w:rPr>
          <w:sz w:val="28"/>
          <w:szCs w:val="28"/>
        </w:rPr>
      </w:pPr>
      <w:r w:rsidRPr="00985A2E">
        <w:rPr>
          <w:sz w:val="28"/>
          <w:szCs w:val="28"/>
        </w:rPr>
        <w:t>Ana Maria Chamorro Coneo</w:t>
      </w:r>
    </w:p>
    <w:p w14:paraId="58BD8A6F" w14:textId="77777777" w:rsidR="00985A2E" w:rsidRPr="00985A2E" w:rsidRDefault="00985A2E" w:rsidP="00985A2E">
      <w:pPr>
        <w:jc w:val="center"/>
        <w:rPr>
          <w:sz w:val="28"/>
          <w:szCs w:val="28"/>
        </w:rPr>
      </w:pPr>
    </w:p>
    <w:p w14:paraId="7A749817" w14:textId="77777777" w:rsidR="00985A2E" w:rsidRPr="00985A2E" w:rsidRDefault="00985A2E" w:rsidP="00985A2E">
      <w:pPr>
        <w:jc w:val="center"/>
        <w:rPr>
          <w:sz w:val="28"/>
          <w:szCs w:val="28"/>
        </w:rPr>
      </w:pPr>
    </w:p>
    <w:p w14:paraId="65FBAD67" w14:textId="77777777" w:rsidR="00985A2E" w:rsidRPr="00985A2E" w:rsidRDefault="00985A2E" w:rsidP="00985A2E">
      <w:pPr>
        <w:jc w:val="center"/>
        <w:rPr>
          <w:sz w:val="28"/>
          <w:szCs w:val="28"/>
        </w:rPr>
      </w:pPr>
    </w:p>
    <w:p w14:paraId="03383CC9" w14:textId="77777777" w:rsidR="00985A2E" w:rsidRPr="00985A2E" w:rsidRDefault="00985A2E" w:rsidP="00985A2E">
      <w:pPr>
        <w:tabs>
          <w:tab w:val="center" w:pos="4513"/>
          <w:tab w:val="right" w:pos="9026"/>
        </w:tabs>
        <w:spacing w:after="0" w:line="240" w:lineRule="auto"/>
        <w:ind w:firstLine="0"/>
        <w:jc w:val="center"/>
        <w:rPr>
          <w:sz w:val="28"/>
          <w:szCs w:val="28"/>
        </w:rPr>
      </w:pPr>
      <w:r w:rsidRPr="00985A2E">
        <w:rPr>
          <w:sz w:val="28"/>
          <w:szCs w:val="28"/>
        </w:rPr>
        <w:t>A thesis submitted in partial fulfilment of the requirements for the degree of</w:t>
      </w:r>
    </w:p>
    <w:p w14:paraId="1F80A1DF" w14:textId="77777777" w:rsidR="00985A2E" w:rsidRPr="00985A2E" w:rsidRDefault="00985A2E" w:rsidP="00985A2E">
      <w:pPr>
        <w:tabs>
          <w:tab w:val="center" w:pos="4513"/>
          <w:tab w:val="right" w:pos="9026"/>
        </w:tabs>
        <w:spacing w:after="0" w:line="240" w:lineRule="auto"/>
        <w:ind w:firstLine="0"/>
        <w:jc w:val="center"/>
        <w:rPr>
          <w:sz w:val="28"/>
          <w:szCs w:val="28"/>
        </w:rPr>
      </w:pPr>
      <w:r w:rsidRPr="00985A2E">
        <w:rPr>
          <w:sz w:val="28"/>
          <w:szCs w:val="28"/>
        </w:rPr>
        <w:t>Doctor of Philosophy</w:t>
      </w:r>
    </w:p>
    <w:p w14:paraId="24CE99FE" w14:textId="77777777" w:rsidR="00985A2E" w:rsidRPr="00985A2E" w:rsidRDefault="00985A2E" w:rsidP="00985A2E">
      <w:pPr>
        <w:tabs>
          <w:tab w:val="center" w:pos="4513"/>
          <w:tab w:val="right" w:pos="9026"/>
        </w:tabs>
        <w:spacing w:after="0" w:line="240" w:lineRule="auto"/>
        <w:jc w:val="center"/>
        <w:rPr>
          <w:sz w:val="28"/>
          <w:szCs w:val="28"/>
        </w:rPr>
      </w:pPr>
    </w:p>
    <w:p w14:paraId="24F675AC" w14:textId="77777777" w:rsidR="00985A2E" w:rsidRPr="00985A2E" w:rsidRDefault="00985A2E" w:rsidP="00985A2E">
      <w:pPr>
        <w:tabs>
          <w:tab w:val="center" w:pos="4513"/>
          <w:tab w:val="right" w:pos="9026"/>
        </w:tabs>
        <w:spacing w:after="0" w:line="240" w:lineRule="auto"/>
        <w:jc w:val="center"/>
        <w:rPr>
          <w:sz w:val="28"/>
          <w:szCs w:val="28"/>
        </w:rPr>
      </w:pPr>
    </w:p>
    <w:p w14:paraId="1E0D1D81" w14:textId="77777777" w:rsidR="00985A2E" w:rsidRPr="00985A2E" w:rsidRDefault="00985A2E" w:rsidP="00985A2E">
      <w:pPr>
        <w:tabs>
          <w:tab w:val="center" w:pos="4513"/>
          <w:tab w:val="right" w:pos="9026"/>
        </w:tabs>
        <w:spacing w:after="0" w:line="240" w:lineRule="auto"/>
        <w:jc w:val="center"/>
        <w:rPr>
          <w:sz w:val="28"/>
          <w:szCs w:val="28"/>
        </w:rPr>
      </w:pPr>
    </w:p>
    <w:p w14:paraId="7831A56B" w14:textId="77777777" w:rsidR="00985A2E" w:rsidRPr="00985A2E" w:rsidRDefault="00985A2E" w:rsidP="00985A2E">
      <w:pPr>
        <w:tabs>
          <w:tab w:val="center" w:pos="4513"/>
          <w:tab w:val="right" w:pos="9026"/>
        </w:tabs>
        <w:spacing w:after="0" w:line="240" w:lineRule="auto"/>
        <w:jc w:val="center"/>
        <w:rPr>
          <w:sz w:val="28"/>
          <w:szCs w:val="28"/>
        </w:rPr>
      </w:pPr>
      <w:r w:rsidRPr="00985A2E">
        <w:rPr>
          <w:sz w:val="28"/>
          <w:szCs w:val="28"/>
        </w:rPr>
        <w:t>The University of Sheffield</w:t>
      </w:r>
    </w:p>
    <w:p w14:paraId="23A3E59F" w14:textId="77777777" w:rsidR="00985A2E" w:rsidRPr="00985A2E" w:rsidRDefault="00985A2E" w:rsidP="00985A2E">
      <w:pPr>
        <w:tabs>
          <w:tab w:val="center" w:pos="4513"/>
          <w:tab w:val="right" w:pos="9026"/>
        </w:tabs>
        <w:spacing w:after="0" w:line="240" w:lineRule="auto"/>
        <w:jc w:val="center"/>
        <w:rPr>
          <w:sz w:val="28"/>
          <w:szCs w:val="28"/>
        </w:rPr>
      </w:pPr>
      <w:r w:rsidRPr="00985A2E">
        <w:rPr>
          <w:sz w:val="28"/>
          <w:szCs w:val="28"/>
        </w:rPr>
        <w:t>Faculty of Science</w:t>
      </w:r>
    </w:p>
    <w:p w14:paraId="61ACC007" w14:textId="77777777" w:rsidR="00985A2E" w:rsidRPr="00985A2E" w:rsidRDefault="00985A2E" w:rsidP="00985A2E">
      <w:pPr>
        <w:tabs>
          <w:tab w:val="center" w:pos="4513"/>
          <w:tab w:val="right" w:pos="9026"/>
        </w:tabs>
        <w:spacing w:after="0" w:line="240" w:lineRule="auto"/>
        <w:jc w:val="center"/>
        <w:rPr>
          <w:sz w:val="28"/>
          <w:szCs w:val="28"/>
        </w:rPr>
      </w:pPr>
      <w:r w:rsidRPr="00985A2E">
        <w:rPr>
          <w:sz w:val="28"/>
          <w:szCs w:val="28"/>
        </w:rPr>
        <w:t>Department of Psychology</w:t>
      </w:r>
    </w:p>
    <w:p w14:paraId="3B4FC062" w14:textId="77777777" w:rsidR="00985A2E" w:rsidRPr="00985A2E" w:rsidRDefault="00985A2E" w:rsidP="00985A2E">
      <w:pPr>
        <w:tabs>
          <w:tab w:val="center" w:pos="4513"/>
          <w:tab w:val="right" w:pos="9026"/>
        </w:tabs>
        <w:spacing w:after="0" w:line="240" w:lineRule="auto"/>
        <w:jc w:val="center"/>
        <w:rPr>
          <w:sz w:val="28"/>
          <w:szCs w:val="28"/>
        </w:rPr>
      </w:pPr>
    </w:p>
    <w:p w14:paraId="7D944265" w14:textId="77777777" w:rsidR="00985A2E" w:rsidRPr="00985A2E" w:rsidRDefault="00985A2E" w:rsidP="00985A2E">
      <w:pPr>
        <w:tabs>
          <w:tab w:val="center" w:pos="4513"/>
          <w:tab w:val="right" w:pos="9026"/>
        </w:tabs>
        <w:spacing w:after="0" w:line="240" w:lineRule="auto"/>
        <w:jc w:val="center"/>
        <w:rPr>
          <w:sz w:val="28"/>
          <w:szCs w:val="28"/>
        </w:rPr>
      </w:pPr>
    </w:p>
    <w:p w14:paraId="3BC411E1" w14:textId="77777777" w:rsidR="00985A2E" w:rsidRPr="00985A2E" w:rsidRDefault="00985A2E" w:rsidP="00985A2E">
      <w:pPr>
        <w:tabs>
          <w:tab w:val="center" w:pos="4513"/>
          <w:tab w:val="right" w:pos="9026"/>
        </w:tabs>
        <w:spacing w:after="0" w:line="240" w:lineRule="auto"/>
        <w:jc w:val="center"/>
        <w:rPr>
          <w:sz w:val="28"/>
          <w:szCs w:val="28"/>
        </w:rPr>
      </w:pPr>
    </w:p>
    <w:p w14:paraId="6BEEC1DF" w14:textId="77777777" w:rsidR="00985A2E" w:rsidRPr="00985A2E" w:rsidRDefault="00985A2E" w:rsidP="00985A2E">
      <w:pPr>
        <w:tabs>
          <w:tab w:val="center" w:pos="4513"/>
          <w:tab w:val="right" w:pos="9026"/>
        </w:tabs>
        <w:spacing w:after="0" w:line="240" w:lineRule="auto"/>
        <w:jc w:val="center"/>
        <w:rPr>
          <w:sz w:val="28"/>
          <w:szCs w:val="28"/>
        </w:rPr>
      </w:pPr>
    </w:p>
    <w:p w14:paraId="41907FBF" w14:textId="77777777" w:rsidR="00985A2E" w:rsidRPr="00985A2E" w:rsidRDefault="00985A2E" w:rsidP="00985A2E">
      <w:pPr>
        <w:tabs>
          <w:tab w:val="center" w:pos="4513"/>
          <w:tab w:val="right" w:pos="9026"/>
        </w:tabs>
        <w:spacing w:after="0" w:line="240" w:lineRule="auto"/>
        <w:jc w:val="center"/>
        <w:rPr>
          <w:sz w:val="28"/>
          <w:szCs w:val="28"/>
        </w:rPr>
      </w:pPr>
    </w:p>
    <w:p w14:paraId="5F81A66A" w14:textId="2091D242" w:rsidR="00985A2E" w:rsidRPr="00985A2E" w:rsidRDefault="00985A2E" w:rsidP="00985A2E">
      <w:pPr>
        <w:tabs>
          <w:tab w:val="center" w:pos="4513"/>
          <w:tab w:val="right" w:pos="9026"/>
        </w:tabs>
        <w:spacing w:after="0" w:line="240" w:lineRule="auto"/>
        <w:jc w:val="center"/>
        <w:rPr>
          <w:sz w:val="28"/>
          <w:szCs w:val="28"/>
        </w:rPr>
      </w:pPr>
      <w:r w:rsidRPr="00985A2E">
        <w:rPr>
          <w:sz w:val="28"/>
          <w:szCs w:val="28"/>
        </w:rPr>
        <w:t>Submission Date [</w:t>
      </w:r>
      <w:r w:rsidR="00656768">
        <w:rPr>
          <w:sz w:val="28"/>
          <w:szCs w:val="28"/>
        </w:rPr>
        <w:t>12</w:t>
      </w:r>
      <w:r w:rsidR="00656768">
        <w:rPr>
          <w:sz w:val="28"/>
          <w:szCs w:val="28"/>
          <w:vertAlign w:val="superscript"/>
        </w:rPr>
        <w:t xml:space="preserve">th </w:t>
      </w:r>
      <w:r w:rsidRPr="00985A2E">
        <w:rPr>
          <w:sz w:val="28"/>
          <w:szCs w:val="28"/>
        </w:rPr>
        <w:t xml:space="preserve"> </w:t>
      </w:r>
      <w:r w:rsidR="00656768">
        <w:rPr>
          <w:sz w:val="28"/>
          <w:szCs w:val="28"/>
        </w:rPr>
        <w:t>March</w:t>
      </w:r>
      <w:r w:rsidRPr="00985A2E">
        <w:rPr>
          <w:sz w:val="28"/>
          <w:szCs w:val="28"/>
        </w:rPr>
        <w:t>, 20</w:t>
      </w:r>
      <w:r w:rsidR="00656768">
        <w:rPr>
          <w:sz w:val="28"/>
          <w:szCs w:val="28"/>
        </w:rPr>
        <w:t>20</w:t>
      </w:r>
      <w:r w:rsidRPr="00985A2E">
        <w:rPr>
          <w:sz w:val="28"/>
          <w:szCs w:val="28"/>
        </w:rPr>
        <w:t>]</w:t>
      </w:r>
    </w:p>
    <w:p w14:paraId="0BDA1D28" w14:textId="77777777" w:rsidR="00A02454" w:rsidRPr="00125F07" w:rsidRDefault="00A02454" w:rsidP="0025530F">
      <w:pPr>
        <w:ind w:firstLine="0"/>
        <w:sectPr w:rsidR="00A02454" w:rsidRPr="00125F07" w:rsidSect="0004443B">
          <w:footerReference w:type="default" r:id="rId9"/>
          <w:footerReference w:type="first" r:id="rId10"/>
          <w:type w:val="continuous"/>
          <w:pgSz w:w="11906" w:h="16838" w:code="9"/>
          <w:pgMar w:top="1134" w:right="1134" w:bottom="1134" w:left="2268" w:header="709" w:footer="709" w:gutter="0"/>
          <w:pgNumType w:start="1"/>
          <w:cols w:space="720"/>
          <w:titlePg/>
          <w:docGrid w:linePitch="299"/>
        </w:sectPr>
      </w:pPr>
    </w:p>
    <w:p w14:paraId="499D498B" w14:textId="77777777" w:rsidR="00C1144B" w:rsidRPr="00125F07" w:rsidRDefault="00C1144B" w:rsidP="00A02454">
      <w:pPr>
        <w:pStyle w:val="Heading1"/>
      </w:pPr>
      <w:bookmarkStart w:id="0" w:name="_Toc516569988"/>
      <w:bookmarkStart w:id="1" w:name="_Toc12024603"/>
      <w:r w:rsidRPr="00125F07">
        <w:lastRenderedPageBreak/>
        <w:t>Abstract</w:t>
      </w:r>
      <w:bookmarkEnd w:id="0"/>
      <w:bookmarkEnd w:id="1"/>
    </w:p>
    <w:p w14:paraId="321B344F" w14:textId="57F90C31" w:rsidR="00985A2E" w:rsidRPr="00125F07" w:rsidRDefault="00985A2E" w:rsidP="00985A2E">
      <w:pPr>
        <w:ind w:firstLine="0"/>
      </w:pPr>
      <w:r>
        <w:t xml:space="preserve">Stigmatisation has been suggested to be partly framed within disease-avoidance functions that use disgust mechanisms to protect humans against potential sources of contamination. Furthermore, societal pressures regarding appearance cognitions also seem to contribute towards observers’ responses towards individuals with facial disfigurements (FD). Despite a convincing body of research supporting the disabling impact of having a FD there seems to be a gap in the literature for studies addressing ways to reduce public stigma towards FD. This thesis aimed to investigate variables associated with stigma towards FD and to test the effect of anti-stigma strategies on responses towards facial differences. </w:t>
      </w:r>
    </w:p>
    <w:p w14:paraId="58B29A3B" w14:textId="77777777" w:rsidR="00985A2E" w:rsidRDefault="00985A2E" w:rsidP="00985A2E">
      <w:r>
        <w:t>Study 1 investigated the correlations between disgust sensitivity, appearance cognition</w:t>
      </w:r>
      <w:r w:rsidR="00B32D9C">
        <w:t>,</w:t>
      </w:r>
      <w:r>
        <w:t xml:space="preserve"> and motivations to respond without prejudice on implicit and explicit attitudes towards FD. Findings suggest</w:t>
      </w:r>
      <w:r w:rsidR="00F333A4">
        <w:t>ed</w:t>
      </w:r>
      <w:r>
        <w:t xml:space="preserve"> that stigma towards FD may operate as a dual-process, comprising innate disease-avoidance and societal individual predispositions. Gender differences were also found in relation to these variables and attitudes towards FD.</w:t>
      </w:r>
    </w:p>
    <w:p w14:paraId="56D3B9FA" w14:textId="08558E3E" w:rsidR="00985A2E" w:rsidRDefault="00985A2E" w:rsidP="00985A2E">
      <w:r>
        <w:t xml:space="preserve"> Following findings of the first experiment, Studies 2 and 3 aimed to test whether education and contact-based strategies could be useful in reducing intended avoidance, intergroup anxiety (Study 2) and improve evaluations of a mock FD applicant (Study 3). Results from Study 2 found a significant effect of a written awareness education message and imagined contact (IC) </w:t>
      </w:r>
      <w:r w:rsidR="00F333A4">
        <w:t>in</w:t>
      </w:r>
      <w:r>
        <w:t xml:space="preserve"> </w:t>
      </w:r>
      <w:r w:rsidR="00B32D9C">
        <w:t xml:space="preserve">the </w:t>
      </w:r>
      <w:r>
        <w:t xml:space="preserve">reduction of intentions to avoid FD, but not in levels of intergroup anxiety. Study 3 aimed to replicate these findings using an anti-stigma strategy with a sample of British employees with recruitment duties. Findings failed to replicate the effect on avoidance detected on Study 2 but showed a significant effect of IC (compared to controls) in ratings of emotional strength towards a FD mock applicant. </w:t>
      </w:r>
    </w:p>
    <w:p w14:paraId="13927EEB" w14:textId="553E9D37" w:rsidR="00985A2E" w:rsidRPr="00125F07" w:rsidRDefault="00985A2E" w:rsidP="00985A2E">
      <w:r>
        <w:t>The finding</w:t>
      </w:r>
      <w:r w:rsidR="00F333A4">
        <w:t>s</w:t>
      </w:r>
      <w:r>
        <w:t xml:space="preserve"> indicate</w:t>
      </w:r>
      <w:r w:rsidR="00F333A4">
        <w:t>d</w:t>
      </w:r>
      <w:r>
        <w:t xml:space="preserve"> that innate factors, appearance cognitions and conscious efforts to respond in a non-stigmatising way seem to be associated with FD stigma. Education and imagined contact may be cost-effective strategies to encourage </w:t>
      </w:r>
      <w:r w:rsidR="00B32D9C">
        <w:t xml:space="preserve">the </w:t>
      </w:r>
      <w:r>
        <w:t>inclusion of FD, particularly in scenarios where they are most hindered by their visible difference.</w:t>
      </w:r>
    </w:p>
    <w:p w14:paraId="761BC1B4" w14:textId="77777777" w:rsidR="00106DC0" w:rsidRDefault="0025530F" w:rsidP="0025530F">
      <w:pPr>
        <w:tabs>
          <w:tab w:val="left" w:pos="1155"/>
        </w:tabs>
      </w:pPr>
      <w:r w:rsidRPr="00125F07">
        <w:tab/>
      </w:r>
    </w:p>
    <w:p w14:paraId="21E30968" w14:textId="77777777" w:rsidR="00985A2E" w:rsidRPr="00125F07" w:rsidRDefault="00985A2E" w:rsidP="0025530F">
      <w:pPr>
        <w:tabs>
          <w:tab w:val="left" w:pos="1155"/>
        </w:tabs>
      </w:pPr>
    </w:p>
    <w:p w14:paraId="1DECADBB" w14:textId="77777777" w:rsidR="00C1144B" w:rsidRPr="00125F07" w:rsidRDefault="00C1144B" w:rsidP="00A02454">
      <w:pPr>
        <w:pStyle w:val="Heading1"/>
      </w:pPr>
      <w:bookmarkStart w:id="2" w:name="_Toc516569989"/>
      <w:bookmarkStart w:id="3" w:name="_Toc12024604"/>
      <w:r w:rsidRPr="00125F07">
        <w:lastRenderedPageBreak/>
        <w:t>Acknowledgments</w:t>
      </w:r>
      <w:bookmarkEnd w:id="2"/>
      <w:bookmarkEnd w:id="3"/>
    </w:p>
    <w:p w14:paraId="1BD19556" w14:textId="3CFE4F1E" w:rsidR="00474C33" w:rsidRPr="00B65D14" w:rsidRDefault="00985A2E" w:rsidP="00474C33">
      <w:pPr>
        <w:pStyle w:val="BodyText"/>
        <w:spacing w:after="160" w:line="360" w:lineRule="auto"/>
        <w:ind w:right="420"/>
        <w:rPr>
          <w:rFonts w:ascii="Arial" w:hAnsi="Arial" w:cs="Arial"/>
        </w:rPr>
      </w:pPr>
      <w:r w:rsidRPr="00B65D14">
        <w:rPr>
          <w:rFonts w:ascii="Arial" w:hAnsi="Arial" w:cs="Arial"/>
          <w:w w:val="105"/>
        </w:rPr>
        <w:t xml:space="preserve">I would like to express </w:t>
      </w:r>
      <w:r w:rsidRPr="00B65D14">
        <w:rPr>
          <w:rFonts w:ascii="Arial" w:hAnsi="Arial" w:cs="Arial"/>
          <w:spacing w:val="-3"/>
          <w:w w:val="105"/>
        </w:rPr>
        <w:t xml:space="preserve">my </w:t>
      </w:r>
      <w:r w:rsidRPr="00B65D14">
        <w:rPr>
          <w:rFonts w:ascii="Arial" w:hAnsi="Arial" w:cs="Arial"/>
          <w:w w:val="105"/>
        </w:rPr>
        <w:t xml:space="preserve">sincere gratitude to </w:t>
      </w:r>
      <w:r w:rsidRPr="00B65D14">
        <w:rPr>
          <w:rFonts w:ascii="Arial" w:hAnsi="Arial" w:cs="Arial"/>
          <w:spacing w:val="-3"/>
          <w:w w:val="105"/>
        </w:rPr>
        <w:t xml:space="preserve">my </w:t>
      </w:r>
      <w:r w:rsidRPr="00B65D14">
        <w:rPr>
          <w:rFonts w:ascii="Arial" w:hAnsi="Arial" w:cs="Arial"/>
          <w:w w:val="105"/>
        </w:rPr>
        <w:t>research supervisors,</w:t>
      </w:r>
      <w:r w:rsidRPr="00B65D14">
        <w:rPr>
          <w:rFonts w:ascii="Arial" w:hAnsi="Arial" w:cs="Arial"/>
          <w:spacing w:val="-16"/>
          <w:w w:val="105"/>
        </w:rPr>
        <w:t xml:space="preserve"> </w:t>
      </w:r>
      <w:r w:rsidRPr="00B65D14">
        <w:rPr>
          <w:rFonts w:ascii="Arial" w:hAnsi="Arial" w:cs="Arial"/>
          <w:w w:val="105"/>
        </w:rPr>
        <w:t>Dr.</w:t>
      </w:r>
      <w:r w:rsidRPr="00B65D14">
        <w:rPr>
          <w:rFonts w:ascii="Arial" w:hAnsi="Arial" w:cs="Arial"/>
          <w:spacing w:val="-15"/>
          <w:w w:val="105"/>
        </w:rPr>
        <w:t xml:space="preserve"> </w:t>
      </w:r>
      <w:r w:rsidRPr="00B65D14">
        <w:rPr>
          <w:rFonts w:ascii="Arial" w:hAnsi="Arial" w:cs="Arial"/>
          <w:w w:val="105"/>
        </w:rPr>
        <w:t>Andrew Thompson,</w:t>
      </w:r>
      <w:r w:rsidRPr="00B65D14">
        <w:rPr>
          <w:rFonts w:ascii="Arial" w:hAnsi="Arial" w:cs="Arial"/>
          <w:spacing w:val="-16"/>
          <w:w w:val="105"/>
        </w:rPr>
        <w:t xml:space="preserve"> and Professor Paul Norman</w:t>
      </w:r>
      <w:r w:rsidRPr="00B65D14">
        <w:rPr>
          <w:rFonts w:ascii="Arial" w:hAnsi="Arial" w:cs="Arial"/>
          <w:w w:val="105"/>
        </w:rPr>
        <w:t>, for</w:t>
      </w:r>
      <w:r w:rsidRPr="00B65D14">
        <w:rPr>
          <w:rFonts w:ascii="Arial" w:hAnsi="Arial" w:cs="Arial"/>
          <w:spacing w:val="-15"/>
          <w:w w:val="105"/>
        </w:rPr>
        <w:t xml:space="preserve"> </w:t>
      </w:r>
      <w:r w:rsidR="00BF4DA4">
        <w:rPr>
          <w:rFonts w:ascii="Arial" w:hAnsi="Arial" w:cs="Arial"/>
          <w:w w:val="105"/>
        </w:rPr>
        <w:t xml:space="preserve">their </w:t>
      </w:r>
      <w:r w:rsidRPr="00B65D14">
        <w:rPr>
          <w:rFonts w:ascii="Arial" w:hAnsi="Arial" w:cs="Arial"/>
          <w:w w:val="105"/>
        </w:rPr>
        <w:t>invaluable</w:t>
      </w:r>
      <w:r w:rsidRPr="00B65D14">
        <w:rPr>
          <w:rFonts w:ascii="Arial" w:hAnsi="Arial" w:cs="Arial"/>
          <w:spacing w:val="-6"/>
          <w:w w:val="105"/>
        </w:rPr>
        <w:t xml:space="preserve"> </w:t>
      </w:r>
      <w:r w:rsidRPr="00B65D14">
        <w:rPr>
          <w:rFonts w:ascii="Arial" w:hAnsi="Arial" w:cs="Arial"/>
          <w:w w:val="105"/>
        </w:rPr>
        <w:t>guidance</w:t>
      </w:r>
      <w:r w:rsidRPr="00B65D14">
        <w:rPr>
          <w:rFonts w:ascii="Arial" w:hAnsi="Arial" w:cs="Arial"/>
          <w:spacing w:val="-5"/>
          <w:w w:val="105"/>
        </w:rPr>
        <w:t xml:space="preserve"> </w:t>
      </w:r>
      <w:r w:rsidRPr="00B65D14">
        <w:rPr>
          <w:rFonts w:ascii="Arial" w:hAnsi="Arial" w:cs="Arial"/>
          <w:w w:val="105"/>
        </w:rPr>
        <w:t>throughout</w:t>
      </w:r>
      <w:r w:rsidRPr="00B65D14">
        <w:rPr>
          <w:rFonts w:ascii="Arial" w:hAnsi="Arial" w:cs="Arial"/>
          <w:spacing w:val="-6"/>
          <w:w w:val="105"/>
        </w:rPr>
        <w:t xml:space="preserve"> </w:t>
      </w:r>
      <w:r w:rsidRPr="00B65D14">
        <w:rPr>
          <w:rFonts w:ascii="Arial" w:hAnsi="Arial" w:cs="Arial"/>
          <w:w w:val="105"/>
        </w:rPr>
        <w:t>this</w:t>
      </w:r>
      <w:r w:rsidRPr="00B65D14">
        <w:rPr>
          <w:rFonts w:ascii="Arial" w:hAnsi="Arial" w:cs="Arial"/>
          <w:spacing w:val="-4"/>
          <w:w w:val="105"/>
        </w:rPr>
        <w:t xml:space="preserve"> </w:t>
      </w:r>
      <w:r w:rsidR="00BF4DA4">
        <w:rPr>
          <w:rFonts w:ascii="Arial" w:hAnsi="Arial" w:cs="Arial"/>
          <w:w w:val="105"/>
        </w:rPr>
        <w:t>Ph</w:t>
      </w:r>
      <w:r w:rsidRPr="00B65D14">
        <w:rPr>
          <w:rFonts w:ascii="Arial" w:hAnsi="Arial" w:cs="Arial"/>
          <w:w w:val="105"/>
        </w:rPr>
        <w:t>.</w:t>
      </w:r>
      <w:r w:rsidR="00BF4DA4">
        <w:rPr>
          <w:rFonts w:ascii="Arial" w:hAnsi="Arial" w:cs="Arial"/>
          <w:w w:val="105"/>
        </w:rPr>
        <w:t>D. I could not have asked for better mentors in this process.</w:t>
      </w:r>
      <w:r w:rsidR="00E612DE">
        <w:rPr>
          <w:rFonts w:ascii="Arial" w:hAnsi="Arial" w:cs="Arial"/>
          <w:w w:val="105"/>
        </w:rPr>
        <w:t xml:space="preserve"> Additionally, special thanks to my internal and external reviewers, for their useful comments and corrections, this thesis has much improved as a result of their feedback.</w:t>
      </w:r>
      <w:r w:rsidRPr="00B65D14">
        <w:rPr>
          <w:rFonts w:ascii="Arial" w:hAnsi="Arial" w:cs="Arial"/>
          <w:w w:val="105"/>
        </w:rPr>
        <w:t xml:space="preserve"> </w:t>
      </w:r>
    </w:p>
    <w:p w14:paraId="525AB2C6" w14:textId="17AD8D09" w:rsidR="00985A2E" w:rsidRPr="00B65D14" w:rsidRDefault="00985A2E" w:rsidP="005A2B3D">
      <w:pPr>
        <w:pStyle w:val="BodyText"/>
        <w:spacing w:after="160" w:line="360" w:lineRule="auto"/>
        <w:ind w:right="419" w:firstLine="720"/>
        <w:rPr>
          <w:rFonts w:ascii="Arial" w:hAnsi="Arial" w:cs="Arial"/>
          <w:w w:val="105"/>
        </w:rPr>
      </w:pPr>
      <w:r w:rsidRPr="00B65D14">
        <w:rPr>
          <w:rFonts w:ascii="Arial" w:hAnsi="Arial" w:cs="Arial"/>
          <w:w w:val="105"/>
        </w:rPr>
        <w:t xml:space="preserve">I extend my </w:t>
      </w:r>
      <w:r w:rsidR="00BF4DA4">
        <w:rPr>
          <w:rFonts w:ascii="Arial" w:hAnsi="Arial" w:cs="Arial"/>
          <w:w w:val="105"/>
        </w:rPr>
        <w:t>gratitude</w:t>
      </w:r>
      <w:r w:rsidRPr="00B65D14">
        <w:rPr>
          <w:rFonts w:ascii="Arial" w:hAnsi="Arial" w:cs="Arial"/>
          <w:w w:val="105"/>
        </w:rPr>
        <w:t xml:space="preserve"> to my colleagues </w:t>
      </w:r>
      <w:r w:rsidR="00BF4DA4">
        <w:rPr>
          <w:rFonts w:ascii="Arial" w:hAnsi="Arial" w:cs="Arial"/>
          <w:w w:val="105"/>
        </w:rPr>
        <w:t>at</w:t>
      </w:r>
      <w:r w:rsidRPr="00B65D14">
        <w:rPr>
          <w:rFonts w:ascii="Arial" w:hAnsi="Arial" w:cs="Arial"/>
          <w:w w:val="105"/>
        </w:rPr>
        <w:t xml:space="preserve"> the Psychology Department of The University of Sheffield for </w:t>
      </w:r>
      <w:r w:rsidR="00BF4DA4">
        <w:rPr>
          <w:rFonts w:ascii="Arial" w:hAnsi="Arial" w:cs="Arial"/>
          <w:w w:val="105"/>
        </w:rPr>
        <w:t xml:space="preserve">their support in the hardest times of this process and for the laughs and </w:t>
      </w:r>
      <w:r w:rsidR="00514F1E">
        <w:rPr>
          <w:rFonts w:ascii="Arial" w:hAnsi="Arial" w:cs="Arial"/>
          <w:w w:val="105"/>
        </w:rPr>
        <w:t>liters</w:t>
      </w:r>
      <w:r w:rsidR="00BF4DA4">
        <w:rPr>
          <w:rFonts w:ascii="Arial" w:hAnsi="Arial" w:cs="Arial"/>
          <w:w w:val="105"/>
        </w:rPr>
        <w:t xml:space="preserve"> of coffee that we shared during our </w:t>
      </w:r>
      <w:r w:rsidR="00514F1E">
        <w:rPr>
          <w:rFonts w:ascii="Arial" w:hAnsi="Arial" w:cs="Arial"/>
          <w:w w:val="105"/>
        </w:rPr>
        <w:t>Ph.D.</w:t>
      </w:r>
      <w:r w:rsidR="00BF4DA4">
        <w:rPr>
          <w:rFonts w:ascii="Arial" w:hAnsi="Arial" w:cs="Arial"/>
          <w:w w:val="105"/>
        </w:rPr>
        <w:t xml:space="preserve"> studies. I</w:t>
      </w:r>
      <w:r w:rsidR="00341D0E">
        <w:rPr>
          <w:rFonts w:ascii="Arial" w:hAnsi="Arial" w:cs="Arial"/>
          <w:w w:val="105"/>
        </w:rPr>
        <w:t xml:space="preserve">t was a humbling experience to </w:t>
      </w:r>
      <w:r w:rsidR="00514F1E">
        <w:rPr>
          <w:rFonts w:ascii="Arial" w:hAnsi="Arial" w:cs="Arial"/>
          <w:w w:val="105"/>
        </w:rPr>
        <w:t>surround myself with</w:t>
      </w:r>
      <w:r w:rsidR="00341D0E">
        <w:rPr>
          <w:rFonts w:ascii="Arial" w:hAnsi="Arial" w:cs="Arial"/>
          <w:w w:val="105"/>
        </w:rPr>
        <w:t xml:space="preserve"> such bright and thoughtful people. </w:t>
      </w:r>
      <w:r w:rsidR="00474C33">
        <w:rPr>
          <w:rFonts w:ascii="Arial" w:hAnsi="Arial" w:cs="Arial"/>
          <w:w w:val="105"/>
        </w:rPr>
        <w:t>I am particularly indebted with my dear friend and colleague</w:t>
      </w:r>
      <w:r w:rsidR="00341D0E">
        <w:rPr>
          <w:rFonts w:ascii="Arial" w:hAnsi="Arial" w:cs="Arial"/>
          <w:w w:val="105"/>
        </w:rPr>
        <w:t xml:space="preserve"> Dr</w:t>
      </w:r>
      <w:r w:rsidR="00B32D9C">
        <w:rPr>
          <w:rFonts w:ascii="Arial" w:hAnsi="Arial" w:cs="Arial"/>
          <w:w w:val="105"/>
        </w:rPr>
        <w:t>.</w:t>
      </w:r>
      <w:r w:rsidR="00341D0E">
        <w:rPr>
          <w:rFonts w:ascii="Arial" w:hAnsi="Arial" w:cs="Arial"/>
          <w:w w:val="105"/>
        </w:rPr>
        <w:t xml:space="preserve"> A</w:t>
      </w:r>
      <w:r w:rsidR="00514F1E">
        <w:rPr>
          <w:rFonts w:ascii="Arial" w:hAnsi="Arial" w:cs="Arial"/>
          <w:w w:val="105"/>
        </w:rPr>
        <w:t>d</w:t>
      </w:r>
      <w:r w:rsidR="00341D0E">
        <w:rPr>
          <w:rFonts w:ascii="Arial" w:hAnsi="Arial" w:cs="Arial"/>
          <w:w w:val="105"/>
        </w:rPr>
        <w:t xml:space="preserve">kins, for her insightful comments and </w:t>
      </w:r>
      <w:r w:rsidR="00474C33">
        <w:rPr>
          <w:rFonts w:ascii="Arial" w:hAnsi="Arial" w:cs="Arial"/>
          <w:w w:val="105"/>
        </w:rPr>
        <w:t>much</w:t>
      </w:r>
      <w:r w:rsidR="00B32D9C">
        <w:rPr>
          <w:rFonts w:ascii="Arial" w:hAnsi="Arial" w:cs="Arial"/>
          <w:w w:val="105"/>
        </w:rPr>
        <w:t>-</w:t>
      </w:r>
      <w:r w:rsidR="00474C33">
        <w:rPr>
          <w:rFonts w:ascii="Arial" w:hAnsi="Arial" w:cs="Arial"/>
          <w:w w:val="105"/>
        </w:rPr>
        <w:t>appreciated</w:t>
      </w:r>
      <w:r w:rsidR="00341D0E">
        <w:rPr>
          <w:rFonts w:ascii="Arial" w:hAnsi="Arial" w:cs="Arial"/>
          <w:w w:val="105"/>
        </w:rPr>
        <w:t xml:space="preserve"> help finishing this thesis.</w:t>
      </w:r>
      <w:bookmarkStart w:id="4" w:name="_GoBack"/>
      <w:bookmarkEnd w:id="4"/>
    </w:p>
    <w:p w14:paraId="7C89280C" w14:textId="196985E4" w:rsidR="00985A2E" w:rsidRPr="00B65D14" w:rsidRDefault="00985A2E" w:rsidP="005A2B3D">
      <w:pPr>
        <w:pStyle w:val="BodyText"/>
        <w:spacing w:after="160" w:line="360" w:lineRule="auto"/>
        <w:ind w:right="420" w:firstLine="720"/>
        <w:rPr>
          <w:rFonts w:ascii="Arial" w:hAnsi="Arial" w:cs="Arial"/>
        </w:rPr>
      </w:pPr>
      <w:r w:rsidRPr="00B65D14">
        <w:rPr>
          <w:rFonts w:ascii="Arial" w:hAnsi="Arial" w:cs="Arial"/>
          <w:w w:val="105"/>
        </w:rPr>
        <w:t xml:space="preserve">I am </w:t>
      </w:r>
      <w:r w:rsidR="00FE698E">
        <w:rPr>
          <w:rFonts w:ascii="Arial" w:hAnsi="Arial" w:cs="Arial"/>
          <w:w w:val="105"/>
        </w:rPr>
        <w:t>most</w:t>
      </w:r>
      <w:r w:rsidRPr="00B65D14">
        <w:rPr>
          <w:rFonts w:ascii="Arial" w:hAnsi="Arial" w:cs="Arial"/>
          <w:w w:val="105"/>
        </w:rPr>
        <w:t xml:space="preserve"> grateful to </w:t>
      </w:r>
      <w:r w:rsidRPr="00B65D14">
        <w:rPr>
          <w:rFonts w:ascii="Arial" w:hAnsi="Arial" w:cs="Arial"/>
          <w:spacing w:val="-3"/>
          <w:w w:val="105"/>
        </w:rPr>
        <w:t xml:space="preserve">my </w:t>
      </w:r>
      <w:r w:rsidRPr="00B65D14">
        <w:rPr>
          <w:rFonts w:ascii="Arial" w:hAnsi="Arial" w:cs="Arial"/>
          <w:w w:val="105"/>
        </w:rPr>
        <w:t xml:space="preserve">parents and brothers for their </w:t>
      </w:r>
      <w:r w:rsidR="00B32D9C">
        <w:rPr>
          <w:rFonts w:ascii="Arial" w:hAnsi="Arial" w:cs="Arial"/>
          <w:w w:val="105"/>
        </w:rPr>
        <w:t>unconditio</w:t>
      </w:r>
      <w:r w:rsidR="00FE698E">
        <w:rPr>
          <w:rFonts w:ascii="Arial" w:hAnsi="Arial" w:cs="Arial"/>
          <w:w w:val="105"/>
        </w:rPr>
        <w:t xml:space="preserve">nal </w:t>
      </w:r>
      <w:r w:rsidRPr="00B65D14">
        <w:rPr>
          <w:rFonts w:ascii="Arial" w:hAnsi="Arial" w:cs="Arial"/>
          <w:w w:val="105"/>
        </w:rPr>
        <w:t>love and emotio</w:t>
      </w:r>
      <w:r>
        <w:rPr>
          <w:rFonts w:ascii="Arial" w:hAnsi="Arial" w:cs="Arial"/>
          <w:w w:val="105"/>
        </w:rPr>
        <w:t xml:space="preserve">nal support throughout this </w:t>
      </w:r>
      <w:r w:rsidR="00514F1E">
        <w:rPr>
          <w:rFonts w:ascii="Arial" w:hAnsi="Arial" w:cs="Arial"/>
          <w:w w:val="105"/>
        </w:rPr>
        <w:t>Ph.</w:t>
      </w:r>
      <w:r w:rsidR="00514F1E" w:rsidRPr="00B65D14">
        <w:rPr>
          <w:rFonts w:ascii="Arial" w:hAnsi="Arial" w:cs="Arial"/>
          <w:w w:val="105"/>
        </w:rPr>
        <w:t>D.</w:t>
      </w:r>
      <w:r w:rsidR="00FE698E">
        <w:rPr>
          <w:rFonts w:ascii="Arial" w:hAnsi="Arial" w:cs="Arial"/>
          <w:w w:val="105"/>
        </w:rPr>
        <w:t xml:space="preserve"> and always. </w:t>
      </w:r>
      <w:r w:rsidR="00474C33">
        <w:rPr>
          <w:rFonts w:ascii="Arial" w:hAnsi="Arial" w:cs="Arial"/>
          <w:w w:val="105"/>
        </w:rPr>
        <w:t>Also,</w:t>
      </w:r>
      <w:r w:rsidR="00FE698E">
        <w:rPr>
          <w:rFonts w:ascii="Arial" w:hAnsi="Arial" w:cs="Arial"/>
          <w:w w:val="105"/>
        </w:rPr>
        <w:t xml:space="preserve"> thanks to my Colombian family in Sheffield, in particular to Johanna and Gianlucas (Dino </w:t>
      </w:r>
      <w:r w:rsidR="00B32D9C">
        <w:rPr>
          <w:rFonts w:ascii="Arial" w:hAnsi="Arial" w:cs="Arial"/>
          <w:w w:val="105"/>
        </w:rPr>
        <w:t>B</w:t>
      </w:r>
      <w:r w:rsidR="00FE698E">
        <w:rPr>
          <w:rFonts w:ascii="Arial" w:hAnsi="Arial" w:cs="Arial"/>
          <w:w w:val="105"/>
        </w:rPr>
        <w:t>oy), for always providing me with a home away from home when I most needed it.</w:t>
      </w:r>
    </w:p>
    <w:p w14:paraId="34D2578F" w14:textId="77777777" w:rsidR="00C1144B" w:rsidRPr="00125F07" w:rsidRDefault="00C1144B" w:rsidP="0025530F">
      <w:pPr>
        <w:pStyle w:val="Title"/>
      </w:pPr>
    </w:p>
    <w:p w14:paraId="0475E4E4" w14:textId="77777777" w:rsidR="00C1144B" w:rsidRPr="00125F07" w:rsidRDefault="00C1144B" w:rsidP="0025530F">
      <w:pPr>
        <w:pStyle w:val="Title"/>
      </w:pPr>
    </w:p>
    <w:p w14:paraId="39DAAD6F" w14:textId="77777777" w:rsidR="00C1144B" w:rsidRPr="00125F07" w:rsidRDefault="00C1144B" w:rsidP="0025530F">
      <w:pPr>
        <w:pStyle w:val="Title"/>
      </w:pPr>
    </w:p>
    <w:p w14:paraId="153C546B" w14:textId="77777777" w:rsidR="007A2A85" w:rsidRPr="00125F07" w:rsidRDefault="007A2A85" w:rsidP="0025530F"/>
    <w:p w14:paraId="467F3F39" w14:textId="77777777" w:rsidR="007A2A85" w:rsidRPr="00125F07" w:rsidRDefault="007A2A85" w:rsidP="0025530F"/>
    <w:p w14:paraId="1AA949F2" w14:textId="77777777" w:rsidR="00615A5D" w:rsidRPr="00125F07" w:rsidRDefault="00615A5D" w:rsidP="00DE75DF">
      <w:pPr>
        <w:ind w:firstLine="0"/>
      </w:pPr>
    </w:p>
    <w:p w14:paraId="6B869364" w14:textId="77777777" w:rsidR="007A2A85" w:rsidRDefault="007A2A85" w:rsidP="0025530F"/>
    <w:p w14:paraId="24D1524D" w14:textId="77777777" w:rsidR="00985A2E" w:rsidRDefault="00985A2E" w:rsidP="0025530F"/>
    <w:p w14:paraId="0D4F07E7" w14:textId="77777777" w:rsidR="00985A2E" w:rsidRDefault="00985A2E" w:rsidP="0025530F"/>
    <w:p w14:paraId="2BEED7AD" w14:textId="77777777" w:rsidR="00985A2E" w:rsidRDefault="00985A2E" w:rsidP="0025530F"/>
    <w:p w14:paraId="04D4C884" w14:textId="77777777" w:rsidR="00985A2E" w:rsidRDefault="00985A2E" w:rsidP="0025530F"/>
    <w:p w14:paraId="721D1A0F" w14:textId="77777777" w:rsidR="00985A2E" w:rsidRDefault="00985A2E" w:rsidP="0025530F"/>
    <w:p w14:paraId="617DB4CC" w14:textId="77777777" w:rsidR="00985A2E" w:rsidRDefault="00985A2E" w:rsidP="0025530F"/>
    <w:p w14:paraId="2E8DDFFC" w14:textId="77777777" w:rsidR="00985A2E" w:rsidRDefault="00985A2E" w:rsidP="0025530F"/>
    <w:p w14:paraId="13D69347" w14:textId="77777777" w:rsidR="00382C3A" w:rsidRPr="00014EE0" w:rsidRDefault="0072185F" w:rsidP="00014EE0">
      <w:pPr>
        <w:pStyle w:val="Heading1"/>
        <w:rPr>
          <w:rStyle w:val="Heading1Char"/>
          <w:b/>
        </w:rPr>
      </w:pPr>
      <w:bookmarkStart w:id="5" w:name="_Toc12024605"/>
      <w:r w:rsidRPr="00125F07">
        <w:lastRenderedPageBreak/>
        <w:t>Contents</w:t>
      </w:r>
      <w:bookmarkStart w:id="6" w:name="_Toc516569990"/>
      <w:bookmarkEnd w:id="5"/>
    </w:p>
    <w:p w14:paraId="29DCBE45" w14:textId="0BC41342" w:rsidR="00014EE0" w:rsidRPr="000215FF" w:rsidRDefault="00382C3A">
      <w:pPr>
        <w:pStyle w:val="TOC1"/>
        <w:rPr>
          <w:rFonts w:ascii="Cambria" w:eastAsia="MS Mincho" w:hAnsi="Cambria"/>
          <w:b w:val="0"/>
          <w:bCs w:val="0"/>
          <w:iCs w:val="0"/>
          <w:color w:val="auto"/>
        </w:rPr>
      </w:pPr>
      <w:r w:rsidRPr="00125F07">
        <w:rPr>
          <w:noProof w:val="0"/>
        </w:rPr>
        <w:fldChar w:fldCharType="begin"/>
      </w:r>
      <w:r w:rsidRPr="00125F07">
        <w:rPr>
          <w:noProof w:val="0"/>
        </w:rPr>
        <w:instrText xml:space="preserve"> TOC \o "1-3" \h \z \u </w:instrText>
      </w:r>
      <w:r w:rsidRPr="00125F07">
        <w:rPr>
          <w:noProof w:val="0"/>
        </w:rPr>
        <w:fldChar w:fldCharType="separate"/>
      </w:r>
      <w:hyperlink w:anchor="_Toc12024603" w:history="1">
        <w:r w:rsidR="00014EE0" w:rsidRPr="00430437">
          <w:rPr>
            <w:rStyle w:val="Hyperlink"/>
          </w:rPr>
          <w:t>Abstract</w:t>
        </w:r>
        <w:r w:rsidR="00014EE0">
          <w:rPr>
            <w:webHidden/>
          </w:rPr>
          <w:tab/>
        </w:r>
        <w:r w:rsidR="00014EE0">
          <w:rPr>
            <w:webHidden/>
          </w:rPr>
          <w:fldChar w:fldCharType="begin"/>
        </w:r>
        <w:r w:rsidR="00014EE0">
          <w:rPr>
            <w:webHidden/>
          </w:rPr>
          <w:instrText xml:space="preserve"> PAGEREF _Toc12024603 \h </w:instrText>
        </w:r>
        <w:r w:rsidR="00014EE0">
          <w:rPr>
            <w:webHidden/>
          </w:rPr>
        </w:r>
        <w:r w:rsidR="00014EE0">
          <w:rPr>
            <w:webHidden/>
          </w:rPr>
          <w:fldChar w:fldCharType="separate"/>
        </w:r>
        <w:r w:rsidR="004D2DCA">
          <w:rPr>
            <w:webHidden/>
          </w:rPr>
          <w:t>2</w:t>
        </w:r>
        <w:r w:rsidR="00014EE0">
          <w:rPr>
            <w:webHidden/>
          </w:rPr>
          <w:fldChar w:fldCharType="end"/>
        </w:r>
      </w:hyperlink>
    </w:p>
    <w:p w14:paraId="147C2EBE" w14:textId="3F8B30A6" w:rsidR="00014EE0" w:rsidRPr="000215FF" w:rsidRDefault="000267C1">
      <w:pPr>
        <w:pStyle w:val="TOC1"/>
        <w:rPr>
          <w:rFonts w:ascii="Cambria" w:eastAsia="MS Mincho" w:hAnsi="Cambria"/>
          <w:b w:val="0"/>
          <w:bCs w:val="0"/>
          <w:iCs w:val="0"/>
          <w:color w:val="auto"/>
        </w:rPr>
      </w:pPr>
      <w:hyperlink w:anchor="_Toc12024604" w:history="1">
        <w:r w:rsidR="00014EE0" w:rsidRPr="00430437">
          <w:rPr>
            <w:rStyle w:val="Hyperlink"/>
          </w:rPr>
          <w:t>Acknowledgements</w:t>
        </w:r>
        <w:r w:rsidR="00014EE0">
          <w:rPr>
            <w:webHidden/>
          </w:rPr>
          <w:tab/>
        </w:r>
        <w:r w:rsidR="00014EE0">
          <w:rPr>
            <w:webHidden/>
          </w:rPr>
          <w:fldChar w:fldCharType="begin"/>
        </w:r>
        <w:r w:rsidR="00014EE0">
          <w:rPr>
            <w:webHidden/>
          </w:rPr>
          <w:instrText xml:space="preserve"> PAGEREF _Toc12024604 \h </w:instrText>
        </w:r>
        <w:r w:rsidR="00014EE0">
          <w:rPr>
            <w:webHidden/>
          </w:rPr>
        </w:r>
        <w:r w:rsidR="00014EE0">
          <w:rPr>
            <w:webHidden/>
          </w:rPr>
          <w:fldChar w:fldCharType="separate"/>
        </w:r>
        <w:r w:rsidR="004D2DCA">
          <w:rPr>
            <w:webHidden/>
          </w:rPr>
          <w:t>3</w:t>
        </w:r>
        <w:r w:rsidR="00014EE0">
          <w:rPr>
            <w:webHidden/>
          </w:rPr>
          <w:fldChar w:fldCharType="end"/>
        </w:r>
      </w:hyperlink>
    </w:p>
    <w:p w14:paraId="7B19E20C" w14:textId="5E24F2A3" w:rsidR="00014EE0" w:rsidRPr="000215FF" w:rsidRDefault="000267C1">
      <w:pPr>
        <w:pStyle w:val="TOC1"/>
        <w:rPr>
          <w:rFonts w:ascii="Cambria" w:eastAsia="MS Mincho" w:hAnsi="Cambria"/>
          <w:b w:val="0"/>
          <w:bCs w:val="0"/>
          <w:iCs w:val="0"/>
          <w:color w:val="auto"/>
        </w:rPr>
      </w:pPr>
      <w:hyperlink w:anchor="_Toc12024605" w:history="1">
        <w:r w:rsidR="00014EE0" w:rsidRPr="00430437">
          <w:rPr>
            <w:rStyle w:val="Hyperlink"/>
          </w:rPr>
          <w:t>Contents</w:t>
        </w:r>
        <w:r w:rsidR="00014EE0">
          <w:rPr>
            <w:webHidden/>
          </w:rPr>
          <w:tab/>
        </w:r>
        <w:r w:rsidR="00014EE0">
          <w:rPr>
            <w:webHidden/>
          </w:rPr>
          <w:fldChar w:fldCharType="begin"/>
        </w:r>
        <w:r w:rsidR="00014EE0">
          <w:rPr>
            <w:webHidden/>
          </w:rPr>
          <w:instrText xml:space="preserve"> PAGEREF _Toc12024605 \h </w:instrText>
        </w:r>
        <w:r w:rsidR="00014EE0">
          <w:rPr>
            <w:webHidden/>
          </w:rPr>
        </w:r>
        <w:r w:rsidR="00014EE0">
          <w:rPr>
            <w:webHidden/>
          </w:rPr>
          <w:fldChar w:fldCharType="separate"/>
        </w:r>
        <w:r w:rsidR="004D2DCA">
          <w:rPr>
            <w:webHidden/>
          </w:rPr>
          <w:t>4</w:t>
        </w:r>
        <w:r w:rsidR="00014EE0">
          <w:rPr>
            <w:webHidden/>
          </w:rPr>
          <w:fldChar w:fldCharType="end"/>
        </w:r>
      </w:hyperlink>
    </w:p>
    <w:p w14:paraId="2B01DAF3" w14:textId="0903CE6B" w:rsidR="00014EE0" w:rsidRPr="000215FF" w:rsidRDefault="000267C1">
      <w:pPr>
        <w:pStyle w:val="TOC1"/>
        <w:rPr>
          <w:rFonts w:ascii="Cambria" w:eastAsia="MS Mincho" w:hAnsi="Cambria"/>
          <w:b w:val="0"/>
          <w:bCs w:val="0"/>
          <w:iCs w:val="0"/>
          <w:color w:val="auto"/>
        </w:rPr>
      </w:pPr>
      <w:hyperlink w:anchor="_Toc12024606" w:history="1">
        <w:r w:rsidR="00014EE0" w:rsidRPr="00430437">
          <w:rPr>
            <w:rStyle w:val="Hyperlink"/>
          </w:rPr>
          <w:t>Tables</w:t>
        </w:r>
        <w:r w:rsidR="00014EE0">
          <w:rPr>
            <w:webHidden/>
          </w:rPr>
          <w:tab/>
        </w:r>
        <w:r w:rsidR="00014EE0">
          <w:rPr>
            <w:webHidden/>
          </w:rPr>
          <w:fldChar w:fldCharType="begin"/>
        </w:r>
        <w:r w:rsidR="00014EE0">
          <w:rPr>
            <w:webHidden/>
          </w:rPr>
          <w:instrText xml:space="preserve"> PAGEREF _Toc12024606 \h </w:instrText>
        </w:r>
        <w:r w:rsidR="00014EE0">
          <w:rPr>
            <w:webHidden/>
          </w:rPr>
        </w:r>
        <w:r w:rsidR="00014EE0">
          <w:rPr>
            <w:webHidden/>
          </w:rPr>
          <w:fldChar w:fldCharType="separate"/>
        </w:r>
        <w:r w:rsidR="004D2DCA">
          <w:rPr>
            <w:webHidden/>
          </w:rPr>
          <w:t>7</w:t>
        </w:r>
        <w:r w:rsidR="00014EE0">
          <w:rPr>
            <w:webHidden/>
          </w:rPr>
          <w:fldChar w:fldCharType="end"/>
        </w:r>
      </w:hyperlink>
    </w:p>
    <w:p w14:paraId="01396809" w14:textId="585E1298" w:rsidR="00014EE0" w:rsidRPr="000215FF" w:rsidRDefault="000267C1">
      <w:pPr>
        <w:pStyle w:val="TOC1"/>
        <w:rPr>
          <w:rFonts w:ascii="Cambria" w:eastAsia="MS Mincho" w:hAnsi="Cambria"/>
          <w:b w:val="0"/>
          <w:bCs w:val="0"/>
          <w:iCs w:val="0"/>
          <w:color w:val="auto"/>
        </w:rPr>
      </w:pPr>
      <w:hyperlink w:anchor="_Toc12024607" w:history="1">
        <w:r w:rsidR="00014EE0" w:rsidRPr="00430437">
          <w:rPr>
            <w:rStyle w:val="Hyperlink"/>
          </w:rPr>
          <w:t>Figures</w:t>
        </w:r>
        <w:r w:rsidR="00014EE0">
          <w:rPr>
            <w:webHidden/>
          </w:rPr>
          <w:tab/>
        </w:r>
        <w:r w:rsidR="00014EE0">
          <w:rPr>
            <w:webHidden/>
          </w:rPr>
          <w:fldChar w:fldCharType="begin"/>
        </w:r>
        <w:r w:rsidR="00014EE0">
          <w:rPr>
            <w:webHidden/>
          </w:rPr>
          <w:instrText xml:space="preserve"> PAGEREF _Toc12024607 \h </w:instrText>
        </w:r>
        <w:r w:rsidR="00014EE0">
          <w:rPr>
            <w:webHidden/>
          </w:rPr>
        </w:r>
        <w:r w:rsidR="00014EE0">
          <w:rPr>
            <w:webHidden/>
          </w:rPr>
          <w:fldChar w:fldCharType="separate"/>
        </w:r>
        <w:r w:rsidR="004D2DCA">
          <w:rPr>
            <w:webHidden/>
          </w:rPr>
          <w:t>8</w:t>
        </w:r>
        <w:r w:rsidR="00014EE0">
          <w:rPr>
            <w:webHidden/>
          </w:rPr>
          <w:fldChar w:fldCharType="end"/>
        </w:r>
      </w:hyperlink>
    </w:p>
    <w:p w14:paraId="1258C6E3" w14:textId="4C0A04B5" w:rsidR="00014EE0" w:rsidRPr="000215FF" w:rsidRDefault="000267C1">
      <w:pPr>
        <w:pStyle w:val="TOC1"/>
        <w:rPr>
          <w:rFonts w:ascii="Cambria" w:eastAsia="MS Mincho" w:hAnsi="Cambria"/>
          <w:b w:val="0"/>
          <w:bCs w:val="0"/>
          <w:iCs w:val="0"/>
          <w:color w:val="auto"/>
        </w:rPr>
      </w:pPr>
      <w:hyperlink w:anchor="_Toc12024608" w:history="1">
        <w:r w:rsidR="00014EE0" w:rsidRPr="00430437">
          <w:rPr>
            <w:rStyle w:val="Hyperlink"/>
          </w:rPr>
          <w:t>Chapter 1: Introduction</w:t>
        </w:r>
        <w:r w:rsidR="00014EE0">
          <w:rPr>
            <w:webHidden/>
          </w:rPr>
          <w:tab/>
        </w:r>
        <w:r w:rsidR="00014EE0">
          <w:rPr>
            <w:webHidden/>
          </w:rPr>
          <w:fldChar w:fldCharType="begin"/>
        </w:r>
        <w:r w:rsidR="00014EE0">
          <w:rPr>
            <w:webHidden/>
          </w:rPr>
          <w:instrText xml:space="preserve"> PAGEREF _Toc12024608 \h </w:instrText>
        </w:r>
        <w:r w:rsidR="00014EE0">
          <w:rPr>
            <w:webHidden/>
          </w:rPr>
        </w:r>
        <w:r w:rsidR="00014EE0">
          <w:rPr>
            <w:webHidden/>
          </w:rPr>
          <w:fldChar w:fldCharType="separate"/>
        </w:r>
        <w:r w:rsidR="004D2DCA">
          <w:rPr>
            <w:webHidden/>
          </w:rPr>
          <w:t>9</w:t>
        </w:r>
        <w:r w:rsidR="00014EE0">
          <w:rPr>
            <w:webHidden/>
          </w:rPr>
          <w:fldChar w:fldCharType="end"/>
        </w:r>
      </w:hyperlink>
    </w:p>
    <w:p w14:paraId="72D2ACFB" w14:textId="00424869"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09" w:history="1">
        <w:r w:rsidR="00014EE0" w:rsidRPr="00430437">
          <w:rPr>
            <w:rStyle w:val="Hyperlink"/>
            <w:noProof/>
          </w:rPr>
          <w:t>Psychosocial impact of having a FD</w:t>
        </w:r>
        <w:r w:rsidR="00014EE0">
          <w:rPr>
            <w:noProof/>
            <w:webHidden/>
          </w:rPr>
          <w:tab/>
        </w:r>
        <w:r w:rsidR="00014EE0">
          <w:rPr>
            <w:noProof/>
            <w:webHidden/>
          </w:rPr>
          <w:fldChar w:fldCharType="begin"/>
        </w:r>
        <w:r w:rsidR="00014EE0">
          <w:rPr>
            <w:noProof/>
            <w:webHidden/>
          </w:rPr>
          <w:instrText xml:space="preserve"> PAGEREF _Toc12024609 \h </w:instrText>
        </w:r>
        <w:r w:rsidR="00014EE0">
          <w:rPr>
            <w:noProof/>
            <w:webHidden/>
          </w:rPr>
        </w:r>
        <w:r w:rsidR="00014EE0">
          <w:rPr>
            <w:noProof/>
            <w:webHidden/>
          </w:rPr>
          <w:fldChar w:fldCharType="separate"/>
        </w:r>
        <w:r w:rsidR="004D2DCA">
          <w:rPr>
            <w:noProof/>
            <w:webHidden/>
          </w:rPr>
          <w:t>12</w:t>
        </w:r>
        <w:r w:rsidR="00014EE0">
          <w:rPr>
            <w:noProof/>
            <w:webHidden/>
          </w:rPr>
          <w:fldChar w:fldCharType="end"/>
        </w:r>
      </w:hyperlink>
    </w:p>
    <w:p w14:paraId="17431F92" w14:textId="09E089B0"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10" w:history="1">
        <w:r w:rsidR="00014EE0" w:rsidRPr="00430437">
          <w:rPr>
            <w:rStyle w:val="Hyperlink"/>
            <w:noProof/>
          </w:rPr>
          <w:t>The view from the inside</w:t>
        </w:r>
        <w:r w:rsidR="00014EE0">
          <w:rPr>
            <w:noProof/>
            <w:webHidden/>
          </w:rPr>
          <w:tab/>
        </w:r>
        <w:r w:rsidR="00014EE0">
          <w:rPr>
            <w:noProof/>
            <w:webHidden/>
          </w:rPr>
          <w:fldChar w:fldCharType="begin"/>
        </w:r>
        <w:r w:rsidR="00014EE0">
          <w:rPr>
            <w:noProof/>
            <w:webHidden/>
          </w:rPr>
          <w:instrText xml:space="preserve"> PAGEREF _Toc12024610 \h </w:instrText>
        </w:r>
        <w:r w:rsidR="00014EE0">
          <w:rPr>
            <w:noProof/>
            <w:webHidden/>
          </w:rPr>
        </w:r>
        <w:r w:rsidR="00014EE0">
          <w:rPr>
            <w:noProof/>
            <w:webHidden/>
          </w:rPr>
          <w:fldChar w:fldCharType="separate"/>
        </w:r>
        <w:r w:rsidR="004D2DCA">
          <w:rPr>
            <w:noProof/>
            <w:webHidden/>
          </w:rPr>
          <w:t>16</w:t>
        </w:r>
        <w:r w:rsidR="00014EE0">
          <w:rPr>
            <w:noProof/>
            <w:webHidden/>
          </w:rPr>
          <w:fldChar w:fldCharType="end"/>
        </w:r>
      </w:hyperlink>
    </w:p>
    <w:p w14:paraId="051EE202" w14:textId="060ED87E"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11" w:history="1">
        <w:r w:rsidR="00014EE0" w:rsidRPr="00430437">
          <w:rPr>
            <w:rStyle w:val="Hyperlink"/>
            <w:noProof/>
          </w:rPr>
          <w:t>The view from the outside</w:t>
        </w:r>
        <w:r w:rsidR="00014EE0">
          <w:rPr>
            <w:noProof/>
            <w:webHidden/>
          </w:rPr>
          <w:tab/>
        </w:r>
        <w:r w:rsidR="00014EE0">
          <w:rPr>
            <w:noProof/>
            <w:webHidden/>
          </w:rPr>
          <w:fldChar w:fldCharType="begin"/>
        </w:r>
        <w:r w:rsidR="00014EE0">
          <w:rPr>
            <w:noProof/>
            <w:webHidden/>
          </w:rPr>
          <w:instrText xml:space="preserve"> PAGEREF _Toc12024611 \h </w:instrText>
        </w:r>
        <w:r w:rsidR="00014EE0">
          <w:rPr>
            <w:noProof/>
            <w:webHidden/>
          </w:rPr>
        </w:r>
        <w:r w:rsidR="00014EE0">
          <w:rPr>
            <w:noProof/>
            <w:webHidden/>
          </w:rPr>
          <w:fldChar w:fldCharType="separate"/>
        </w:r>
        <w:r w:rsidR="004D2DCA">
          <w:rPr>
            <w:noProof/>
            <w:webHidden/>
          </w:rPr>
          <w:t>19</w:t>
        </w:r>
        <w:r w:rsidR="00014EE0">
          <w:rPr>
            <w:noProof/>
            <w:webHidden/>
          </w:rPr>
          <w:fldChar w:fldCharType="end"/>
        </w:r>
      </w:hyperlink>
    </w:p>
    <w:p w14:paraId="0CD12286" w14:textId="02941A6E"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12" w:history="1">
        <w:r w:rsidR="00014EE0" w:rsidRPr="00430437">
          <w:rPr>
            <w:rStyle w:val="Hyperlink"/>
            <w:noProof/>
          </w:rPr>
          <w:t>Aims and structure of this thesis</w:t>
        </w:r>
        <w:r w:rsidR="00014EE0">
          <w:rPr>
            <w:noProof/>
            <w:webHidden/>
          </w:rPr>
          <w:tab/>
        </w:r>
        <w:r w:rsidR="00014EE0">
          <w:rPr>
            <w:noProof/>
            <w:webHidden/>
          </w:rPr>
          <w:fldChar w:fldCharType="begin"/>
        </w:r>
        <w:r w:rsidR="00014EE0">
          <w:rPr>
            <w:noProof/>
            <w:webHidden/>
          </w:rPr>
          <w:instrText xml:space="preserve"> PAGEREF _Toc12024612 \h </w:instrText>
        </w:r>
        <w:r w:rsidR="00014EE0">
          <w:rPr>
            <w:noProof/>
            <w:webHidden/>
          </w:rPr>
        </w:r>
        <w:r w:rsidR="00014EE0">
          <w:rPr>
            <w:noProof/>
            <w:webHidden/>
          </w:rPr>
          <w:fldChar w:fldCharType="separate"/>
        </w:r>
        <w:r w:rsidR="004D2DCA">
          <w:rPr>
            <w:noProof/>
            <w:webHidden/>
          </w:rPr>
          <w:t>27</w:t>
        </w:r>
        <w:r w:rsidR="00014EE0">
          <w:rPr>
            <w:noProof/>
            <w:webHidden/>
          </w:rPr>
          <w:fldChar w:fldCharType="end"/>
        </w:r>
      </w:hyperlink>
    </w:p>
    <w:p w14:paraId="4E262035" w14:textId="06C6AF2E" w:rsidR="00014EE0" w:rsidRPr="000215FF" w:rsidRDefault="000267C1">
      <w:pPr>
        <w:pStyle w:val="TOC1"/>
        <w:rPr>
          <w:rFonts w:ascii="Cambria" w:eastAsia="MS Mincho" w:hAnsi="Cambria"/>
          <w:b w:val="0"/>
          <w:bCs w:val="0"/>
          <w:iCs w:val="0"/>
          <w:color w:val="auto"/>
        </w:rPr>
      </w:pPr>
      <w:hyperlink w:anchor="_Toc12024613" w:history="1">
        <w:r w:rsidR="00014EE0" w:rsidRPr="00430437">
          <w:rPr>
            <w:rStyle w:val="Hyperlink"/>
          </w:rPr>
          <w:t>Chapter 2 - Observers’ responses to facial difference and disfigurement: A systematic review</w:t>
        </w:r>
        <w:r w:rsidR="00014EE0">
          <w:rPr>
            <w:webHidden/>
          </w:rPr>
          <w:tab/>
        </w:r>
        <w:r w:rsidR="00014EE0">
          <w:rPr>
            <w:webHidden/>
          </w:rPr>
          <w:fldChar w:fldCharType="begin"/>
        </w:r>
        <w:r w:rsidR="00014EE0">
          <w:rPr>
            <w:webHidden/>
          </w:rPr>
          <w:instrText xml:space="preserve"> PAGEREF _Toc12024613 \h </w:instrText>
        </w:r>
        <w:r w:rsidR="00014EE0">
          <w:rPr>
            <w:webHidden/>
          </w:rPr>
        </w:r>
        <w:r w:rsidR="00014EE0">
          <w:rPr>
            <w:webHidden/>
          </w:rPr>
          <w:fldChar w:fldCharType="separate"/>
        </w:r>
        <w:r w:rsidR="004D2DCA">
          <w:rPr>
            <w:webHidden/>
          </w:rPr>
          <w:t>29</w:t>
        </w:r>
        <w:r w:rsidR="00014EE0">
          <w:rPr>
            <w:webHidden/>
          </w:rPr>
          <w:fldChar w:fldCharType="end"/>
        </w:r>
      </w:hyperlink>
    </w:p>
    <w:p w14:paraId="27AE6D91" w14:textId="0F3B33A6"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14" w:history="1">
        <w:r w:rsidR="00014EE0" w:rsidRPr="00430437">
          <w:rPr>
            <w:rStyle w:val="Hyperlink"/>
            <w:noProof/>
          </w:rPr>
          <w:t>Introduction</w:t>
        </w:r>
        <w:r w:rsidR="00014EE0">
          <w:rPr>
            <w:noProof/>
            <w:webHidden/>
          </w:rPr>
          <w:tab/>
        </w:r>
        <w:r w:rsidR="00014EE0">
          <w:rPr>
            <w:noProof/>
            <w:webHidden/>
          </w:rPr>
          <w:fldChar w:fldCharType="begin"/>
        </w:r>
        <w:r w:rsidR="00014EE0">
          <w:rPr>
            <w:noProof/>
            <w:webHidden/>
          </w:rPr>
          <w:instrText xml:space="preserve"> PAGEREF _Toc12024614 \h </w:instrText>
        </w:r>
        <w:r w:rsidR="00014EE0">
          <w:rPr>
            <w:noProof/>
            <w:webHidden/>
          </w:rPr>
        </w:r>
        <w:r w:rsidR="00014EE0">
          <w:rPr>
            <w:noProof/>
            <w:webHidden/>
          </w:rPr>
          <w:fldChar w:fldCharType="separate"/>
        </w:r>
        <w:r w:rsidR="004D2DCA">
          <w:rPr>
            <w:noProof/>
            <w:webHidden/>
          </w:rPr>
          <w:t>29</w:t>
        </w:r>
        <w:r w:rsidR="00014EE0">
          <w:rPr>
            <w:noProof/>
            <w:webHidden/>
          </w:rPr>
          <w:fldChar w:fldCharType="end"/>
        </w:r>
      </w:hyperlink>
    </w:p>
    <w:p w14:paraId="69AE251F" w14:textId="6D392E81"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15" w:history="1">
        <w:r w:rsidR="00014EE0" w:rsidRPr="00430437">
          <w:rPr>
            <w:rStyle w:val="Hyperlink"/>
            <w:noProof/>
          </w:rPr>
          <w:t>Aims</w:t>
        </w:r>
        <w:r w:rsidR="00014EE0">
          <w:rPr>
            <w:noProof/>
            <w:webHidden/>
          </w:rPr>
          <w:tab/>
        </w:r>
        <w:r w:rsidR="00014EE0">
          <w:rPr>
            <w:noProof/>
            <w:webHidden/>
          </w:rPr>
          <w:fldChar w:fldCharType="begin"/>
        </w:r>
        <w:r w:rsidR="00014EE0">
          <w:rPr>
            <w:noProof/>
            <w:webHidden/>
          </w:rPr>
          <w:instrText xml:space="preserve"> PAGEREF _Toc12024615 \h </w:instrText>
        </w:r>
        <w:r w:rsidR="00014EE0">
          <w:rPr>
            <w:noProof/>
            <w:webHidden/>
          </w:rPr>
        </w:r>
        <w:r w:rsidR="00014EE0">
          <w:rPr>
            <w:noProof/>
            <w:webHidden/>
          </w:rPr>
          <w:fldChar w:fldCharType="separate"/>
        </w:r>
        <w:r w:rsidR="004D2DCA">
          <w:rPr>
            <w:noProof/>
            <w:webHidden/>
          </w:rPr>
          <w:t>31</w:t>
        </w:r>
        <w:r w:rsidR="00014EE0">
          <w:rPr>
            <w:noProof/>
            <w:webHidden/>
          </w:rPr>
          <w:fldChar w:fldCharType="end"/>
        </w:r>
      </w:hyperlink>
    </w:p>
    <w:p w14:paraId="58D3011C" w14:textId="45B9F248"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16" w:history="1">
        <w:r w:rsidR="00014EE0" w:rsidRPr="00430437">
          <w:rPr>
            <w:rStyle w:val="Hyperlink"/>
            <w:noProof/>
          </w:rPr>
          <w:t>Method</w:t>
        </w:r>
        <w:r w:rsidR="00014EE0">
          <w:rPr>
            <w:noProof/>
            <w:webHidden/>
          </w:rPr>
          <w:tab/>
        </w:r>
        <w:r w:rsidR="00014EE0">
          <w:rPr>
            <w:noProof/>
            <w:webHidden/>
          </w:rPr>
          <w:fldChar w:fldCharType="begin"/>
        </w:r>
        <w:r w:rsidR="00014EE0">
          <w:rPr>
            <w:noProof/>
            <w:webHidden/>
          </w:rPr>
          <w:instrText xml:space="preserve"> PAGEREF _Toc12024616 \h </w:instrText>
        </w:r>
        <w:r w:rsidR="00014EE0">
          <w:rPr>
            <w:noProof/>
            <w:webHidden/>
          </w:rPr>
        </w:r>
        <w:r w:rsidR="00014EE0">
          <w:rPr>
            <w:noProof/>
            <w:webHidden/>
          </w:rPr>
          <w:fldChar w:fldCharType="separate"/>
        </w:r>
        <w:r w:rsidR="004D2DCA">
          <w:rPr>
            <w:noProof/>
            <w:webHidden/>
          </w:rPr>
          <w:t>32</w:t>
        </w:r>
        <w:r w:rsidR="00014EE0">
          <w:rPr>
            <w:noProof/>
            <w:webHidden/>
          </w:rPr>
          <w:fldChar w:fldCharType="end"/>
        </w:r>
      </w:hyperlink>
    </w:p>
    <w:p w14:paraId="31DE69C3" w14:textId="09909FAF"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17" w:history="1">
        <w:r w:rsidR="00014EE0" w:rsidRPr="00430437">
          <w:rPr>
            <w:rStyle w:val="Hyperlink"/>
            <w:noProof/>
          </w:rPr>
          <w:t>Search strategy</w:t>
        </w:r>
        <w:r w:rsidR="00014EE0">
          <w:rPr>
            <w:noProof/>
            <w:webHidden/>
          </w:rPr>
          <w:tab/>
        </w:r>
        <w:r w:rsidR="00014EE0">
          <w:rPr>
            <w:noProof/>
            <w:webHidden/>
          </w:rPr>
          <w:fldChar w:fldCharType="begin"/>
        </w:r>
        <w:r w:rsidR="00014EE0">
          <w:rPr>
            <w:noProof/>
            <w:webHidden/>
          </w:rPr>
          <w:instrText xml:space="preserve"> PAGEREF _Toc12024617 \h </w:instrText>
        </w:r>
        <w:r w:rsidR="00014EE0">
          <w:rPr>
            <w:noProof/>
            <w:webHidden/>
          </w:rPr>
        </w:r>
        <w:r w:rsidR="00014EE0">
          <w:rPr>
            <w:noProof/>
            <w:webHidden/>
          </w:rPr>
          <w:fldChar w:fldCharType="separate"/>
        </w:r>
        <w:r w:rsidR="004D2DCA">
          <w:rPr>
            <w:noProof/>
            <w:webHidden/>
          </w:rPr>
          <w:t>32</w:t>
        </w:r>
        <w:r w:rsidR="00014EE0">
          <w:rPr>
            <w:noProof/>
            <w:webHidden/>
          </w:rPr>
          <w:fldChar w:fldCharType="end"/>
        </w:r>
      </w:hyperlink>
    </w:p>
    <w:p w14:paraId="3C8C2878" w14:textId="0C4AA2CB"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18" w:history="1">
        <w:r w:rsidR="00014EE0" w:rsidRPr="00430437">
          <w:rPr>
            <w:rStyle w:val="Hyperlink"/>
            <w:noProof/>
          </w:rPr>
          <w:t>Inclusion and exclusion criteria</w:t>
        </w:r>
        <w:r w:rsidR="00014EE0">
          <w:rPr>
            <w:noProof/>
            <w:webHidden/>
          </w:rPr>
          <w:tab/>
        </w:r>
        <w:r w:rsidR="00014EE0">
          <w:rPr>
            <w:noProof/>
            <w:webHidden/>
          </w:rPr>
          <w:fldChar w:fldCharType="begin"/>
        </w:r>
        <w:r w:rsidR="00014EE0">
          <w:rPr>
            <w:noProof/>
            <w:webHidden/>
          </w:rPr>
          <w:instrText xml:space="preserve"> PAGEREF _Toc12024618 \h </w:instrText>
        </w:r>
        <w:r w:rsidR="00014EE0">
          <w:rPr>
            <w:noProof/>
            <w:webHidden/>
          </w:rPr>
        </w:r>
        <w:r w:rsidR="00014EE0">
          <w:rPr>
            <w:noProof/>
            <w:webHidden/>
          </w:rPr>
          <w:fldChar w:fldCharType="separate"/>
        </w:r>
        <w:r w:rsidR="004D2DCA">
          <w:rPr>
            <w:noProof/>
            <w:webHidden/>
          </w:rPr>
          <w:t>32</w:t>
        </w:r>
        <w:r w:rsidR="00014EE0">
          <w:rPr>
            <w:noProof/>
            <w:webHidden/>
          </w:rPr>
          <w:fldChar w:fldCharType="end"/>
        </w:r>
      </w:hyperlink>
    </w:p>
    <w:p w14:paraId="67F95A22" w14:textId="2653EB49"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19" w:history="1">
        <w:r w:rsidR="00014EE0" w:rsidRPr="00430437">
          <w:rPr>
            <w:rStyle w:val="Hyperlink"/>
            <w:noProof/>
          </w:rPr>
          <w:t>Review process and quality assessment</w:t>
        </w:r>
        <w:r w:rsidR="00014EE0">
          <w:rPr>
            <w:noProof/>
            <w:webHidden/>
          </w:rPr>
          <w:tab/>
        </w:r>
        <w:r w:rsidR="00014EE0">
          <w:rPr>
            <w:noProof/>
            <w:webHidden/>
          </w:rPr>
          <w:fldChar w:fldCharType="begin"/>
        </w:r>
        <w:r w:rsidR="00014EE0">
          <w:rPr>
            <w:noProof/>
            <w:webHidden/>
          </w:rPr>
          <w:instrText xml:space="preserve"> PAGEREF _Toc12024619 \h </w:instrText>
        </w:r>
        <w:r w:rsidR="00014EE0">
          <w:rPr>
            <w:noProof/>
            <w:webHidden/>
          </w:rPr>
        </w:r>
        <w:r w:rsidR="00014EE0">
          <w:rPr>
            <w:noProof/>
            <w:webHidden/>
          </w:rPr>
          <w:fldChar w:fldCharType="separate"/>
        </w:r>
        <w:r w:rsidR="004D2DCA">
          <w:rPr>
            <w:noProof/>
            <w:webHidden/>
          </w:rPr>
          <w:t>32</w:t>
        </w:r>
        <w:r w:rsidR="00014EE0">
          <w:rPr>
            <w:noProof/>
            <w:webHidden/>
          </w:rPr>
          <w:fldChar w:fldCharType="end"/>
        </w:r>
      </w:hyperlink>
    </w:p>
    <w:p w14:paraId="6403C2AF" w14:textId="7C76296E"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20" w:history="1">
        <w:r w:rsidR="00014EE0" w:rsidRPr="00430437">
          <w:rPr>
            <w:rStyle w:val="Hyperlink"/>
            <w:noProof/>
          </w:rPr>
          <w:t>Results</w:t>
        </w:r>
        <w:r w:rsidR="00014EE0">
          <w:rPr>
            <w:noProof/>
            <w:webHidden/>
          </w:rPr>
          <w:tab/>
        </w:r>
        <w:r w:rsidR="00014EE0">
          <w:rPr>
            <w:noProof/>
            <w:webHidden/>
          </w:rPr>
          <w:fldChar w:fldCharType="begin"/>
        </w:r>
        <w:r w:rsidR="00014EE0">
          <w:rPr>
            <w:noProof/>
            <w:webHidden/>
          </w:rPr>
          <w:instrText xml:space="preserve"> PAGEREF _Toc12024620 \h </w:instrText>
        </w:r>
        <w:r w:rsidR="00014EE0">
          <w:rPr>
            <w:noProof/>
            <w:webHidden/>
          </w:rPr>
        </w:r>
        <w:r w:rsidR="00014EE0">
          <w:rPr>
            <w:noProof/>
            <w:webHidden/>
          </w:rPr>
          <w:fldChar w:fldCharType="separate"/>
        </w:r>
        <w:r w:rsidR="004D2DCA">
          <w:rPr>
            <w:noProof/>
            <w:webHidden/>
          </w:rPr>
          <w:t>35</w:t>
        </w:r>
        <w:r w:rsidR="00014EE0">
          <w:rPr>
            <w:noProof/>
            <w:webHidden/>
          </w:rPr>
          <w:fldChar w:fldCharType="end"/>
        </w:r>
      </w:hyperlink>
    </w:p>
    <w:p w14:paraId="7F50A8D5" w14:textId="5C205FF7"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21" w:history="1">
        <w:r w:rsidR="00014EE0" w:rsidRPr="00430437">
          <w:rPr>
            <w:rStyle w:val="Hyperlink"/>
            <w:noProof/>
          </w:rPr>
          <w:t>Overview of studies</w:t>
        </w:r>
        <w:r w:rsidR="00014EE0">
          <w:rPr>
            <w:noProof/>
            <w:webHidden/>
          </w:rPr>
          <w:tab/>
        </w:r>
        <w:r w:rsidR="00014EE0">
          <w:rPr>
            <w:noProof/>
            <w:webHidden/>
          </w:rPr>
          <w:fldChar w:fldCharType="begin"/>
        </w:r>
        <w:r w:rsidR="00014EE0">
          <w:rPr>
            <w:noProof/>
            <w:webHidden/>
          </w:rPr>
          <w:instrText xml:space="preserve"> PAGEREF _Toc12024621 \h </w:instrText>
        </w:r>
        <w:r w:rsidR="00014EE0">
          <w:rPr>
            <w:noProof/>
            <w:webHidden/>
          </w:rPr>
        </w:r>
        <w:r w:rsidR="00014EE0">
          <w:rPr>
            <w:noProof/>
            <w:webHidden/>
          </w:rPr>
          <w:fldChar w:fldCharType="separate"/>
        </w:r>
        <w:r w:rsidR="004D2DCA">
          <w:rPr>
            <w:noProof/>
            <w:webHidden/>
          </w:rPr>
          <w:t>35</w:t>
        </w:r>
        <w:r w:rsidR="00014EE0">
          <w:rPr>
            <w:noProof/>
            <w:webHidden/>
          </w:rPr>
          <w:fldChar w:fldCharType="end"/>
        </w:r>
      </w:hyperlink>
    </w:p>
    <w:p w14:paraId="5469FDD8" w14:textId="610E5C12"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22" w:history="1">
        <w:r w:rsidR="00014EE0" w:rsidRPr="00430437">
          <w:rPr>
            <w:rStyle w:val="Hyperlink"/>
            <w:noProof/>
          </w:rPr>
          <w:t>Beliefs and knowledge about facial disfigurement</w:t>
        </w:r>
        <w:r w:rsidR="00014EE0">
          <w:rPr>
            <w:noProof/>
            <w:webHidden/>
          </w:rPr>
          <w:tab/>
        </w:r>
        <w:r w:rsidR="00014EE0">
          <w:rPr>
            <w:noProof/>
            <w:webHidden/>
          </w:rPr>
          <w:fldChar w:fldCharType="begin"/>
        </w:r>
        <w:r w:rsidR="00014EE0">
          <w:rPr>
            <w:noProof/>
            <w:webHidden/>
          </w:rPr>
          <w:instrText xml:space="preserve"> PAGEREF _Toc12024622 \h </w:instrText>
        </w:r>
        <w:r w:rsidR="00014EE0">
          <w:rPr>
            <w:noProof/>
            <w:webHidden/>
          </w:rPr>
        </w:r>
        <w:r w:rsidR="00014EE0">
          <w:rPr>
            <w:noProof/>
            <w:webHidden/>
          </w:rPr>
          <w:fldChar w:fldCharType="separate"/>
        </w:r>
        <w:r w:rsidR="004D2DCA">
          <w:rPr>
            <w:noProof/>
            <w:webHidden/>
          </w:rPr>
          <w:t>62</w:t>
        </w:r>
        <w:r w:rsidR="00014EE0">
          <w:rPr>
            <w:noProof/>
            <w:webHidden/>
          </w:rPr>
          <w:fldChar w:fldCharType="end"/>
        </w:r>
      </w:hyperlink>
    </w:p>
    <w:p w14:paraId="013C3B16" w14:textId="7EEF1A78"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23" w:history="1">
        <w:r w:rsidR="00014EE0" w:rsidRPr="00430437">
          <w:rPr>
            <w:rStyle w:val="Hyperlink"/>
            <w:noProof/>
          </w:rPr>
          <w:t>Attitudes towards FD</w:t>
        </w:r>
        <w:r w:rsidR="00014EE0">
          <w:rPr>
            <w:noProof/>
            <w:webHidden/>
          </w:rPr>
          <w:tab/>
        </w:r>
        <w:r w:rsidR="00014EE0">
          <w:rPr>
            <w:noProof/>
            <w:webHidden/>
          </w:rPr>
          <w:fldChar w:fldCharType="begin"/>
        </w:r>
        <w:r w:rsidR="00014EE0">
          <w:rPr>
            <w:noProof/>
            <w:webHidden/>
          </w:rPr>
          <w:instrText xml:space="preserve"> PAGEREF _Toc12024623 \h </w:instrText>
        </w:r>
        <w:r w:rsidR="00014EE0">
          <w:rPr>
            <w:noProof/>
            <w:webHidden/>
          </w:rPr>
        </w:r>
        <w:r w:rsidR="00014EE0">
          <w:rPr>
            <w:noProof/>
            <w:webHidden/>
          </w:rPr>
          <w:fldChar w:fldCharType="separate"/>
        </w:r>
        <w:r w:rsidR="004D2DCA">
          <w:rPr>
            <w:noProof/>
            <w:webHidden/>
          </w:rPr>
          <w:t>62</w:t>
        </w:r>
        <w:r w:rsidR="00014EE0">
          <w:rPr>
            <w:noProof/>
            <w:webHidden/>
          </w:rPr>
          <w:fldChar w:fldCharType="end"/>
        </w:r>
      </w:hyperlink>
    </w:p>
    <w:p w14:paraId="7EB378E1" w14:textId="35D75811"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24" w:history="1">
        <w:r w:rsidR="00014EE0" w:rsidRPr="00430437">
          <w:rPr>
            <w:rStyle w:val="Hyperlink"/>
            <w:noProof/>
          </w:rPr>
          <w:t>Cognitive and emotional responses to FD</w:t>
        </w:r>
        <w:r w:rsidR="00014EE0">
          <w:rPr>
            <w:noProof/>
            <w:webHidden/>
          </w:rPr>
          <w:tab/>
        </w:r>
        <w:r w:rsidR="00014EE0">
          <w:rPr>
            <w:noProof/>
            <w:webHidden/>
          </w:rPr>
          <w:fldChar w:fldCharType="begin"/>
        </w:r>
        <w:r w:rsidR="00014EE0">
          <w:rPr>
            <w:noProof/>
            <w:webHidden/>
          </w:rPr>
          <w:instrText xml:space="preserve"> PAGEREF _Toc12024624 \h </w:instrText>
        </w:r>
        <w:r w:rsidR="00014EE0">
          <w:rPr>
            <w:noProof/>
            <w:webHidden/>
          </w:rPr>
        </w:r>
        <w:r w:rsidR="00014EE0">
          <w:rPr>
            <w:noProof/>
            <w:webHidden/>
          </w:rPr>
          <w:fldChar w:fldCharType="separate"/>
        </w:r>
        <w:r w:rsidR="004D2DCA">
          <w:rPr>
            <w:noProof/>
            <w:webHidden/>
          </w:rPr>
          <w:t>64</w:t>
        </w:r>
        <w:r w:rsidR="00014EE0">
          <w:rPr>
            <w:noProof/>
            <w:webHidden/>
          </w:rPr>
          <w:fldChar w:fldCharType="end"/>
        </w:r>
      </w:hyperlink>
    </w:p>
    <w:p w14:paraId="4631514A" w14:textId="215A625D"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25" w:history="1">
        <w:r w:rsidR="00014EE0" w:rsidRPr="00430437">
          <w:rPr>
            <w:rStyle w:val="Hyperlink"/>
            <w:noProof/>
          </w:rPr>
          <w:t>Overt Stigma</w:t>
        </w:r>
        <w:r w:rsidR="00014EE0">
          <w:rPr>
            <w:noProof/>
            <w:webHidden/>
          </w:rPr>
          <w:tab/>
        </w:r>
        <w:r w:rsidR="00014EE0">
          <w:rPr>
            <w:noProof/>
            <w:webHidden/>
          </w:rPr>
          <w:fldChar w:fldCharType="begin"/>
        </w:r>
        <w:r w:rsidR="00014EE0">
          <w:rPr>
            <w:noProof/>
            <w:webHidden/>
          </w:rPr>
          <w:instrText xml:space="preserve"> PAGEREF _Toc12024625 \h </w:instrText>
        </w:r>
        <w:r w:rsidR="00014EE0">
          <w:rPr>
            <w:noProof/>
            <w:webHidden/>
          </w:rPr>
        </w:r>
        <w:r w:rsidR="00014EE0">
          <w:rPr>
            <w:noProof/>
            <w:webHidden/>
          </w:rPr>
          <w:fldChar w:fldCharType="separate"/>
        </w:r>
        <w:r w:rsidR="004D2DCA">
          <w:rPr>
            <w:noProof/>
            <w:webHidden/>
          </w:rPr>
          <w:t>65</w:t>
        </w:r>
        <w:r w:rsidR="00014EE0">
          <w:rPr>
            <w:noProof/>
            <w:webHidden/>
          </w:rPr>
          <w:fldChar w:fldCharType="end"/>
        </w:r>
      </w:hyperlink>
    </w:p>
    <w:p w14:paraId="6D086B82" w14:textId="237C49A0"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26" w:history="1">
        <w:r w:rsidR="00014EE0" w:rsidRPr="00430437">
          <w:rPr>
            <w:rStyle w:val="Hyperlink"/>
            <w:noProof/>
          </w:rPr>
          <w:t>Discussion</w:t>
        </w:r>
        <w:r w:rsidR="00014EE0">
          <w:rPr>
            <w:noProof/>
            <w:webHidden/>
          </w:rPr>
          <w:tab/>
        </w:r>
        <w:r w:rsidR="00014EE0">
          <w:rPr>
            <w:noProof/>
            <w:webHidden/>
          </w:rPr>
          <w:fldChar w:fldCharType="begin"/>
        </w:r>
        <w:r w:rsidR="00014EE0">
          <w:rPr>
            <w:noProof/>
            <w:webHidden/>
          </w:rPr>
          <w:instrText xml:space="preserve"> PAGEREF _Toc12024626 \h </w:instrText>
        </w:r>
        <w:r w:rsidR="00014EE0">
          <w:rPr>
            <w:noProof/>
            <w:webHidden/>
          </w:rPr>
        </w:r>
        <w:r w:rsidR="00014EE0">
          <w:rPr>
            <w:noProof/>
            <w:webHidden/>
          </w:rPr>
          <w:fldChar w:fldCharType="separate"/>
        </w:r>
        <w:r w:rsidR="004D2DCA">
          <w:rPr>
            <w:noProof/>
            <w:webHidden/>
          </w:rPr>
          <w:t>65</w:t>
        </w:r>
        <w:r w:rsidR="00014EE0">
          <w:rPr>
            <w:noProof/>
            <w:webHidden/>
          </w:rPr>
          <w:fldChar w:fldCharType="end"/>
        </w:r>
      </w:hyperlink>
    </w:p>
    <w:p w14:paraId="77113C14" w14:textId="72214FAC"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27" w:history="1">
        <w:r w:rsidR="00014EE0" w:rsidRPr="00430437">
          <w:rPr>
            <w:rStyle w:val="Hyperlink"/>
            <w:noProof/>
          </w:rPr>
          <w:t>Observers’ responses to FD</w:t>
        </w:r>
        <w:r w:rsidR="00014EE0">
          <w:rPr>
            <w:noProof/>
            <w:webHidden/>
          </w:rPr>
          <w:tab/>
        </w:r>
        <w:r w:rsidR="00014EE0">
          <w:rPr>
            <w:noProof/>
            <w:webHidden/>
          </w:rPr>
          <w:fldChar w:fldCharType="begin"/>
        </w:r>
        <w:r w:rsidR="00014EE0">
          <w:rPr>
            <w:noProof/>
            <w:webHidden/>
          </w:rPr>
          <w:instrText xml:space="preserve"> PAGEREF _Toc12024627 \h </w:instrText>
        </w:r>
        <w:r w:rsidR="00014EE0">
          <w:rPr>
            <w:noProof/>
            <w:webHidden/>
          </w:rPr>
        </w:r>
        <w:r w:rsidR="00014EE0">
          <w:rPr>
            <w:noProof/>
            <w:webHidden/>
          </w:rPr>
          <w:fldChar w:fldCharType="separate"/>
        </w:r>
        <w:r w:rsidR="004D2DCA">
          <w:rPr>
            <w:noProof/>
            <w:webHidden/>
          </w:rPr>
          <w:t>66</w:t>
        </w:r>
        <w:r w:rsidR="00014EE0">
          <w:rPr>
            <w:noProof/>
            <w:webHidden/>
          </w:rPr>
          <w:fldChar w:fldCharType="end"/>
        </w:r>
      </w:hyperlink>
    </w:p>
    <w:p w14:paraId="6B3AD428" w14:textId="02FA5D71"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28" w:history="1">
        <w:r w:rsidR="00014EE0" w:rsidRPr="00430437">
          <w:rPr>
            <w:rStyle w:val="Hyperlink"/>
            <w:noProof/>
          </w:rPr>
          <w:t>Perception of FD in non-western samples</w:t>
        </w:r>
        <w:r w:rsidR="00014EE0">
          <w:rPr>
            <w:noProof/>
            <w:webHidden/>
          </w:rPr>
          <w:tab/>
        </w:r>
        <w:r w:rsidR="00014EE0">
          <w:rPr>
            <w:noProof/>
            <w:webHidden/>
          </w:rPr>
          <w:fldChar w:fldCharType="begin"/>
        </w:r>
        <w:r w:rsidR="00014EE0">
          <w:rPr>
            <w:noProof/>
            <w:webHidden/>
          </w:rPr>
          <w:instrText xml:space="preserve"> PAGEREF _Toc12024628 \h </w:instrText>
        </w:r>
        <w:r w:rsidR="00014EE0">
          <w:rPr>
            <w:noProof/>
            <w:webHidden/>
          </w:rPr>
        </w:r>
        <w:r w:rsidR="00014EE0">
          <w:rPr>
            <w:noProof/>
            <w:webHidden/>
          </w:rPr>
          <w:fldChar w:fldCharType="separate"/>
        </w:r>
        <w:r w:rsidR="004D2DCA">
          <w:rPr>
            <w:noProof/>
            <w:webHidden/>
          </w:rPr>
          <w:t>68</w:t>
        </w:r>
        <w:r w:rsidR="00014EE0">
          <w:rPr>
            <w:noProof/>
            <w:webHidden/>
          </w:rPr>
          <w:fldChar w:fldCharType="end"/>
        </w:r>
      </w:hyperlink>
    </w:p>
    <w:p w14:paraId="4AE9FD57" w14:textId="59DF7784"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29" w:history="1">
        <w:r w:rsidR="00014EE0" w:rsidRPr="00430437">
          <w:rPr>
            <w:rStyle w:val="Hyperlink"/>
            <w:noProof/>
          </w:rPr>
          <w:t>Implications of FD and anti-stigma intervention strategies</w:t>
        </w:r>
        <w:r w:rsidR="00014EE0">
          <w:rPr>
            <w:noProof/>
            <w:webHidden/>
          </w:rPr>
          <w:tab/>
        </w:r>
        <w:r w:rsidR="00014EE0">
          <w:rPr>
            <w:noProof/>
            <w:webHidden/>
          </w:rPr>
          <w:fldChar w:fldCharType="begin"/>
        </w:r>
        <w:r w:rsidR="00014EE0">
          <w:rPr>
            <w:noProof/>
            <w:webHidden/>
          </w:rPr>
          <w:instrText xml:space="preserve"> PAGEREF _Toc12024629 \h </w:instrText>
        </w:r>
        <w:r w:rsidR="00014EE0">
          <w:rPr>
            <w:noProof/>
            <w:webHidden/>
          </w:rPr>
        </w:r>
        <w:r w:rsidR="00014EE0">
          <w:rPr>
            <w:noProof/>
            <w:webHidden/>
          </w:rPr>
          <w:fldChar w:fldCharType="separate"/>
        </w:r>
        <w:r w:rsidR="004D2DCA">
          <w:rPr>
            <w:noProof/>
            <w:webHidden/>
          </w:rPr>
          <w:t>69</w:t>
        </w:r>
        <w:r w:rsidR="00014EE0">
          <w:rPr>
            <w:noProof/>
            <w:webHidden/>
          </w:rPr>
          <w:fldChar w:fldCharType="end"/>
        </w:r>
      </w:hyperlink>
    </w:p>
    <w:p w14:paraId="0DA8C15C" w14:textId="6CF8D706"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30" w:history="1">
        <w:r w:rsidR="00014EE0" w:rsidRPr="00430437">
          <w:rPr>
            <w:rStyle w:val="Hyperlink"/>
            <w:noProof/>
          </w:rPr>
          <w:t>Nomenclature of FD used in academic literature</w:t>
        </w:r>
        <w:r w:rsidR="00014EE0">
          <w:rPr>
            <w:noProof/>
            <w:webHidden/>
          </w:rPr>
          <w:tab/>
        </w:r>
        <w:r w:rsidR="00014EE0">
          <w:rPr>
            <w:noProof/>
            <w:webHidden/>
          </w:rPr>
          <w:fldChar w:fldCharType="begin"/>
        </w:r>
        <w:r w:rsidR="00014EE0">
          <w:rPr>
            <w:noProof/>
            <w:webHidden/>
          </w:rPr>
          <w:instrText xml:space="preserve"> PAGEREF _Toc12024630 \h </w:instrText>
        </w:r>
        <w:r w:rsidR="00014EE0">
          <w:rPr>
            <w:noProof/>
            <w:webHidden/>
          </w:rPr>
        </w:r>
        <w:r w:rsidR="00014EE0">
          <w:rPr>
            <w:noProof/>
            <w:webHidden/>
          </w:rPr>
          <w:fldChar w:fldCharType="separate"/>
        </w:r>
        <w:r w:rsidR="004D2DCA">
          <w:rPr>
            <w:noProof/>
            <w:webHidden/>
          </w:rPr>
          <w:t>70</w:t>
        </w:r>
        <w:r w:rsidR="00014EE0">
          <w:rPr>
            <w:noProof/>
            <w:webHidden/>
          </w:rPr>
          <w:fldChar w:fldCharType="end"/>
        </w:r>
      </w:hyperlink>
    </w:p>
    <w:p w14:paraId="1E0E963B" w14:textId="215DEA62"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31" w:history="1">
        <w:r w:rsidR="00014EE0" w:rsidRPr="00430437">
          <w:rPr>
            <w:rStyle w:val="Hyperlink"/>
            <w:noProof/>
          </w:rPr>
          <w:t>Limitations of included studies</w:t>
        </w:r>
        <w:r w:rsidR="00014EE0">
          <w:rPr>
            <w:noProof/>
            <w:webHidden/>
          </w:rPr>
          <w:tab/>
        </w:r>
        <w:r w:rsidR="00014EE0">
          <w:rPr>
            <w:noProof/>
            <w:webHidden/>
          </w:rPr>
          <w:fldChar w:fldCharType="begin"/>
        </w:r>
        <w:r w:rsidR="00014EE0">
          <w:rPr>
            <w:noProof/>
            <w:webHidden/>
          </w:rPr>
          <w:instrText xml:space="preserve"> PAGEREF _Toc12024631 \h </w:instrText>
        </w:r>
        <w:r w:rsidR="00014EE0">
          <w:rPr>
            <w:noProof/>
            <w:webHidden/>
          </w:rPr>
        </w:r>
        <w:r w:rsidR="00014EE0">
          <w:rPr>
            <w:noProof/>
            <w:webHidden/>
          </w:rPr>
          <w:fldChar w:fldCharType="separate"/>
        </w:r>
        <w:r w:rsidR="004D2DCA">
          <w:rPr>
            <w:noProof/>
            <w:webHidden/>
          </w:rPr>
          <w:t>71</w:t>
        </w:r>
        <w:r w:rsidR="00014EE0">
          <w:rPr>
            <w:noProof/>
            <w:webHidden/>
          </w:rPr>
          <w:fldChar w:fldCharType="end"/>
        </w:r>
      </w:hyperlink>
    </w:p>
    <w:p w14:paraId="30A60491" w14:textId="2AF565FA"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32" w:history="1">
        <w:r w:rsidR="00014EE0" w:rsidRPr="00430437">
          <w:rPr>
            <w:rStyle w:val="Hyperlink"/>
            <w:noProof/>
          </w:rPr>
          <w:t>Limitations of the review</w:t>
        </w:r>
        <w:r w:rsidR="00014EE0">
          <w:rPr>
            <w:noProof/>
            <w:webHidden/>
          </w:rPr>
          <w:tab/>
        </w:r>
        <w:r w:rsidR="00014EE0">
          <w:rPr>
            <w:noProof/>
            <w:webHidden/>
          </w:rPr>
          <w:fldChar w:fldCharType="begin"/>
        </w:r>
        <w:r w:rsidR="00014EE0">
          <w:rPr>
            <w:noProof/>
            <w:webHidden/>
          </w:rPr>
          <w:instrText xml:space="preserve"> PAGEREF _Toc12024632 \h </w:instrText>
        </w:r>
        <w:r w:rsidR="00014EE0">
          <w:rPr>
            <w:noProof/>
            <w:webHidden/>
          </w:rPr>
        </w:r>
        <w:r w:rsidR="00014EE0">
          <w:rPr>
            <w:noProof/>
            <w:webHidden/>
          </w:rPr>
          <w:fldChar w:fldCharType="separate"/>
        </w:r>
        <w:r w:rsidR="004D2DCA">
          <w:rPr>
            <w:noProof/>
            <w:webHidden/>
          </w:rPr>
          <w:t>71</w:t>
        </w:r>
        <w:r w:rsidR="00014EE0">
          <w:rPr>
            <w:noProof/>
            <w:webHidden/>
          </w:rPr>
          <w:fldChar w:fldCharType="end"/>
        </w:r>
      </w:hyperlink>
    </w:p>
    <w:p w14:paraId="6C09EBD1" w14:textId="23560063"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33" w:history="1">
        <w:r w:rsidR="00014EE0" w:rsidRPr="00430437">
          <w:rPr>
            <w:rStyle w:val="Hyperlink"/>
            <w:noProof/>
          </w:rPr>
          <w:t>Conclusions and recommendations for future research</w:t>
        </w:r>
        <w:r w:rsidR="00014EE0">
          <w:rPr>
            <w:noProof/>
            <w:webHidden/>
          </w:rPr>
          <w:tab/>
        </w:r>
        <w:r w:rsidR="00014EE0">
          <w:rPr>
            <w:noProof/>
            <w:webHidden/>
          </w:rPr>
          <w:fldChar w:fldCharType="begin"/>
        </w:r>
        <w:r w:rsidR="00014EE0">
          <w:rPr>
            <w:noProof/>
            <w:webHidden/>
          </w:rPr>
          <w:instrText xml:space="preserve"> PAGEREF _Toc12024633 \h </w:instrText>
        </w:r>
        <w:r w:rsidR="00014EE0">
          <w:rPr>
            <w:noProof/>
            <w:webHidden/>
          </w:rPr>
        </w:r>
        <w:r w:rsidR="00014EE0">
          <w:rPr>
            <w:noProof/>
            <w:webHidden/>
          </w:rPr>
          <w:fldChar w:fldCharType="separate"/>
        </w:r>
        <w:r w:rsidR="004D2DCA">
          <w:rPr>
            <w:noProof/>
            <w:webHidden/>
          </w:rPr>
          <w:t>72</w:t>
        </w:r>
        <w:r w:rsidR="00014EE0">
          <w:rPr>
            <w:noProof/>
            <w:webHidden/>
          </w:rPr>
          <w:fldChar w:fldCharType="end"/>
        </w:r>
      </w:hyperlink>
    </w:p>
    <w:p w14:paraId="53A89328" w14:textId="3559A444" w:rsidR="00014EE0" w:rsidRPr="000215FF" w:rsidRDefault="000267C1">
      <w:pPr>
        <w:pStyle w:val="TOC1"/>
        <w:rPr>
          <w:rFonts w:ascii="Cambria" w:eastAsia="MS Mincho" w:hAnsi="Cambria"/>
          <w:b w:val="0"/>
          <w:bCs w:val="0"/>
          <w:iCs w:val="0"/>
          <w:color w:val="auto"/>
        </w:rPr>
      </w:pPr>
      <w:hyperlink w:anchor="_Toc12024634" w:history="1">
        <w:r w:rsidR="00014EE0" w:rsidRPr="00430437">
          <w:rPr>
            <w:rStyle w:val="Hyperlink"/>
          </w:rPr>
          <w:t>Chapter 3: Explicit and implicit attitudes towards facial disfigurement: the role of disgust sensitivity, appearance related cognitions and motivations to respond without prejudice.</w:t>
        </w:r>
        <w:r w:rsidR="00014EE0">
          <w:rPr>
            <w:webHidden/>
          </w:rPr>
          <w:tab/>
        </w:r>
        <w:r w:rsidR="00014EE0">
          <w:rPr>
            <w:webHidden/>
          </w:rPr>
          <w:fldChar w:fldCharType="begin"/>
        </w:r>
        <w:r w:rsidR="00014EE0">
          <w:rPr>
            <w:webHidden/>
          </w:rPr>
          <w:instrText xml:space="preserve"> PAGEREF _Toc12024634 \h </w:instrText>
        </w:r>
        <w:r w:rsidR="00014EE0">
          <w:rPr>
            <w:webHidden/>
          </w:rPr>
        </w:r>
        <w:r w:rsidR="00014EE0">
          <w:rPr>
            <w:webHidden/>
          </w:rPr>
          <w:fldChar w:fldCharType="separate"/>
        </w:r>
        <w:r w:rsidR="004D2DCA">
          <w:rPr>
            <w:webHidden/>
          </w:rPr>
          <w:t>73</w:t>
        </w:r>
        <w:r w:rsidR="00014EE0">
          <w:rPr>
            <w:webHidden/>
          </w:rPr>
          <w:fldChar w:fldCharType="end"/>
        </w:r>
      </w:hyperlink>
    </w:p>
    <w:p w14:paraId="05224478" w14:textId="4AFF976C"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35" w:history="1">
        <w:r w:rsidR="00014EE0" w:rsidRPr="00430437">
          <w:rPr>
            <w:rStyle w:val="Hyperlink"/>
            <w:noProof/>
          </w:rPr>
          <w:t>Introduction</w:t>
        </w:r>
        <w:r w:rsidR="00014EE0">
          <w:rPr>
            <w:noProof/>
            <w:webHidden/>
          </w:rPr>
          <w:tab/>
        </w:r>
        <w:r w:rsidR="00014EE0">
          <w:rPr>
            <w:noProof/>
            <w:webHidden/>
          </w:rPr>
          <w:fldChar w:fldCharType="begin"/>
        </w:r>
        <w:r w:rsidR="00014EE0">
          <w:rPr>
            <w:noProof/>
            <w:webHidden/>
          </w:rPr>
          <w:instrText xml:space="preserve"> PAGEREF _Toc12024635 \h </w:instrText>
        </w:r>
        <w:r w:rsidR="00014EE0">
          <w:rPr>
            <w:noProof/>
            <w:webHidden/>
          </w:rPr>
        </w:r>
        <w:r w:rsidR="00014EE0">
          <w:rPr>
            <w:noProof/>
            <w:webHidden/>
          </w:rPr>
          <w:fldChar w:fldCharType="separate"/>
        </w:r>
        <w:r w:rsidR="004D2DCA">
          <w:rPr>
            <w:noProof/>
            <w:webHidden/>
          </w:rPr>
          <w:t>73</w:t>
        </w:r>
        <w:r w:rsidR="00014EE0">
          <w:rPr>
            <w:noProof/>
            <w:webHidden/>
          </w:rPr>
          <w:fldChar w:fldCharType="end"/>
        </w:r>
      </w:hyperlink>
    </w:p>
    <w:p w14:paraId="0EA96865" w14:textId="4A60F874"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36" w:history="1">
        <w:r w:rsidR="00014EE0" w:rsidRPr="00430437">
          <w:rPr>
            <w:rStyle w:val="Hyperlink"/>
            <w:noProof/>
            <w:lang w:eastAsia="zh-CN"/>
          </w:rPr>
          <w:t>Disgust sensitivity and stigma</w:t>
        </w:r>
        <w:r w:rsidR="00014EE0">
          <w:rPr>
            <w:noProof/>
            <w:webHidden/>
          </w:rPr>
          <w:tab/>
        </w:r>
        <w:r w:rsidR="00014EE0">
          <w:rPr>
            <w:noProof/>
            <w:webHidden/>
          </w:rPr>
          <w:fldChar w:fldCharType="begin"/>
        </w:r>
        <w:r w:rsidR="00014EE0">
          <w:rPr>
            <w:noProof/>
            <w:webHidden/>
          </w:rPr>
          <w:instrText xml:space="preserve"> PAGEREF _Toc12024636 \h </w:instrText>
        </w:r>
        <w:r w:rsidR="00014EE0">
          <w:rPr>
            <w:noProof/>
            <w:webHidden/>
          </w:rPr>
        </w:r>
        <w:r w:rsidR="00014EE0">
          <w:rPr>
            <w:noProof/>
            <w:webHidden/>
          </w:rPr>
          <w:fldChar w:fldCharType="separate"/>
        </w:r>
        <w:r w:rsidR="004D2DCA">
          <w:rPr>
            <w:noProof/>
            <w:webHidden/>
          </w:rPr>
          <w:t>75</w:t>
        </w:r>
        <w:r w:rsidR="00014EE0">
          <w:rPr>
            <w:noProof/>
            <w:webHidden/>
          </w:rPr>
          <w:fldChar w:fldCharType="end"/>
        </w:r>
      </w:hyperlink>
    </w:p>
    <w:p w14:paraId="14169208" w14:textId="05285B67"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37" w:history="1">
        <w:r w:rsidR="00014EE0" w:rsidRPr="00430437">
          <w:rPr>
            <w:rStyle w:val="Hyperlink"/>
            <w:noProof/>
            <w:lang w:eastAsia="zh-CN"/>
          </w:rPr>
          <w:t>The present study</w:t>
        </w:r>
        <w:r w:rsidR="00014EE0">
          <w:rPr>
            <w:noProof/>
            <w:webHidden/>
          </w:rPr>
          <w:tab/>
        </w:r>
        <w:r w:rsidR="00014EE0">
          <w:rPr>
            <w:noProof/>
            <w:webHidden/>
          </w:rPr>
          <w:fldChar w:fldCharType="begin"/>
        </w:r>
        <w:r w:rsidR="00014EE0">
          <w:rPr>
            <w:noProof/>
            <w:webHidden/>
          </w:rPr>
          <w:instrText xml:space="preserve"> PAGEREF _Toc12024637 \h </w:instrText>
        </w:r>
        <w:r w:rsidR="00014EE0">
          <w:rPr>
            <w:noProof/>
            <w:webHidden/>
          </w:rPr>
        </w:r>
        <w:r w:rsidR="00014EE0">
          <w:rPr>
            <w:noProof/>
            <w:webHidden/>
          </w:rPr>
          <w:fldChar w:fldCharType="separate"/>
        </w:r>
        <w:r w:rsidR="004D2DCA">
          <w:rPr>
            <w:noProof/>
            <w:webHidden/>
          </w:rPr>
          <w:t>78</w:t>
        </w:r>
        <w:r w:rsidR="00014EE0">
          <w:rPr>
            <w:noProof/>
            <w:webHidden/>
          </w:rPr>
          <w:fldChar w:fldCharType="end"/>
        </w:r>
      </w:hyperlink>
    </w:p>
    <w:p w14:paraId="40ECFE3E" w14:textId="7847290D"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38" w:history="1">
        <w:r w:rsidR="00014EE0" w:rsidRPr="00430437">
          <w:rPr>
            <w:rStyle w:val="Hyperlink"/>
            <w:noProof/>
            <w:lang w:eastAsia="zh-CN"/>
          </w:rPr>
          <w:t>Aims</w:t>
        </w:r>
        <w:r w:rsidR="00014EE0">
          <w:rPr>
            <w:noProof/>
            <w:webHidden/>
          </w:rPr>
          <w:tab/>
        </w:r>
        <w:r w:rsidR="00014EE0">
          <w:rPr>
            <w:noProof/>
            <w:webHidden/>
          </w:rPr>
          <w:fldChar w:fldCharType="begin"/>
        </w:r>
        <w:r w:rsidR="00014EE0">
          <w:rPr>
            <w:noProof/>
            <w:webHidden/>
          </w:rPr>
          <w:instrText xml:space="preserve"> PAGEREF _Toc12024638 \h </w:instrText>
        </w:r>
        <w:r w:rsidR="00014EE0">
          <w:rPr>
            <w:noProof/>
            <w:webHidden/>
          </w:rPr>
        </w:r>
        <w:r w:rsidR="00014EE0">
          <w:rPr>
            <w:noProof/>
            <w:webHidden/>
          </w:rPr>
          <w:fldChar w:fldCharType="separate"/>
        </w:r>
        <w:r w:rsidR="004D2DCA">
          <w:rPr>
            <w:noProof/>
            <w:webHidden/>
          </w:rPr>
          <w:t>78</w:t>
        </w:r>
        <w:r w:rsidR="00014EE0">
          <w:rPr>
            <w:noProof/>
            <w:webHidden/>
          </w:rPr>
          <w:fldChar w:fldCharType="end"/>
        </w:r>
      </w:hyperlink>
    </w:p>
    <w:p w14:paraId="5EE27959" w14:textId="5CFEBF1F"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39" w:history="1">
        <w:r w:rsidR="00014EE0" w:rsidRPr="00430437">
          <w:rPr>
            <w:rStyle w:val="Hyperlink"/>
            <w:noProof/>
            <w:lang w:eastAsia="zh-CN"/>
          </w:rPr>
          <w:t>Hypotheses</w:t>
        </w:r>
        <w:r w:rsidR="00014EE0">
          <w:rPr>
            <w:noProof/>
            <w:webHidden/>
          </w:rPr>
          <w:tab/>
        </w:r>
        <w:r w:rsidR="00014EE0">
          <w:rPr>
            <w:noProof/>
            <w:webHidden/>
          </w:rPr>
          <w:fldChar w:fldCharType="begin"/>
        </w:r>
        <w:r w:rsidR="00014EE0">
          <w:rPr>
            <w:noProof/>
            <w:webHidden/>
          </w:rPr>
          <w:instrText xml:space="preserve"> PAGEREF _Toc12024639 \h </w:instrText>
        </w:r>
        <w:r w:rsidR="00014EE0">
          <w:rPr>
            <w:noProof/>
            <w:webHidden/>
          </w:rPr>
        </w:r>
        <w:r w:rsidR="00014EE0">
          <w:rPr>
            <w:noProof/>
            <w:webHidden/>
          </w:rPr>
          <w:fldChar w:fldCharType="separate"/>
        </w:r>
        <w:r w:rsidR="004D2DCA">
          <w:rPr>
            <w:noProof/>
            <w:webHidden/>
          </w:rPr>
          <w:t>78</w:t>
        </w:r>
        <w:r w:rsidR="00014EE0">
          <w:rPr>
            <w:noProof/>
            <w:webHidden/>
          </w:rPr>
          <w:fldChar w:fldCharType="end"/>
        </w:r>
      </w:hyperlink>
    </w:p>
    <w:p w14:paraId="31562998" w14:textId="33F6FB94"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40" w:history="1">
        <w:r w:rsidR="00014EE0" w:rsidRPr="00430437">
          <w:rPr>
            <w:rStyle w:val="Hyperlink"/>
            <w:noProof/>
          </w:rPr>
          <w:t>Method</w:t>
        </w:r>
        <w:r w:rsidR="00014EE0">
          <w:rPr>
            <w:noProof/>
            <w:webHidden/>
          </w:rPr>
          <w:tab/>
        </w:r>
        <w:r w:rsidR="00014EE0">
          <w:rPr>
            <w:noProof/>
            <w:webHidden/>
          </w:rPr>
          <w:fldChar w:fldCharType="begin"/>
        </w:r>
        <w:r w:rsidR="00014EE0">
          <w:rPr>
            <w:noProof/>
            <w:webHidden/>
          </w:rPr>
          <w:instrText xml:space="preserve"> PAGEREF _Toc12024640 \h </w:instrText>
        </w:r>
        <w:r w:rsidR="00014EE0">
          <w:rPr>
            <w:noProof/>
            <w:webHidden/>
          </w:rPr>
        </w:r>
        <w:r w:rsidR="00014EE0">
          <w:rPr>
            <w:noProof/>
            <w:webHidden/>
          </w:rPr>
          <w:fldChar w:fldCharType="separate"/>
        </w:r>
        <w:r w:rsidR="004D2DCA">
          <w:rPr>
            <w:noProof/>
            <w:webHidden/>
          </w:rPr>
          <w:t>79</w:t>
        </w:r>
        <w:r w:rsidR="00014EE0">
          <w:rPr>
            <w:noProof/>
            <w:webHidden/>
          </w:rPr>
          <w:fldChar w:fldCharType="end"/>
        </w:r>
      </w:hyperlink>
    </w:p>
    <w:p w14:paraId="51867306" w14:textId="251E2526"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41" w:history="1">
        <w:r w:rsidR="00014EE0" w:rsidRPr="00430437">
          <w:rPr>
            <w:rStyle w:val="Hyperlink"/>
            <w:noProof/>
            <w:lang w:eastAsia="zh-CN"/>
          </w:rPr>
          <w:t>Design</w:t>
        </w:r>
        <w:r w:rsidR="00014EE0">
          <w:rPr>
            <w:noProof/>
            <w:webHidden/>
          </w:rPr>
          <w:tab/>
        </w:r>
        <w:r w:rsidR="00014EE0">
          <w:rPr>
            <w:noProof/>
            <w:webHidden/>
          </w:rPr>
          <w:fldChar w:fldCharType="begin"/>
        </w:r>
        <w:r w:rsidR="00014EE0">
          <w:rPr>
            <w:noProof/>
            <w:webHidden/>
          </w:rPr>
          <w:instrText xml:space="preserve"> PAGEREF _Toc12024641 \h </w:instrText>
        </w:r>
        <w:r w:rsidR="00014EE0">
          <w:rPr>
            <w:noProof/>
            <w:webHidden/>
          </w:rPr>
        </w:r>
        <w:r w:rsidR="00014EE0">
          <w:rPr>
            <w:noProof/>
            <w:webHidden/>
          </w:rPr>
          <w:fldChar w:fldCharType="separate"/>
        </w:r>
        <w:r w:rsidR="004D2DCA">
          <w:rPr>
            <w:noProof/>
            <w:webHidden/>
          </w:rPr>
          <w:t>79</w:t>
        </w:r>
        <w:r w:rsidR="00014EE0">
          <w:rPr>
            <w:noProof/>
            <w:webHidden/>
          </w:rPr>
          <w:fldChar w:fldCharType="end"/>
        </w:r>
      </w:hyperlink>
    </w:p>
    <w:p w14:paraId="2DF79FF9" w14:textId="1083E81E"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42" w:history="1">
        <w:r w:rsidR="00014EE0" w:rsidRPr="00430437">
          <w:rPr>
            <w:rStyle w:val="Hyperlink"/>
            <w:noProof/>
            <w:lang w:eastAsia="zh-CN"/>
          </w:rPr>
          <w:t>Measures</w:t>
        </w:r>
        <w:r w:rsidR="00014EE0">
          <w:rPr>
            <w:noProof/>
            <w:webHidden/>
          </w:rPr>
          <w:tab/>
        </w:r>
        <w:r w:rsidR="00014EE0">
          <w:rPr>
            <w:noProof/>
            <w:webHidden/>
          </w:rPr>
          <w:fldChar w:fldCharType="begin"/>
        </w:r>
        <w:r w:rsidR="00014EE0">
          <w:rPr>
            <w:noProof/>
            <w:webHidden/>
          </w:rPr>
          <w:instrText xml:space="preserve"> PAGEREF _Toc12024642 \h </w:instrText>
        </w:r>
        <w:r w:rsidR="00014EE0">
          <w:rPr>
            <w:noProof/>
            <w:webHidden/>
          </w:rPr>
        </w:r>
        <w:r w:rsidR="00014EE0">
          <w:rPr>
            <w:noProof/>
            <w:webHidden/>
          </w:rPr>
          <w:fldChar w:fldCharType="separate"/>
        </w:r>
        <w:r w:rsidR="004D2DCA">
          <w:rPr>
            <w:noProof/>
            <w:webHidden/>
          </w:rPr>
          <w:t>79</w:t>
        </w:r>
        <w:r w:rsidR="00014EE0">
          <w:rPr>
            <w:noProof/>
            <w:webHidden/>
          </w:rPr>
          <w:fldChar w:fldCharType="end"/>
        </w:r>
      </w:hyperlink>
    </w:p>
    <w:p w14:paraId="0FC0D16D" w14:textId="2F6C7B0D"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43" w:history="1">
        <w:r w:rsidR="00014EE0" w:rsidRPr="00430437">
          <w:rPr>
            <w:rStyle w:val="Hyperlink"/>
            <w:noProof/>
          </w:rPr>
          <w:t>Data quantification for IAT</w:t>
        </w:r>
        <w:r w:rsidR="00014EE0">
          <w:rPr>
            <w:noProof/>
            <w:webHidden/>
          </w:rPr>
          <w:tab/>
        </w:r>
        <w:r w:rsidR="00014EE0">
          <w:rPr>
            <w:noProof/>
            <w:webHidden/>
          </w:rPr>
          <w:fldChar w:fldCharType="begin"/>
        </w:r>
        <w:r w:rsidR="00014EE0">
          <w:rPr>
            <w:noProof/>
            <w:webHidden/>
          </w:rPr>
          <w:instrText xml:space="preserve"> PAGEREF _Toc12024643 \h </w:instrText>
        </w:r>
        <w:r w:rsidR="00014EE0">
          <w:rPr>
            <w:noProof/>
            <w:webHidden/>
          </w:rPr>
        </w:r>
        <w:r w:rsidR="00014EE0">
          <w:rPr>
            <w:noProof/>
            <w:webHidden/>
          </w:rPr>
          <w:fldChar w:fldCharType="separate"/>
        </w:r>
        <w:r w:rsidR="004D2DCA">
          <w:rPr>
            <w:noProof/>
            <w:webHidden/>
          </w:rPr>
          <w:t>82</w:t>
        </w:r>
        <w:r w:rsidR="00014EE0">
          <w:rPr>
            <w:noProof/>
            <w:webHidden/>
          </w:rPr>
          <w:fldChar w:fldCharType="end"/>
        </w:r>
      </w:hyperlink>
    </w:p>
    <w:p w14:paraId="732EFE63" w14:textId="6FB96561"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44" w:history="1">
        <w:r w:rsidR="00014EE0" w:rsidRPr="00430437">
          <w:rPr>
            <w:rStyle w:val="Hyperlink"/>
            <w:noProof/>
            <w:lang w:eastAsia="zh-CN"/>
          </w:rPr>
          <w:t>Sample Size Calculation</w:t>
        </w:r>
        <w:r w:rsidR="00014EE0">
          <w:rPr>
            <w:noProof/>
            <w:webHidden/>
          </w:rPr>
          <w:tab/>
        </w:r>
        <w:r w:rsidR="00014EE0">
          <w:rPr>
            <w:noProof/>
            <w:webHidden/>
          </w:rPr>
          <w:fldChar w:fldCharType="begin"/>
        </w:r>
        <w:r w:rsidR="00014EE0">
          <w:rPr>
            <w:noProof/>
            <w:webHidden/>
          </w:rPr>
          <w:instrText xml:space="preserve"> PAGEREF _Toc12024644 \h </w:instrText>
        </w:r>
        <w:r w:rsidR="00014EE0">
          <w:rPr>
            <w:noProof/>
            <w:webHidden/>
          </w:rPr>
        </w:r>
        <w:r w:rsidR="00014EE0">
          <w:rPr>
            <w:noProof/>
            <w:webHidden/>
          </w:rPr>
          <w:fldChar w:fldCharType="separate"/>
        </w:r>
        <w:r w:rsidR="004D2DCA">
          <w:rPr>
            <w:noProof/>
            <w:webHidden/>
          </w:rPr>
          <w:t>83</w:t>
        </w:r>
        <w:r w:rsidR="00014EE0">
          <w:rPr>
            <w:noProof/>
            <w:webHidden/>
          </w:rPr>
          <w:fldChar w:fldCharType="end"/>
        </w:r>
      </w:hyperlink>
    </w:p>
    <w:p w14:paraId="6CE21A37" w14:textId="36733B44"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45" w:history="1">
        <w:r w:rsidR="00014EE0" w:rsidRPr="00430437">
          <w:rPr>
            <w:rStyle w:val="Hyperlink"/>
            <w:noProof/>
            <w:lang w:eastAsia="zh-CN"/>
          </w:rPr>
          <w:t>Procedure</w:t>
        </w:r>
        <w:r w:rsidR="00014EE0">
          <w:rPr>
            <w:noProof/>
            <w:webHidden/>
          </w:rPr>
          <w:tab/>
        </w:r>
        <w:r w:rsidR="00014EE0">
          <w:rPr>
            <w:noProof/>
            <w:webHidden/>
          </w:rPr>
          <w:fldChar w:fldCharType="begin"/>
        </w:r>
        <w:r w:rsidR="00014EE0">
          <w:rPr>
            <w:noProof/>
            <w:webHidden/>
          </w:rPr>
          <w:instrText xml:space="preserve"> PAGEREF _Toc12024645 \h </w:instrText>
        </w:r>
        <w:r w:rsidR="00014EE0">
          <w:rPr>
            <w:noProof/>
            <w:webHidden/>
          </w:rPr>
        </w:r>
        <w:r w:rsidR="00014EE0">
          <w:rPr>
            <w:noProof/>
            <w:webHidden/>
          </w:rPr>
          <w:fldChar w:fldCharType="separate"/>
        </w:r>
        <w:r w:rsidR="004D2DCA">
          <w:rPr>
            <w:noProof/>
            <w:webHidden/>
          </w:rPr>
          <w:t>83</w:t>
        </w:r>
        <w:r w:rsidR="00014EE0">
          <w:rPr>
            <w:noProof/>
            <w:webHidden/>
          </w:rPr>
          <w:fldChar w:fldCharType="end"/>
        </w:r>
      </w:hyperlink>
    </w:p>
    <w:p w14:paraId="3914B2BB" w14:textId="7DB57172"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46" w:history="1">
        <w:r w:rsidR="00014EE0" w:rsidRPr="00430437">
          <w:rPr>
            <w:rStyle w:val="Hyperlink"/>
            <w:noProof/>
          </w:rPr>
          <w:t>Results</w:t>
        </w:r>
        <w:r w:rsidR="00014EE0">
          <w:rPr>
            <w:noProof/>
            <w:webHidden/>
          </w:rPr>
          <w:tab/>
        </w:r>
        <w:r w:rsidR="00014EE0">
          <w:rPr>
            <w:noProof/>
            <w:webHidden/>
          </w:rPr>
          <w:fldChar w:fldCharType="begin"/>
        </w:r>
        <w:r w:rsidR="00014EE0">
          <w:rPr>
            <w:noProof/>
            <w:webHidden/>
          </w:rPr>
          <w:instrText xml:space="preserve"> PAGEREF _Toc12024646 \h </w:instrText>
        </w:r>
        <w:r w:rsidR="00014EE0">
          <w:rPr>
            <w:noProof/>
            <w:webHidden/>
          </w:rPr>
        </w:r>
        <w:r w:rsidR="00014EE0">
          <w:rPr>
            <w:noProof/>
            <w:webHidden/>
          </w:rPr>
          <w:fldChar w:fldCharType="separate"/>
        </w:r>
        <w:r w:rsidR="004D2DCA">
          <w:rPr>
            <w:noProof/>
            <w:webHidden/>
          </w:rPr>
          <w:t>84</w:t>
        </w:r>
        <w:r w:rsidR="00014EE0">
          <w:rPr>
            <w:noProof/>
            <w:webHidden/>
          </w:rPr>
          <w:fldChar w:fldCharType="end"/>
        </w:r>
      </w:hyperlink>
    </w:p>
    <w:p w14:paraId="6A19886C" w14:textId="34CE2923"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47" w:history="1">
        <w:r w:rsidR="00014EE0" w:rsidRPr="00430437">
          <w:rPr>
            <w:rStyle w:val="Hyperlink"/>
            <w:noProof/>
            <w:lang w:eastAsia="zh-CN"/>
          </w:rPr>
          <w:t>Participant characteristics</w:t>
        </w:r>
        <w:r w:rsidR="00014EE0">
          <w:rPr>
            <w:noProof/>
            <w:webHidden/>
          </w:rPr>
          <w:tab/>
        </w:r>
        <w:r w:rsidR="00014EE0">
          <w:rPr>
            <w:noProof/>
            <w:webHidden/>
          </w:rPr>
          <w:fldChar w:fldCharType="begin"/>
        </w:r>
        <w:r w:rsidR="00014EE0">
          <w:rPr>
            <w:noProof/>
            <w:webHidden/>
          </w:rPr>
          <w:instrText xml:space="preserve"> PAGEREF _Toc12024647 \h </w:instrText>
        </w:r>
        <w:r w:rsidR="00014EE0">
          <w:rPr>
            <w:noProof/>
            <w:webHidden/>
          </w:rPr>
        </w:r>
        <w:r w:rsidR="00014EE0">
          <w:rPr>
            <w:noProof/>
            <w:webHidden/>
          </w:rPr>
          <w:fldChar w:fldCharType="separate"/>
        </w:r>
        <w:r w:rsidR="004D2DCA">
          <w:rPr>
            <w:noProof/>
            <w:webHidden/>
          </w:rPr>
          <w:t>84</w:t>
        </w:r>
        <w:r w:rsidR="00014EE0">
          <w:rPr>
            <w:noProof/>
            <w:webHidden/>
          </w:rPr>
          <w:fldChar w:fldCharType="end"/>
        </w:r>
      </w:hyperlink>
    </w:p>
    <w:p w14:paraId="709384ED" w14:textId="640CEDF8"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48" w:history="1">
        <w:r w:rsidR="00014EE0" w:rsidRPr="00430437">
          <w:rPr>
            <w:rStyle w:val="Hyperlink"/>
            <w:noProof/>
            <w:lang w:eastAsia="zh-CN"/>
          </w:rPr>
          <w:t>Summary of Scales: Reliability, Normality and Outliers</w:t>
        </w:r>
        <w:r w:rsidR="00014EE0">
          <w:rPr>
            <w:noProof/>
            <w:webHidden/>
          </w:rPr>
          <w:tab/>
        </w:r>
        <w:r w:rsidR="00014EE0">
          <w:rPr>
            <w:noProof/>
            <w:webHidden/>
          </w:rPr>
          <w:fldChar w:fldCharType="begin"/>
        </w:r>
        <w:r w:rsidR="00014EE0">
          <w:rPr>
            <w:noProof/>
            <w:webHidden/>
          </w:rPr>
          <w:instrText xml:space="preserve"> PAGEREF _Toc12024648 \h </w:instrText>
        </w:r>
        <w:r w:rsidR="00014EE0">
          <w:rPr>
            <w:noProof/>
            <w:webHidden/>
          </w:rPr>
        </w:r>
        <w:r w:rsidR="00014EE0">
          <w:rPr>
            <w:noProof/>
            <w:webHidden/>
          </w:rPr>
          <w:fldChar w:fldCharType="separate"/>
        </w:r>
        <w:r w:rsidR="004D2DCA">
          <w:rPr>
            <w:noProof/>
            <w:webHidden/>
          </w:rPr>
          <w:t>85</w:t>
        </w:r>
        <w:r w:rsidR="00014EE0">
          <w:rPr>
            <w:noProof/>
            <w:webHidden/>
          </w:rPr>
          <w:fldChar w:fldCharType="end"/>
        </w:r>
      </w:hyperlink>
    </w:p>
    <w:p w14:paraId="665F754D" w14:textId="5F121D28"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49" w:history="1">
        <w:r w:rsidR="00014EE0" w:rsidRPr="00430437">
          <w:rPr>
            <w:rStyle w:val="Hyperlink"/>
            <w:noProof/>
            <w:lang w:eastAsia="zh-CN"/>
          </w:rPr>
          <w:t>The implicit association test (IAT)</w:t>
        </w:r>
        <w:r w:rsidR="00014EE0">
          <w:rPr>
            <w:noProof/>
            <w:webHidden/>
          </w:rPr>
          <w:tab/>
        </w:r>
        <w:r w:rsidR="00014EE0">
          <w:rPr>
            <w:noProof/>
            <w:webHidden/>
          </w:rPr>
          <w:fldChar w:fldCharType="begin"/>
        </w:r>
        <w:r w:rsidR="00014EE0">
          <w:rPr>
            <w:noProof/>
            <w:webHidden/>
          </w:rPr>
          <w:instrText xml:space="preserve"> PAGEREF _Toc12024649 \h </w:instrText>
        </w:r>
        <w:r w:rsidR="00014EE0">
          <w:rPr>
            <w:noProof/>
            <w:webHidden/>
          </w:rPr>
        </w:r>
        <w:r w:rsidR="00014EE0">
          <w:rPr>
            <w:noProof/>
            <w:webHidden/>
          </w:rPr>
          <w:fldChar w:fldCharType="separate"/>
        </w:r>
        <w:r w:rsidR="004D2DCA">
          <w:rPr>
            <w:noProof/>
            <w:webHidden/>
          </w:rPr>
          <w:t>86</w:t>
        </w:r>
        <w:r w:rsidR="00014EE0">
          <w:rPr>
            <w:noProof/>
            <w:webHidden/>
          </w:rPr>
          <w:fldChar w:fldCharType="end"/>
        </w:r>
      </w:hyperlink>
    </w:p>
    <w:p w14:paraId="7723F8E4" w14:textId="54F56E1B"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50" w:history="1">
        <w:r w:rsidR="00014EE0" w:rsidRPr="00430437">
          <w:rPr>
            <w:rStyle w:val="Hyperlink"/>
            <w:noProof/>
            <w:lang w:eastAsia="zh-CN"/>
          </w:rPr>
          <w:t>Gender and individual differences</w:t>
        </w:r>
        <w:r w:rsidR="00014EE0">
          <w:rPr>
            <w:noProof/>
            <w:webHidden/>
          </w:rPr>
          <w:tab/>
        </w:r>
        <w:r w:rsidR="00014EE0">
          <w:rPr>
            <w:noProof/>
            <w:webHidden/>
          </w:rPr>
          <w:fldChar w:fldCharType="begin"/>
        </w:r>
        <w:r w:rsidR="00014EE0">
          <w:rPr>
            <w:noProof/>
            <w:webHidden/>
          </w:rPr>
          <w:instrText xml:space="preserve"> PAGEREF _Toc12024650 \h </w:instrText>
        </w:r>
        <w:r w:rsidR="00014EE0">
          <w:rPr>
            <w:noProof/>
            <w:webHidden/>
          </w:rPr>
        </w:r>
        <w:r w:rsidR="00014EE0">
          <w:rPr>
            <w:noProof/>
            <w:webHidden/>
          </w:rPr>
          <w:fldChar w:fldCharType="separate"/>
        </w:r>
        <w:r w:rsidR="004D2DCA">
          <w:rPr>
            <w:noProof/>
            <w:webHidden/>
          </w:rPr>
          <w:t>87</w:t>
        </w:r>
        <w:r w:rsidR="00014EE0">
          <w:rPr>
            <w:noProof/>
            <w:webHidden/>
          </w:rPr>
          <w:fldChar w:fldCharType="end"/>
        </w:r>
      </w:hyperlink>
    </w:p>
    <w:p w14:paraId="3A102E93" w14:textId="668DF532"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51" w:history="1">
        <w:r w:rsidR="00014EE0" w:rsidRPr="00430437">
          <w:rPr>
            <w:rStyle w:val="Hyperlink"/>
            <w:noProof/>
            <w:lang w:eastAsia="en-US"/>
          </w:rPr>
          <w:t>Correlation analysis</w:t>
        </w:r>
        <w:r w:rsidR="00014EE0">
          <w:rPr>
            <w:noProof/>
            <w:webHidden/>
          </w:rPr>
          <w:tab/>
        </w:r>
        <w:r w:rsidR="00014EE0">
          <w:rPr>
            <w:noProof/>
            <w:webHidden/>
          </w:rPr>
          <w:fldChar w:fldCharType="begin"/>
        </w:r>
        <w:r w:rsidR="00014EE0">
          <w:rPr>
            <w:noProof/>
            <w:webHidden/>
          </w:rPr>
          <w:instrText xml:space="preserve"> PAGEREF _Toc12024651 \h </w:instrText>
        </w:r>
        <w:r w:rsidR="00014EE0">
          <w:rPr>
            <w:noProof/>
            <w:webHidden/>
          </w:rPr>
        </w:r>
        <w:r w:rsidR="00014EE0">
          <w:rPr>
            <w:noProof/>
            <w:webHidden/>
          </w:rPr>
          <w:fldChar w:fldCharType="separate"/>
        </w:r>
        <w:r w:rsidR="004D2DCA">
          <w:rPr>
            <w:noProof/>
            <w:webHidden/>
          </w:rPr>
          <w:t>88</w:t>
        </w:r>
        <w:r w:rsidR="00014EE0">
          <w:rPr>
            <w:noProof/>
            <w:webHidden/>
          </w:rPr>
          <w:fldChar w:fldCharType="end"/>
        </w:r>
      </w:hyperlink>
    </w:p>
    <w:p w14:paraId="19D79F09" w14:textId="6F0474E0"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52" w:history="1">
        <w:r w:rsidR="00014EE0" w:rsidRPr="00430437">
          <w:rPr>
            <w:rStyle w:val="Hyperlink"/>
            <w:noProof/>
          </w:rPr>
          <w:t>Discussion</w:t>
        </w:r>
        <w:r w:rsidR="00014EE0">
          <w:rPr>
            <w:noProof/>
            <w:webHidden/>
          </w:rPr>
          <w:tab/>
        </w:r>
        <w:r w:rsidR="00014EE0">
          <w:rPr>
            <w:noProof/>
            <w:webHidden/>
          </w:rPr>
          <w:fldChar w:fldCharType="begin"/>
        </w:r>
        <w:r w:rsidR="00014EE0">
          <w:rPr>
            <w:noProof/>
            <w:webHidden/>
          </w:rPr>
          <w:instrText xml:space="preserve"> PAGEREF _Toc12024652 \h </w:instrText>
        </w:r>
        <w:r w:rsidR="00014EE0">
          <w:rPr>
            <w:noProof/>
            <w:webHidden/>
          </w:rPr>
        </w:r>
        <w:r w:rsidR="00014EE0">
          <w:rPr>
            <w:noProof/>
            <w:webHidden/>
          </w:rPr>
          <w:fldChar w:fldCharType="separate"/>
        </w:r>
        <w:r w:rsidR="004D2DCA">
          <w:rPr>
            <w:noProof/>
            <w:webHidden/>
          </w:rPr>
          <w:t>89</w:t>
        </w:r>
        <w:r w:rsidR="00014EE0">
          <w:rPr>
            <w:noProof/>
            <w:webHidden/>
          </w:rPr>
          <w:fldChar w:fldCharType="end"/>
        </w:r>
      </w:hyperlink>
    </w:p>
    <w:p w14:paraId="7FFCE9BE" w14:textId="19049CEE" w:rsidR="00014EE0" w:rsidRPr="000215FF" w:rsidRDefault="000267C1">
      <w:pPr>
        <w:pStyle w:val="TOC1"/>
        <w:rPr>
          <w:rFonts w:ascii="Cambria" w:eastAsia="MS Mincho" w:hAnsi="Cambria"/>
          <w:b w:val="0"/>
          <w:bCs w:val="0"/>
          <w:iCs w:val="0"/>
          <w:color w:val="auto"/>
        </w:rPr>
      </w:pPr>
      <w:hyperlink w:anchor="_Toc12024653" w:history="1">
        <w:r w:rsidR="00014EE0" w:rsidRPr="00430437">
          <w:rPr>
            <w:rStyle w:val="Hyperlink"/>
          </w:rPr>
          <w:t>Chapter 4: Testing the effectiveness of education awareness messages and imagined contact strategies in reducing public stigma towards facial disfigurement.</w:t>
        </w:r>
        <w:r w:rsidR="00014EE0">
          <w:rPr>
            <w:webHidden/>
          </w:rPr>
          <w:tab/>
        </w:r>
        <w:r w:rsidR="00014EE0">
          <w:rPr>
            <w:webHidden/>
          </w:rPr>
          <w:fldChar w:fldCharType="begin"/>
        </w:r>
        <w:r w:rsidR="00014EE0">
          <w:rPr>
            <w:webHidden/>
          </w:rPr>
          <w:instrText xml:space="preserve"> PAGEREF _Toc12024653 \h </w:instrText>
        </w:r>
        <w:r w:rsidR="00014EE0">
          <w:rPr>
            <w:webHidden/>
          </w:rPr>
        </w:r>
        <w:r w:rsidR="00014EE0">
          <w:rPr>
            <w:webHidden/>
          </w:rPr>
          <w:fldChar w:fldCharType="separate"/>
        </w:r>
        <w:r w:rsidR="004D2DCA">
          <w:rPr>
            <w:webHidden/>
          </w:rPr>
          <w:t>94</w:t>
        </w:r>
        <w:r w:rsidR="00014EE0">
          <w:rPr>
            <w:webHidden/>
          </w:rPr>
          <w:fldChar w:fldCharType="end"/>
        </w:r>
      </w:hyperlink>
    </w:p>
    <w:p w14:paraId="24A0172F" w14:textId="61050B22"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54" w:history="1">
        <w:r w:rsidR="00014EE0" w:rsidRPr="00430437">
          <w:rPr>
            <w:rStyle w:val="Hyperlink"/>
            <w:noProof/>
          </w:rPr>
          <w:t>Introduction</w:t>
        </w:r>
        <w:r w:rsidR="00014EE0">
          <w:rPr>
            <w:noProof/>
            <w:webHidden/>
          </w:rPr>
          <w:tab/>
        </w:r>
        <w:r w:rsidR="00014EE0">
          <w:rPr>
            <w:noProof/>
            <w:webHidden/>
          </w:rPr>
          <w:fldChar w:fldCharType="begin"/>
        </w:r>
        <w:r w:rsidR="00014EE0">
          <w:rPr>
            <w:noProof/>
            <w:webHidden/>
          </w:rPr>
          <w:instrText xml:space="preserve"> PAGEREF _Toc12024654 \h </w:instrText>
        </w:r>
        <w:r w:rsidR="00014EE0">
          <w:rPr>
            <w:noProof/>
            <w:webHidden/>
          </w:rPr>
        </w:r>
        <w:r w:rsidR="00014EE0">
          <w:rPr>
            <w:noProof/>
            <w:webHidden/>
          </w:rPr>
          <w:fldChar w:fldCharType="separate"/>
        </w:r>
        <w:r w:rsidR="004D2DCA">
          <w:rPr>
            <w:noProof/>
            <w:webHidden/>
          </w:rPr>
          <w:t>94</w:t>
        </w:r>
        <w:r w:rsidR="00014EE0">
          <w:rPr>
            <w:noProof/>
            <w:webHidden/>
          </w:rPr>
          <w:fldChar w:fldCharType="end"/>
        </w:r>
      </w:hyperlink>
    </w:p>
    <w:p w14:paraId="2CA634FA" w14:textId="19890BCB"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55" w:history="1">
        <w:r w:rsidR="00014EE0" w:rsidRPr="00430437">
          <w:rPr>
            <w:rStyle w:val="Hyperlink"/>
            <w:noProof/>
            <w:lang w:eastAsia="en-US"/>
          </w:rPr>
          <w:t>The present study</w:t>
        </w:r>
        <w:r w:rsidR="00014EE0">
          <w:rPr>
            <w:noProof/>
            <w:webHidden/>
          </w:rPr>
          <w:tab/>
        </w:r>
        <w:r w:rsidR="00014EE0">
          <w:rPr>
            <w:noProof/>
            <w:webHidden/>
          </w:rPr>
          <w:fldChar w:fldCharType="begin"/>
        </w:r>
        <w:r w:rsidR="00014EE0">
          <w:rPr>
            <w:noProof/>
            <w:webHidden/>
          </w:rPr>
          <w:instrText xml:space="preserve"> PAGEREF _Toc12024655 \h </w:instrText>
        </w:r>
        <w:r w:rsidR="00014EE0">
          <w:rPr>
            <w:noProof/>
            <w:webHidden/>
          </w:rPr>
        </w:r>
        <w:r w:rsidR="00014EE0">
          <w:rPr>
            <w:noProof/>
            <w:webHidden/>
          </w:rPr>
          <w:fldChar w:fldCharType="separate"/>
        </w:r>
        <w:r w:rsidR="004D2DCA">
          <w:rPr>
            <w:noProof/>
            <w:webHidden/>
          </w:rPr>
          <w:t>98</w:t>
        </w:r>
        <w:r w:rsidR="00014EE0">
          <w:rPr>
            <w:noProof/>
            <w:webHidden/>
          </w:rPr>
          <w:fldChar w:fldCharType="end"/>
        </w:r>
      </w:hyperlink>
    </w:p>
    <w:p w14:paraId="7F4B188F" w14:textId="509EF088" w:rsidR="00014EE0" w:rsidRPr="000215FF" w:rsidRDefault="000267C1">
      <w:pPr>
        <w:pStyle w:val="TOC1"/>
        <w:rPr>
          <w:rFonts w:ascii="Cambria" w:eastAsia="MS Mincho" w:hAnsi="Cambria"/>
          <w:b w:val="0"/>
          <w:bCs w:val="0"/>
          <w:iCs w:val="0"/>
          <w:color w:val="auto"/>
        </w:rPr>
      </w:pPr>
      <w:hyperlink w:anchor="_Toc12024656" w:history="1">
        <w:r w:rsidR="00014EE0" w:rsidRPr="00430437">
          <w:rPr>
            <w:rStyle w:val="Hyperlink"/>
          </w:rPr>
          <w:t>Method</w:t>
        </w:r>
        <w:r w:rsidR="00014EE0">
          <w:rPr>
            <w:webHidden/>
          </w:rPr>
          <w:tab/>
        </w:r>
        <w:r w:rsidR="00014EE0">
          <w:rPr>
            <w:webHidden/>
          </w:rPr>
          <w:fldChar w:fldCharType="begin"/>
        </w:r>
        <w:r w:rsidR="00014EE0">
          <w:rPr>
            <w:webHidden/>
          </w:rPr>
          <w:instrText xml:space="preserve"> PAGEREF _Toc12024656 \h </w:instrText>
        </w:r>
        <w:r w:rsidR="00014EE0">
          <w:rPr>
            <w:webHidden/>
          </w:rPr>
        </w:r>
        <w:r w:rsidR="00014EE0">
          <w:rPr>
            <w:webHidden/>
          </w:rPr>
          <w:fldChar w:fldCharType="separate"/>
        </w:r>
        <w:r w:rsidR="004D2DCA">
          <w:rPr>
            <w:webHidden/>
          </w:rPr>
          <w:t>100</w:t>
        </w:r>
        <w:r w:rsidR="00014EE0">
          <w:rPr>
            <w:webHidden/>
          </w:rPr>
          <w:fldChar w:fldCharType="end"/>
        </w:r>
      </w:hyperlink>
    </w:p>
    <w:p w14:paraId="7EFA198F" w14:textId="7C7E7189"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57" w:history="1">
        <w:r w:rsidR="00014EE0" w:rsidRPr="00430437">
          <w:rPr>
            <w:rStyle w:val="Hyperlink"/>
            <w:noProof/>
            <w:lang w:eastAsia="en-US"/>
          </w:rPr>
          <w:t>Procedure and design</w:t>
        </w:r>
        <w:r w:rsidR="00014EE0">
          <w:rPr>
            <w:noProof/>
            <w:webHidden/>
          </w:rPr>
          <w:tab/>
        </w:r>
        <w:r w:rsidR="00014EE0">
          <w:rPr>
            <w:noProof/>
            <w:webHidden/>
          </w:rPr>
          <w:fldChar w:fldCharType="begin"/>
        </w:r>
        <w:r w:rsidR="00014EE0">
          <w:rPr>
            <w:noProof/>
            <w:webHidden/>
          </w:rPr>
          <w:instrText xml:space="preserve"> PAGEREF _Toc12024657 \h </w:instrText>
        </w:r>
        <w:r w:rsidR="00014EE0">
          <w:rPr>
            <w:noProof/>
            <w:webHidden/>
          </w:rPr>
        </w:r>
        <w:r w:rsidR="00014EE0">
          <w:rPr>
            <w:noProof/>
            <w:webHidden/>
          </w:rPr>
          <w:fldChar w:fldCharType="separate"/>
        </w:r>
        <w:r w:rsidR="004D2DCA">
          <w:rPr>
            <w:noProof/>
            <w:webHidden/>
          </w:rPr>
          <w:t>100</w:t>
        </w:r>
        <w:r w:rsidR="00014EE0">
          <w:rPr>
            <w:noProof/>
            <w:webHidden/>
          </w:rPr>
          <w:fldChar w:fldCharType="end"/>
        </w:r>
      </w:hyperlink>
    </w:p>
    <w:p w14:paraId="5BB38DA4" w14:textId="19D696B3"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58" w:history="1">
        <w:r w:rsidR="00014EE0" w:rsidRPr="00430437">
          <w:rPr>
            <w:rStyle w:val="Hyperlink"/>
            <w:noProof/>
          </w:rPr>
          <w:t>Interventions</w:t>
        </w:r>
        <w:r w:rsidR="00014EE0">
          <w:rPr>
            <w:noProof/>
            <w:webHidden/>
          </w:rPr>
          <w:tab/>
        </w:r>
        <w:r w:rsidR="00014EE0">
          <w:rPr>
            <w:noProof/>
            <w:webHidden/>
          </w:rPr>
          <w:fldChar w:fldCharType="begin"/>
        </w:r>
        <w:r w:rsidR="00014EE0">
          <w:rPr>
            <w:noProof/>
            <w:webHidden/>
          </w:rPr>
          <w:instrText xml:space="preserve"> PAGEREF _Toc12024658 \h </w:instrText>
        </w:r>
        <w:r w:rsidR="00014EE0">
          <w:rPr>
            <w:noProof/>
            <w:webHidden/>
          </w:rPr>
        </w:r>
        <w:r w:rsidR="00014EE0">
          <w:rPr>
            <w:noProof/>
            <w:webHidden/>
          </w:rPr>
          <w:fldChar w:fldCharType="separate"/>
        </w:r>
        <w:r w:rsidR="004D2DCA">
          <w:rPr>
            <w:noProof/>
            <w:webHidden/>
          </w:rPr>
          <w:t>100</w:t>
        </w:r>
        <w:r w:rsidR="00014EE0">
          <w:rPr>
            <w:noProof/>
            <w:webHidden/>
          </w:rPr>
          <w:fldChar w:fldCharType="end"/>
        </w:r>
      </w:hyperlink>
    </w:p>
    <w:p w14:paraId="124DAED0" w14:textId="5860034E"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59" w:history="1">
        <w:r w:rsidR="00014EE0" w:rsidRPr="00430437">
          <w:rPr>
            <w:rStyle w:val="Hyperlink"/>
            <w:noProof/>
            <w:lang w:eastAsia="en-US"/>
          </w:rPr>
          <w:t>Rationale for Sample Size</w:t>
        </w:r>
        <w:r w:rsidR="00014EE0">
          <w:rPr>
            <w:noProof/>
            <w:webHidden/>
          </w:rPr>
          <w:tab/>
        </w:r>
        <w:r w:rsidR="00014EE0">
          <w:rPr>
            <w:noProof/>
            <w:webHidden/>
          </w:rPr>
          <w:fldChar w:fldCharType="begin"/>
        </w:r>
        <w:r w:rsidR="00014EE0">
          <w:rPr>
            <w:noProof/>
            <w:webHidden/>
          </w:rPr>
          <w:instrText xml:space="preserve"> PAGEREF _Toc12024659 \h </w:instrText>
        </w:r>
        <w:r w:rsidR="00014EE0">
          <w:rPr>
            <w:noProof/>
            <w:webHidden/>
          </w:rPr>
        </w:r>
        <w:r w:rsidR="00014EE0">
          <w:rPr>
            <w:noProof/>
            <w:webHidden/>
          </w:rPr>
          <w:fldChar w:fldCharType="separate"/>
        </w:r>
        <w:r w:rsidR="004D2DCA">
          <w:rPr>
            <w:noProof/>
            <w:webHidden/>
          </w:rPr>
          <w:t>102</w:t>
        </w:r>
        <w:r w:rsidR="00014EE0">
          <w:rPr>
            <w:noProof/>
            <w:webHidden/>
          </w:rPr>
          <w:fldChar w:fldCharType="end"/>
        </w:r>
      </w:hyperlink>
    </w:p>
    <w:p w14:paraId="49381A0F" w14:textId="766B9C9A"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60" w:history="1">
        <w:r w:rsidR="00014EE0" w:rsidRPr="00430437">
          <w:rPr>
            <w:rStyle w:val="Hyperlink"/>
            <w:noProof/>
            <w:lang w:eastAsia="en-US"/>
          </w:rPr>
          <w:t>Inclusion and exclusion Criteria</w:t>
        </w:r>
        <w:r w:rsidR="00014EE0">
          <w:rPr>
            <w:noProof/>
            <w:webHidden/>
          </w:rPr>
          <w:tab/>
        </w:r>
        <w:r w:rsidR="00014EE0">
          <w:rPr>
            <w:noProof/>
            <w:webHidden/>
          </w:rPr>
          <w:fldChar w:fldCharType="begin"/>
        </w:r>
        <w:r w:rsidR="00014EE0">
          <w:rPr>
            <w:noProof/>
            <w:webHidden/>
          </w:rPr>
          <w:instrText xml:space="preserve"> PAGEREF _Toc12024660 \h </w:instrText>
        </w:r>
        <w:r w:rsidR="00014EE0">
          <w:rPr>
            <w:noProof/>
            <w:webHidden/>
          </w:rPr>
        </w:r>
        <w:r w:rsidR="00014EE0">
          <w:rPr>
            <w:noProof/>
            <w:webHidden/>
          </w:rPr>
          <w:fldChar w:fldCharType="separate"/>
        </w:r>
        <w:r w:rsidR="004D2DCA">
          <w:rPr>
            <w:noProof/>
            <w:webHidden/>
          </w:rPr>
          <w:t>102</w:t>
        </w:r>
        <w:r w:rsidR="00014EE0">
          <w:rPr>
            <w:noProof/>
            <w:webHidden/>
          </w:rPr>
          <w:fldChar w:fldCharType="end"/>
        </w:r>
      </w:hyperlink>
    </w:p>
    <w:p w14:paraId="084C89A5" w14:textId="1963B4E9"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61" w:history="1">
        <w:r w:rsidR="00014EE0" w:rsidRPr="00430437">
          <w:rPr>
            <w:rStyle w:val="Hyperlink"/>
            <w:noProof/>
            <w:lang w:eastAsia="en-US"/>
          </w:rPr>
          <w:t>Recruitment</w:t>
        </w:r>
        <w:r w:rsidR="00014EE0">
          <w:rPr>
            <w:noProof/>
            <w:webHidden/>
          </w:rPr>
          <w:tab/>
        </w:r>
        <w:r w:rsidR="00014EE0">
          <w:rPr>
            <w:noProof/>
            <w:webHidden/>
          </w:rPr>
          <w:fldChar w:fldCharType="begin"/>
        </w:r>
        <w:r w:rsidR="00014EE0">
          <w:rPr>
            <w:noProof/>
            <w:webHidden/>
          </w:rPr>
          <w:instrText xml:space="preserve"> PAGEREF _Toc12024661 \h </w:instrText>
        </w:r>
        <w:r w:rsidR="00014EE0">
          <w:rPr>
            <w:noProof/>
            <w:webHidden/>
          </w:rPr>
        </w:r>
        <w:r w:rsidR="00014EE0">
          <w:rPr>
            <w:noProof/>
            <w:webHidden/>
          </w:rPr>
          <w:fldChar w:fldCharType="separate"/>
        </w:r>
        <w:r w:rsidR="004D2DCA">
          <w:rPr>
            <w:noProof/>
            <w:webHidden/>
          </w:rPr>
          <w:t>102</w:t>
        </w:r>
        <w:r w:rsidR="00014EE0">
          <w:rPr>
            <w:noProof/>
            <w:webHidden/>
          </w:rPr>
          <w:fldChar w:fldCharType="end"/>
        </w:r>
      </w:hyperlink>
    </w:p>
    <w:p w14:paraId="7B492A66" w14:textId="212016F4"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62" w:history="1">
        <w:r w:rsidR="00014EE0" w:rsidRPr="00430437">
          <w:rPr>
            <w:rStyle w:val="Hyperlink"/>
            <w:noProof/>
            <w:lang w:eastAsia="en-US"/>
          </w:rPr>
          <w:t>Measures</w:t>
        </w:r>
        <w:r w:rsidR="00014EE0">
          <w:rPr>
            <w:noProof/>
            <w:webHidden/>
          </w:rPr>
          <w:tab/>
        </w:r>
        <w:r w:rsidR="00014EE0">
          <w:rPr>
            <w:noProof/>
            <w:webHidden/>
          </w:rPr>
          <w:fldChar w:fldCharType="begin"/>
        </w:r>
        <w:r w:rsidR="00014EE0">
          <w:rPr>
            <w:noProof/>
            <w:webHidden/>
          </w:rPr>
          <w:instrText xml:space="preserve"> PAGEREF _Toc12024662 \h </w:instrText>
        </w:r>
        <w:r w:rsidR="00014EE0">
          <w:rPr>
            <w:noProof/>
            <w:webHidden/>
          </w:rPr>
        </w:r>
        <w:r w:rsidR="00014EE0">
          <w:rPr>
            <w:noProof/>
            <w:webHidden/>
          </w:rPr>
          <w:fldChar w:fldCharType="separate"/>
        </w:r>
        <w:r w:rsidR="004D2DCA">
          <w:rPr>
            <w:noProof/>
            <w:webHidden/>
          </w:rPr>
          <w:t>103</w:t>
        </w:r>
        <w:r w:rsidR="00014EE0">
          <w:rPr>
            <w:noProof/>
            <w:webHidden/>
          </w:rPr>
          <w:fldChar w:fldCharType="end"/>
        </w:r>
      </w:hyperlink>
    </w:p>
    <w:p w14:paraId="40EC7262" w14:textId="671D4CFB"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63" w:history="1">
        <w:r w:rsidR="00014EE0" w:rsidRPr="00430437">
          <w:rPr>
            <w:rStyle w:val="Hyperlink"/>
            <w:noProof/>
          </w:rPr>
          <w:t>Results</w:t>
        </w:r>
        <w:r w:rsidR="00014EE0">
          <w:rPr>
            <w:noProof/>
            <w:webHidden/>
          </w:rPr>
          <w:tab/>
        </w:r>
        <w:r w:rsidR="00014EE0">
          <w:rPr>
            <w:noProof/>
            <w:webHidden/>
          </w:rPr>
          <w:fldChar w:fldCharType="begin"/>
        </w:r>
        <w:r w:rsidR="00014EE0">
          <w:rPr>
            <w:noProof/>
            <w:webHidden/>
          </w:rPr>
          <w:instrText xml:space="preserve"> PAGEREF _Toc12024663 \h </w:instrText>
        </w:r>
        <w:r w:rsidR="00014EE0">
          <w:rPr>
            <w:noProof/>
            <w:webHidden/>
          </w:rPr>
        </w:r>
        <w:r w:rsidR="00014EE0">
          <w:rPr>
            <w:noProof/>
            <w:webHidden/>
          </w:rPr>
          <w:fldChar w:fldCharType="separate"/>
        </w:r>
        <w:r w:rsidR="004D2DCA">
          <w:rPr>
            <w:noProof/>
            <w:webHidden/>
          </w:rPr>
          <w:t>105</w:t>
        </w:r>
        <w:r w:rsidR="00014EE0">
          <w:rPr>
            <w:noProof/>
            <w:webHidden/>
          </w:rPr>
          <w:fldChar w:fldCharType="end"/>
        </w:r>
      </w:hyperlink>
    </w:p>
    <w:p w14:paraId="49ECDFA9" w14:textId="6A1F17D1"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64" w:history="1">
        <w:r w:rsidR="00014EE0" w:rsidRPr="00430437">
          <w:rPr>
            <w:rStyle w:val="Hyperlink"/>
            <w:noProof/>
            <w:lang w:eastAsia="en-US"/>
          </w:rPr>
          <w:t>Demographics</w:t>
        </w:r>
        <w:r w:rsidR="00014EE0">
          <w:rPr>
            <w:noProof/>
            <w:webHidden/>
          </w:rPr>
          <w:tab/>
        </w:r>
        <w:r w:rsidR="00014EE0">
          <w:rPr>
            <w:noProof/>
            <w:webHidden/>
          </w:rPr>
          <w:fldChar w:fldCharType="begin"/>
        </w:r>
        <w:r w:rsidR="00014EE0">
          <w:rPr>
            <w:noProof/>
            <w:webHidden/>
          </w:rPr>
          <w:instrText xml:space="preserve"> PAGEREF _Toc12024664 \h </w:instrText>
        </w:r>
        <w:r w:rsidR="00014EE0">
          <w:rPr>
            <w:noProof/>
            <w:webHidden/>
          </w:rPr>
        </w:r>
        <w:r w:rsidR="00014EE0">
          <w:rPr>
            <w:noProof/>
            <w:webHidden/>
          </w:rPr>
          <w:fldChar w:fldCharType="separate"/>
        </w:r>
        <w:r w:rsidR="004D2DCA">
          <w:rPr>
            <w:noProof/>
            <w:webHidden/>
          </w:rPr>
          <w:t>105</w:t>
        </w:r>
        <w:r w:rsidR="00014EE0">
          <w:rPr>
            <w:noProof/>
            <w:webHidden/>
          </w:rPr>
          <w:fldChar w:fldCharType="end"/>
        </w:r>
      </w:hyperlink>
    </w:p>
    <w:p w14:paraId="1F4D29DE" w14:textId="45E19693"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65" w:history="1">
        <w:r w:rsidR="00014EE0" w:rsidRPr="00430437">
          <w:rPr>
            <w:rStyle w:val="Hyperlink"/>
            <w:noProof/>
            <w:lang w:eastAsia="en-US"/>
          </w:rPr>
          <w:t>Summary of scales: Reliability, outliers and normality</w:t>
        </w:r>
        <w:r w:rsidR="00014EE0">
          <w:rPr>
            <w:noProof/>
            <w:webHidden/>
          </w:rPr>
          <w:tab/>
        </w:r>
        <w:r w:rsidR="00014EE0">
          <w:rPr>
            <w:noProof/>
            <w:webHidden/>
          </w:rPr>
          <w:fldChar w:fldCharType="begin"/>
        </w:r>
        <w:r w:rsidR="00014EE0">
          <w:rPr>
            <w:noProof/>
            <w:webHidden/>
          </w:rPr>
          <w:instrText xml:space="preserve"> PAGEREF _Toc12024665 \h </w:instrText>
        </w:r>
        <w:r w:rsidR="00014EE0">
          <w:rPr>
            <w:noProof/>
            <w:webHidden/>
          </w:rPr>
        </w:r>
        <w:r w:rsidR="00014EE0">
          <w:rPr>
            <w:noProof/>
            <w:webHidden/>
          </w:rPr>
          <w:fldChar w:fldCharType="separate"/>
        </w:r>
        <w:r w:rsidR="004D2DCA">
          <w:rPr>
            <w:noProof/>
            <w:webHidden/>
          </w:rPr>
          <w:t>106</w:t>
        </w:r>
        <w:r w:rsidR="00014EE0">
          <w:rPr>
            <w:noProof/>
            <w:webHidden/>
          </w:rPr>
          <w:fldChar w:fldCharType="end"/>
        </w:r>
      </w:hyperlink>
    </w:p>
    <w:p w14:paraId="6E4BEA75" w14:textId="7A5A6395"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66" w:history="1">
        <w:r w:rsidR="00014EE0" w:rsidRPr="00430437">
          <w:rPr>
            <w:rStyle w:val="Hyperlink"/>
            <w:noProof/>
            <w:lang w:eastAsia="en-US"/>
          </w:rPr>
          <w:t>Intervention</w:t>
        </w:r>
        <w:r w:rsidR="00014EE0">
          <w:rPr>
            <w:noProof/>
            <w:webHidden/>
          </w:rPr>
          <w:tab/>
        </w:r>
        <w:r w:rsidR="00014EE0">
          <w:rPr>
            <w:noProof/>
            <w:webHidden/>
          </w:rPr>
          <w:fldChar w:fldCharType="begin"/>
        </w:r>
        <w:r w:rsidR="00014EE0">
          <w:rPr>
            <w:noProof/>
            <w:webHidden/>
          </w:rPr>
          <w:instrText xml:space="preserve"> PAGEREF _Toc12024666 \h </w:instrText>
        </w:r>
        <w:r w:rsidR="00014EE0">
          <w:rPr>
            <w:noProof/>
            <w:webHidden/>
          </w:rPr>
        </w:r>
        <w:r w:rsidR="00014EE0">
          <w:rPr>
            <w:noProof/>
            <w:webHidden/>
          </w:rPr>
          <w:fldChar w:fldCharType="separate"/>
        </w:r>
        <w:r w:rsidR="004D2DCA">
          <w:rPr>
            <w:noProof/>
            <w:webHidden/>
          </w:rPr>
          <w:t>107</w:t>
        </w:r>
        <w:r w:rsidR="00014EE0">
          <w:rPr>
            <w:noProof/>
            <w:webHidden/>
          </w:rPr>
          <w:fldChar w:fldCharType="end"/>
        </w:r>
      </w:hyperlink>
    </w:p>
    <w:p w14:paraId="716E8F46" w14:textId="78AB57B1"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67" w:history="1">
        <w:r w:rsidR="00014EE0" w:rsidRPr="00430437">
          <w:rPr>
            <w:rStyle w:val="Hyperlink"/>
            <w:noProof/>
          </w:rPr>
          <w:t>Discussion</w:t>
        </w:r>
        <w:r w:rsidR="00014EE0">
          <w:rPr>
            <w:noProof/>
            <w:webHidden/>
          </w:rPr>
          <w:tab/>
        </w:r>
        <w:r w:rsidR="00014EE0">
          <w:rPr>
            <w:noProof/>
            <w:webHidden/>
          </w:rPr>
          <w:fldChar w:fldCharType="begin"/>
        </w:r>
        <w:r w:rsidR="00014EE0">
          <w:rPr>
            <w:noProof/>
            <w:webHidden/>
          </w:rPr>
          <w:instrText xml:space="preserve"> PAGEREF _Toc12024667 \h </w:instrText>
        </w:r>
        <w:r w:rsidR="00014EE0">
          <w:rPr>
            <w:noProof/>
            <w:webHidden/>
          </w:rPr>
        </w:r>
        <w:r w:rsidR="00014EE0">
          <w:rPr>
            <w:noProof/>
            <w:webHidden/>
          </w:rPr>
          <w:fldChar w:fldCharType="separate"/>
        </w:r>
        <w:r w:rsidR="004D2DCA">
          <w:rPr>
            <w:noProof/>
            <w:webHidden/>
          </w:rPr>
          <w:t>114</w:t>
        </w:r>
        <w:r w:rsidR="00014EE0">
          <w:rPr>
            <w:noProof/>
            <w:webHidden/>
          </w:rPr>
          <w:fldChar w:fldCharType="end"/>
        </w:r>
      </w:hyperlink>
    </w:p>
    <w:p w14:paraId="397B6B8A" w14:textId="60501836" w:rsidR="00014EE0" w:rsidRPr="000215FF" w:rsidRDefault="000267C1">
      <w:pPr>
        <w:pStyle w:val="TOC1"/>
        <w:rPr>
          <w:rFonts w:ascii="Cambria" w:eastAsia="MS Mincho" w:hAnsi="Cambria"/>
          <w:b w:val="0"/>
          <w:bCs w:val="0"/>
          <w:iCs w:val="0"/>
          <w:color w:val="auto"/>
        </w:rPr>
      </w:pPr>
      <w:hyperlink w:anchor="_Toc12024668" w:history="1">
        <w:r w:rsidR="00014EE0" w:rsidRPr="00430437">
          <w:rPr>
            <w:rStyle w:val="Hyperlink"/>
          </w:rPr>
          <w:t>Chapter 5 (Study 3): Testing the effectiveness of education and IC on stigma reduction towards FD in a sample of employees with recruitment duties</w:t>
        </w:r>
        <w:r w:rsidR="00014EE0">
          <w:rPr>
            <w:webHidden/>
          </w:rPr>
          <w:tab/>
        </w:r>
        <w:r w:rsidR="00014EE0">
          <w:rPr>
            <w:webHidden/>
          </w:rPr>
          <w:fldChar w:fldCharType="begin"/>
        </w:r>
        <w:r w:rsidR="00014EE0">
          <w:rPr>
            <w:webHidden/>
          </w:rPr>
          <w:instrText xml:space="preserve"> PAGEREF _Toc12024668 \h </w:instrText>
        </w:r>
        <w:r w:rsidR="00014EE0">
          <w:rPr>
            <w:webHidden/>
          </w:rPr>
        </w:r>
        <w:r w:rsidR="00014EE0">
          <w:rPr>
            <w:webHidden/>
          </w:rPr>
          <w:fldChar w:fldCharType="separate"/>
        </w:r>
        <w:r w:rsidR="004D2DCA">
          <w:rPr>
            <w:webHidden/>
          </w:rPr>
          <w:t>117</w:t>
        </w:r>
        <w:r w:rsidR="00014EE0">
          <w:rPr>
            <w:webHidden/>
          </w:rPr>
          <w:fldChar w:fldCharType="end"/>
        </w:r>
      </w:hyperlink>
    </w:p>
    <w:p w14:paraId="4ED95164" w14:textId="7BBDB3A5"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69" w:history="1">
        <w:r w:rsidR="00014EE0" w:rsidRPr="00430437">
          <w:rPr>
            <w:rStyle w:val="Hyperlink"/>
            <w:noProof/>
          </w:rPr>
          <w:t>Introduction</w:t>
        </w:r>
        <w:r w:rsidR="00014EE0">
          <w:rPr>
            <w:noProof/>
            <w:webHidden/>
          </w:rPr>
          <w:tab/>
        </w:r>
        <w:r w:rsidR="00014EE0">
          <w:rPr>
            <w:noProof/>
            <w:webHidden/>
          </w:rPr>
          <w:fldChar w:fldCharType="begin"/>
        </w:r>
        <w:r w:rsidR="00014EE0">
          <w:rPr>
            <w:noProof/>
            <w:webHidden/>
          </w:rPr>
          <w:instrText xml:space="preserve"> PAGEREF _Toc12024669 \h </w:instrText>
        </w:r>
        <w:r w:rsidR="00014EE0">
          <w:rPr>
            <w:noProof/>
            <w:webHidden/>
          </w:rPr>
        </w:r>
        <w:r w:rsidR="00014EE0">
          <w:rPr>
            <w:noProof/>
            <w:webHidden/>
          </w:rPr>
          <w:fldChar w:fldCharType="separate"/>
        </w:r>
        <w:r w:rsidR="004D2DCA">
          <w:rPr>
            <w:noProof/>
            <w:webHidden/>
          </w:rPr>
          <w:t>117</w:t>
        </w:r>
        <w:r w:rsidR="00014EE0">
          <w:rPr>
            <w:noProof/>
            <w:webHidden/>
          </w:rPr>
          <w:fldChar w:fldCharType="end"/>
        </w:r>
      </w:hyperlink>
    </w:p>
    <w:p w14:paraId="02145561" w14:textId="508D3C04"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70" w:history="1">
        <w:r w:rsidR="00014EE0" w:rsidRPr="00430437">
          <w:rPr>
            <w:rStyle w:val="Hyperlink"/>
            <w:noProof/>
            <w:lang w:eastAsia="en-US"/>
          </w:rPr>
          <w:t>Aims</w:t>
        </w:r>
        <w:r w:rsidR="00014EE0">
          <w:rPr>
            <w:noProof/>
            <w:webHidden/>
          </w:rPr>
          <w:tab/>
        </w:r>
        <w:r w:rsidR="00014EE0">
          <w:rPr>
            <w:noProof/>
            <w:webHidden/>
          </w:rPr>
          <w:fldChar w:fldCharType="begin"/>
        </w:r>
        <w:r w:rsidR="00014EE0">
          <w:rPr>
            <w:noProof/>
            <w:webHidden/>
          </w:rPr>
          <w:instrText xml:space="preserve"> PAGEREF _Toc12024670 \h </w:instrText>
        </w:r>
        <w:r w:rsidR="00014EE0">
          <w:rPr>
            <w:noProof/>
            <w:webHidden/>
          </w:rPr>
        </w:r>
        <w:r w:rsidR="00014EE0">
          <w:rPr>
            <w:noProof/>
            <w:webHidden/>
          </w:rPr>
          <w:fldChar w:fldCharType="separate"/>
        </w:r>
        <w:r w:rsidR="004D2DCA">
          <w:rPr>
            <w:noProof/>
            <w:webHidden/>
          </w:rPr>
          <w:t>122</w:t>
        </w:r>
        <w:r w:rsidR="00014EE0">
          <w:rPr>
            <w:noProof/>
            <w:webHidden/>
          </w:rPr>
          <w:fldChar w:fldCharType="end"/>
        </w:r>
      </w:hyperlink>
    </w:p>
    <w:p w14:paraId="611C1ADD" w14:textId="55444E34"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71" w:history="1">
        <w:r w:rsidR="00014EE0" w:rsidRPr="00430437">
          <w:rPr>
            <w:rStyle w:val="Hyperlink"/>
            <w:noProof/>
            <w:lang w:eastAsia="en-US"/>
          </w:rPr>
          <w:t>Procedure and design</w:t>
        </w:r>
        <w:r w:rsidR="00014EE0">
          <w:rPr>
            <w:noProof/>
            <w:webHidden/>
          </w:rPr>
          <w:tab/>
        </w:r>
        <w:r w:rsidR="00014EE0">
          <w:rPr>
            <w:noProof/>
            <w:webHidden/>
          </w:rPr>
          <w:fldChar w:fldCharType="begin"/>
        </w:r>
        <w:r w:rsidR="00014EE0">
          <w:rPr>
            <w:noProof/>
            <w:webHidden/>
          </w:rPr>
          <w:instrText xml:space="preserve"> PAGEREF _Toc12024671 \h </w:instrText>
        </w:r>
        <w:r w:rsidR="00014EE0">
          <w:rPr>
            <w:noProof/>
            <w:webHidden/>
          </w:rPr>
        </w:r>
        <w:r w:rsidR="00014EE0">
          <w:rPr>
            <w:noProof/>
            <w:webHidden/>
          </w:rPr>
          <w:fldChar w:fldCharType="separate"/>
        </w:r>
        <w:r w:rsidR="004D2DCA">
          <w:rPr>
            <w:noProof/>
            <w:webHidden/>
          </w:rPr>
          <w:t>122</w:t>
        </w:r>
        <w:r w:rsidR="00014EE0">
          <w:rPr>
            <w:noProof/>
            <w:webHidden/>
          </w:rPr>
          <w:fldChar w:fldCharType="end"/>
        </w:r>
      </w:hyperlink>
    </w:p>
    <w:p w14:paraId="0E3F8C13" w14:textId="3878F82F"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72" w:history="1">
        <w:r w:rsidR="00014EE0" w:rsidRPr="00430437">
          <w:rPr>
            <w:rStyle w:val="Hyperlink"/>
            <w:noProof/>
            <w:lang w:eastAsia="en-US"/>
          </w:rPr>
          <w:t>Recruitment</w:t>
        </w:r>
        <w:r w:rsidR="00014EE0">
          <w:rPr>
            <w:noProof/>
            <w:webHidden/>
          </w:rPr>
          <w:tab/>
        </w:r>
        <w:r w:rsidR="00014EE0">
          <w:rPr>
            <w:noProof/>
            <w:webHidden/>
          </w:rPr>
          <w:fldChar w:fldCharType="begin"/>
        </w:r>
        <w:r w:rsidR="00014EE0">
          <w:rPr>
            <w:noProof/>
            <w:webHidden/>
          </w:rPr>
          <w:instrText xml:space="preserve"> PAGEREF _Toc12024672 \h </w:instrText>
        </w:r>
        <w:r w:rsidR="00014EE0">
          <w:rPr>
            <w:noProof/>
            <w:webHidden/>
          </w:rPr>
        </w:r>
        <w:r w:rsidR="00014EE0">
          <w:rPr>
            <w:noProof/>
            <w:webHidden/>
          </w:rPr>
          <w:fldChar w:fldCharType="separate"/>
        </w:r>
        <w:r w:rsidR="004D2DCA">
          <w:rPr>
            <w:noProof/>
            <w:webHidden/>
          </w:rPr>
          <w:t>123</w:t>
        </w:r>
        <w:r w:rsidR="00014EE0">
          <w:rPr>
            <w:noProof/>
            <w:webHidden/>
          </w:rPr>
          <w:fldChar w:fldCharType="end"/>
        </w:r>
      </w:hyperlink>
    </w:p>
    <w:p w14:paraId="36ED5BB7" w14:textId="13D5EE01"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73" w:history="1">
        <w:r w:rsidR="00014EE0" w:rsidRPr="00430437">
          <w:rPr>
            <w:rStyle w:val="Hyperlink"/>
            <w:noProof/>
            <w:lang w:eastAsia="en-US"/>
          </w:rPr>
          <w:t>Experimental conditions</w:t>
        </w:r>
        <w:r w:rsidR="00014EE0">
          <w:rPr>
            <w:noProof/>
            <w:webHidden/>
          </w:rPr>
          <w:tab/>
        </w:r>
        <w:r w:rsidR="00014EE0">
          <w:rPr>
            <w:noProof/>
            <w:webHidden/>
          </w:rPr>
          <w:fldChar w:fldCharType="begin"/>
        </w:r>
        <w:r w:rsidR="00014EE0">
          <w:rPr>
            <w:noProof/>
            <w:webHidden/>
          </w:rPr>
          <w:instrText xml:space="preserve"> PAGEREF _Toc12024673 \h </w:instrText>
        </w:r>
        <w:r w:rsidR="00014EE0">
          <w:rPr>
            <w:noProof/>
            <w:webHidden/>
          </w:rPr>
        </w:r>
        <w:r w:rsidR="00014EE0">
          <w:rPr>
            <w:noProof/>
            <w:webHidden/>
          </w:rPr>
          <w:fldChar w:fldCharType="separate"/>
        </w:r>
        <w:r w:rsidR="004D2DCA">
          <w:rPr>
            <w:noProof/>
            <w:webHidden/>
          </w:rPr>
          <w:t>124</w:t>
        </w:r>
        <w:r w:rsidR="00014EE0">
          <w:rPr>
            <w:noProof/>
            <w:webHidden/>
          </w:rPr>
          <w:fldChar w:fldCharType="end"/>
        </w:r>
      </w:hyperlink>
    </w:p>
    <w:p w14:paraId="4AE458C4" w14:textId="1118686B"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74" w:history="1">
        <w:r w:rsidR="00014EE0" w:rsidRPr="00430437">
          <w:rPr>
            <w:rStyle w:val="Hyperlink"/>
            <w:noProof/>
            <w:lang w:eastAsia="en-US"/>
          </w:rPr>
          <w:t>Measures</w:t>
        </w:r>
        <w:r w:rsidR="00014EE0">
          <w:rPr>
            <w:noProof/>
            <w:webHidden/>
          </w:rPr>
          <w:tab/>
        </w:r>
        <w:r w:rsidR="00014EE0">
          <w:rPr>
            <w:noProof/>
            <w:webHidden/>
          </w:rPr>
          <w:fldChar w:fldCharType="begin"/>
        </w:r>
        <w:r w:rsidR="00014EE0">
          <w:rPr>
            <w:noProof/>
            <w:webHidden/>
          </w:rPr>
          <w:instrText xml:space="preserve"> PAGEREF _Toc12024674 \h </w:instrText>
        </w:r>
        <w:r w:rsidR="00014EE0">
          <w:rPr>
            <w:noProof/>
            <w:webHidden/>
          </w:rPr>
        </w:r>
        <w:r w:rsidR="00014EE0">
          <w:rPr>
            <w:noProof/>
            <w:webHidden/>
          </w:rPr>
          <w:fldChar w:fldCharType="separate"/>
        </w:r>
        <w:r w:rsidR="004D2DCA">
          <w:rPr>
            <w:noProof/>
            <w:webHidden/>
          </w:rPr>
          <w:t>127</w:t>
        </w:r>
        <w:r w:rsidR="00014EE0">
          <w:rPr>
            <w:noProof/>
            <w:webHidden/>
          </w:rPr>
          <w:fldChar w:fldCharType="end"/>
        </w:r>
      </w:hyperlink>
    </w:p>
    <w:p w14:paraId="352E3683" w14:textId="706A925B"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75" w:history="1">
        <w:r w:rsidR="00014EE0" w:rsidRPr="00430437">
          <w:rPr>
            <w:rStyle w:val="Hyperlink"/>
            <w:noProof/>
            <w:lang w:eastAsia="en-US"/>
          </w:rPr>
          <w:t>Sample size</w:t>
        </w:r>
        <w:r w:rsidR="00014EE0">
          <w:rPr>
            <w:noProof/>
            <w:webHidden/>
          </w:rPr>
          <w:tab/>
        </w:r>
        <w:r w:rsidR="00014EE0">
          <w:rPr>
            <w:noProof/>
            <w:webHidden/>
          </w:rPr>
          <w:fldChar w:fldCharType="begin"/>
        </w:r>
        <w:r w:rsidR="00014EE0">
          <w:rPr>
            <w:noProof/>
            <w:webHidden/>
          </w:rPr>
          <w:instrText xml:space="preserve"> PAGEREF _Toc12024675 \h </w:instrText>
        </w:r>
        <w:r w:rsidR="00014EE0">
          <w:rPr>
            <w:noProof/>
            <w:webHidden/>
          </w:rPr>
        </w:r>
        <w:r w:rsidR="00014EE0">
          <w:rPr>
            <w:noProof/>
            <w:webHidden/>
          </w:rPr>
          <w:fldChar w:fldCharType="separate"/>
        </w:r>
        <w:r w:rsidR="004D2DCA">
          <w:rPr>
            <w:noProof/>
            <w:webHidden/>
          </w:rPr>
          <w:t>127</w:t>
        </w:r>
        <w:r w:rsidR="00014EE0">
          <w:rPr>
            <w:noProof/>
            <w:webHidden/>
          </w:rPr>
          <w:fldChar w:fldCharType="end"/>
        </w:r>
      </w:hyperlink>
    </w:p>
    <w:p w14:paraId="48EE1B3A" w14:textId="437DA3D2"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76" w:history="1">
        <w:r w:rsidR="00014EE0" w:rsidRPr="00430437">
          <w:rPr>
            <w:rStyle w:val="Hyperlink"/>
            <w:noProof/>
          </w:rPr>
          <w:t>Results</w:t>
        </w:r>
        <w:r w:rsidR="00014EE0">
          <w:rPr>
            <w:noProof/>
            <w:webHidden/>
          </w:rPr>
          <w:tab/>
        </w:r>
        <w:r w:rsidR="00014EE0">
          <w:rPr>
            <w:noProof/>
            <w:webHidden/>
          </w:rPr>
          <w:fldChar w:fldCharType="begin"/>
        </w:r>
        <w:r w:rsidR="00014EE0">
          <w:rPr>
            <w:noProof/>
            <w:webHidden/>
          </w:rPr>
          <w:instrText xml:space="preserve"> PAGEREF _Toc12024676 \h </w:instrText>
        </w:r>
        <w:r w:rsidR="00014EE0">
          <w:rPr>
            <w:noProof/>
            <w:webHidden/>
          </w:rPr>
        </w:r>
        <w:r w:rsidR="00014EE0">
          <w:rPr>
            <w:noProof/>
            <w:webHidden/>
          </w:rPr>
          <w:fldChar w:fldCharType="separate"/>
        </w:r>
        <w:r w:rsidR="004D2DCA">
          <w:rPr>
            <w:noProof/>
            <w:webHidden/>
          </w:rPr>
          <w:t>128</w:t>
        </w:r>
        <w:r w:rsidR="00014EE0">
          <w:rPr>
            <w:noProof/>
            <w:webHidden/>
          </w:rPr>
          <w:fldChar w:fldCharType="end"/>
        </w:r>
      </w:hyperlink>
    </w:p>
    <w:p w14:paraId="71975F87" w14:textId="46028562"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77" w:history="1">
        <w:r w:rsidR="00014EE0" w:rsidRPr="00430437">
          <w:rPr>
            <w:rStyle w:val="Hyperlink"/>
            <w:noProof/>
          </w:rPr>
          <w:t>Demographics</w:t>
        </w:r>
        <w:r w:rsidR="00014EE0">
          <w:rPr>
            <w:noProof/>
            <w:webHidden/>
          </w:rPr>
          <w:tab/>
        </w:r>
        <w:r w:rsidR="00014EE0">
          <w:rPr>
            <w:noProof/>
            <w:webHidden/>
          </w:rPr>
          <w:fldChar w:fldCharType="begin"/>
        </w:r>
        <w:r w:rsidR="00014EE0">
          <w:rPr>
            <w:noProof/>
            <w:webHidden/>
          </w:rPr>
          <w:instrText xml:space="preserve"> PAGEREF _Toc12024677 \h </w:instrText>
        </w:r>
        <w:r w:rsidR="00014EE0">
          <w:rPr>
            <w:noProof/>
            <w:webHidden/>
          </w:rPr>
        </w:r>
        <w:r w:rsidR="00014EE0">
          <w:rPr>
            <w:noProof/>
            <w:webHidden/>
          </w:rPr>
          <w:fldChar w:fldCharType="separate"/>
        </w:r>
        <w:r w:rsidR="004D2DCA">
          <w:rPr>
            <w:noProof/>
            <w:webHidden/>
          </w:rPr>
          <w:t>128</w:t>
        </w:r>
        <w:r w:rsidR="00014EE0">
          <w:rPr>
            <w:noProof/>
            <w:webHidden/>
          </w:rPr>
          <w:fldChar w:fldCharType="end"/>
        </w:r>
      </w:hyperlink>
    </w:p>
    <w:p w14:paraId="5738A79E" w14:textId="69C3CF20" w:rsidR="00014EE0" w:rsidRPr="000215FF" w:rsidRDefault="000267C1" w:rsidP="00014EE0">
      <w:pPr>
        <w:pStyle w:val="TOC3"/>
        <w:tabs>
          <w:tab w:val="right" w:leader="dot" w:pos="8494"/>
        </w:tabs>
        <w:ind w:left="0" w:firstLine="0"/>
        <w:rPr>
          <w:rFonts w:ascii="Cambria" w:eastAsia="MS Mincho" w:hAnsi="Cambria"/>
          <w:noProof/>
          <w:color w:val="auto"/>
        </w:rPr>
      </w:pPr>
      <w:hyperlink w:anchor="_Toc12024678" w:history="1">
        <w:r w:rsidR="00014EE0" w:rsidRPr="00430437">
          <w:rPr>
            <w:rStyle w:val="Hyperlink"/>
            <w:noProof/>
          </w:rPr>
          <w:t>Intervention effect</w:t>
        </w:r>
        <w:r w:rsidR="00014EE0">
          <w:rPr>
            <w:noProof/>
            <w:webHidden/>
          </w:rPr>
          <w:tab/>
        </w:r>
        <w:r w:rsidR="00014EE0">
          <w:rPr>
            <w:noProof/>
            <w:webHidden/>
          </w:rPr>
          <w:fldChar w:fldCharType="begin"/>
        </w:r>
        <w:r w:rsidR="00014EE0">
          <w:rPr>
            <w:noProof/>
            <w:webHidden/>
          </w:rPr>
          <w:instrText xml:space="preserve"> PAGEREF _Toc12024678 \h </w:instrText>
        </w:r>
        <w:r w:rsidR="00014EE0">
          <w:rPr>
            <w:noProof/>
            <w:webHidden/>
          </w:rPr>
        </w:r>
        <w:r w:rsidR="00014EE0">
          <w:rPr>
            <w:noProof/>
            <w:webHidden/>
          </w:rPr>
          <w:fldChar w:fldCharType="separate"/>
        </w:r>
        <w:r w:rsidR="004D2DCA">
          <w:rPr>
            <w:noProof/>
            <w:webHidden/>
          </w:rPr>
          <w:t>129</w:t>
        </w:r>
        <w:r w:rsidR="00014EE0">
          <w:rPr>
            <w:noProof/>
            <w:webHidden/>
          </w:rPr>
          <w:fldChar w:fldCharType="end"/>
        </w:r>
      </w:hyperlink>
    </w:p>
    <w:p w14:paraId="33832FB1" w14:textId="17EDE641"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79" w:history="1">
        <w:r w:rsidR="00014EE0" w:rsidRPr="00430437">
          <w:rPr>
            <w:rStyle w:val="Hyperlink"/>
            <w:noProof/>
          </w:rPr>
          <w:t>Discussion</w:t>
        </w:r>
        <w:r w:rsidR="00014EE0">
          <w:rPr>
            <w:noProof/>
            <w:webHidden/>
          </w:rPr>
          <w:tab/>
        </w:r>
        <w:r w:rsidR="00014EE0">
          <w:rPr>
            <w:noProof/>
            <w:webHidden/>
          </w:rPr>
          <w:fldChar w:fldCharType="begin"/>
        </w:r>
        <w:r w:rsidR="00014EE0">
          <w:rPr>
            <w:noProof/>
            <w:webHidden/>
          </w:rPr>
          <w:instrText xml:space="preserve"> PAGEREF _Toc12024679 \h </w:instrText>
        </w:r>
        <w:r w:rsidR="00014EE0">
          <w:rPr>
            <w:noProof/>
            <w:webHidden/>
          </w:rPr>
        </w:r>
        <w:r w:rsidR="00014EE0">
          <w:rPr>
            <w:noProof/>
            <w:webHidden/>
          </w:rPr>
          <w:fldChar w:fldCharType="separate"/>
        </w:r>
        <w:r w:rsidR="004D2DCA">
          <w:rPr>
            <w:noProof/>
            <w:webHidden/>
          </w:rPr>
          <w:t>131</w:t>
        </w:r>
        <w:r w:rsidR="00014EE0">
          <w:rPr>
            <w:noProof/>
            <w:webHidden/>
          </w:rPr>
          <w:fldChar w:fldCharType="end"/>
        </w:r>
      </w:hyperlink>
    </w:p>
    <w:p w14:paraId="4AC9643B" w14:textId="1CA7071C"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80" w:history="1">
        <w:r w:rsidR="00014EE0" w:rsidRPr="00430437">
          <w:rPr>
            <w:rStyle w:val="Hyperlink"/>
            <w:noProof/>
          </w:rPr>
          <w:t>Conclusion</w:t>
        </w:r>
        <w:r w:rsidR="00014EE0">
          <w:rPr>
            <w:noProof/>
            <w:webHidden/>
          </w:rPr>
          <w:tab/>
        </w:r>
        <w:r w:rsidR="00014EE0">
          <w:rPr>
            <w:noProof/>
            <w:webHidden/>
          </w:rPr>
          <w:fldChar w:fldCharType="begin"/>
        </w:r>
        <w:r w:rsidR="00014EE0">
          <w:rPr>
            <w:noProof/>
            <w:webHidden/>
          </w:rPr>
          <w:instrText xml:space="preserve"> PAGEREF _Toc12024680 \h </w:instrText>
        </w:r>
        <w:r w:rsidR="00014EE0">
          <w:rPr>
            <w:noProof/>
            <w:webHidden/>
          </w:rPr>
        </w:r>
        <w:r w:rsidR="00014EE0">
          <w:rPr>
            <w:noProof/>
            <w:webHidden/>
          </w:rPr>
          <w:fldChar w:fldCharType="separate"/>
        </w:r>
        <w:r w:rsidR="004D2DCA">
          <w:rPr>
            <w:noProof/>
            <w:webHidden/>
          </w:rPr>
          <w:t>133</w:t>
        </w:r>
        <w:r w:rsidR="00014EE0">
          <w:rPr>
            <w:noProof/>
            <w:webHidden/>
          </w:rPr>
          <w:fldChar w:fldCharType="end"/>
        </w:r>
      </w:hyperlink>
    </w:p>
    <w:p w14:paraId="2B16F77D" w14:textId="4EC87930" w:rsidR="00014EE0" w:rsidRPr="000215FF" w:rsidRDefault="000267C1">
      <w:pPr>
        <w:pStyle w:val="TOC1"/>
        <w:rPr>
          <w:rFonts w:ascii="Cambria" w:eastAsia="MS Mincho" w:hAnsi="Cambria"/>
          <w:b w:val="0"/>
          <w:bCs w:val="0"/>
          <w:iCs w:val="0"/>
          <w:color w:val="auto"/>
        </w:rPr>
      </w:pPr>
      <w:hyperlink w:anchor="_Toc12024681" w:history="1">
        <w:r w:rsidR="00014EE0" w:rsidRPr="00430437">
          <w:rPr>
            <w:rStyle w:val="Hyperlink"/>
          </w:rPr>
          <w:t>Chapter 6. General Discussion</w:t>
        </w:r>
        <w:r w:rsidR="00014EE0">
          <w:rPr>
            <w:webHidden/>
          </w:rPr>
          <w:tab/>
        </w:r>
        <w:r w:rsidR="00014EE0">
          <w:rPr>
            <w:webHidden/>
          </w:rPr>
          <w:fldChar w:fldCharType="begin"/>
        </w:r>
        <w:r w:rsidR="00014EE0">
          <w:rPr>
            <w:webHidden/>
          </w:rPr>
          <w:instrText xml:space="preserve"> PAGEREF _Toc12024681 \h </w:instrText>
        </w:r>
        <w:r w:rsidR="00014EE0">
          <w:rPr>
            <w:webHidden/>
          </w:rPr>
        </w:r>
        <w:r w:rsidR="00014EE0">
          <w:rPr>
            <w:webHidden/>
          </w:rPr>
          <w:fldChar w:fldCharType="separate"/>
        </w:r>
        <w:r w:rsidR="004D2DCA">
          <w:rPr>
            <w:webHidden/>
          </w:rPr>
          <w:t>134</w:t>
        </w:r>
        <w:r w:rsidR="00014EE0">
          <w:rPr>
            <w:webHidden/>
          </w:rPr>
          <w:fldChar w:fldCharType="end"/>
        </w:r>
      </w:hyperlink>
    </w:p>
    <w:p w14:paraId="2B2137E6" w14:textId="7BDE133B"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82" w:history="1">
        <w:r w:rsidR="00014EE0" w:rsidRPr="00430437">
          <w:rPr>
            <w:rStyle w:val="Hyperlink"/>
            <w:noProof/>
          </w:rPr>
          <w:t>Implications for practice</w:t>
        </w:r>
        <w:r w:rsidR="00014EE0">
          <w:rPr>
            <w:noProof/>
            <w:webHidden/>
          </w:rPr>
          <w:tab/>
        </w:r>
        <w:r w:rsidR="00014EE0">
          <w:rPr>
            <w:noProof/>
            <w:webHidden/>
          </w:rPr>
          <w:fldChar w:fldCharType="begin"/>
        </w:r>
        <w:r w:rsidR="00014EE0">
          <w:rPr>
            <w:noProof/>
            <w:webHidden/>
          </w:rPr>
          <w:instrText xml:space="preserve"> PAGEREF _Toc12024682 \h </w:instrText>
        </w:r>
        <w:r w:rsidR="00014EE0">
          <w:rPr>
            <w:noProof/>
            <w:webHidden/>
          </w:rPr>
        </w:r>
        <w:r w:rsidR="00014EE0">
          <w:rPr>
            <w:noProof/>
            <w:webHidden/>
          </w:rPr>
          <w:fldChar w:fldCharType="separate"/>
        </w:r>
        <w:r w:rsidR="004D2DCA">
          <w:rPr>
            <w:noProof/>
            <w:webHidden/>
          </w:rPr>
          <w:t>141</w:t>
        </w:r>
        <w:r w:rsidR="00014EE0">
          <w:rPr>
            <w:noProof/>
            <w:webHidden/>
          </w:rPr>
          <w:fldChar w:fldCharType="end"/>
        </w:r>
      </w:hyperlink>
    </w:p>
    <w:p w14:paraId="346A42F4" w14:textId="1194B4C0"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83" w:history="1">
        <w:r w:rsidR="00014EE0" w:rsidRPr="00430437">
          <w:rPr>
            <w:rStyle w:val="Hyperlink"/>
            <w:noProof/>
          </w:rPr>
          <w:t>Strengths, limitations and future research</w:t>
        </w:r>
        <w:r w:rsidR="00014EE0">
          <w:rPr>
            <w:noProof/>
            <w:webHidden/>
          </w:rPr>
          <w:tab/>
        </w:r>
        <w:r w:rsidR="00014EE0">
          <w:rPr>
            <w:noProof/>
            <w:webHidden/>
          </w:rPr>
          <w:fldChar w:fldCharType="begin"/>
        </w:r>
        <w:r w:rsidR="00014EE0">
          <w:rPr>
            <w:noProof/>
            <w:webHidden/>
          </w:rPr>
          <w:instrText xml:space="preserve"> PAGEREF _Toc12024683 \h </w:instrText>
        </w:r>
        <w:r w:rsidR="00014EE0">
          <w:rPr>
            <w:noProof/>
            <w:webHidden/>
          </w:rPr>
        </w:r>
        <w:r w:rsidR="00014EE0">
          <w:rPr>
            <w:noProof/>
            <w:webHidden/>
          </w:rPr>
          <w:fldChar w:fldCharType="separate"/>
        </w:r>
        <w:r w:rsidR="004D2DCA">
          <w:rPr>
            <w:noProof/>
            <w:webHidden/>
          </w:rPr>
          <w:t>142</w:t>
        </w:r>
        <w:r w:rsidR="00014EE0">
          <w:rPr>
            <w:noProof/>
            <w:webHidden/>
          </w:rPr>
          <w:fldChar w:fldCharType="end"/>
        </w:r>
      </w:hyperlink>
    </w:p>
    <w:p w14:paraId="6B9760A8" w14:textId="10E6D609" w:rsidR="00014EE0" w:rsidRPr="000215FF" w:rsidRDefault="000267C1" w:rsidP="00014EE0">
      <w:pPr>
        <w:pStyle w:val="TOC2"/>
        <w:tabs>
          <w:tab w:val="right" w:leader="dot" w:pos="8494"/>
        </w:tabs>
        <w:ind w:left="0" w:firstLine="0"/>
        <w:rPr>
          <w:rFonts w:ascii="Cambria" w:eastAsia="MS Mincho" w:hAnsi="Cambria"/>
          <w:noProof/>
          <w:color w:val="auto"/>
        </w:rPr>
      </w:pPr>
      <w:hyperlink w:anchor="_Toc12024684" w:history="1">
        <w:r w:rsidR="00014EE0" w:rsidRPr="00430437">
          <w:rPr>
            <w:rStyle w:val="Hyperlink"/>
            <w:noProof/>
          </w:rPr>
          <w:t>Conclusions and future directions</w:t>
        </w:r>
        <w:r w:rsidR="00014EE0">
          <w:rPr>
            <w:noProof/>
            <w:webHidden/>
          </w:rPr>
          <w:tab/>
        </w:r>
        <w:r w:rsidR="00014EE0">
          <w:rPr>
            <w:noProof/>
            <w:webHidden/>
          </w:rPr>
          <w:fldChar w:fldCharType="begin"/>
        </w:r>
        <w:r w:rsidR="00014EE0">
          <w:rPr>
            <w:noProof/>
            <w:webHidden/>
          </w:rPr>
          <w:instrText xml:space="preserve"> PAGEREF _Toc12024684 \h </w:instrText>
        </w:r>
        <w:r w:rsidR="00014EE0">
          <w:rPr>
            <w:noProof/>
            <w:webHidden/>
          </w:rPr>
        </w:r>
        <w:r w:rsidR="00014EE0">
          <w:rPr>
            <w:noProof/>
            <w:webHidden/>
          </w:rPr>
          <w:fldChar w:fldCharType="separate"/>
        </w:r>
        <w:r w:rsidR="004D2DCA">
          <w:rPr>
            <w:noProof/>
            <w:webHidden/>
          </w:rPr>
          <w:t>143</w:t>
        </w:r>
        <w:r w:rsidR="00014EE0">
          <w:rPr>
            <w:noProof/>
            <w:webHidden/>
          </w:rPr>
          <w:fldChar w:fldCharType="end"/>
        </w:r>
      </w:hyperlink>
    </w:p>
    <w:p w14:paraId="2963FAF4" w14:textId="02ADD829" w:rsidR="00014EE0" w:rsidRPr="000215FF" w:rsidRDefault="000267C1">
      <w:pPr>
        <w:pStyle w:val="TOC1"/>
        <w:rPr>
          <w:rFonts w:ascii="Cambria" w:eastAsia="MS Mincho" w:hAnsi="Cambria"/>
          <w:b w:val="0"/>
          <w:bCs w:val="0"/>
          <w:iCs w:val="0"/>
          <w:color w:val="auto"/>
        </w:rPr>
      </w:pPr>
      <w:hyperlink w:anchor="_Toc12024685" w:history="1">
        <w:r w:rsidR="00014EE0" w:rsidRPr="00430437">
          <w:rPr>
            <w:rStyle w:val="Hyperlink"/>
          </w:rPr>
          <w:t>References</w:t>
        </w:r>
        <w:r w:rsidR="00014EE0">
          <w:rPr>
            <w:webHidden/>
          </w:rPr>
          <w:tab/>
        </w:r>
        <w:r w:rsidR="00014EE0">
          <w:rPr>
            <w:webHidden/>
          </w:rPr>
          <w:fldChar w:fldCharType="begin"/>
        </w:r>
        <w:r w:rsidR="00014EE0">
          <w:rPr>
            <w:webHidden/>
          </w:rPr>
          <w:instrText xml:space="preserve"> PAGEREF _Toc12024685 \h </w:instrText>
        </w:r>
        <w:r w:rsidR="00014EE0">
          <w:rPr>
            <w:webHidden/>
          </w:rPr>
        </w:r>
        <w:r w:rsidR="00014EE0">
          <w:rPr>
            <w:webHidden/>
          </w:rPr>
          <w:fldChar w:fldCharType="separate"/>
        </w:r>
        <w:r w:rsidR="004D2DCA">
          <w:rPr>
            <w:webHidden/>
          </w:rPr>
          <w:t>145</w:t>
        </w:r>
        <w:r w:rsidR="00014EE0">
          <w:rPr>
            <w:webHidden/>
          </w:rPr>
          <w:fldChar w:fldCharType="end"/>
        </w:r>
      </w:hyperlink>
    </w:p>
    <w:p w14:paraId="7B9F2819" w14:textId="624A5BE8" w:rsidR="00014EE0" w:rsidRPr="000215FF" w:rsidRDefault="000267C1">
      <w:pPr>
        <w:pStyle w:val="TOC1"/>
        <w:rPr>
          <w:rFonts w:ascii="Cambria" w:eastAsia="MS Mincho" w:hAnsi="Cambria"/>
          <w:b w:val="0"/>
          <w:bCs w:val="0"/>
          <w:iCs w:val="0"/>
          <w:color w:val="auto"/>
        </w:rPr>
      </w:pPr>
      <w:hyperlink w:anchor="_Toc12024686" w:history="1">
        <w:r w:rsidR="00014EE0" w:rsidRPr="00430437">
          <w:rPr>
            <w:rStyle w:val="Hyperlink"/>
          </w:rPr>
          <w:t>Appendices</w:t>
        </w:r>
        <w:r w:rsidR="00014EE0">
          <w:rPr>
            <w:webHidden/>
          </w:rPr>
          <w:tab/>
        </w:r>
        <w:r w:rsidR="00014EE0">
          <w:rPr>
            <w:webHidden/>
          </w:rPr>
          <w:fldChar w:fldCharType="begin"/>
        </w:r>
        <w:r w:rsidR="00014EE0">
          <w:rPr>
            <w:webHidden/>
          </w:rPr>
          <w:instrText xml:space="preserve"> PAGEREF _Toc12024686 \h </w:instrText>
        </w:r>
        <w:r w:rsidR="00014EE0">
          <w:rPr>
            <w:webHidden/>
          </w:rPr>
        </w:r>
        <w:r w:rsidR="00014EE0">
          <w:rPr>
            <w:webHidden/>
          </w:rPr>
          <w:fldChar w:fldCharType="separate"/>
        </w:r>
        <w:r w:rsidR="004D2DCA">
          <w:rPr>
            <w:webHidden/>
          </w:rPr>
          <w:t>180</w:t>
        </w:r>
        <w:r w:rsidR="00014EE0">
          <w:rPr>
            <w:webHidden/>
          </w:rPr>
          <w:fldChar w:fldCharType="end"/>
        </w:r>
      </w:hyperlink>
    </w:p>
    <w:p w14:paraId="23D22F89" w14:textId="77777777" w:rsidR="0025530F" w:rsidRPr="001905D3" w:rsidRDefault="00382C3A" w:rsidP="003958E9">
      <w:pPr>
        <w:pStyle w:val="TOC1"/>
        <w:rPr>
          <w:rFonts w:ascii="Cambria" w:eastAsia="MS Mincho" w:hAnsi="Cambria"/>
          <w:color w:val="auto"/>
        </w:rPr>
      </w:pPr>
      <w:r w:rsidRPr="00125F07">
        <w:lastRenderedPageBreak/>
        <w:fldChar w:fldCharType="end"/>
      </w:r>
      <w:bookmarkEnd w:id="6"/>
    </w:p>
    <w:p w14:paraId="51765656" w14:textId="77777777" w:rsidR="000F05C1" w:rsidRPr="00125F07" w:rsidRDefault="00762FF7" w:rsidP="000F05C1">
      <w:pPr>
        <w:pStyle w:val="Heading1"/>
      </w:pPr>
      <w:bookmarkStart w:id="7" w:name="_Toc12024606"/>
      <w:r w:rsidRPr="00125F07">
        <w:t>Tables</w:t>
      </w:r>
      <w:bookmarkEnd w:id="7"/>
      <w:r w:rsidRPr="00125F07">
        <w:t xml:space="preserve"> </w:t>
      </w:r>
    </w:p>
    <w:p w14:paraId="43DB0A97" w14:textId="3CD8D0EE" w:rsidR="00014EE0" w:rsidRDefault="00BB1F2F">
      <w:pPr>
        <w:pStyle w:val="TOC1"/>
      </w:pPr>
      <w:r w:rsidRPr="00125F07">
        <w:fldChar w:fldCharType="begin"/>
      </w:r>
      <w:r w:rsidRPr="00125F07">
        <w:instrText xml:space="preserve"> TOC \f \h \z \t "Tables,1" </w:instrText>
      </w:r>
      <w:r w:rsidRPr="00125F07">
        <w:fldChar w:fldCharType="separate"/>
      </w:r>
      <w:hyperlink w:anchor="_Toc12024826" w:history="1">
        <w:r w:rsidR="00014EE0" w:rsidRPr="00AF019F">
          <w:rPr>
            <w:rStyle w:val="Hyperlink"/>
          </w:rPr>
          <w:t xml:space="preserve">Table </w:t>
        </w:r>
        <w:r w:rsidR="00253957">
          <w:rPr>
            <w:rStyle w:val="Hyperlink"/>
          </w:rPr>
          <w:t>2</w:t>
        </w:r>
        <w:r w:rsidR="00014EE0" w:rsidRPr="00AF019F">
          <w:rPr>
            <w:rStyle w:val="Hyperlink"/>
          </w:rPr>
          <w:t>.</w:t>
        </w:r>
        <w:r w:rsidR="00253957">
          <w:rPr>
            <w:rStyle w:val="Hyperlink"/>
          </w:rPr>
          <w:t>1</w:t>
        </w:r>
        <w:r w:rsidR="00014EE0" w:rsidRPr="00AF019F">
          <w:rPr>
            <w:rStyle w:val="Hyperlink"/>
          </w:rPr>
          <w:t xml:space="preserve"> Terminology used to address FD</w:t>
        </w:r>
        <w:r w:rsidR="00014EE0">
          <w:rPr>
            <w:webHidden/>
          </w:rPr>
          <w:tab/>
        </w:r>
        <w:r w:rsidR="00014EE0">
          <w:rPr>
            <w:webHidden/>
          </w:rPr>
          <w:fldChar w:fldCharType="begin"/>
        </w:r>
        <w:r w:rsidR="00014EE0">
          <w:rPr>
            <w:webHidden/>
          </w:rPr>
          <w:instrText xml:space="preserve"> PAGEREF _Toc12024826 \h </w:instrText>
        </w:r>
        <w:r w:rsidR="00014EE0">
          <w:rPr>
            <w:webHidden/>
          </w:rPr>
        </w:r>
        <w:r w:rsidR="00014EE0">
          <w:rPr>
            <w:webHidden/>
          </w:rPr>
          <w:fldChar w:fldCharType="separate"/>
        </w:r>
        <w:r w:rsidR="004D2DCA">
          <w:rPr>
            <w:webHidden/>
          </w:rPr>
          <w:t>36</w:t>
        </w:r>
        <w:r w:rsidR="00014EE0">
          <w:rPr>
            <w:webHidden/>
          </w:rPr>
          <w:fldChar w:fldCharType="end"/>
        </w:r>
      </w:hyperlink>
    </w:p>
    <w:p w14:paraId="45322B88" w14:textId="77777777" w:rsidR="00E01BCE" w:rsidRPr="005A2B3D" w:rsidRDefault="00E01BCE" w:rsidP="00E01BCE">
      <w:pPr>
        <w:ind w:firstLine="0"/>
        <w:rPr>
          <w:b/>
          <w:bCs/>
          <w:noProof/>
        </w:rPr>
      </w:pPr>
      <w:r w:rsidRPr="005A2B3D">
        <w:rPr>
          <w:b/>
          <w:bCs/>
          <w:noProof/>
        </w:rPr>
        <w:t xml:space="preserve">Table </w:t>
      </w:r>
      <w:r w:rsidR="005A2B3D" w:rsidRPr="005A2B3D">
        <w:rPr>
          <w:b/>
          <w:bCs/>
          <w:noProof/>
        </w:rPr>
        <w:t>2.2 Summary</w:t>
      </w:r>
      <w:r w:rsidRPr="005A2B3D">
        <w:rPr>
          <w:b/>
          <w:bCs/>
          <w:noProof/>
        </w:rPr>
        <w:t xml:space="preserve"> of articles included in the review</w:t>
      </w:r>
      <w:r w:rsidR="005A2B3D">
        <w:rPr>
          <w:b/>
          <w:bCs/>
          <w:noProof/>
        </w:rPr>
        <w:t>……………………………….34</w:t>
      </w:r>
    </w:p>
    <w:p w14:paraId="30BCD0BB" w14:textId="64D420E3" w:rsidR="00014EE0" w:rsidRPr="000215FF" w:rsidRDefault="000267C1">
      <w:pPr>
        <w:pStyle w:val="TOC1"/>
        <w:rPr>
          <w:rFonts w:ascii="Cambria" w:eastAsia="MS Mincho" w:hAnsi="Cambria"/>
          <w:b w:val="0"/>
          <w:bCs w:val="0"/>
          <w:iCs w:val="0"/>
          <w:color w:val="auto"/>
        </w:rPr>
      </w:pPr>
      <w:hyperlink w:anchor="_Toc12024827" w:history="1">
        <w:r w:rsidR="00014EE0" w:rsidRPr="00AF019F">
          <w:rPr>
            <w:rStyle w:val="Hyperlink"/>
            <w:lang w:eastAsia="zh-CN"/>
          </w:rPr>
          <w:t>Table 3.1.  IAT presentation blocks</w:t>
        </w:r>
        <w:r w:rsidR="00014EE0">
          <w:rPr>
            <w:webHidden/>
          </w:rPr>
          <w:tab/>
        </w:r>
        <w:r w:rsidR="00014EE0">
          <w:rPr>
            <w:webHidden/>
          </w:rPr>
          <w:fldChar w:fldCharType="begin"/>
        </w:r>
        <w:r w:rsidR="00014EE0">
          <w:rPr>
            <w:webHidden/>
          </w:rPr>
          <w:instrText xml:space="preserve"> PAGEREF _Toc12024827 \h </w:instrText>
        </w:r>
        <w:r w:rsidR="00014EE0">
          <w:rPr>
            <w:webHidden/>
          </w:rPr>
        </w:r>
        <w:r w:rsidR="00014EE0">
          <w:rPr>
            <w:webHidden/>
          </w:rPr>
          <w:fldChar w:fldCharType="separate"/>
        </w:r>
        <w:r w:rsidR="004D2DCA">
          <w:rPr>
            <w:webHidden/>
          </w:rPr>
          <w:t>81</w:t>
        </w:r>
        <w:r w:rsidR="00014EE0">
          <w:rPr>
            <w:webHidden/>
          </w:rPr>
          <w:fldChar w:fldCharType="end"/>
        </w:r>
      </w:hyperlink>
    </w:p>
    <w:p w14:paraId="56A064FB" w14:textId="38FE89EB" w:rsidR="00014EE0" w:rsidRPr="000215FF" w:rsidRDefault="000267C1">
      <w:pPr>
        <w:pStyle w:val="TOC1"/>
        <w:rPr>
          <w:rFonts w:ascii="Cambria" w:eastAsia="MS Mincho" w:hAnsi="Cambria"/>
          <w:b w:val="0"/>
          <w:bCs w:val="0"/>
          <w:iCs w:val="0"/>
          <w:color w:val="auto"/>
        </w:rPr>
      </w:pPr>
      <w:hyperlink w:anchor="_Toc12024828" w:history="1">
        <w:r w:rsidR="00014EE0" w:rsidRPr="00AF019F">
          <w:rPr>
            <w:rStyle w:val="Hyperlink"/>
            <w:lang w:eastAsia="zh-CN"/>
          </w:rPr>
          <w:t>Table 3.2. Comparison of scoring methods</w:t>
        </w:r>
        <w:r w:rsidR="00014EE0">
          <w:rPr>
            <w:webHidden/>
          </w:rPr>
          <w:tab/>
        </w:r>
        <w:r w:rsidR="00014EE0">
          <w:rPr>
            <w:webHidden/>
          </w:rPr>
          <w:fldChar w:fldCharType="begin"/>
        </w:r>
        <w:r w:rsidR="00014EE0">
          <w:rPr>
            <w:webHidden/>
          </w:rPr>
          <w:instrText xml:space="preserve"> PAGEREF _Toc12024828 \h </w:instrText>
        </w:r>
        <w:r w:rsidR="00014EE0">
          <w:rPr>
            <w:webHidden/>
          </w:rPr>
        </w:r>
        <w:r w:rsidR="00014EE0">
          <w:rPr>
            <w:webHidden/>
          </w:rPr>
          <w:fldChar w:fldCharType="separate"/>
        </w:r>
        <w:r w:rsidR="004D2DCA">
          <w:rPr>
            <w:webHidden/>
          </w:rPr>
          <w:t>82</w:t>
        </w:r>
        <w:r w:rsidR="00014EE0">
          <w:rPr>
            <w:webHidden/>
          </w:rPr>
          <w:fldChar w:fldCharType="end"/>
        </w:r>
      </w:hyperlink>
    </w:p>
    <w:p w14:paraId="624EE339" w14:textId="17FDD3F7" w:rsidR="00014EE0" w:rsidRPr="000215FF" w:rsidRDefault="000267C1">
      <w:pPr>
        <w:pStyle w:val="TOC1"/>
        <w:rPr>
          <w:rFonts w:ascii="Cambria" w:eastAsia="MS Mincho" w:hAnsi="Cambria"/>
          <w:b w:val="0"/>
          <w:bCs w:val="0"/>
          <w:iCs w:val="0"/>
          <w:color w:val="auto"/>
        </w:rPr>
      </w:pPr>
      <w:hyperlink w:anchor="_Toc12024829" w:history="1">
        <w:r w:rsidR="00014EE0" w:rsidRPr="00AF019F">
          <w:rPr>
            <w:rStyle w:val="Hyperlink"/>
            <w:lang w:eastAsia="zh-CN"/>
          </w:rPr>
          <w:t>Table 3.3. Demographic information (N = 489)</w:t>
        </w:r>
        <w:r w:rsidR="00014EE0">
          <w:rPr>
            <w:webHidden/>
          </w:rPr>
          <w:tab/>
        </w:r>
        <w:r w:rsidR="00014EE0">
          <w:rPr>
            <w:webHidden/>
          </w:rPr>
          <w:fldChar w:fldCharType="begin"/>
        </w:r>
        <w:r w:rsidR="00014EE0">
          <w:rPr>
            <w:webHidden/>
          </w:rPr>
          <w:instrText xml:space="preserve"> PAGEREF _Toc12024829 \h </w:instrText>
        </w:r>
        <w:r w:rsidR="00014EE0">
          <w:rPr>
            <w:webHidden/>
          </w:rPr>
        </w:r>
        <w:r w:rsidR="00014EE0">
          <w:rPr>
            <w:webHidden/>
          </w:rPr>
          <w:fldChar w:fldCharType="separate"/>
        </w:r>
        <w:r w:rsidR="004D2DCA">
          <w:rPr>
            <w:webHidden/>
          </w:rPr>
          <w:t>85</w:t>
        </w:r>
        <w:r w:rsidR="00014EE0">
          <w:rPr>
            <w:webHidden/>
          </w:rPr>
          <w:fldChar w:fldCharType="end"/>
        </w:r>
      </w:hyperlink>
    </w:p>
    <w:p w14:paraId="076FED15" w14:textId="7FB96B2A" w:rsidR="00014EE0" w:rsidRPr="000215FF" w:rsidRDefault="000267C1">
      <w:pPr>
        <w:pStyle w:val="TOC1"/>
        <w:rPr>
          <w:rFonts w:ascii="Cambria" w:eastAsia="MS Mincho" w:hAnsi="Cambria"/>
          <w:b w:val="0"/>
          <w:bCs w:val="0"/>
          <w:iCs w:val="0"/>
          <w:color w:val="auto"/>
        </w:rPr>
      </w:pPr>
      <w:hyperlink w:anchor="_Toc12024830" w:history="1">
        <w:r w:rsidR="00014EE0" w:rsidRPr="00AF019F">
          <w:rPr>
            <w:rStyle w:val="Hyperlink"/>
            <w:lang w:eastAsia="zh-CN"/>
          </w:rPr>
          <w:t>Table 3.4. Cronbach alphas, mean and normative means of scales</w:t>
        </w:r>
        <w:r w:rsidR="00014EE0">
          <w:rPr>
            <w:webHidden/>
          </w:rPr>
          <w:tab/>
        </w:r>
        <w:r w:rsidR="00014EE0">
          <w:rPr>
            <w:webHidden/>
          </w:rPr>
          <w:fldChar w:fldCharType="begin"/>
        </w:r>
        <w:r w:rsidR="00014EE0">
          <w:rPr>
            <w:webHidden/>
          </w:rPr>
          <w:instrText xml:space="preserve"> PAGEREF _Toc12024830 \h </w:instrText>
        </w:r>
        <w:r w:rsidR="00014EE0">
          <w:rPr>
            <w:webHidden/>
          </w:rPr>
        </w:r>
        <w:r w:rsidR="00014EE0">
          <w:rPr>
            <w:webHidden/>
          </w:rPr>
          <w:fldChar w:fldCharType="separate"/>
        </w:r>
        <w:r w:rsidR="004D2DCA">
          <w:rPr>
            <w:webHidden/>
          </w:rPr>
          <w:t>86</w:t>
        </w:r>
        <w:r w:rsidR="00014EE0">
          <w:rPr>
            <w:webHidden/>
          </w:rPr>
          <w:fldChar w:fldCharType="end"/>
        </w:r>
      </w:hyperlink>
    </w:p>
    <w:p w14:paraId="6BE6FD44" w14:textId="0751328E" w:rsidR="00014EE0" w:rsidRPr="000215FF" w:rsidRDefault="000267C1">
      <w:pPr>
        <w:pStyle w:val="TOC1"/>
        <w:rPr>
          <w:rFonts w:ascii="Cambria" w:eastAsia="MS Mincho" w:hAnsi="Cambria"/>
          <w:b w:val="0"/>
          <w:bCs w:val="0"/>
          <w:iCs w:val="0"/>
          <w:color w:val="auto"/>
        </w:rPr>
      </w:pPr>
      <w:hyperlink w:anchor="_Toc12024831" w:history="1">
        <w:r w:rsidR="00014EE0" w:rsidRPr="00AF019F">
          <w:rPr>
            <w:rStyle w:val="Hyperlink"/>
            <w:lang w:eastAsia="zh-CN"/>
          </w:rPr>
          <w:t>Table 3.5. Mean, Standard Deviations and t values grouped by gender</w:t>
        </w:r>
        <w:r w:rsidR="00014EE0">
          <w:rPr>
            <w:webHidden/>
          </w:rPr>
          <w:tab/>
        </w:r>
        <w:r w:rsidR="00014EE0">
          <w:rPr>
            <w:webHidden/>
          </w:rPr>
          <w:fldChar w:fldCharType="begin"/>
        </w:r>
        <w:r w:rsidR="00014EE0">
          <w:rPr>
            <w:webHidden/>
          </w:rPr>
          <w:instrText xml:space="preserve"> PAGEREF _Toc12024831 \h </w:instrText>
        </w:r>
        <w:r w:rsidR="00014EE0">
          <w:rPr>
            <w:webHidden/>
          </w:rPr>
        </w:r>
        <w:r w:rsidR="00014EE0">
          <w:rPr>
            <w:webHidden/>
          </w:rPr>
          <w:fldChar w:fldCharType="separate"/>
        </w:r>
        <w:r w:rsidR="004D2DCA">
          <w:rPr>
            <w:webHidden/>
          </w:rPr>
          <w:t>88</w:t>
        </w:r>
        <w:r w:rsidR="00014EE0">
          <w:rPr>
            <w:webHidden/>
          </w:rPr>
          <w:fldChar w:fldCharType="end"/>
        </w:r>
      </w:hyperlink>
    </w:p>
    <w:p w14:paraId="178F1437" w14:textId="510D34A5" w:rsidR="00014EE0" w:rsidRPr="000215FF" w:rsidRDefault="000267C1">
      <w:pPr>
        <w:pStyle w:val="TOC1"/>
        <w:rPr>
          <w:rFonts w:ascii="Cambria" w:eastAsia="MS Mincho" w:hAnsi="Cambria"/>
          <w:b w:val="0"/>
          <w:bCs w:val="0"/>
          <w:iCs w:val="0"/>
          <w:color w:val="auto"/>
        </w:rPr>
      </w:pPr>
      <w:hyperlink w:anchor="_Toc12024832" w:history="1">
        <w:r w:rsidR="00014EE0" w:rsidRPr="00AF019F">
          <w:rPr>
            <w:rStyle w:val="Hyperlink"/>
            <w:lang w:eastAsia="en-US"/>
          </w:rPr>
          <w:t>Table 3.6. Correlation matrix</w:t>
        </w:r>
        <w:r w:rsidR="00014EE0">
          <w:rPr>
            <w:webHidden/>
          </w:rPr>
          <w:tab/>
        </w:r>
        <w:r w:rsidR="00014EE0">
          <w:rPr>
            <w:webHidden/>
          </w:rPr>
          <w:fldChar w:fldCharType="begin"/>
        </w:r>
        <w:r w:rsidR="00014EE0">
          <w:rPr>
            <w:webHidden/>
          </w:rPr>
          <w:instrText xml:space="preserve"> PAGEREF _Toc12024832 \h </w:instrText>
        </w:r>
        <w:r w:rsidR="00014EE0">
          <w:rPr>
            <w:webHidden/>
          </w:rPr>
        </w:r>
        <w:r w:rsidR="00014EE0">
          <w:rPr>
            <w:webHidden/>
          </w:rPr>
          <w:fldChar w:fldCharType="separate"/>
        </w:r>
        <w:r w:rsidR="004D2DCA">
          <w:rPr>
            <w:webHidden/>
          </w:rPr>
          <w:t>88</w:t>
        </w:r>
        <w:r w:rsidR="00014EE0">
          <w:rPr>
            <w:webHidden/>
          </w:rPr>
          <w:fldChar w:fldCharType="end"/>
        </w:r>
      </w:hyperlink>
    </w:p>
    <w:p w14:paraId="670734DB" w14:textId="02A98D97" w:rsidR="00014EE0" w:rsidRPr="000215FF" w:rsidRDefault="000267C1">
      <w:pPr>
        <w:pStyle w:val="TOC1"/>
        <w:rPr>
          <w:rFonts w:ascii="Cambria" w:eastAsia="MS Mincho" w:hAnsi="Cambria"/>
          <w:b w:val="0"/>
          <w:bCs w:val="0"/>
          <w:iCs w:val="0"/>
          <w:color w:val="auto"/>
        </w:rPr>
      </w:pPr>
      <w:hyperlink w:anchor="_Toc12024833" w:history="1">
        <w:r w:rsidR="00014EE0" w:rsidRPr="00AF019F">
          <w:rPr>
            <w:rStyle w:val="Hyperlink"/>
            <w:lang w:eastAsia="en-US"/>
          </w:rPr>
          <w:t>Table 4.1. Demographic information (N = 301)</w:t>
        </w:r>
        <w:r w:rsidR="00014EE0">
          <w:rPr>
            <w:webHidden/>
          </w:rPr>
          <w:tab/>
        </w:r>
        <w:r w:rsidR="00014EE0">
          <w:rPr>
            <w:webHidden/>
          </w:rPr>
          <w:fldChar w:fldCharType="begin"/>
        </w:r>
        <w:r w:rsidR="00014EE0">
          <w:rPr>
            <w:webHidden/>
          </w:rPr>
          <w:instrText xml:space="preserve"> PAGEREF _Toc12024833 \h </w:instrText>
        </w:r>
        <w:r w:rsidR="00014EE0">
          <w:rPr>
            <w:webHidden/>
          </w:rPr>
        </w:r>
        <w:r w:rsidR="00014EE0">
          <w:rPr>
            <w:webHidden/>
          </w:rPr>
          <w:fldChar w:fldCharType="separate"/>
        </w:r>
        <w:r w:rsidR="004D2DCA">
          <w:rPr>
            <w:webHidden/>
          </w:rPr>
          <w:t>106</w:t>
        </w:r>
        <w:r w:rsidR="00014EE0">
          <w:rPr>
            <w:webHidden/>
          </w:rPr>
          <w:fldChar w:fldCharType="end"/>
        </w:r>
      </w:hyperlink>
    </w:p>
    <w:p w14:paraId="1A839C37" w14:textId="3DA97FB2" w:rsidR="00014EE0" w:rsidRPr="000215FF" w:rsidRDefault="000267C1">
      <w:pPr>
        <w:pStyle w:val="TOC1"/>
        <w:rPr>
          <w:rFonts w:ascii="Cambria" w:eastAsia="MS Mincho" w:hAnsi="Cambria"/>
          <w:b w:val="0"/>
          <w:bCs w:val="0"/>
          <w:iCs w:val="0"/>
          <w:color w:val="auto"/>
        </w:rPr>
      </w:pPr>
      <w:hyperlink w:anchor="_Toc12024834" w:history="1">
        <w:r w:rsidR="00014EE0" w:rsidRPr="00AF019F">
          <w:rPr>
            <w:rStyle w:val="Hyperlink"/>
            <w:lang w:eastAsia="en-US"/>
          </w:rPr>
          <w:t>Table 4.2. Baseline differences</w:t>
        </w:r>
        <w:r w:rsidR="00014EE0">
          <w:rPr>
            <w:webHidden/>
          </w:rPr>
          <w:tab/>
        </w:r>
        <w:r w:rsidR="00014EE0">
          <w:rPr>
            <w:webHidden/>
          </w:rPr>
          <w:fldChar w:fldCharType="begin"/>
        </w:r>
        <w:r w:rsidR="00014EE0">
          <w:rPr>
            <w:webHidden/>
          </w:rPr>
          <w:instrText xml:space="preserve"> PAGEREF _Toc12024834 \h </w:instrText>
        </w:r>
        <w:r w:rsidR="00014EE0">
          <w:rPr>
            <w:webHidden/>
          </w:rPr>
        </w:r>
        <w:r w:rsidR="00014EE0">
          <w:rPr>
            <w:webHidden/>
          </w:rPr>
          <w:fldChar w:fldCharType="separate"/>
        </w:r>
        <w:r w:rsidR="004D2DCA">
          <w:rPr>
            <w:webHidden/>
          </w:rPr>
          <w:t>107</w:t>
        </w:r>
        <w:r w:rsidR="00014EE0">
          <w:rPr>
            <w:webHidden/>
          </w:rPr>
          <w:fldChar w:fldCharType="end"/>
        </w:r>
      </w:hyperlink>
    </w:p>
    <w:p w14:paraId="460C979D" w14:textId="2A949F18" w:rsidR="00014EE0" w:rsidRPr="000215FF" w:rsidRDefault="000267C1">
      <w:pPr>
        <w:pStyle w:val="TOC1"/>
        <w:rPr>
          <w:rFonts w:ascii="Cambria" w:eastAsia="MS Mincho" w:hAnsi="Cambria"/>
          <w:b w:val="0"/>
          <w:bCs w:val="0"/>
          <w:iCs w:val="0"/>
          <w:color w:val="auto"/>
        </w:rPr>
      </w:pPr>
      <w:hyperlink w:anchor="_Toc12024835" w:history="1">
        <w:r w:rsidR="00014EE0" w:rsidRPr="00AF019F">
          <w:rPr>
            <w:rStyle w:val="Hyperlink"/>
            <w:lang w:eastAsia="en-US"/>
          </w:rPr>
          <w:t>Table 4.3. Descriptive statistics of intergroup anxiety and avoidance by intervention (3x2)</w:t>
        </w:r>
        <w:r w:rsidR="00014EE0">
          <w:rPr>
            <w:webHidden/>
          </w:rPr>
          <w:tab/>
        </w:r>
        <w:r w:rsidR="00014EE0">
          <w:rPr>
            <w:webHidden/>
          </w:rPr>
          <w:fldChar w:fldCharType="begin"/>
        </w:r>
        <w:r w:rsidR="00014EE0">
          <w:rPr>
            <w:webHidden/>
          </w:rPr>
          <w:instrText xml:space="preserve"> PAGEREF _Toc12024835 \h </w:instrText>
        </w:r>
        <w:r w:rsidR="00014EE0">
          <w:rPr>
            <w:webHidden/>
          </w:rPr>
        </w:r>
        <w:r w:rsidR="00014EE0">
          <w:rPr>
            <w:webHidden/>
          </w:rPr>
          <w:fldChar w:fldCharType="separate"/>
        </w:r>
        <w:r w:rsidR="004D2DCA">
          <w:rPr>
            <w:webHidden/>
          </w:rPr>
          <w:t>107</w:t>
        </w:r>
        <w:r w:rsidR="00014EE0">
          <w:rPr>
            <w:webHidden/>
          </w:rPr>
          <w:fldChar w:fldCharType="end"/>
        </w:r>
      </w:hyperlink>
    </w:p>
    <w:p w14:paraId="6C212D43" w14:textId="22A81484" w:rsidR="00014EE0" w:rsidRPr="000215FF" w:rsidRDefault="000267C1">
      <w:pPr>
        <w:pStyle w:val="TOC1"/>
        <w:rPr>
          <w:rFonts w:ascii="Cambria" w:eastAsia="MS Mincho" w:hAnsi="Cambria"/>
          <w:b w:val="0"/>
          <w:bCs w:val="0"/>
          <w:iCs w:val="0"/>
          <w:color w:val="auto"/>
        </w:rPr>
      </w:pPr>
      <w:hyperlink w:anchor="_Toc12024836" w:history="1">
        <w:r w:rsidR="00014EE0" w:rsidRPr="00AF019F">
          <w:rPr>
            <w:rStyle w:val="Hyperlink"/>
            <w:lang w:eastAsia="en-US"/>
          </w:rPr>
          <w:t>Table 4.4. intergroup anxiety estimated means.</w:t>
        </w:r>
        <w:r w:rsidR="00014EE0">
          <w:rPr>
            <w:webHidden/>
          </w:rPr>
          <w:tab/>
        </w:r>
        <w:r w:rsidR="00014EE0">
          <w:rPr>
            <w:webHidden/>
          </w:rPr>
          <w:fldChar w:fldCharType="begin"/>
        </w:r>
        <w:r w:rsidR="00014EE0">
          <w:rPr>
            <w:webHidden/>
          </w:rPr>
          <w:instrText xml:space="preserve"> PAGEREF _Toc12024836 \h </w:instrText>
        </w:r>
        <w:r w:rsidR="00014EE0">
          <w:rPr>
            <w:webHidden/>
          </w:rPr>
        </w:r>
        <w:r w:rsidR="00014EE0">
          <w:rPr>
            <w:webHidden/>
          </w:rPr>
          <w:fldChar w:fldCharType="separate"/>
        </w:r>
        <w:r w:rsidR="004D2DCA">
          <w:rPr>
            <w:webHidden/>
          </w:rPr>
          <w:t>108</w:t>
        </w:r>
        <w:r w:rsidR="00014EE0">
          <w:rPr>
            <w:webHidden/>
          </w:rPr>
          <w:fldChar w:fldCharType="end"/>
        </w:r>
      </w:hyperlink>
    </w:p>
    <w:p w14:paraId="4FD24B44" w14:textId="2527D9A8" w:rsidR="00014EE0" w:rsidRPr="000215FF" w:rsidRDefault="000267C1">
      <w:pPr>
        <w:pStyle w:val="TOC1"/>
        <w:rPr>
          <w:rFonts w:ascii="Cambria" w:eastAsia="MS Mincho" w:hAnsi="Cambria"/>
          <w:b w:val="0"/>
          <w:bCs w:val="0"/>
          <w:iCs w:val="0"/>
          <w:color w:val="auto"/>
        </w:rPr>
      </w:pPr>
      <w:hyperlink w:anchor="_Toc12024837" w:history="1">
        <w:r w:rsidR="00014EE0" w:rsidRPr="00AF019F">
          <w:rPr>
            <w:rStyle w:val="Hyperlink"/>
            <w:lang w:eastAsia="en-US"/>
          </w:rPr>
          <w:t>Table 4.5. Estimated means for intended avoidance</w:t>
        </w:r>
        <w:r w:rsidR="00014EE0">
          <w:rPr>
            <w:webHidden/>
          </w:rPr>
          <w:tab/>
        </w:r>
        <w:r w:rsidR="00014EE0">
          <w:rPr>
            <w:webHidden/>
          </w:rPr>
          <w:fldChar w:fldCharType="begin"/>
        </w:r>
        <w:r w:rsidR="00014EE0">
          <w:rPr>
            <w:webHidden/>
          </w:rPr>
          <w:instrText xml:space="preserve"> PAGEREF _Toc12024837 \h </w:instrText>
        </w:r>
        <w:r w:rsidR="00014EE0">
          <w:rPr>
            <w:webHidden/>
          </w:rPr>
        </w:r>
        <w:r w:rsidR="00014EE0">
          <w:rPr>
            <w:webHidden/>
          </w:rPr>
          <w:fldChar w:fldCharType="separate"/>
        </w:r>
        <w:r w:rsidR="004D2DCA">
          <w:rPr>
            <w:webHidden/>
          </w:rPr>
          <w:t>109</w:t>
        </w:r>
        <w:r w:rsidR="00014EE0">
          <w:rPr>
            <w:webHidden/>
          </w:rPr>
          <w:fldChar w:fldCharType="end"/>
        </w:r>
      </w:hyperlink>
    </w:p>
    <w:p w14:paraId="519E4725" w14:textId="04D5C35F" w:rsidR="00014EE0" w:rsidRPr="000215FF" w:rsidRDefault="000267C1">
      <w:pPr>
        <w:pStyle w:val="TOC1"/>
        <w:rPr>
          <w:rFonts w:ascii="Cambria" w:eastAsia="MS Mincho" w:hAnsi="Cambria"/>
          <w:b w:val="0"/>
          <w:bCs w:val="0"/>
          <w:iCs w:val="0"/>
          <w:color w:val="auto"/>
        </w:rPr>
      </w:pPr>
      <w:hyperlink w:anchor="_Toc12024838" w:history="1">
        <w:r w:rsidR="00014EE0" w:rsidRPr="00AF019F">
          <w:rPr>
            <w:rStyle w:val="Hyperlink"/>
          </w:rPr>
          <w:t>Table 5.1. Demographic information (N = 78)</w:t>
        </w:r>
        <w:r w:rsidR="00014EE0">
          <w:rPr>
            <w:webHidden/>
          </w:rPr>
          <w:tab/>
        </w:r>
        <w:r w:rsidR="00014EE0">
          <w:rPr>
            <w:webHidden/>
          </w:rPr>
          <w:fldChar w:fldCharType="begin"/>
        </w:r>
        <w:r w:rsidR="00014EE0">
          <w:rPr>
            <w:webHidden/>
          </w:rPr>
          <w:instrText xml:space="preserve"> PAGEREF _Toc12024838 \h </w:instrText>
        </w:r>
        <w:r w:rsidR="00014EE0">
          <w:rPr>
            <w:webHidden/>
          </w:rPr>
        </w:r>
        <w:r w:rsidR="00014EE0">
          <w:rPr>
            <w:webHidden/>
          </w:rPr>
          <w:fldChar w:fldCharType="separate"/>
        </w:r>
        <w:r w:rsidR="004D2DCA">
          <w:rPr>
            <w:webHidden/>
          </w:rPr>
          <w:t>129</w:t>
        </w:r>
        <w:r w:rsidR="00014EE0">
          <w:rPr>
            <w:webHidden/>
          </w:rPr>
          <w:fldChar w:fldCharType="end"/>
        </w:r>
      </w:hyperlink>
    </w:p>
    <w:p w14:paraId="401C2F4F" w14:textId="17B4D5FA" w:rsidR="00014EE0" w:rsidRPr="000215FF" w:rsidRDefault="000267C1">
      <w:pPr>
        <w:pStyle w:val="TOC1"/>
        <w:rPr>
          <w:rFonts w:ascii="Cambria" w:eastAsia="MS Mincho" w:hAnsi="Cambria"/>
          <w:b w:val="0"/>
          <w:bCs w:val="0"/>
          <w:iCs w:val="0"/>
          <w:color w:val="auto"/>
        </w:rPr>
      </w:pPr>
      <w:hyperlink w:anchor="_Toc12024839" w:history="1">
        <w:r w:rsidR="00014EE0" w:rsidRPr="00AF019F">
          <w:rPr>
            <w:rStyle w:val="Hyperlink"/>
            <w:lang w:eastAsia="en-US"/>
          </w:rPr>
          <w:t>Table 5.2. Estimated means for IC and targets</w:t>
        </w:r>
        <w:r w:rsidR="00014EE0">
          <w:rPr>
            <w:webHidden/>
          </w:rPr>
          <w:tab/>
        </w:r>
        <w:r w:rsidR="00014EE0">
          <w:rPr>
            <w:webHidden/>
          </w:rPr>
          <w:fldChar w:fldCharType="begin"/>
        </w:r>
        <w:r w:rsidR="00014EE0">
          <w:rPr>
            <w:webHidden/>
          </w:rPr>
          <w:instrText xml:space="preserve"> PAGEREF _Toc12024839 \h </w:instrText>
        </w:r>
        <w:r w:rsidR="00014EE0">
          <w:rPr>
            <w:webHidden/>
          </w:rPr>
        </w:r>
        <w:r w:rsidR="00014EE0">
          <w:rPr>
            <w:webHidden/>
          </w:rPr>
          <w:fldChar w:fldCharType="separate"/>
        </w:r>
        <w:r w:rsidR="004D2DCA">
          <w:rPr>
            <w:webHidden/>
          </w:rPr>
          <w:t>130</w:t>
        </w:r>
        <w:r w:rsidR="00014EE0">
          <w:rPr>
            <w:webHidden/>
          </w:rPr>
          <w:fldChar w:fldCharType="end"/>
        </w:r>
      </w:hyperlink>
    </w:p>
    <w:p w14:paraId="144FAD83" w14:textId="77777777" w:rsidR="000F05C1" w:rsidRPr="001905D3" w:rsidRDefault="00BB1F2F" w:rsidP="003958E9">
      <w:pPr>
        <w:pStyle w:val="TOC1"/>
        <w:rPr>
          <w:rFonts w:ascii="Cambria" w:eastAsia="MS Mincho" w:hAnsi="Cambria"/>
          <w:i/>
          <w:color w:val="auto"/>
        </w:rPr>
      </w:pPr>
      <w:r w:rsidRPr="00125F07">
        <w:fldChar w:fldCharType="end"/>
      </w:r>
      <w:r w:rsidR="000F05C1" w:rsidRPr="00125F07">
        <w:fldChar w:fldCharType="begin"/>
      </w:r>
      <w:r w:rsidR="000F05C1" w:rsidRPr="00125F07">
        <w:instrText xml:space="preserve"> TOC \f \h \z \t "Tables,1" </w:instrText>
      </w:r>
      <w:r w:rsidR="000F05C1" w:rsidRPr="00125F07">
        <w:fldChar w:fldCharType="separate"/>
      </w:r>
    </w:p>
    <w:p w14:paraId="4FC03CD3" w14:textId="77777777" w:rsidR="000F05C1" w:rsidRPr="00125F07" w:rsidRDefault="000F05C1" w:rsidP="000F05C1">
      <w:pPr>
        <w:ind w:firstLine="0"/>
      </w:pPr>
      <w:r w:rsidRPr="00125F07">
        <w:fldChar w:fldCharType="end"/>
      </w:r>
      <w:r w:rsidRPr="00125F07">
        <w:fldChar w:fldCharType="begin"/>
      </w:r>
      <w:r w:rsidRPr="00125F07">
        <w:instrText xml:space="preserve"> TOC \h \z \t "Tables,1" </w:instrText>
      </w:r>
      <w:r w:rsidRPr="00125F07">
        <w:fldChar w:fldCharType="separate"/>
      </w:r>
    </w:p>
    <w:p w14:paraId="1CEA5A5F" w14:textId="77777777" w:rsidR="00762FF7" w:rsidRDefault="000F05C1" w:rsidP="00014EE0">
      <w:r w:rsidRPr="00125F07">
        <w:fldChar w:fldCharType="end"/>
      </w:r>
    </w:p>
    <w:p w14:paraId="6599C1AE" w14:textId="77777777" w:rsidR="00014EE0" w:rsidRDefault="00014EE0" w:rsidP="00014EE0"/>
    <w:p w14:paraId="56A821E0" w14:textId="77777777" w:rsidR="00014EE0" w:rsidRDefault="00014EE0" w:rsidP="00014EE0"/>
    <w:p w14:paraId="0B287D46" w14:textId="77777777" w:rsidR="00014EE0" w:rsidRDefault="00014EE0" w:rsidP="00014EE0"/>
    <w:p w14:paraId="2B5A9350" w14:textId="77777777" w:rsidR="00014EE0" w:rsidRDefault="00014EE0" w:rsidP="00014EE0"/>
    <w:p w14:paraId="4CD23655" w14:textId="77777777" w:rsidR="00014EE0" w:rsidRDefault="00014EE0" w:rsidP="00014EE0"/>
    <w:p w14:paraId="377B45A7" w14:textId="77777777" w:rsidR="00014EE0" w:rsidRDefault="00014EE0" w:rsidP="00014EE0"/>
    <w:p w14:paraId="0F2BEB4B" w14:textId="77777777" w:rsidR="00014EE0" w:rsidRPr="00125F07" w:rsidRDefault="00014EE0" w:rsidP="00014EE0"/>
    <w:p w14:paraId="22EE44A2" w14:textId="77777777" w:rsidR="00704544" w:rsidRDefault="00762FF7" w:rsidP="003F77D5">
      <w:pPr>
        <w:pStyle w:val="Heading1"/>
      </w:pPr>
      <w:bookmarkStart w:id="8" w:name="_Toc12024607"/>
      <w:r w:rsidRPr="00125F07">
        <w:lastRenderedPageBreak/>
        <w:t>Figures</w:t>
      </w:r>
      <w:bookmarkEnd w:id="8"/>
    </w:p>
    <w:p w14:paraId="29CBD105" w14:textId="77777777" w:rsidR="00E74B2F" w:rsidRPr="00E74B2F" w:rsidRDefault="00E74B2F" w:rsidP="00E74B2F">
      <w:pPr>
        <w:rPr>
          <w:lang w:eastAsia="en-US"/>
        </w:rPr>
      </w:pPr>
    </w:p>
    <w:p w14:paraId="0B1E8250" w14:textId="0F818FB8" w:rsidR="00E74B2F" w:rsidRPr="00E74B2F" w:rsidRDefault="00E74B2F" w:rsidP="00E74B2F">
      <w:pPr>
        <w:pStyle w:val="TOC1"/>
        <w:rPr>
          <w:i/>
          <w:iCs w:val="0"/>
          <w:color w:val="auto"/>
        </w:rPr>
      </w:pPr>
      <w:r w:rsidRPr="00E74B2F">
        <w:t>Figure 1.1 The dual model of stigma (Pryor et al., 2004, p, 438)………</w:t>
      </w:r>
      <w:r>
        <w:t>…</w:t>
      </w:r>
      <w:r w:rsidRPr="00E74B2F">
        <w:t>………...</w:t>
      </w:r>
      <w:r w:rsidR="00E01BCE">
        <w:t>.2</w:t>
      </w:r>
      <w:r w:rsidR="004D2DCA">
        <w:t>3</w:t>
      </w:r>
    </w:p>
    <w:p w14:paraId="2C79F435" w14:textId="78734CA6" w:rsidR="00014EE0" w:rsidRPr="000215FF" w:rsidRDefault="00BB1F2F">
      <w:pPr>
        <w:pStyle w:val="TOC1"/>
        <w:rPr>
          <w:rFonts w:ascii="Cambria" w:eastAsia="MS Mincho" w:hAnsi="Cambria"/>
          <w:b w:val="0"/>
          <w:bCs w:val="0"/>
          <w:iCs w:val="0"/>
          <w:color w:val="auto"/>
        </w:rPr>
      </w:pPr>
      <w:r w:rsidRPr="003958E9">
        <w:rPr>
          <w:b w:val="0"/>
          <w:lang w:eastAsia="en-US"/>
        </w:rPr>
        <w:fldChar w:fldCharType="begin"/>
      </w:r>
      <w:r w:rsidRPr="003958E9">
        <w:rPr>
          <w:b w:val="0"/>
          <w:lang w:eastAsia="en-US"/>
        </w:rPr>
        <w:instrText xml:space="preserve"> TOC \t "Figures,1" </w:instrText>
      </w:r>
      <w:r w:rsidRPr="003958E9">
        <w:rPr>
          <w:b w:val="0"/>
          <w:lang w:eastAsia="en-US"/>
        </w:rPr>
        <w:fldChar w:fldCharType="separate"/>
      </w:r>
      <w:bookmarkStart w:id="9" w:name="_Hlk12035466"/>
      <w:r w:rsidR="00014EE0">
        <w:t xml:space="preserve">Figure </w:t>
      </w:r>
      <w:r w:rsidR="00253957">
        <w:t>2.1</w:t>
      </w:r>
      <w:r w:rsidR="00014EE0">
        <w:t xml:space="preserve"> PRISMA flow diagram of study selection process</w:t>
      </w:r>
      <w:r w:rsidR="00014EE0">
        <w:tab/>
      </w:r>
      <w:r w:rsidR="00014EE0">
        <w:fldChar w:fldCharType="begin"/>
      </w:r>
      <w:r w:rsidR="00014EE0">
        <w:instrText xml:space="preserve"> PAGEREF _Toc12024849 \h </w:instrText>
      </w:r>
      <w:r w:rsidR="00014EE0">
        <w:fldChar w:fldCharType="separate"/>
      </w:r>
      <w:r w:rsidR="004D2DCA">
        <w:t>34</w:t>
      </w:r>
      <w:r w:rsidR="00014EE0">
        <w:fldChar w:fldCharType="end"/>
      </w:r>
    </w:p>
    <w:bookmarkEnd w:id="9"/>
    <w:p w14:paraId="5D9A511F" w14:textId="7A506F17" w:rsidR="00014EE0" w:rsidRPr="000215FF" w:rsidRDefault="00014EE0">
      <w:pPr>
        <w:pStyle w:val="TOC1"/>
        <w:rPr>
          <w:rFonts w:ascii="Cambria" w:eastAsia="MS Mincho" w:hAnsi="Cambria"/>
          <w:b w:val="0"/>
          <w:bCs w:val="0"/>
          <w:iCs w:val="0"/>
          <w:color w:val="auto"/>
        </w:rPr>
      </w:pPr>
      <w:r>
        <w:t>Figure 2.</w:t>
      </w:r>
      <w:r w:rsidR="00253957">
        <w:t>2</w:t>
      </w:r>
      <w:r>
        <w:t xml:space="preserve"> Publication rate and locality of articles</w:t>
      </w:r>
      <w:r>
        <w:tab/>
      </w:r>
      <w:r>
        <w:fldChar w:fldCharType="begin"/>
      </w:r>
      <w:r>
        <w:instrText xml:space="preserve"> PAGEREF _Toc12024850 \h </w:instrText>
      </w:r>
      <w:r>
        <w:fldChar w:fldCharType="separate"/>
      </w:r>
      <w:r w:rsidR="004D2DCA">
        <w:t>35</w:t>
      </w:r>
      <w:r>
        <w:fldChar w:fldCharType="end"/>
      </w:r>
    </w:p>
    <w:p w14:paraId="0426F120" w14:textId="7AC2D00B" w:rsidR="00014EE0" w:rsidRPr="000215FF" w:rsidRDefault="00014EE0">
      <w:pPr>
        <w:pStyle w:val="TOC1"/>
        <w:rPr>
          <w:rFonts w:ascii="Cambria" w:eastAsia="MS Mincho" w:hAnsi="Cambria"/>
          <w:b w:val="0"/>
          <w:bCs w:val="0"/>
          <w:iCs w:val="0"/>
          <w:color w:val="auto"/>
        </w:rPr>
      </w:pPr>
      <w:r>
        <w:rPr>
          <w:lang w:eastAsia="zh-CN"/>
        </w:rPr>
        <w:t>Figure 3.1. Response time differences IAT</w:t>
      </w:r>
      <w:r>
        <w:tab/>
      </w:r>
      <w:r>
        <w:fldChar w:fldCharType="begin"/>
      </w:r>
      <w:r>
        <w:instrText xml:space="preserve"> PAGEREF _Toc12024851 \h </w:instrText>
      </w:r>
      <w:r>
        <w:fldChar w:fldCharType="separate"/>
      </w:r>
      <w:r w:rsidR="004D2DCA">
        <w:t>87</w:t>
      </w:r>
      <w:r>
        <w:fldChar w:fldCharType="end"/>
      </w:r>
    </w:p>
    <w:p w14:paraId="64FD0A73" w14:textId="1EB43E98" w:rsidR="00014EE0" w:rsidRPr="000215FF" w:rsidRDefault="00014EE0">
      <w:pPr>
        <w:pStyle w:val="TOC1"/>
        <w:rPr>
          <w:rFonts w:ascii="Cambria" w:eastAsia="MS Mincho" w:hAnsi="Cambria"/>
          <w:b w:val="0"/>
          <w:bCs w:val="0"/>
          <w:iCs w:val="0"/>
          <w:color w:val="auto"/>
        </w:rPr>
      </w:pPr>
      <w:r>
        <w:rPr>
          <w:lang w:eastAsia="zh-CN"/>
        </w:rPr>
        <w:t>Figure 3.2. Gender differences</w:t>
      </w:r>
      <w:r>
        <w:tab/>
      </w:r>
      <w:r>
        <w:fldChar w:fldCharType="begin"/>
      </w:r>
      <w:r>
        <w:instrText xml:space="preserve"> PAGEREF _Toc12024852 \h </w:instrText>
      </w:r>
      <w:r>
        <w:fldChar w:fldCharType="separate"/>
      </w:r>
      <w:r w:rsidR="004D2DCA">
        <w:t>88</w:t>
      </w:r>
      <w:r>
        <w:fldChar w:fldCharType="end"/>
      </w:r>
    </w:p>
    <w:p w14:paraId="5A86D5F6" w14:textId="03D205CB" w:rsidR="00014EE0" w:rsidRPr="000215FF" w:rsidRDefault="00014EE0">
      <w:pPr>
        <w:pStyle w:val="TOC1"/>
        <w:rPr>
          <w:rFonts w:ascii="Cambria" w:eastAsia="MS Mincho" w:hAnsi="Cambria"/>
          <w:b w:val="0"/>
          <w:bCs w:val="0"/>
          <w:iCs w:val="0"/>
          <w:color w:val="auto"/>
        </w:rPr>
      </w:pPr>
      <w:r>
        <w:rPr>
          <w:lang w:eastAsia="en-US"/>
        </w:rPr>
        <w:t>Figure 4.1. Video-clip awareness message</w:t>
      </w:r>
      <w:r>
        <w:tab/>
      </w:r>
      <w:r>
        <w:fldChar w:fldCharType="begin"/>
      </w:r>
      <w:r>
        <w:instrText xml:space="preserve"> PAGEREF _Toc12024853 \h </w:instrText>
      </w:r>
      <w:r>
        <w:fldChar w:fldCharType="separate"/>
      </w:r>
      <w:r w:rsidR="004D2DCA">
        <w:t>101</w:t>
      </w:r>
      <w:r>
        <w:fldChar w:fldCharType="end"/>
      </w:r>
    </w:p>
    <w:p w14:paraId="01CB25B3" w14:textId="2B34F58B" w:rsidR="00014EE0" w:rsidRPr="000215FF" w:rsidRDefault="00014EE0">
      <w:pPr>
        <w:pStyle w:val="TOC1"/>
        <w:rPr>
          <w:rFonts w:ascii="Cambria" w:eastAsia="MS Mincho" w:hAnsi="Cambria"/>
          <w:b w:val="0"/>
          <w:bCs w:val="0"/>
          <w:iCs w:val="0"/>
          <w:color w:val="auto"/>
        </w:rPr>
      </w:pPr>
      <w:r>
        <w:rPr>
          <w:lang w:eastAsia="en-US"/>
        </w:rPr>
        <w:t>Figure 4.2. Recruitment flow diagram</w:t>
      </w:r>
      <w:r>
        <w:tab/>
      </w:r>
      <w:r>
        <w:fldChar w:fldCharType="begin"/>
      </w:r>
      <w:r>
        <w:instrText xml:space="preserve"> PAGEREF _Toc12024854 \h </w:instrText>
      </w:r>
      <w:r>
        <w:fldChar w:fldCharType="separate"/>
      </w:r>
      <w:r w:rsidR="004D2DCA">
        <w:t>103</w:t>
      </w:r>
      <w:r>
        <w:fldChar w:fldCharType="end"/>
      </w:r>
    </w:p>
    <w:p w14:paraId="6971E3A5" w14:textId="29BCA333" w:rsidR="00014EE0" w:rsidRPr="000215FF" w:rsidRDefault="00014EE0">
      <w:pPr>
        <w:pStyle w:val="TOC1"/>
        <w:rPr>
          <w:rFonts w:ascii="Cambria" w:eastAsia="MS Mincho" w:hAnsi="Cambria"/>
          <w:b w:val="0"/>
          <w:bCs w:val="0"/>
          <w:iCs w:val="0"/>
          <w:color w:val="auto"/>
        </w:rPr>
      </w:pPr>
      <w:r>
        <w:rPr>
          <w:lang w:eastAsia="en-US"/>
        </w:rPr>
        <w:t>Figure 4.1. Interaction effects in intended avoidance towards FD</w:t>
      </w:r>
      <w:r>
        <w:tab/>
      </w:r>
      <w:r>
        <w:fldChar w:fldCharType="begin"/>
      </w:r>
      <w:r>
        <w:instrText xml:space="preserve"> PAGEREF _Toc12024855 \h </w:instrText>
      </w:r>
      <w:r>
        <w:fldChar w:fldCharType="separate"/>
      </w:r>
      <w:r w:rsidR="004D2DCA">
        <w:t>109</w:t>
      </w:r>
      <w:r>
        <w:fldChar w:fldCharType="end"/>
      </w:r>
    </w:p>
    <w:p w14:paraId="513723CF" w14:textId="44CD9CDD" w:rsidR="00014EE0" w:rsidRPr="000215FF" w:rsidRDefault="00014EE0">
      <w:pPr>
        <w:pStyle w:val="TOC1"/>
        <w:rPr>
          <w:rFonts w:ascii="Cambria" w:eastAsia="MS Mincho" w:hAnsi="Cambria"/>
          <w:b w:val="0"/>
          <w:bCs w:val="0"/>
          <w:iCs w:val="0"/>
          <w:color w:val="auto"/>
        </w:rPr>
      </w:pPr>
      <w:r>
        <w:rPr>
          <w:lang w:eastAsia="en-US"/>
        </w:rPr>
        <w:t>Figure 5.1. Experiment procedure</w:t>
      </w:r>
      <w:r>
        <w:tab/>
      </w:r>
      <w:r>
        <w:fldChar w:fldCharType="begin"/>
      </w:r>
      <w:r>
        <w:instrText xml:space="preserve"> PAGEREF _Toc12024856 \h </w:instrText>
      </w:r>
      <w:r>
        <w:fldChar w:fldCharType="separate"/>
      </w:r>
      <w:r w:rsidR="004D2DCA">
        <w:t>123</w:t>
      </w:r>
      <w:r>
        <w:fldChar w:fldCharType="end"/>
      </w:r>
    </w:p>
    <w:p w14:paraId="4B659823" w14:textId="1F07B31D" w:rsidR="00014EE0" w:rsidRPr="000215FF" w:rsidRDefault="00014EE0">
      <w:pPr>
        <w:pStyle w:val="TOC1"/>
        <w:rPr>
          <w:rFonts w:ascii="Cambria" w:eastAsia="MS Mincho" w:hAnsi="Cambria"/>
          <w:b w:val="0"/>
          <w:bCs w:val="0"/>
          <w:iCs w:val="0"/>
          <w:color w:val="auto"/>
        </w:rPr>
      </w:pPr>
      <w:r>
        <w:rPr>
          <w:lang w:eastAsia="en-US"/>
        </w:rPr>
        <w:t>Figure 5.2. Travel agent job advert</w:t>
      </w:r>
      <w:r>
        <w:tab/>
      </w:r>
      <w:r>
        <w:fldChar w:fldCharType="begin"/>
      </w:r>
      <w:r>
        <w:instrText xml:space="preserve"> PAGEREF _Toc12024857 \h </w:instrText>
      </w:r>
      <w:r>
        <w:fldChar w:fldCharType="separate"/>
      </w:r>
      <w:r w:rsidR="004D2DCA">
        <w:t>125</w:t>
      </w:r>
      <w:r>
        <w:fldChar w:fldCharType="end"/>
      </w:r>
    </w:p>
    <w:p w14:paraId="138A4BB0" w14:textId="056F1770" w:rsidR="00014EE0" w:rsidRPr="000215FF" w:rsidRDefault="00014EE0">
      <w:pPr>
        <w:pStyle w:val="TOC1"/>
        <w:rPr>
          <w:rFonts w:ascii="Cambria" w:eastAsia="MS Mincho" w:hAnsi="Cambria"/>
          <w:b w:val="0"/>
          <w:bCs w:val="0"/>
          <w:iCs w:val="0"/>
          <w:color w:val="auto"/>
        </w:rPr>
      </w:pPr>
      <w:r>
        <w:t>Figure 5.3. Mock CV and photos</w:t>
      </w:r>
      <w:r>
        <w:tab/>
      </w:r>
      <w:r>
        <w:fldChar w:fldCharType="begin"/>
      </w:r>
      <w:r>
        <w:instrText xml:space="preserve"> PAGEREF _Toc12024858 \h </w:instrText>
      </w:r>
      <w:r>
        <w:fldChar w:fldCharType="separate"/>
      </w:r>
      <w:r w:rsidR="004D2DCA">
        <w:t>126</w:t>
      </w:r>
      <w:r>
        <w:fldChar w:fldCharType="end"/>
      </w:r>
    </w:p>
    <w:p w14:paraId="3B8651AA" w14:textId="11E2C422" w:rsidR="00014EE0" w:rsidRPr="000215FF" w:rsidRDefault="00014EE0">
      <w:pPr>
        <w:pStyle w:val="TOC1"/>
        <w:rPr>
          <w:rFonts w:ascii="Cambria" w:eastAsia="MS Mincho" w:hAnsi="Cambria"/>
          <w:b w:val="0"/>
          <w:bCs w:val="0"/>
          <w:iCs w:val="0"/>
          <w:color w:val="auto"/>
        </w:rPr>
      </w:pPr>
      <w:r>
        <w:rPr>
          <w:lang w:eastAsia="en-US"/>
        </w:rPr>
        <w:t>Figure 5.4. Interaction target x IC for emotional strength</w:t>
      </w:r>
      <w:r>
        <w:tab/>
      </w:r>
      <w:r>
        <w:fldChar w:fldCharType="begin"/>
      </w:r>
      <w:r>
        <w:instrText xml:space="preserve"> PAGEREF _Toc12024859 \h </w:instrText>
      </w:r>
      <w:r>
        <w:fldChar w:fldCharType="separate"/>
      </w:r>
      <w:r w:rsidR="004D2DCA">
        <w:t>131</w:t>
      </w:r>
      <w:r>
        <w:fldChar w:fldCharType="end"/>
      </w:r>
    </w:p>
    <w:p w14:paraId="2AF7BF79" w14:textId="77777777" w:rsidR="003F77D5" w:rsidRPr="00125F07" w:rsidRDefault="00BB1F2F" w:rsidP="003958E9">
      <w:pPr>
        <w:pStyle w:val="TOC1"/>
        <w:rPr>
          <w:lang w:eastAsia="en-US"/>
        </w:rPr>
      </w:pPr>
      <w:r w:rsidRPr="003958E9">
        <w:rPr>
          <w:b w:val="0"/>
          <w:lang w:eastAsia="en-US"/>
        </w:rPr>
        <w:fldChar w:fldCharType="end"/>
      </w:r>
    </w:p>
    <w:p w14:paraId="7D796131" w14:textId="77777777" w:rsidR="003F77D5" w:rsidRPr="00125F07" w:rsidRDefault="003F77D5" w:rsidP="003F77D5">
      <w:pPr>
        <w:rPr>
          <w:lang w:eastAsia="en-US"/>
        </w:rPr>
      </w:pPr>
    </w:p>
    <w:p w14:paraId="349285A5" w14:textId="77777777" w:rsidR="003F77D5" w:rsidRPr="00125F07" w:rsidRDefault="003F77D5" w:rsidP="003F77D5">
      <w:pPr>
        <w:rPr>
          <w:lang w:eastAsia="en-US"/>
        </w:rPr>
      </w:pPr>
    </w:p>
    <w:p w14:paraId="741DD3B2" w14:textId="77777777" w:rsidR="003F77D5" w:rsidRPr="00125F07" w:rsidRDefault="003F77D5" w:rsidP="003F77D5">
      <w:pPr>
        <w:rPr>
          <w:lang w:eastAsia="en-US"/>
        </w:rPr>
      </w:pPr>
    </w:p>
    <w:p w14:paraId="374F3BD1" w14:textId="77777777" w:rsidR="003F77D5" w:rsidRPr="00125F07" w:rsidRDefault="003F77D5" w:rsidP="003F77D5">
      <w:pPr>
        <w:rPr>
          <w:lang w:eastAsia="en-US"/>
        </w:rPr>
      </w:pPr>
    </w:p>
    <w:p w14:paraId="75B686FB" w14:textId="77777777" w:rsidR="003F77D5" w:rsidRPr="00125F07" w:rsidRDefault="003F77D5" w:rsidP="003F77D5">
      <w:pPr>
        <w:rPr>
          <w:lang w:eastAsia="en-US"/>
        </w:rPr>
      </w:pPr>
    </w:p>
    <w:p w14:paraId="76654504" w14:textId="77777777" w:rsidR="003F77D5" w:rsidRPr="00125F07" w:rsidRDefault="003F77D5" w:rsidP="003F77D5">
      <w:pPr>
        <w:rPr>
          <w:lang w:eastAsia="en-US"/>
        </w:rPr>
      </w:pPr>
    </w:p>
    <w:p w14:paraId="261591C8" w14:textId="77777777" w:rsidR="003F77D5" w:rsidRPr="00125F07" w:rsidRDefault="003F77D5" w:rsidP="003F77D5">
      <w:pPr>
        <w:rPr>
          <w:lang w:eastAsia="en-US"/>
        </w:rPr>
      </w:pPr>
    </w:p>
    <w:p w14:paraId="24866BB7" w14:textId="77777777" w:rsidR="003F77D5" w:rsidRPr="00125F07" w:rsidRDefault="003F77D5" w:rsidP="003F77D5">
      <w:pPr>
        <w:rPr>
          <w:lang w:eastAsia="en-US"/>
        </w:rPr>
      </w:pPr>
    </w:p>
    <w:p w14:paraId="53DF1EF3" w14:textId="77777777" w:rsidR="003F77D5" w:rsidRPr="00125F07" w:rsidRDefault="003F77D5" w:rsidP="003F77D5">
      <w:pPr>
        <w:rPr>
          <w:lang w:eastAsia="en-US"/>
        </w:rPr>
      </w:pPr>
    </w:p>
    <w:p w14:paraId="31B33774" w14:textId="77777777" w:rsidR="003F77D5" w:rsidRPr="00125F07" w:rsidRDefault="003F77D5" w:rsidP="003F77D5">
      <w:pPr>
        <w:rPr>
          <w:lang w:eastAsia="en-US"/>
        </w:rPr>
      </w:pPr>
    </w:p>
    <w:p w14:paraId="43633B8D" w14:textId="77777777" w:rsidR="003F77D5" w:rsidRPr="00125F07" w:rsidRDefault="003F77D5" w:rsidP="003F77D5">
      <w:pPr>
        <w:rPr>
          <w:lang w:eastAsia="en-US"/>
        </w:rPr>
      </w:pPr>
    </w:p>
    <w:p w14:paraId="50F064F7" w14:textId="77777777" w:rsidR="003F77D5" w:rsidRPr="00125F07" w:rsidRDefault="003F77D5" w:rsidP="003F77D5">
      <w:pPr>
        <w:rPr>
          <w:lang w:eastAsia="en-US"/>
        </w:rPr>
      </w:pPr>
    </w:p>
    <w:p w14:paraId="315E4248" w14:textId="77777777" w:rsidR="00970408" w:rsidRPr="00125F07" w:rsidRDefault="00970408" w:rsidP="00970408">
      <w:pPr>
        <w:ind w:firstLine="0"/>
        <w:rPr>
          <w:lang w:eastAsia="en-US"/>
        </w:rPr>
      </w:pPr>
    </w:p>
    <w:p w14:paraId="082182E0" w14:textId="77777777" w:rsidR="00C30DDD" w:rsidRDefault="00880492" w:rsidP="00A02454">
      <w:pPr>
        <w:pStyle w:val="Heading1"/>
      </w:pPr>
      <w:bookmarkStart w:id="10" w:name="_Toc516569991"/>
      <w:bookmarkStart w:id="11" w:name="_Toc12024608"/>
      <w:r w:rsidRPr="00125F07">
        <w:lastRenderedPageBreak/>
        <w:t>Chapter 1:</w:t>
      </w:r>
      <w:r w:rsidR="00204A1A" w:rsidRPr="00125F07">
        <w:t xml:space="preserve"> Introduction</w:t>
      </w:r>
      <w:bookmarkEnd w:id="10"/>
      <w:bookmarkEnd w:id="11"/>
    </w:p>
    <w:p w14:paraId="08A68021" w14:textId="77777777" w:rsidR="00AD6317" w:rsidRPr="00AD6317" w:rsidRDefault="00AD6317" w:rsidP="00AD6317">
      <w:pPr>
        <w:ind w:left="720" w:firstLine="0"/>
        <w:rPr>
          <w:i/>
          <w:iCs/>
          <w:color w:val="auto"/>
          <w:szCs w:val="24"/>
        </w:rPr>
      </w:pPr>
      <w:r w:rsidRPr="00AD6317">
        <w:rPr>
          <w:i/>
          <w:iCs/>
          <w:color w:val="auto"/>
          <w:szCs w:val="24"/>
        </w:rPr>
        <w:t>The pieces of ourselves that evolved to help us survive in the past are just that, pieces. Not all pieces that make up our minds are adaptations. Some pieces came along for the ride</w:t>
      </w:r>
      <w:r>
        <w:rPr>
          <w:i/>
          <w:iCs/>
          <w:color w:val="auto"/>
          <w:szCs w:val="24"/>
        </w:rPr>
        <w:t xml:space="preserve"> </w:t>
      </w:r>
      <w:r w:rsidRPr="00AD6317">
        <w:rPr>
          <w:color w:val="auto"/>
          <w:szCs w:val="24"/>
        </w:rPr>
        <w:t>(Chatterjee,</w:t>
      </w:r>
      <w:r>
        <w:rPr>
          <w:color w:val="auto"/>
          <w:szCs w:val="24"/>
        </w:rPr>
        <w:t xml:space="preserve"> 2014, p, xxii)</w:t>
      </w:r>
      <w:r>
        <w:rPr>
          <w:i/>
          <w:iCs/>
          <w:color w:val="auto"/>
          <w:szCs w:val="24"/>
        </w:rPr>
        <w:t xml:space="preserve"> </w:t>
      </w:r>
    </w:p>
    <w:p w14:paraId="768E20AA" w14:textId="4A426E9F" w:rsidR="00985A2E" w:rsidRPr="00985A2E" w:rsidRDefault="00985A2E" w:rsidP="005A2B3D">
      <w:pPr>
        <w:ind w:firstLine="0"/>
      </w:pPr>
      <w:bookmarkStart w:id="12" w:name="_Toc516569992"/>
      <w:r w:rsidRPr="00985A2E">
        <w:t xml:space="preserve">The term stigma is defined as a mark or point in the skin and its etymological origin dates </w:t>
      </w:r>
      <w:r w:rsidR="00523F69">
        <w:t xml:space="preserve">back </w:t>
      </w:r>
      <w:r w:rsidRPr="00985A2E">
        <w:t xml:space="preserve">to the Ancient Greek term </w:t>
      </w:r>
      <w:r w:rsidRPr="00985A2E">
        <w:rPr>
          <w:i/>
          <w:iCs/>
        </w:rPr>
        <w:t>στίγμα</w:t>
      </w:r>
      <w:r w:rsidRPr="00985A2E">
        <w:t xml:space="preserve"> </w:t>
      </w:r>
      <w:r w:rsidRPr="00985A2E">
        <w:rPr>
          <w:noProof/>
        </w:rPr>
        <w:t>(OED, 2007)</w:t>
      </w:r>
      <w:r w:rsidRPr="00985A2E">
        <w:rPr>
          <w:i/>
          <w:iCs/>
        </w:rPr>
        <w:t>.</w:t>
      </w:r>
      <w:r w:rsidRPr="00985A2E">
        <w:t xml:space="preserve"> During the late sixteenth and through the seventieth century, the word stigma referred to the practice of cutting or burning a spot into the skin of felons, slaves and other subjugated groups in order to punish them or brand them as undesirable individual</w:t>
      </w:r>
      <w:r w:rsidR="00523F69">
        <w:t>s</w:t>
      </w:r>
      <w:r w:rsidRPr="00985A2E">
        <w:t xml:space="preserve">. The stigma offered a visible indication for others to identify (and avoid) morally corrupted individuals </w:t>
      </w:r>
      <w:r w:rsidRPr="00985A2E">
        <w:rPr>
          <w:noProof/>
        </w:rPr>
        <w:t>(Fink, 1992; Goffman, 1963)</w:t>
      </w:r>
      <w:r w:rsidRPr="00985A2E">
        <w:t xml:space="preserve">. The word was later on introduced in the field of sociology to denote stigma as a social process characterised by the rejection, devaluation, and blame of an individual or group based on attributes that differentiate them from the norm </w:t>
      </w:r>
      <w:r w:rsidRPr="00985A2E">
        <w:rPr>
          <w:noProof/>
        </w:rPr>
        <w:t>(Goffman, 1963)</w:t>
      </w:r>
      <w:r w:rsidRPr="00985A2E">
        <w:t xml:space="preserve">.  Stigma, as proposed by Goffman (1963), comprises three categories: (i) ’tribal stigma’ which covers stigmas based on differences of group membership (e.g., ethnic minorities); (ii) ’character blemishes’ such as stigma towards behavioural deviation (e.g., psychiatric conditions); and (iii) stigma towards 'abominations of the body' which covers visible appearances outside the aesthetic norm (e.g., facial disfigurement). </w:t>
      </w:r>
    </w:p>
    <w:p w14:paraId="4588202E" w14:textId="0F6C10A2" w:rsidR="00985A2E" w:rsidRPr="00985A2E" w:rsidRDefault="00985A2E" w:rsidP="00985A2E">
      <w:r w:rsidRPr="00985A2E">
        <w:t xml:space="preserve">Almost a decade before the introduction of </w:t>
      </w:r>
      <w:r w:rsidRPr="00985A2E">
        <w:rPr>
          <w:i/>
          <w:iCs/>
        </w:rPr>
        <w:t>Stigma: Notes on a spoiled identity</w:t>
      </w:r>
      <w:r w:rsidRPr="00985A2E">
        <w:t xml:space="preserve"> </w:t>
      </w:r>
      <w:r w:rsidRPr="00985A2E">
        <w:rPr>
          <w:noProof/>
        </w:rPr>
        <w:t>(Goffman, 1963)</w:t>
      </w:r>
      <w:r w:rsidRPr="00985A2E">
        <w:t>, the conceptualisation of ethnic prejudice had been suggested by</w:t>
      </w:r>
      <w:r w:rsidRPr="00985A2E">
        <w:rPr>
          <w:noProof/>
          <w:color w:val="FFFFFF"/>
        </w:rPr>
        <w:t>(</w:t>
      </w:r>
      <w:r w:rsidRPr="00985A2E">
        <w:rPr>
          <w:noProof/>
        </w:rPr>
        <w:t>Allport (1954)</w:t>
      </w:r>
      <w:r w:rsidRPr="00985A2E">
        <w:t xml:space="preserve"> as another term to denote hostile attitudes, feelings or treatment </w:t>
      </w:r>
      <w:r w:rsidR="002F0A17">
        <w:t>towards</w:t>
      </w:r>
      <w:r w:rsidR="002F0A17" w:rsidRPr="00985A2E">
        <w:t xml:space="preserve"> </w:t>
      </w:r>
      <w:r w:rsidRPr="00985A2E">
        <w:t xml:space="preserve">an individual </w:t>
      </w:r>
      <w:r w:rsidR="002F0A17">
        <w:t>based</w:t>
      </w:r>
      <w:r w:rsidR="002F0A17" w:rsidRPr="00985A2E">
        <w:t xml:space="preserve"> </w:t>
      </w:r>
      <w:r w:rsidRPr="00985A2E">
        <w:t>o</w:t>
      </w:r>
      <w:r w:rsidR="002F0A17">
        <w:t>n</w:t>
      </w:r>
      <w:r w:rsidRPr="00985A2E">
        <w:t xml:space="preserve"> his or her affiliation to a group deemed to have negative qualities</w:t>
      </w:r>
      <w:r w:rsidR="002F0A17">
        <w:t>.</w:t>
      </w:r>
      <w:r w:rsidRPr="00985A2E">
        <w:t xml:space="preserve"> For example, in the case of prejudice based on religious beliefs, race, or ethnicity </w:t>
      </w:r>
      <w:r w:rsidRPr="00985A2E">
        <w:rPr>
          <w:noProof/>
        </w:rPr>
        <w:t>(Allport, Clark, &amp; Pettigrew, 1954)</w:t>
      </w:r>
      <w:r w:rsidRPr="00985A2E">
        <w:t xml:space="preserve">. Since the publications of Allport </w:t>
      </w:r>
      <w:r w:rsidRPr="00985A2E">
        <w:rPr>
          <w:noProof/>
        </w:rPr>
        <w:t>(1954)</w:t>
      </w:r>
      <w:r w:rsidRPr="00985A2E">
        <w:t xml:space="preserve"> and Goffman (</w:t>
      </w:r>
      <w:r w:rsidRPr="00985A2E">
        <w:fldChar w:fldCharType="begin" w:fldLock="1"/>
      </w:r>
      <w:r w:rsidRPr="00985A2E">
        <w:instrText xml:space="preserve"> CSL_CITATION { "citationItems" : [ { "id" : "ITEM-1", "itemData" : { "author" : [ { "dropping-particle" : "", "family" : "Goffman", "given" : "E", "non-dropping-particle" : "", "parse-names" : false, "suffix" : "" } ], "container-title" : "Jenkins, JH &amp; Carpenter", "id" : "ITEM-1", "issued" : { "date-parts" : [ [ "1963" ] ] }, "title" : "Stigma: Notes on a spoiled identity", "type" : "article-journal" }, "uris" : [ "http://www.mendeley.com/documents/?uuid=623afe12-6fd4-4cf3-900e-78b85d8e85a9" ] } ], "mendeley" : { "formattedCitation" : "(Goffman, 1963)", "manualFormatting" : "1963", "plainTextFormattedCitation" : "(Goffman, 1963)", "previouslyFormattedCitation" : "(Goffman, 1963)" }, "properties" : { "noteIndex" : 0 }, "schema" : "https://github.com/citation-style-language/schema/raw/master/csl-citation.json" }</w:instrText>
      </w:r>
      <w:r w:rsidRPr="00985A2E">
        <w:fldChar w:fldCharType="separate"/>
      </w:r>
      <w:r w:rsidRPr="00985A2E">
        <w:rPr>
          <w:noProof/>
        </w:rPr>
        <w:t>1963</w:t>
      </w:r>
      <w:r w:rsidRPr="00985A2E">
        <w:fldChar w:fldCharType="end"/>
      </w:r>
      <w:r w:rsidRPr="00985A2E">
        <w:t xml:space="preserve">), two lines of work have been developed in the field of stigma </w:t>
      </w:r>
      <w:r w:rsidRPr="00985A2E">
        <w:rPr>
          <w:noProof/>
        </w:rPr>
        <w:t>(Link &amp; Phelan, 2001)</w:t>
      </w:r>
      <w:r w:rsidRPr="00985A2E">
        <w:t xml:space="preserve"> and prejudice </w:t>
      </w:r>
      <w:r w:rsidRPr="00985A2E">
        <w:rPr>
          <w:noProof/>
        </w:rPr>
        <w:t>(Dovidio, Glick, &amp; Rudman, 2008)</w:t>
      </w:r>
      <w:r w:rsidRPr="00985A2E">
        <w:t xml:space="preserve">. However, due to similarities </w:t>
      </w:r>
      <w:r w:rsidR="002F0A17">
        <w:t>between</w:t>
      </w:r>
      <w:r w:rsidR="002F0A17" w:rsidRPr="00985A2E">
        <w:t xml:space="preserve"> </w:t>
      </w:r>
      <w:r w:rsidRPr="00985A2E">
        <w:t>these concepts, the lines of research related to stigma and prejudice have overlapped in the literature</w:t>
      </w:r>
      <w:r w:rsidR="002F0A17">
        <w:t>.</w:t>
      </w:r>
      <w:r w:rsidRPr="00985A2E">
        <w:t xml:space="preserve"> </w:t>
      </w:r>
      <w:r w:rsidR="002F0A17">
        <w:t>I</w:t>
      </w:r>
      <w:r w:rsidRPr="00985A2E">
        <w:t xml:space="preserve">t is not uncommon for authors to use the </w:t>
      </w:r>
      <w:r w:rsidR="002F0A17">
        <w:t>words</w:t>
      </w:r>
      <w:r w:rsidRPr="00985A2E">
        <w:t xml:space="preserve"> </w:t>
      </w:r>
      <w:r w:rsidRPr="004D2DCA">
        <w:rPr>
          <w:i/>
        </w:rPr>
        <w:t>prejudice</w:t>
      </w:r>
      <w:r w:rsidRPr="00985A2E">
        <w:t xml:space="preserve"> and </w:t>
      </w:r>
      <w:r w:rsidRPr="004D2DCA">
        <w:rPr>
          <w:i/>
        </w:rPr>
        <w:t>stigma</w:t>
      </w:r>
      <w:r w:rsidRPr="00985A2E">
        <w:t xml:space="preserve"> </w:t>
      </w:r>
      <w:r w:rsidR="002F0A17">
        <w:t xml:space="preserve">as synonyms </w:t>
      </w:r>
      <w:r w:rsidRPr="00985A2E">
        <w:t xml:space="preserve">within the same manuscript (e.g., </w:t>
      </w:r>
      <w:r w:rsidRPr="00985A2E">
        <w:rPr>
          <w:noProof/>
        </w:rPr>
        <w:t>Corrigan &amp; Shapiro, 2010; Franks &amp; Goodrick-meech, 1997; Lee &amp; Cunningham, 2014; Roberts &amp; Gierasch, 2013)</w:t>
      </w:r>
      <w:r w:rsidRPr="00985A2E">
        <w:t>.</w:t>
      </w:r>
    </w:p>
    <w:p w14:paraId="12475975" w14:textId="4B9FA88E" w:rsidR="00985A2E" w:rsidRPr="00985A2E" w:rsidRDefault="00985A2E" w:rsidP="00985A2E">
      <w:r w:rsidRPr="00985A2E">
        <w:t xml:space="preserve">A review </w:t>
      </w:r>
      <w:r w:rsidR="00E72671">
        <w:t xml:space="preserve">conducted by </w:t>
      </w:r>
      <w:r w:rsidR="00E72671" w:rsidRPr="00985A2E">
        <w:rPr>
          <w:noProof/>
        </w:rPr>
        <w:t>Phelan, Link, and Dovidio, (2008)</w:t>
      </w:r>
      <w:r w:rsidR="00E72671">
        <w:t xml:space="preserve"> showed that</w:t>
      </w:r>
      <w:r w:rsidRPr="00985A2E">
        <w:t xml:space="preserve"> key theoretical models utilised in the stud</w:t>
      </w:r>
      <w:r w:rsidR="00E72671">
        <w:t>y</w:t>
      </w:r>
      <w:r w:rsidRPr="00985A2E">
        <w:t xml:space="preserve"> of stigma and prejudice differ</w:t>
      </w:r>
      <w:r w:rsidR="002F0A17">
        <w:t xml:space="preserve"> mainly</w:t>
      </w:r>
      <w:r w:rsidRPr="00985A2E">
        <w:t xml:space="preserve"> in target and form. Out of the studies addressing prejudice, seventy-three percent targeted negative treatment associated with race or ethnicity. In contrast, ninety-two articles studying stigma referred to illness</w:t>
      </w:r>
      <w:r w:rsidR="0092326A">
        <w:t>es</w:t>
      </w:r>
      <w:r w:rsidRPr="00985A2E">
        <w:t>, disabilit</w:t>
      </w:r>
      <w:r w:rsidR="0092326A">
        <w:t>y,</w:t>
      </w:r>
      <w:r w:rsidRPr="00985A2E">
        <w:t xml:space="preserve"> non-typical behaviour or identity. Six </w:t>
      </w:r>
      <w:r w:rsidRPr="00985A2E">
        <w:lastRenderedPageBreak/>
        <w:t xml:space="preserve">percent of studies used stigma to address race, ethnicity or gender. </w:t>
      </w:r>
      <w:r w:rsidR="008E7849">
        <w:t>T</w:t>
      </w:r>
      <w:r w:rsidRPr="00985A2E">
        <w:t xml:space="preserve">he rationale </w:t>
      </w:r>
      <w:r w:rsidRPr="00222B4F">
        <w:t xml:space="preserve">behind both concepts share a common ground in investigating the negative responses towards certain human groups. </w:t>
      </w:r>
      <w:r w:rsidR="0092326A" w:rsidRPr="00222B4F">
        <w:t>Both stigma and prejudice</w:t>
      </w:r>
      <w:r w:rsidRPr="00222B4F">
        <w:t xml:space="preserve"> serve three specific functions; (i) </w:t>
      </w:r>
      <w:r w:rsidRPr="00222B4F">
        <w:rPr>
          <w:i/>
          <w:iCs/>
        </w:rPr>
        <w:t>exploitation/domination</w:t>
      </w:r>
      <w:r w:rsidRPr="00222B4F">
        <w:t xml:space="preserve">, (ii) </w:t>
      </w:r>
      <w:r w:rsidRPr="00222B4F">
        <w:rPr>
          <w:i/>
          <w:iCs/>
        </w:rPr>
        <w:t>enforcement of social norms</w:t>
      </w:r>
      <w:r w:rsidRPr="00222B4F">
        <w:t xml:space="preserve"> and (iii) </w:t>
      </w:r>
      <w:r w:rsidRPr="00222B4F">
        <w:rPr>
          <w:i/>
          <w:iCs/>
        </w:rPr>
        <w:t>avoidance of disease</w:t>
      </w:r>
      <w:r w:rsidRPr="00222B4F">
        <w:t>s.</w:t>
      </w:r>
    </w:p>
    <w:p w14:paraId="563FA1B0" w14:textId="1064FFCC" w:rsidR="00985A2E" w:rsidRPr="00985A2E" w:rsidRDefault="00985A2E" w:rsidP="00985A2E">
      <w:r w:rsidRPr="00985A2E">
        <w:t xml:space="preserve"> The </w:t>
      </w:r>
      <w:r w:rsidRPr="00985A2E">
        <w:rPr>
          <w:i/>
          <w:iCs/>
        </w:rPr>
        <w:t>exploitation/domination</w:t>
      </w:r>
      <w:r w:rsidRPr="00985A2E">
        <w:t xml:space="preserve"> function refers to when low-status individuals are subjected to </w:t>
      </w:r>
      <w:r w:rsidR="00FC6F27" w:rsidRPr="00985A2E">
        <w:t>labelling</w:t>
      </w:r>
      <w:r w:rsidRPr="00985A2E">
        <w:t xml:space="preserve">, stereotyping and devaluation in situations of power </w:t>
      </w:r>
      <w:r w:rsidRPr="00985A2E">
        <w:fldChar w:fldCharType="begin" w:fldLock="1"/>
      </w:r>
      <w:r w:rsidRPr="00985A2E">
        <w:instrText xml:space="preserve"> CSL_CITATION { "citationItems" : [ { "id" : "ITEM-1", "itemData" : { "author" : [ { "dropping-particle" : "", "family" : "Link", "given" : "BG", "non-dropping-particle" : "", "parse-names" : false, "suffix" : "" }, { "dropping-particle" : "", "family" : "Phelan", "given" : "JC", "non-dropping-particle" : "", "parse-names" : false, "suffix" : "" } ], "container-title" : "Annual review of Sociology", "id" : "ITEM-1", "issued" : { "date-parts" : [ [ "2001" ] ] }, "title" : "Conceptualizing stigma", "type" : "article-journal" }, "uris" : [ "http://www.mendeley.com/documents/?uuid=7fc1fffc-45ca-42b7-b563-744f634d42ec" ] } ], "mendeley" : { "formattedCitation" : "(B. Link &amp; Phelan, 2001)", "manualFormatting" : "(Link &amp; Phelan, 2001)", "plainTextFormattedCitation" : "(B. Link &amp; Phelan, 2001)", "previouslyFormattedCitation" : "(B. Link &amp; Phelan, 2001)" }, "properties" : { "noteIndex" : 0 }, "schema" : "https://github.com/citation-style-language/schema/raw/master/csl-citation.json" }</w:instrText>
      </w:r>
      <w:r w:rsidRPr="00985A2E">
        <w:fldChar w:fldCharType="separate"/>
      </w:r>
      <w:r w:rsidRPr="00985A2E">
        <w:rPr>
          <w:noProof/>
        </w:rPr>
        <w:t>(Link &amp; Phelan, 2001)</w:t>
      </w:r>
      <w:r w:rsidRPr="00985A2E">
        <w:fldChar w:fldCharType="end"/>
      </w:r>
      <w:r w:rsidRPr="00985A2E">
        <w:t>. Throughout the history of humanity, groups of humans have ascended to dominant positions of power that allowed them to have preferential access to resources and wealth. Nevertheless, for some groups to dominate, other</w:t>
      </w:r>
      <w:r w:rsidR="00CC2E7C">
        <w:t xml:space="preserve">s </w:t>
      </w:r>
      <w:r w:rsidRPr="00985A2E">
        <w:t>had to endure subjection and perform duties that the dominant group would rather avoid (e.g., genocide and slavery</w:t>
      </w:r>
      <w:r w:rsidR="006F0795">
        <w:t xml:space="preserve">; </w:t>
      </w:r>
      <w:r w:rsidRPr="00985A2E">
        <w:rPr>
          <w:noProof/>
        </w:rPr>
        <w:t>Hochschild, 1999)</w:t>
      </w:r>
      <w:r w:rsidRPr="00985A2E">
        <w:t xml:space="preserve">. Stigma and prejudice towards exploited groups legitimise and promote these inequalities in order to maintain the </w:t>
      </w:r>
      <w:r w:rsidRPr="00985A2E">
        <w:rPr>
          <w:i/>
          <w:iCs/>
        </w:rPr>
        <w:t>status quo</w:t>
      </w:r>
      <w:r w:rsidRPr="00985A2E">
        <w:t xml:space="preserve"> within the structure of power. The exploitation/domination function has been widely researched </w:t>
      </w:r>
      <w:r w:rsidR="003B4687">
        <w:t xml:space="preserve">as prejudice </w:t>
      </w:r>
      <w:r w:rsidRPr="00985A2E">
        <w:t>in the case of oppressed groups</w:t>
      </w:r>
      <w:r w:rsidR="00CC2E7C">
        <w:t>,</w:t>
      </w:r>
      <w:r w:rsidRPr="00985A2E">
        <w:t xml:space="preserve"> such as ethnic minorities, racial differences, and gender </w:t>
      </w:r>
      <w:r w:rsidRPr="00985A2E">
        <w:rPr>
          <w:noProof/>
        </w:rPr>
        <w:t>(Guillaumin, 2002; Skeggs, 2015)</w:t>
      </w:r>
      <w:r w:rsidR="00CC2E7C">
        <w:rPr>
          <w:noProof/>
        </w:rPr>
        <w:t>.</w:t>
      </w:r>
      <w:r w:rsidRPr="00985A2E">
        <w:t xml:space="preserve"> </w:t>
      </w:r>
      <w:r w:rsidR="00CC2E7C">
        <w:t>Conversely</w:t>
      </w:r>
      <w:r w:rsidRPr="00985A2E">
        <w:t xml:space="preserve">, </w:t>
      </w:r>
      <w:r w:rsidR="00CC2E7C">
        <w:t xml:space="preserve">research on </w:t>
      </w:r>
      <w:r w:rsidRPr="00985A2E">
        <w:t xml:space="preserve">stigma has </w:t>
      </w:r>
      <w:r w:rsidR="00CC2E7C">
        <w:t xml:space="preserve">centred around devaluation of individuals with </w:t>
      </w:r>
      <w:r w:rsidRPr="00985A2E">
        <w:t xml:space="preserve">mental and physical health issues, as well as academic underachievement and reduced access to services such as housing, education and employment </w:t>
      </w:r>
      <w:r w:rsidRPr="00985A2E">
        <w:rPr>
          <w:noProof/>
        </w:rPr>
        <w:t>(Link &amp; Phelan, 2006; Sharac, Mccrone, Clement, &amp; Thornicroft, 2010)</w:t>
      </w:r>
      <w:r w:rsidRPr="00985A2E">
        <w:t>.</w:t>
      </w:r>
    </w:p>
    <w:p w14:paraId="622AC204" w14:textId="7339D003" w:rsidR="00985A2E" w:rsidRPr="00985A2E" w:rsidRDefault="00985A2E" w:rsidP="00985A2E">
      <w:r w:rsidRPr="00985A2E">
        <w:t xml:space="preserve">The function of </w:t>
      </w:r>
      <w:r w:rsidRPr="00985A2E">
        <w:rPr>
          <w:i/>
          <w:iCs/>
        </w:rPr>
        <w:t>enforcement of social norms</w:t>
      </w:r>
      <w:r w:rsidRPr="00985A2E">
        <w:t xml:space="preserve"> refers to stigma or prejudice in relation to social norm violations. </w:t>
      </w:r>
      <w:r w:rsidR="003B4687" w:rsidRPr="00985A2E">
        <w:t>Others shun individuals that fail to conform to the acceptable parameters of behaviour or identity</w:t>
      </w:r>
      <w:r w:rsidRPr="00985A2E">
        <w:t xml:space="preserve"> in order to make the non-conforming individual reintegrate into the socially acceptable identity. This function aims to increase adherence to social norms </w:t>
      </w:r>
      <w:r w:rsidR="00A94F83">
        <w:t>for individuals with</w:t>
      </w:r>
      <w:r w:rsidRPr="00985A2E">
        <w:t xml:space="preserve"> behaviour and identities that </w:t>
      </w:r>
      <w:r w:rsidR="00652D22">
        <w:t>others perceive</w:t>
      </w:r>
      <w:r w:rsidRPr="00985A2E">
        <w:t xml:space="preserve"> to be voluntary and </w:t>
      </w:r>
      <w:r w:rsidR="00652D22">
        <w:t xml:space="preserve">can </w:t>
      </w:r>
      <w:r w:rsidRPr="00985A2E">
        <w:t xml:space="preserve">thus be </w:t>
      </w:r>
      <w:r w:rsidR="00652D22">
        <w:t>susceptible to change in the individual at the receiving end of the stigma</w:t>
      </w:r>
      <w:r w:rsidRPr="00985A2E">
        <w:t xml:space="preserve">. </w:t>
      </w:r>
      <w:r w:rsidR="00D25566">
        <w:t>T</w:t>
      </w:r>
      <w:r w:rsidRPr="00985A2E">
        <w:t xml:space="preserve">argets of this function of stigma and prejudice include non-normative sexual orientations </w:t>
      </w:r>
      <w:r w:rsidRPr="00985A2E">
        <w:rPr>
          <w:noProof/>
        </w:rPr>
        <w:t>(Genrich &amp; Brathwaite, 2005)</w:t>
      </w:r>
      <w:r w:rsidRPr="00985A2E">
        <w:t xml:space="preserve"> and identities </w:t>
      </w:r>
      <w:r w:rsidRPr="00985A2E">
        <w:rPr>
          <w:noProof/>
        </w:rPr>
        <w:t>(Matsuno &amp; Budge, 2017)</w:t>
      </w:r>
      <w:r w:rsidRPr="00985A2E">
        <w:t xml:space="preserve"> as well as obesity </w:t>
      </w:r>
      <w:r w:rsidRPr="00985A2E">
        <w:rPr>
          <w:noProof/>
        </w:rPr>
        <w:t>(Sikorski, Luppa, &amp; Kaiser, 2011)</w:t>
      </w:r>
      <w:r w:rsidRPr="00985A2E">
        <w:t xml:space="preserve">, substance abuse and even psychiatric conditions such as depression </w:t>
      </w:r>
      <w:r w:rsidRPr="00985A2E">
        <w:rPr>
          <w:noProof/>
        </w:rPr>
        <w:t>(Crocker &amp; Major, 1994; Goldstein &amp; Rosselli, 2003; Hegarty &amp; Golden, 2008)</w:t>
      </w:r>
      <w:r w:rsidRPr="00985A2E">
        <w:t>.</w:t>
      </w:r>
    </w:p>
    <w:p w14:paraId="1D61EE92" w14:textId="70908DBC" w:rsidR="00985A2E" w:rsidRPr="00985A2E" w:rsidRDefault="00985A2E" w:rsidP="00985A2E">
      <w:r w:rsidRPr="00985A2E">
        <w:t xml:space="preserve">The function of </w:t>
      </w:r>
      <w:r w:rsidRPr="00985A2E">
        <w:rPr>
          <w:i/>
          <w:iCs/>
        </w:rPr>
        <w:t>avoidance of disease</w:t>
      </w:r>
      <w:r w:rsidRPr="00985A2E">
        <w:t xml:space="preserve"> or </w:t>
      </w:r>
      <w:r w:rsidRPr="00985A2E">
        <w:rPr>
          <w:i/>
          <w:iCs/>
        </w:rPr>
        <w:t xml:space="preserve">pathogen avoidance </w:t>
      </w:r>
      <w:r w:rsidRPr="00985A2E">
        <w:rPr>
          <w:iCs/>
          <w:noProof/>
        </w:rPr>
        <w:t>(Park, Schaller, &amp; Crandall, 2007)</w:t>
      </w:r>
      <w:r w:rsidRPr="00985A2E">
        <w:t xml:space="preserve"> suggests that prejudice and stigma </w:t>
      </w:r>
      <w:r w:rsidR="00A94F83">
        <w:t>serve</w:t>
      </w:r>
      <w:r w:rsidRPr="00985A2E">
        <w:t xml:space="preserve"> a function of protection against individuals that may be poor prospective reproductive partners or </w:t>
      </w:r>
      <w:r w:rsidR="00A94F83">
        <w:t xml:space="preserve">that </w:t>
      </w:r>
      <w:r w:rsidRPr="00985A2E">
        <w:t>display signs of potential contaminating disease such as disfigurement in</w:t>
      </w:r>
      <w:r w:rsidR="00642E7F">
        <w:t xml:space="preserve"> the</w:t>
      </w:r>
      <w:r w:rsidRPr="00985A2E">
        <w:t xml:space="preserve"> face or body </w:t>
      </w:r>
      <w:r w:rsidRPr="00985A2E">
        <w:rPr>
          <w:noProof/>
        </w:rPr>
        <w:t>(Kurzban &amp; Leary, 2001)</w:t>
      </w:r>
      <w:r w:rsidRPr="00985A2E">
        <w:t xml:space="preserve">. </w:t>
      </w:r>
      <w:r w:rsidR="00A94F83">
        <w:t>P</w:t>
      </w:r>
      <w:r w:rsidRPr="00985A2E">
        <w:t>rejudice and stigma are in part</w:t>
      </w:r>
      <w:r w:rsidR="00A94F83">
        <w:t xml:space="preserve"> the result of</w:t>
      </w:r>
      <w:r w:rsidRPr="00985A2E">
        <w:t xml:space="preserve"> innate mechanisms that improve chances of survival and promote better social exchange. </w:t>
      </w:r>
      <w:r w:rsidR="00A94F83">
        <w:lastRenderedPageBreak/>
        <w:t xml:space="preserve">Stigma towards others </w:t>
      </w:r>
      <w:r w:rsidR="00642E7F">
        <w:t>is consistent</w:t>
      </w:r>
      <w:r w:rsidRPr="00985A2E">
        <w:t xml:space="preserve"> across cultures </w:t>
      </w:r>
      <w:r w:rsidR="00A94F83">
        <w:t>worldwide, which may indicate that is somehow inherent to the</w:t>
      </w:r>
      <w:r w:rsidRPr="00985A2E">
        <w:t xml:space="preserve"> human species. </w:t>
      </w:r>
      <w:r w:rsidR="00642E7F" w:rsidRPr="004D2DCA">
        <w:t>H</w:t>
      </w:r>
      <w:r w:rsidRPr="00454FF8">
        <w:t>umans may have cognitively adapted to avoid or exclude members of their community that have</w:t>
      </w:r>
      <w:r w:rsidR="00642E7F" w:rsidRPr="004D2DCA">
        <w:t>,</w:t>
      </w:r>
      <w:r w:rsidRPr="00454FF8">
        <w:t xml:space="preserve"> or are believed to have</w:t>
      </w:r>
      <w:r w:rsidR="00642E7F" w:rsidRPr="004D2DCA">
        <w:t>,</w:t>
      </w:r>
      <w:r w:rsidRPr="00454FF8">
        <w:t xml:space="preserve"> attributes that could result in</w:t>
      </w:r>
      <w:r w:rsidR="00642E7F" w:rsidRPr="004D2DCA">
        <w:t xml:space="preserve"> social interaction </w:t>
      </w:r>
      <w:r w:rsidRPr="00454FF8">
        <w:t xml:space="preserve">with an inadequate </w:t>
      </w:r>
      <w:r w:rsidR="00642E7F" w:rsidRPr="004D2DCA">
        <w:t xml:space="preserve">other. For instance, a </w:t>
      </w:r>
      <w:r w:rsidR="00454FF8">
        <w:t xml:space="preserve">potential </w:t>
      </w:r>
      <w:r w:rsidR="00642E7F" w:rsidRPr="004D2DCA">
        <w:t>carrier of a</w:t>
      </w:r>
      <w:r w:rsidRPr="00454FF8">
        <w:t xml:space="preserve"> contagious disease (e.g., physical disfigurement</w:t>
      </w:r>
      <w:r w:rsidR="006F0795" w:rsidRPr="00454FF8">
        <w:t xml:space="preserve">; </w:t>
      </w:r>
      <w:r w:rsidRPr="00454FF8">
        <w:rPr>
          <w:noProof/>
        </w:rPr>
        <w:t>Ryan, Oaten, Stevenson, &amp; Case, 2012)</w:t>
      </w:r>
      <w:r w:rsidRPr="00454FF8">
        <w:t xml:space="preserve"> or </w:t>
      </w:r>
      <w:r w:rsidR="00454FF8" w:rsidRPr="004D2DCA">
        <w:t>a member of a</w:t>
      </w:r>
      <w:r w:rsidRPr="00454FF8">
        <w:t xml:space="preserve"> disadvantaged out-group </w:t>
      </w:r>
      <w:r w:rsidRPr="00454FF8">
        <w:rPr>
          <w:noProof/>
        </w:rPr>
        <w:t>(Neuberg &amp; Cottrell, 2006; Park, Faulkner, &amp; Schaller, 2003)</w:t>
      </w:r>
      <w:r w:rsidRPr="00454FF8">
        <w:t>.</w:t>
      </w:r>
      <w:r w:rsidRPr="00985A2E">
        <w:t xml:space="preserve"> </w:t>
      </w:r>
    </w:p>
    <w:p w14:paraId="510A05B8" w14:textId="749A6A11" w:rsidR="00985A2E" w:rsidRPr="00985A2E" w:rsidRDefault="00985A2E" w:rsidP="00985A2E">
      <w:r w:rsidRPr="00985A2E">
        <w:t>The disease avoidance function of prejudice and stigma is particularly evident in the study of stigma towards people with physical differences that deviate from aesthetic social norms; for instance</w:t>
      </w:r>
      <w:r w:rsidR="00D25566">
        <w:t>,</w:t>
      </w:r>
      <w:r w:rsidRPr="00985A2E">
        <w:t xml:space="preserve"> in manifestations like skin discoloration (e.g., vitiligo;</w:t>
      </w:r>
      <w:r w:rsidR="006F0795">
        <w:rPr>
          <w:noProof/>
          <w:color w:val="FFFFFF"/>
        </w:rPr>
        <w:t xml:space="preserve"> </w:t>
      </w:r>
      <w:r w:rsidRPr="00985A2E">
        <w:rPr>
          <w:noProof/>
        </w:rPr>
        <w:t>Shah, Mehta, &amp; Astik, 2008)</w:t>
      </w:r>
      <w:r w:rsidRPr="00985A2E">
        <w:t xml:space="preserve">, severe facial asymmetry (e.g., ‘deformities’; </w:t>
      </w:r>
      <w:r w:rsidRPr="00985A2E">
        <w:rPr>
          <w:noProof/>
        </w:rPr>
        <w:t>Kar &amp; Job, 2005; . Thompson &amp; Kent, 2001)</w:t>
      </w:r>
      <w:r w:rsidRPr="00985A2E">
        <w:t xml:space="preserve"> and digressions in physical movement (e.g., facial paralysis</w:t>
      </w:r>
      <w:r w:rsidR="006F0795">
        <w:t xml:space="preserve">; </w:t>
      </w:r>
      <w:r w:rsidRPr="00985A2E">
        <w:rPr>
          <w:noProof/>
        </w:rPr>
        <w:t>Bogart, Cole, &amp; Briegel, 2014)</w:t>
      </w:r>
      <w:r w:rsidRPr="00985A2E">
        <w:t xml:space="preserve">. However, this function may also be extended to less evident forms of stigma, such as towards medical conditions (e.g., AIDS; </w:t>
      </w:r>
      <w:r w:rsidRPr="00985A2E">
        <w:rPr>
          <w:noProof/>
        </w:rPr>
        <w:t>Crawford, 1996)</w:t>
      </w:r>
      <w:r w:rsidRPr="00985A2E">
        <w:t xml:space="preserve">, as well as conditions affecting psychological functioning like psychosis </w:t>
      </w:r>
      <w:r w:rsidRPr="00985A2E">
        <w:rPr>
          <w:noProof/>
        </w:rPr>
        <w:t>(Schomerus et al., 2012)</w:t>
      </w:r>
      <w:r w:rsidRPr="00985A2E">
        <w:t xml:space="preserve"> and mood disorders </w:t>
      </w:r>
      <w:r w:rsidRPr="00985A2E">
        <w:rPr>
          <w:noProof/>
        </w:rPr>
        <w:t>(Alonso et al., 2008)</w:t>
      </w:r>
      <w:r w:rsidRPr="00985A2E">
        <w:t>.</w:t>
      </w:r>
    </w:p>
    <w:p w14:paraId="088A43E8" w14:textId="1B82FB9F" w:rsidR="00985A2E" w:rsidRDefault="00985A2E" w:rsidP="00985A2E">
      <w:r w:rsidRPr="00985A2E">
        <w:t xml:space="preserve">As suggested by </w:t>
      </w:r>
      <w:r w:rsidRPr="00985A2E">
        <w:rPr>
          <w:noProof/>
        </w:rPr>
        <w:t>Phelan et al. (2008)</w:t>
      </w:r>
      <w:r w:rsidRPr="00985A2E">
        <w:t xml:space="preserve">, both stigma and prejudice have overlapping areas of study such as stereotypes, expectations, identity, and emotion. While research of prejudice has been mainly focused on the study of differential attitudes and treatment of people based on the model of exploitation and domination (e.g., racism, gender), the study of stigma has covered manifestations of norm enforcement (e.g., homophobia) and disease avoidance (e.g., stigma towards disfigurement) functions. In line with </w:t>
      </w:r>
      <w:r w:rsidRPr="00985A2E">
        <w:rPr>
          <w:noProof/>
        </w:rPr>
        <w:t>Phelan et al. (2008)</w:t>
      </w:r>
      <w:r w:rsidR="00454FF8">
        <w:t xml:space="preserve">, </w:t>
      </w:r>
      <w:r w:rsidRPr="00985A2E">
        <w:t xml:space="preserve">particularly those specific to the field of stigma towards FD </w:t>
      </w:r>
      <w:r w:rsidRPr="00985A2E">
        <w:rPr>
          <w:noProof/>
        </w:rPr>
        <w:t>(e.g., Halioua, Williams, Murray, Skalko, &amp; Vogelsong, 2011; Shanmugarajah, Gaind, Clarke, &amp; Butler, 2012)</w:t>
      </w:r>
      <w:r w:rsidRPr="00985A2E">
        <w:t xml:space="preserve">, the present thesis will utilise the term stigma to indicate the process of devaluation and rejection of an individual for purposes of norm conformity and disease avoidance. Differential treatment based on exploitation and domination functions (e.g., race, gender, ethnic minorities) will be referred to as prejudice. This thesis used literature related to constructs tested within both conceptual frameworks (i.e., prejudice and stigma) to support the construction and test of methodological designs employed in the experimental studies that were conducted. </w:t>
      </w:r>
    </w:p>
    <w:p w14:paraId="47B2C7DE" w14:textId="30AA70E8" w:rsidR="00213376" w:rsidRDefault="00213376" w:rsidP="00985A2E"/>
    <w:p w14:paraId="15BA4548" w14:textId="26009C32" w:rsidR="00213376" w:rsidRDefault="00213376" w:rsidP="00985A2E"/>
    <w:p w14:paraId="0074F71F" w14:textId="77777777" w:rsidR="00213376" w:rsidRDefault="00213376" w:rsidP="00985A2E"/>
    <w:p w14:paraId="6524403E" w14:textId="0AFBB425" w:rsidR="00213376" w:rsidRPr="00385171" w:rsidRDefault="00FC6F27" w:rsidP="00213376">
      <w:pPr>
        <w:jc w:val="center"/>
        <w:rPr>
          <w:b/>
          <w:bCs/>
        </w:rPr>
      </w:pPr>
      <w:r w:rsidRPr="004D2DCA">
        <w:rPr>
          <w:b/>
          <w:bCs/>
        </w:rPr>
        <w:lastRenderedPageBreak/>
        <w:t xml:space="preserve">Perceptions of disfigurement </w:t>
      </w:r>
      <w:r w:rsidR="00213376">
        <w:rPr>
          <w:b/>
          <w:bCs/>
        </w:rPr>
        <w:t>through</w:t>
      </w:r>
      <w:r w:rsidRPr="004D2DCA">
        <w:rPr>
          <w:b/>
          <w:bCs/>
        </w:rPr>
        <w:t xml:space="preserve"> history</w:t>
      </w:r>
      <w:bookmarkStart w:id="13" w:name="_Toc12024609"/>
    </w:p>
    <w:p w14:paraId="37B257A2" w14:textId="753A9773" w:rsidR="00213376" w:rsidRDefault="00FC6F27" w:rsidP="00213376">
      <w:r w:rsidRPr="00213376">
        <w:t xml:space="preserve">Depictions of individuals with body and facial disfigurement appear transversely in human history through pieces of literature, plastic arts and. Indeed, analysis of pre-modern and modern cultures, have provided valuable insights about the way FD and other disabilities are </w:t>
      </w:r>
      <w:r w:rsidR="000731FC">
        <w:t>perceived</w:t>
      </w:r>
      <w:r w:rsidRPr="00385171">
        <w:t xml:space="preserve"> in contemporary societies (e.g.,</w:t>
      </w:r>
      <w:r w:rsidR="005212EC">
        <w:t xml:space="preserve"> </w:t>
      </w:r>
      <w:r w:rsidR="005212EC">
        <w:fldChar w:fldCharType="begin" w:fldLock="1"/>
      </w:r>
      <w:r w:rsidR="005212EC">
        <w:instrText>ADDIN CSL_CITATION {"citationItems":[{"id":"ITEM-1","itemData":{"ISSN":"2159-8371","author":[{"dropping-particle":"","family":"Ebenstein","given":"William","non-dropping-particle":"","parse-names":false,"suffix":""}],"container-title":"Disability Studies Quarterly","id":"ITEM-1","issue":"4","issued":{"date-parts":[["2006"]]},"title":"Toward an archetypal psychology of disability based on the Hephaestus myth","type":"article-journal","volume":"26"},"uris":["http://www.mendeley.com/documents/?uuid=1185f0d2-a4ae-4b64-9088-1045a2c47239"]},{"id":"ITEM-2","itemData":{"author":[{"dropping-particle":"","family":"Deris","given":"Sara","non-dropping-particle":"","parse-names":false,"suffix":""}],"container-title":"Prandium: The Journal of Historical Studies at U of T Mississauga","id":"ITEM-2","issue":"1","issued":{"date-parts":[["2013"]]},"title":"Examining the Hephaestus Myth through a Disability Studies Perspective","type":"article-journal","volume":"2"},"uris":["http://www.mendeley.com/documents/?uuid=89f57848-572b-492e-bf49-5a081adf2572"]}],"mendeley":{"formattedCitation":"(Deris, 2013; Ebenstein, 2006)","manualFormatting":"Deris, 2013; Ebenstein, 2006)","plainTextFormattedCitation":"(Deris, 2013; Ebenstein, 2006)","previouslyFormattedCitation":"(Deris, 2013; Ebenstein, 2006)"},"properties":{"noteIndex":0},"schema":"https://github.com/citation-style-language/schema/raw/master/csl-citation.json"}</w:instrText>
      </w:r>
      <w:r w:rsidR="005212EC">
        <w:fldChar w:fldCharType="separate"/>
      </w:r>
      <w:r w:rsidR="005212EC" w:rsidRPr="005212EC">
        <w:rPr>
          <w:noProof/>
        </w:rPr>
        <w:t>Deris, 2013; Ebenstein, 2006)</w:t>
      </w:r>
      <w:r w:rsidR="005212EC">
        <w:fldChar w:fldCharType="end"/>
      </w:r>
      <w:r w:rsidRPr="00385171">
        <w:t>. In</w:t>
      </w:r>
      <w:r w:rsidRPr="00213376">
        <w:t xml:space="preserve"> ancient Greece, the god of fire and artisans, Hephaestus, was the only deity in the pantheon to hold a different appearance amongst perfect eternal beings. According to the Homeric mythical tale, Hephaestus was born with a congenital disability, and because of it, his mother Hera, expelled him from heaven. He is described as “misshapen”, particularly in his extremities “clubbed” or “crooked feet” </w:t>
      </w:r>
      <w:r w:rsidR="005212EC">
        <w:fldChar w:fldCharType="begin" w:fldLock="1"/>
      </w:r>
      <w:r w:rsidR="005212EC">
        <w:instrText>ADDIN CSL_CITATION {"citationItems":[{"id":"ITEM-1","itemData":{"ISBN":"052153996X","author":[{"dropping-particle":"","family":"Silk","given":"Michael Stephen","non-dropping-particle":"","parse-names":false,"suffix":""}],"id":"ITEM-1","issued":{"date-parts":[["2004"]]},"publisher":"Cambridge University Press","title":"Homer: The Iliad","type":"book"},"uris":["http://www.mendeley.com/documents/?uuid=11f92e8a-86e7-49e9-a93d-4520e1316414"]},{"id":"ITEM-2","itemData":{"ISSN":"0148-7299","author":[{"dropping-particle":"","family":"Bazopoulou</w:instrText>
      </w:r>
      <w:r w:rsidR="005212EC">
        <w:rPr>
          <w:rFonts w:ascii="Cambria Math" w:hAnsi="Cambria Math" w:cs="Cambria Math"/>
        </w:rPr>
        <w:instrText>‐</w:instrText>
      </w:r>
      <w:r w:rsidR="005212EC">
        <w:instrText>Kyrkanidou","given":"Euterpe","non-dropping-particle":"","parse-names":false,"suffix":""}],"container-title":"American journal of medical genetics","id":"ITEM-2","issue":"2","issued":{"date-parts":[["1997"]]},"page":"144-155","publisher":"Wiley Online Library","title":"What makes Hephaestus lame?","type":"article-journal","volume":"72"},"uris":["http://www.mendeley.com/documents/?uuid=aea5e0b3-ded7-4ab0-8549-358a74cee734"]}],"mendeley":{"formattedCitation":"(Bazopoulou</w:instrText>
      </w:r>
      <w:r w:rsidR="005212EC">
        <w:rPr>
          <w:rFonts w:ascii="Cambria Math" w:hAnsi="Cambria Math" w:cs="Cambria Math"/>
        </w:rPr>
        <w:instrText>‐</w:instrText>
      </w:r>
      <w:r w:rsidR="005212EC">
        <w:instrText>Kyrkanidou, 1997; Silk, 2004)","plainTextFormattedCitation":"(Bazopoulou</w:instrText>
      </w:r>
      <w:r w:rsidR="005212EC">
        <w:rPr>
          <w:rFonts w:ascii="Cambria Math" w:hAnsi="Cambria Math" w:cs="Cambria Math"/>
        </w:rPr>
        <w:instrText>‐</w:instrText>
      </w:r>
      <w:r w:rsidR="005212EC">
        <w:instrText>Kyrkanidou, 1997; Silk, 2004)","previouslyFormattedCitation":"(Bazopoulou</w:instrText>
      </w:r>
      <w:r w:rsidR="005212EC">
        <w:rPr>
          <w:rFonts w:ascii="Cambria Math" w:hAnsi="Cambria Math" w:cs="Cambria Math"/>
        </w:rPr>
        <w:instrText>‐</w:instrText>
      </w:r>
      <w:r w:rsidR="005212EC">
        <w:instrText>Kyrkanidou, 1997; Silk, 2004)"},"properties":{"noteIndex":0},"schema":"https://github.com/citation-style-language/schema/raw/master/csl-citation.json"}</w:instrText>
      </w:r>
      <w:r w:rsidR="005212EC">
        <w:fldChar w:fldCharType="separate"/>
      </w:r>
      <w:r w:rsidR="005212EC" w:rsidRPr="005212EC">
        <w:rPr>
          <w:noProof/>
        </w:rPr>
        <w:t>(Bazopoulou</w:t>
      </w:r>
      <w:r w:rsidR="005212EC" w:rsidRPr="005212EC">
        <w:rPr>
          <w:rFonts w:ascii="Cambria Math" w:hAnsi="Cambria Math" w:cs="Cambria Math"/>
          <w:noProof/>
        </w:rPr>
        <w:t>‐</w:t>
      </w:r>
      <w:r w:rsidR="005212EC" w:rsidRPr="005212EC">
        <w:rPr>
          <w:noProof/>
        </w:rPr>
        <w:t>Kyrkanidou, 1997; Silk, 2004)</w:t>
      </w:r>
      <w:r w:rsidR="005212EC">
        <w:fldChar w:fldCharType="end"/>
      </w:r>
      <w:r w:rsidRPr="00213376">
        <w:t xml:space="preserve">. From birth, Hephaestus faced rejection because of his appearance and later in life, he became a castaway and the target of mockery and contempt amongst the Greek deities. His physical appearance granted him an inferior social status and character </w:t>
      </w:r>
      <w:r w:rsidR="000731FC">
        <w:t xml:space="preserve">features </w:t>
      </w:r>
      <w:r w:rsidRPr="00385171">
        <w:t>attribute</w:t>
      </w:r>
      <w:r w:rsidR="000731FC">
        <w:t>d to him are that</w:t>
      </w:r>
      <w:r w:rsidRPr="00385171">
        <w:t xml:space="preserve"> of weakness and lameness</w:t>
      </w:r>
      <w:r w:rsidR="000731FC">
        <w:t>,</w:t>
      </w:r>
      <w:r w:rsidRPr="00385171">
        <w:t xml:space="preserve"> </w:t>
      </w:r>
      <w:r w:rsidR="000731FC" w:rsidRPr="00213376">
        <w:t>especially</w:t>
      </w:r>
      <w:r w:rsidRPr="00213376">
        <w:t xml:space="preserve"> in relation to his movement </w:t>
      </w:r>
      <w:r w:rsidR="005212EC">
        <w:fldChar w:fldCharType="begin" w:fldLock="1"/>
      </w:r>
      <w:r w:rsidR="00F03625">
        <w:instrText>ADDIN CSL_CITATION {"citationItems":[{"id":"ITEM-1","itemData":{"ISSN":"2159-8371","author":[{"dropping-particle":"","family":"Ebenstein","given":"William","non-dropping-particle":"","parse-names":false,"suffix":""}],"container-title":"Disability Studies Quarterly","id":"ITEM-1","issue":"4","issued":{"date-parts":[["2006"]]},"title":"Toward an archetypal psychology of disability based on the Hephaestus myth","type":"article-journal","volume":"26"},"uris":["http://www.mendeley.com/documents/?uuid=1185f0d2-a4ae-4b64-9088-1045a2c47239"]}],"mendeley":{"formattedCitation":"(Ebenstein, 2006)","plainTextFormattedCitation":"(Ebenstein, 2006)","previouslyFormattedCitation":"(Ebenstein, 2006)"},"properties":{"noteIndex":0},"schema":"https://github.com/citation-style-language/schema/raw/master/csl-citation.json"}</w:instrText>
      </w:r>
      <w:r w:rsidR="005212EC">
        <w:fldChar w:fldCharType="separate"/>
      </w:r>
      <w:r w:rsidR="005212EC" w:rsidRPr="005212EC">
        <w:rPr>
          <w:noProof/>
        </w:rPr>
        <w:t>(Ebenstein, 2006)</w:t>
      </w:r>
      <w:r w:rsidR="005212EC">
        <w:fldChar w:fldCharType="end"/>
      </w:r>
      <w:r w:rsidRPr="00213376">
        <w:t>.</w:t>
      </w:r>
      <w:r w:rsidR="00213376">
        <w:t xml:space="preserve"> </w:t>
      </w:r>
    </w:p>
    <w:p w14:paraId="59C5AC45" w14:textId="4BB14A51" w:rsidR="00213376" w:rsidRPr="004D2DCA" w:rsidRDefault="00FC6F27" w:rsidP="00213376">
      <w:r w:rsidRPr="00385171">
        <w:t xml:space="preserve">In Greco-Roman literature, characters with manifestations of disfigurement or other disabilities received responses of ridicule and were sometimes </w:t>
      </w:r>
      <w:r w:rsidRPr="00213376">
        <w:t>used as “pets” for other’s personal entertainment</w:t>
      </w:r>
      <w:r w:rsidR="00F03625">
        <w:t xml:space="preserve"> </w:t>
      </w:r>
      <w:r w:rsidR="00F03625">
        <w:fldChar w:fldCharType="begin" w:fldLock="1"/>
      </w:r>
      <w:r w:rsidR="00F03625">
        <w:instrText>ADDIN CSL_CITATION {"citationItems":[{"id":"ITEM-1","itemData":{"ISSN":"2159-8371","author":[{"dropping-particle":"","family":"Munyi","given":"Chomba Wa","non-dropping-particle":"","parse-names":false,"suffix":""}],"container-title":"Disability Studies Quarterly","id":"ITEM-1","issue":"2","issued":{"date-parts":[["2012"]]},"title":"Past and present perceptions towards disability: A historical perspective","type":"article-journal","volume":"32"},"uris":["http://www.mendeley.com/documents/?uuid=a885c719-3896-463d-80bd-c17910c44d07"]}],"mendeley":{"formattedCitation":"(Munyi, 2012)","plainTextFormattedCitation":"(Munyi, 2012)","previouslyFormattedCitation":"(Munyi, 2012)"},"properties":{"noteIndex":0},"schema":"https://github.com/citation-style-language/schema/raw/master/csl-citation.json"}</w:instrText>
      </w:r>
      <w:r w:rsidR="00F03625">
        <w:fldChar w:fldCharType="separate"/>
      </w:r>
      <w:r w:rsidR="00F03625" w:rsidRPr="00F03625">
        <w:rPr>
          <w:noProof/>
        </w:rPr>
        <w:t>(Munyi, 2012)</w:t>
      </w:r>
      <w:r w:rsidR="00F03625">
        <w:fldChar w:fldCharType="end"/>
      </w:r>
      <w:r w:rsidRPr="00213376">
        <w:t xml:space="preserve">.  Furthermore, it is likely that these mythological tales are the reflection of people’s attitudes towards disfigurement in that period. Indeed, historical records from that time suggest that infants born with disfigurement or disabilities in ancient Greek and Roman societies were commonly abandoned or gotten rid of by a practice called exposure (as they were left exposed to the elements), much like the reaction of the goddess Hera when confronted with the disfigurement of her son, Hephaestus </w:t>
      </w:r>
      <w:r w:rsidR="00F03625">
        <w:fldChar w:fldCharType="begin" w:fldLock="1"/>
      </w:r>
      <w:r w:rsidR="00F03625">
        <w:instrText>ADDIN CSL_CITATION {"citationItems":[{"id":"ITEM-1","itemData":{"ISSN":"0570-734X","author":[{"dropping-particle":"","family":"Laes","given":"Christian","non-dropping-particle":"","parse-names":false,"suffix":""}],"container-title":"Arctos–Acta Philologica Fennica","id":"ITEM-1","issued":{"date-parts":[["2008"]]},"page":"85-122","title":"Learning from silence: disabled children in Roman antiquity","type":"article-journal","volume":"42"},"uris":["http://www.mendeley.com/documents/?uuid=14be770e-a395-40bb-be3c-a0cb3a7e0eac"]},{"id":"ITEM-2","itemData":{"author":[{"dropping-particle":"","family":"Deris","given":"Sara","non-dropping-particle":"","parse-names":false,"suffix":""}],"container-title":"Prandium: The Journal of Historical Studies at U of T Mississauga","id":"ITEM-2","issue":"1","issued":{"date-parts":[["2013"]]},"title":"Examining the Hephaestus Myth through a Disability Studies Perspective","type":"article-journal","volume":"2"},"uris":["http://www.mendeley.com/documents/?uuid=89f57848-572b-492e-bf49-5a081adf2572"]}],"mendeley":{"formattedCitation":"(Deris, 2013; Laes, 2008)","plainTextFormattedCitation":"(Deris, 2013; Laes, 2008)","previouslyFormattedCitation":"(Deris, 2013; Laes, 2008)"},"properties":{"noteIndex":0},"schema":"https://github.com/citation-style-language/schema/raw/master/csl-citation.json"}</w:instrText>
      </w:r>
      <w:r w:rsidR="00F03625">
        <w:fldChar w:fldCharType="separate"/>
      </w:r>
      <w:r w:rsidR="00F03625" w:rsidRPr="00F03625">
        <w:rPr>
          <w:noProof/>
        </w:rPr>
        <w:t>(Deris, 2013; Laes, 2008)</w:t>
      </w:r>
      <w:r w:rsidR="00F03625">
        <w:fldChar w:fldCharType="end"/>
      </w:r>
      <w:r w:rsidRPr="00213376">
        <w:t>.</w:t>
      </w:r>
      <w:r w:rsidR="00213376" w:rsidRPr="004D2DCA">
        <w:t xml:space="preserve"> </w:t>
      </w:r>
    </w:p>
    <w:p w14:paraId="03722A84" w14:textId="4AA1EF76" w:rsidR="00FC6F27" w:rsidRPr="005212EC" w:rsidRDefault="00FC6F27" w:rsidP="004D2DCA">
      <w:r w:rsidRPr="00385171">
        <w:t>Later, in medieval European literature, it is found that undes</w:t>
      </w:r>
      <w:r w:rsidRPr="005212EC">
        <w:t>irable physical appearance contained certain features such as darker skin complexion (or marks), unkempt or excessive hair, and disfigurement to face and body</w:t>
      </w:r>
      <w:r w:rsidR="00F03625">
        <w:t xml:space="preserve"> </w:t>
      </w:r>
      <w:r w:rsidR="00F03625">
        <w:fldChar w:fldCharType="begin" w:fldLock="1"/>
      </w:r>
      <w:r w:rsidR="00F03625">
        <w:instrText>ADDIN CSL_CITATION {"citationItems":[{"id":"ITEM-1","itemData":{"ISBN":"1137544392","author":[{"dropping-particle":"","family":"Skinner","given":"Patricia","non-dropping-particle":"","parse-names":false,"suffix":""}],"id":"ITEM-1","issued":{"date-parts":[["2016"]]},"publisher":"Springer","title":"Living with disfigurement in early medieval Europe","type":"book"},"uris":["http://www.mendeley.com/documents/?uuid=e5990489-d67c-4f2a-82e6-8869780953f3"]}],"mendeley":{"formattedCitation":"(Skinner, 2016)","plainTextFormattedCitation":"(Skinner, 2016)","previouslyFormattedCitation":"(Skinner, 2016)"},"properties":{"noteIndex":0},"schema":"https://github.com/citation-style-language/schema/raw/master/csl-citation.json"}</w:instrText>
      </w:r>
      <w:r w:rsidR="00F03625">
        <w:fldChar w:fldCharType="separate"/>
      </w:r>
      <w:r w:rsidR="00F03625" w:rsidRPr="00F03625">
        <w:rPr>
          <w:noProof/>
        </w:rPr>
        <w:t>(Skinner, 2016)</w:t>
      </w:r>
      <w:r w:rsidR="00F03625">
        <w:fldChar w:fldCharType="end"/>
      </w:r>
      <w:r w:rsidRPr="005212EC">
        <w:t>.  “Ugly” characters were often bearers of disease-related skin manifestations like ulcers, warts or</w:t>
      </w:r>
      <w:r w:rsidRPr="00F03625">
        <w:t xml:space="preserve"> scabies. However, other forms of disfigurement in medieval literature also involved asymmetrical shape and enlarged features in the body (e.g., hump in the back, hooked fingers) and face (e.g., excessively big mouth and teeth, crooked nose, enlarged head). </w:t>
      </w:r>
      <w:r w:rsidR="000731FC">
        <w:t>C</w:t>
      </w:r>
      <w:r w:rsidRPr="005212EC">
        <w:t>haracters</w:t>
      </w:r>
      <w:r w:rsidR="000731FC">
        <w:t xml:space="preserve"> with atypical physical appearance</w:t>
      </w:r>
      <w:r w:rsidRPr="005212EC">
        <w:t xml:space="preserve"> were of lower social status (e.g., peasants), which overall served as a well-delimited contrast against the more favourable aesthetics of characters with higher positions</w:t>
      </w:r>
      <w:r w:rsidR="00F03625">
        <w:t xml:space="preserve"> </w:t>
      </w:r>
      <w:r w:rsidR="00F03625">
        <w:fldChar w:fldCharType="begin" w:fldLock="1"/>
      </w:r>
      <w:r w:rsidR="00636F05">
        <w:instrText>ADDIN CSL_CITATION {"citationItems":[{"id":"ITEM-1","itemData":{"ISBN":"1137544392","author":[{"dropping-particle":"","family":"Skinner","given":"Patricia","non-dropping-particle":"","parse-names":false,"suffix":""}],"id":"ITEM-1","issued":{"date-parts":[["2016"]]},"publisher":"Springer","title":"Living with disfigurement in early medieval Europe","type":"book"},"uris":["http://www.mendeley.com/documents/?uuid=e5990489-d67c-4f2a-82e6-8869780953f3"]}],"mendeley":{"formattedCitation":"(Skinner, 2016)","plainTextFormattedCitation":"(Skinner, 2016)","previouslyFormattedCitation":"(Skinner, 2016)"},"properties":{"noteIndex":0},"schema":"https://github.com/citation-style-language/schema/raw/master/csl-citation.json"}</w:instrText>
      </w:r>
      <w:r w:rsidR="00F03625">
        <w:fldChar w:fldCharType="separate"/>
      </w:r>
      <w:r w:rsidR="00F03625" w:rsidRPr="00F03625">
        <w:rPr>
          <w:noProof/>
        </w:rPr>
        <w:t>(Skinner, 2016)</w:t>
      </w:r>
      <w:r w:rsidR="00F03625">
        <w:fldChar w:fldCharType="end"/>
      </w:r>
      <w:r w:rsidR="00F03625" w:rsidRPr="00F03625">
        <w:t>.</w:t>
      </w:r>
      <w:r w:rsidRPr="005212EC">
        <w:t xml:space="preserve"> While beautiful characters were of higher social ranking and noble features (e.g., knights), individuals with disfigurement (and other ‘ugly’ features) were vilified through depictions of moral defects and evilness (Specht, 1984). </w:t>
      </w:r>
    </w:p>
    <w:p w14:paraId="4DD5BFFA" w14:textId="3EE291FD" w:rsidR="00FC6F27" w:rsidRPr="004D2DCA" w:rsidRDefault="00FC6F27" w:rsidP="001871E7">
      <w:pPr>
        <w:pStyle w:val="Heading2"/>
        <w:jc w:val="left"/>
        <w:rPr>
          <w:b w:val="0"/>
          <w:color w:val="000000"/>
          <w:lang w:eastAsia="en-GB"/>
        </w:rPr>
      </w:pPr>
      <w:r w:rsidRPr="004D2DCA">
        <w:rPr>
          <w:b w:val="0"/>
          <w:color w:val="000000"/>
          <w:lang w:eastAsia="en-GB"/>
        </w:rPr>
        <w:lastRenderedPageBreak/>
        <w:t xml:space="preserve">Physical appearance (both ugliness and beauty) in medieval literature aimed to elicit specific emotions in the audience. Disfigurement in characters mostly intended to evoke aesthetic disgust or moral antipathy towards the individual described as visibly different. Indeed, descriptions of ugliness in medieval literature included adjectives like “repulsive”, “hideous”, “revolting” or “demonic”. Few exceptions have been found in which characters </w:t>
      </w:r>
      <w:r w:rsidR="000731FC" w:rsidRPr="004D2DCA">
        <w:rPr>
          <w:b w:val="0"/>
          <w:color w:val="000000"/>
          <w:lang w:eastAsia="en-GB"/>
        </w:rPr>
        <w:t xml:space="preserve">with unusual physical appearance </w:t>
      </w:r>
      <w:r w:rsidRPr="004D2DCA">
        <w:rPr>
          <w:b w:val="0"/>
          <w:color w:val="000000"/>
          <w:lang w:eastAsia="en-GB"/>
        </w:rPr>
        <w:t xml:space="preserve">were respectable or virtuous, mostly in cases when the aetiology of the disfigurement was the result of martyrdom or circumstantial misfortunes like a spell </w:t>
      </w:r>
      <w:r w:rsidR="00F03625" w:rsidRPr="004D2DCA">
        <w:rPr>
          <w:b w:val="0"/>
          <w:color w:val="000000"/>
          <w:lang w:eastAsia="en-GB"/>
        </w:rPr>
        <w:fldChar w:fldCharType="begin" w:fldLock="1"/>
      </w:r>
      <w:r w:rsidR="00636F05" w:rsidRPr="004D2DCA">
        <w:rPr>
          <w:b w:val="0"/>
          <w:color w:val="000000"/>
          <w:lang w:eastAsia="en-GB"/>
        </w:rPr>
        <w:instrText>ADDIN CSL_CITATION {"citationItems":[{"id":"ITEM-1","itemData":{"ISBN":"1137544392","author":[{"dropping-particle":"","family":"Skinner","given":"Patricia","non-dropping-particle":"","parse-names":false,"suffix":""}],"id":"ITEM-1","issued":{"date-parts":[["2016"]]},"publisher":"Springer","title":"Living with disfigurement in early medieval Europe","type":"book"},"uris":["http://www.mendeley.com/documents/?uuid=e5990489-d67c-4f2a-82e6-8869780953f3"]},{"id":"ITEM-2","itemData":{"ISSN":"0039-3274","author":[{"dropping-particle":"","family":"Specht","given":"Henrik","non-dropping-particle":"","parse-names":false,"suffix":""}],"container-title":"Studia neophilologica","id":"ITEM-2","issue":"2","issued":{"date-parts":[["1984"]]},"page":"129-146","publisher":"Taylor &amp; Francis","title":"The beautiful, the handsome, and the ugly: Some aspects of the art of character portrayal in medieval literature","type":"article-journal","volume":"56"},"uris":["http://www.mendeley.com/documents/?uuid=e872386e-6e73-4d79-8bf0-08c4def37bc9"]}],"mendeley":{"formattedCitation":"(Skinner, 2016; Specht, 1984)","plainTextFormattedCitation":"(Skinner, 2016; Specht, 1984)","previouslyFormattedCitation":"(Skinner, 2016; Specht, 1984)"},"properties":{"noteIndex":0},"schema":"https://github.com/citation-style-language/schema/raw/master/csl-citation.json"}</w:instrText>
      </w:r>
      <w:r w:rsidR="00F03625" w:rsidRPr="004D2DCA">
        <w:rPr>
          <w:b w:val="0"/>
          <w:color w:val="000000"/>
          <w:lang w:eastAsia="en-GB"/>
        </w:rPr>
        <w:fldChar w:fldCharType="separate"/>
      </w:r>
      <w:r w:rsidR="00636F05" w:rsidRPr="004D2DCA">
        <w:rPr>
          <w:b w:val="0"/>
          <w:noProof/>
          <w:color w:val="000000"/>
          <w:lang w:eastAsia="en-GB"/>
        </w:rPr>
        <w:t>(Skinner, 2016; Specht, 1984)</w:t>
      </w:r>
      <w:r w:rsidR="00F03625" w:rsidRPr="004D2DCA">
        <w:rPr>
          <w:b w:val="0"/>
          <w:color w:val="000000"/>
          <w:lang w:eastAsia="en-GB"/>
        </w:rPr>
        <w:fldChar w:fldCharType="end"/>
      </w:r>
      <w:r w:rsidRPr="004D2DCA">
        <w:rPr>
          <w:b w:val="0"/>
          <w:color w:val="000000"/>
          <w:lang w:eastAsia="en-GB"/>
        </w:rPr>
        <w:t xml:space="preserve">. </w:t>
      </w:r>
    </w:p>
    <w:p w14:paraId="7F77DC44" w14:textId="79E03248" w:rsidR="00FC6F27" w:rsidRPr="004D2DCA" w:rsidRDefault="00FC6F27" w:rsidP="00D72B62">
      <w:pPr>
        <w:pStyle w:val="Heading2"/>
        <w:jc w:val="left"/>
        <w:rPr>
          <w:b w:val="0"/>
          <w:color w:val="000000"/>
          <w:lang w:eastAsia="en-GB"/>
        </w:rPr>
      </w:pPr>
      <w:r w:rsidRPr="004D2DCA">
        <w:rPr>
          <w:b w:val="0"/>
          <w:color w:val="000000"/>
          <w:lang w:eastAsia="en-GB"/>
        </w:rPr>
        <w:t>In modern times,</w:t>
      </w:r>
      <w:r w:rsidR="007B40D8" w:rsidRPr="004D2DCA">
        <w:rPr>
          <w:b w:val="0"/>
          <w:color w:val="000000"/>
          <w:lang w:eastAsia="en-GB"/>
        </w:rPr>
        <w:t xml:space="preserve"> </w:t>
      </w:r>
      <w:r w:rsidR="00A31FD9" w:rsidRPr="004D2DCA">
        <w:rPr>
          <w:b w:val="0"/>
          <w:color w:val="000000"/>
          <w:lang w:eastAsia="en-GB"/>
        </w:rPr>
        <w:t>physical appearance continues to be</w:t>
      </w:r>
      <w:r w:rsidR="007B5F2B" w:rsidRPr="004D2DCA">
        <w:rPr>
          <w:b w:val="0"/>
          <w:color w:val="000000"/>
          <w:lang w:eastAsia="en-GB"/>
        </w:rPr>
        <w:t xml:space="preserve"> a</w:t>
      </w:r>
      <w:r w:rsidR="00A31FD9" w:rsidRPr="004D2DCA">
        <w:rPr>
          <w:b w:val="0"/>
          <w:color w:val="000000"/>
          <w:lang w:eastAsia="en-GB"/>
        </w:rPr>
        <w:t xml:space="preserve"> highly regarded value within society</w:t>
      </w:r>
      <w:r w:rsidR="007B40D8" w:rsidRPr="004D2DCA">
        <w:rPr>
          <w:b w:val="0"/>
          <w:color w:val="000000"/>
          <w:lang w:eastAsia="en-GB"/>
        </w:rPr>
        <w:t>.</w:t>
      </w:r>
      <w:r w:rsidR="007B54B5" w:rsidRPr="004D2DCA">
        <w:rPr>
          <w:b w:val="0"/>
          <w:color w:val="000000"/>
          <w:lang w:eastAsia="en-GB"/>
        </w:rPr>
        <w:t xml:space="preserve"> In popular western culture, beautiful individuals are commonly associated with goodness and virtuousness (e.g., prince charming, princess) and ugly characters with antagonist and morally devious values (e.g., wizards, evil stepsisters/stepmother).</w:t>
      </w:r>
      <w:r w:rsidR="009C36BC" w:rsidRPr="004D2DCA">
        <w:rPr>
          <w:b w:val="0"/>
          <w:color w:val="000000"/>
          <w:lang w:eastAsia="en-GB"/>
        </w:rPr>
        <w:t xml:space="preserve"> Indeed,</w:t>
      </w:r>
      <w:r w:rsidR="000731FC" w:rsidRPr="004D2DCA">
        <w:rPr>
          <w:b w:val="0"/>
          <w:color w:val="000000"/>
          <w:lang w:eastAsia="en-GB"/>
        </w:rPr>
        <w:t xml:space="preserve"> a</w:t>
      </w:r>
      <w:r w:rsidR="007B5F2B" w:rsidRPr="004D2DCA">
        <w:rPr>
          <w:b w:val="0"/>
          <w:color w:val="000000"/>
          <w:lang w:eastAsia="en-GB"/>
        </w:rPr>
        <w:t xml:space="preserve"> robust body of research in social psychology supports the existence of a beauty-is-good stereotype;</w:t>
      </w:r>
      <w:r w:rsidR="00914BF3" w:rsidRPr="004D2DCA">
        <w:rPr>
          <w:b w:val="0"/>
          <w:color w:val="000000"/>
          <w:lang w:eastAsia="en-GB"/>
        </w:rPr>
        <w:t xml:space="preserve"> </w:t>
      </w:r>
      <w:r w:rsidR="007B5F2B" w:rsidRPr="004D2DCA">
        <w:rPr>
          <w:b w:val="0"/>
          <w:color w:val="000000"/>
          <w:lang w:eastAsia="en-GB"/>
        </w:rPr>
        <w:t xml:space="preserve">compared to unattractive peers, </w:t>
      </w:r>
      <w:r w:rsidR="00914BF3" w:rsidRPr="004D2DCA">
        <w:rPr>
          <w:b w:val="0"/>
          <w:color w:val="000000"/>
          <w:lang w:eastAsia="en-GB"/>
        </w:rPr>
        <w:t>a</w:t>
      </w:r>
      <w:r w:rsidR="00A31FD9" w:rsidRPr="004D2DCA">
        <w:rPr>
          <w:b w:val="0"/>
          <w:color w:val="000000"/>
          <w:lang w:eastAsia="en-GB"/>
        </w:rPr>
        <w:t>ttractive individuals</w:t>
      </w:r>
      <w:r w:rsidR="00914BF3" w:rsidRPr="004D2DCA">
        <w:rPr>
          <w:b w:val="0"/>
          <w:color w:val="000000"/>
          <w:lang w:eastAsia="en-GB"/>
        </w:rPr>
        <w:t xml:space="preserve"> are perceived to be more successful</w:t>
      </w:r>
      <w:r w:rsidR="001A54AB" w:rsidRPr="004D2DCA">
        <w:rPr>
          <w:b w:val="0"/>
          <w:color w:val="000000"/>
          <w:lang w:eastAsia="en-GB"/>
        </w:rPr>
        <w:t>, more socially competent (e.g., interpersonal ease)</w:t>
      </w:r>
      <w:r w:rsidR="00914BF3" w:rsidRPr="004D2DCA">
        <w:rPr>
          <w:b w:val="0"/>
          <w:color w:val="000000"/>
          <w:lang w:eastAsia="en-GB"/>
        </w:rPr>
        <w:t xml:space="preserve"> and</w:t>
      </w:r>
      <w:r w:rsidR="001A54AB" w:rsidRPr="004D2DCA">
        <w:rPr>
          <w:b w:val="0"/>
          <w:color w:val="000000"/>
          <w:lang w:eastAsia="en-GB"/>
        </w:rPr>
        <w:t xml:space="preserve"> </w:t>
      </w:r>
      <w:r w:rsidR="007B5F2B" w:rsidRPr="004D2DCA">
        <w:rPr>
          <w:b w:val="0"/>
          <w:color w:val="000000"/>
          <w:lang w:eastAsia="en-GB"/>
        </w:rPr>
        <w:t xml:space="preserve">overall </w:t>
      </w:r>
      <w:r w:rsidR="001A54AB" w:rsidRPr="004D2DCA">
        <w:rPr>
          <w:b w:val="0"/>
          <w:color w:val="000000"/>
          <w:lang w:eastAsia="en-GB"/>
        </w:rPr>
        <w:t>associated</w:t>
      </w:r>
      <w:r w:rsidR="00914BF3" w:rsidRPr="004D2DCA">
        <w:rPr>
          <w:b w:val="0"/>
          <w:color w:val="000000"/>
          <w:lang w:eastAsia="en-GB"/>
        </w:rPr>
        <w:t xml:space="preserve"> with </w:t>
      </w:r>
      <w:r w:rsidR="007B5F2B" w:rsidRPr="004D2DCA">
        <w:rPr>
          <w:b w:val="0"/>
          <w:color w:val="000000"/>
          <w:lang w:eastAsia="en-GB"/>
        </w:rPr>
        <w:t xml:space="preserve">more </w:t>
      </w:r>
      <w:r w:rsidR="00914BF3" w:rsidRPr="004D2DCA">
        <w:rPr>
          <w:b w:val="0"/>
          <w:color w:val="000000"/>
          <w:lang w:eastAsia="en-GB"/>
        </w:rPr>
        <w:t>favourable personality trai</w:t>
      </w:r>
      <w:r w:rsidR="007B5F2B" w:rsidRPr="004D2DCA">
        <w:rPr>
          <w:b w:val="0"/>
          <w:color w:val="000000"/>
          <w:lang w:eastAsia="en-GB"/>
        </w:rPr>
        <w:t xml:space="preserve">ts such as adjustment, intellectual competence, integrity and empathy </w:t>
      </w:r>
      <w:r w:rsidR="00636F05" w:rsidRPr="004D2DCA">
        <w:rPr>
          <w:b w:val="0"/>
          <w:color w:val="000000"/>
          <w:lang w:eastAsia="en-GB"/>
        </w:rPr>
        <w:fldChar w:fldCharType="begin" w:fldLock="1"/>
      </w:r>
      <w:r w:rsidR="00636F05" w:rsidRPr="004D2DCA">
        <w:rPr>
          <w:b w:val="0"/>
          <w:color w:val="000000"/>
          <w:lang w:eastAsia="en-GB"/>
        </w:rPr>
        <w:instrText>ADDIN CSL_CITATION {"citationItems":[{"id":"ITEM-1","itemData":{"author":[{"dropping-particle":"","family":"Eagly","given":"AH","non-dropping-particle":"","parse-names":false,"suffix":""},{"dropping-particle":"","family":"Ashmore","given":"RD","non-dropping-particle":"","parse-names":false,"suffix":""}],"container-title":"Psychological  …","id":"ITEM-1","issued":{"date-parts":[["1991"]]},"title":"What is beautiful is good, but: A meta-analytic review of research on the physical attractiveness stereotype.","type":"article-journal"},"uris":["http://www.mendeley.com/documents/?uuid=dc3988d3-98a5-45c6-b975-38abf6fc9381"]},{"id":"ITEM-2","itemData":{"ISSN":"0278-016X","author":[{"dropping-particle":"","family":"Griffin","given":"Angela M","non-dropping-particle":"","parse-names":false,"suffix":""},{"dropping-particle":"","family":"Langlois","given":"Judith H","non-dropping-particle":"","parse-names":false,"suffix":""}],"container-title":"Social cognition","id":"ITEM-2","issue":"2","issued":{"date-parts":[["2006"]]},"page":"187-206","publisher":"Guilford Press","title":"Stereotype directionality and attractiveness stereotyping: Is beauty good or is ugly bad?","type":"article-journal","volume":"24"},"uris":["http://www.mendeley.com/documents/?uuid=336d3b8b-faa5-4a82-8da8-10ee39dfa9d6"]}],"mendeley":{"formattedCitation":"(Eagly &amp; Ashmore, 1991; Griffin &amp; Langlois, 2006)","plainTextFormattedCitation":"(Eagly &amp; Ashmore, 1991; Griffin &amp; Langlois, 2006)","previouslyFormattedCitation":"(Eagly &amp; Ashmore, 1991; Griffin &amp; Langlois, 2006)"},"properties":{"noteIndex":0},"schema":"https://github.com/citation-style-language/schema/raw/master/csl-citation.json"}</w:instrText>
      </w:r>
      <w:r w:rsidR="00636F05" w:rsidRPr="004D2DCA">
        <w:rPr>
          <w:b w:val="0"/>
          <w:color w:val="000000"/>
          <w:lang w:eastAsia="en-GB"/>
        </w:rPr>
        <w:fldChar w:fldCharType="separate"/>
      </w:r>
      <w:r w:rsidR="00636F05" w:rsidRPr="004D2DCA">
        <w:rPr>
          <w:b w:val="0"/>
          <w:noProof/>
          <w:color w:val="000000"/>
          <w:lang w:eastAsia="en-GB"/>
        </w:rPr>
        <w:t>(Eagly &amp; Ashmore, 1991; Griffin &amp; Langlois, 2006)</w:t>
      </w:r>
      <w:r w:rsidR="00636F05" w:rsidRPr="004D2DCA">
        <w:rPr>
          <w:b w:val="0"/>
          <w:color w:val="000000"/>
          <w:lang w:eastAsia="en-GB"/>
        </w:rPr>
        <w:fldChar w:fldCharType="end"/>
      </w:r>
      <w:r w:rsidR="00A31FD9" w:rsidRPr="004D2DCA">
        <w:rPr>
          <w:b w:val="0"/>
          <w:color w:val="000000"/>
          <w:lang w:eastAsia="en-GB"/>
        </w:rPr>
        <w:t xml:space="preserve">. </w:t>
      </w:r>
    </w:p>
    <w:p w14:paraId="3850EBCB" w14:textId="63D116D4" w:rsidR="007151B9" w:rsidRDefault="00546B1E" w:rsidP="009C36BC">
      <w:pPr>
        <w:rPr>
          <w:lang w:eastAsia="en-US"/>
        </w:rPr>
      </w:pPr>
      <w:r>
        <w:rPr>
          <w:lang w:eastAsia="en-US"/>
        </w:rPr>
        <w:t xml:space="preserve">The beauty-is-good stereotype </w:t>
      </w:r>
      <w:r w:rsidR="00636F05" w:rsidRPr="00636F05">
        <w:rPr>
          <w:lang w:eastAsia="en-US"/>
        </w:rPr>
        <w:t>(Eagly &amp; Ashmore, 1991</w:t>
      </w:r>
      <w:r>
        <w:rPr>
          <w:lang w:eastAsia="en-US"/>
        </w:rPr>
        <w:t>) is most evident in</w:t>
      </w:r>
      <w:r w:rsidR="009C36BC">
        <w:rPr>
          <w:lang w:eastAsia="en-US"/>
        </w:rPr>
        <w:t xml:space="preserve"> media and advertising </w:t>
      </w:r>
      <w:r>
        <w:rPr>
          <w:lang w:eastAsia="en-US"/>
        </w:rPr>
        <w:t xml:space="preserve">realms. In television commercials, books and movies, attractive individuals are linked with favourable qualities, while people with atypical appearance or with a disfigurement are associated with evilness (e.g., Freddie Krugger), reclusiveness </w:t>
      </w:r>
      <w:r w:rsidR="00A727AD">
        <w:rPr>
          <w:lang w:eastAsia="en-US"/>
        </w:rPr>
        <w:t xml:space="preserve">(e.g, </w:t>
      </w:r>
      <w:r w:rsidR="00636F05">
        <w:rPr>
          <w:lang w:eastAsia="en-US"/>
        </w:rPr>
        <w:t>Notre dam</w:t>
      </w:r>
      <w:r w:rsidR="00A727AD">
        <w:rPr>
          <w:lang w:eastAsia="en-US"/>
        </w:rPr>
        <w:t xml:space="preserve"> hunchback) and moral defects (e.g., </w:t>
      </w:r>
      <w:r w:rsidR="00636F05">
        <w:rPr>
          <w:lang w:eastAsia="en-US"/>
        </w:rPr>
        <w:t xml:space="preserve">Darth Vader in StarWars; </w:t>
      </w:r>
      <w:r w:rsidR="00636F05">
        <w:rPr>
          <w:lang w:eastAsia="en-US"/>
        </w:rPr>
        <w:fldChar w:fldCharType="begin" w:fldLock="1"/>
      </w:r>
      <w:r w:rsidR="00D72B62">
        <w:rPr>
          <w:lang w:eastAsia="en-US"/>
        </w:rPr>
        <w:instrText>ADDIN CSL_CITATION {"citationItems":[{"id":"ITEM-1","itemData":{"ISSN":"0197-3533","author":[{"dropping-particle":"","family":"Smith","given":"Stephen M","non-dropping-particle":"","parse-names":false,"suffix":""},{"dropping-particle":"","family":"McIntosh","given":"William D","non-dropping-particle":"","parse-names":false,"suffix":""},{"dropping-particle":"","family":"Bazzini","given":"Doris G","non-dropping-particle":"","parse-names":false,"suffix":""}],"container-title":"Basic and applied social psychology","id":"ITEM-1","issue":"1","issued":{"date-parts":[["1999"]]},"page":"69-80","publisher":"Taylor &amp; Francis","title":"Are the beautiful good in Hollywood? An investigation of the beauty-and-goodness stereotype on film","type":"article-journal","volume":"21"},"uris":["http://www.mendeley.com/documents/?uuid=932c4bc6-c04a-4dc4-99fc-08b4a046a516"]}],"mendeley":{"formattedCitation":"(Smith, McIntosh, &amp; Bazzini, 1999)","manualFormatting":"Smith et al., 1999; Wardle &amp; Boyce, 2009)","plainTextFormattedCitation":"(Smith, McIntosh, &amp; Bazzini, 1999)","previouslyFormattedCitation":"(Smith, McIntosh, &amp; Bazzini, 1999)"},"properties":{"noteIndex":0},"schema":"https://github.com/citation-style-language/schema/raw/master/csl-citation.json"}</w:instrText>
      </w:r>
      <w:r w:rsidR="00636F05">
        <w:rPr>
          <w:lang w:eastAsia="en-US"/>
        </w:rPr>
        <w:fldChar w:fldCharType="separate"/>
      </w:r>
      <w:r w:rsidR="00636F05" w:rsidRPr="00636F05">
        <w:rPr>
          <w:noProof/>
          <w:lang w:eastAsia="en-US"/>
        </w:rPr>
        <w:t>Smith et al., 1999</w:t>
      </w:r>
      <w:r w:rsidR="00021634">
        <w:rPr>
          <w:noProof/>
          <w:lang w:eastAsia="en-US"/>
        </w:rPr>
        <w:t xml:space="preserve">; </w:t>
      </w:r>
      <w:r w:rsidR="00021634">
        <w:rPr>
          <w:noProof/>
          <w:lang w:eastAsia="en-US"/>
        </w:rPr>
        <w:fldChar w:fldCharType="begin" w:fldLock="1"/>
      </w:r>
      <w:r w:rsidR="00021634">
        <w:rPr>
          <w:noProof/>
          <w:lang w:eastAsia="en-US"/>
        </w:rPr>
        <w:instrText>ADDIN CSL_CITATION {"citationItems":[{"id":"ITEM-1","itemData":{"author":[{"dropping-particle":"","family":"Wardle","given":"Claire","non-dropping-particle":"","parse-names":false,"suffix":""},{"dropping-particle":"","family":"Boyce","given":"Tammy","non-dropping-particle":"","parse-names":false,"suffix":""}],"container-title":"London: The Healing Foundation.(Available upon request.)","id":"ITEM-1","issued":{"date-parts":[["2009"]]},"title":"Media coverage and audience reception of disfigurement on television","type":"article-journal"},"uris":["http://www.mendeley.com/documents/?uuid=4e9c8ccf-930e-47ee-bcf4-af67d5dbb590"]}],"mendeley":{"formattedCitation":"(Wardle &amp; Boyce, 2009)","manualFormatting":"Wardle &amp; Boyce, 2009","plainTextFormattedCitation":"(Wardle &amp; Boyce, 2009)","previouslyFormattedCitation":"(Wardle &amp; Boyce, 2009)"},"properties":{"noteIndex":0},"schema":"https://github.com/citation-style-language/schema/raw/master/csl-citation.json"}</w:instrText>
      </w:r>
      <w:r w:rsidR="00021634">
        <w:rPr>
          <w:noProof/>
          <w:lang w:eastAsia="en-US"/>
        </w:rPr>
        <w:fldChar w:fldCharType="separate"/>
      </w:r>
      <w:r w:rsidR="00021634" w:rsidRPr="00636F05">
        <w:rPr>
          <w:noProof/>
          <w:lang w:eastAsia="en-US"/>
        </w:rPr>
        <w:t>Wardle &amp; Boyce, 2009</w:t>
      </w:r>
      <w:r w:rsidR="00021634">
        <w:rPr>
          <w:noProof/>
          <w:lang w:eastAsia="en-US"/>
        </w:rPr>
        <w:fldChar w:fldCharType="end"/>
      </w:r>
      <w:r w:rsidR="00636F05" w:rsidRPr="00636F05">
        <w:rPr>
          <w:noProof/>
          <w:lang w:eastAsia="en-US"/>
        </w:rPr>
        <w:t>)</w:t>
      </w:r>
      <w:r w:rsidR="00636F05">
        <w:rPr>
          <w:lang w:eastAsia="en-US"/>
        </w:rPr>
        <w:fldChar w:fldCharType="end"/>
      </w:r>
      <w:r w:rsidR="00A727AD">
        <w:rPr>
          <w:lang w:eastAsia="en-US"/>
        </w:rPr>
        <w:t xml:space="preserve">. </w:t>
      </w:r>
    </w:p>
    <w:p w14:paraId="06383960" w14:textId="3FC58FFD" w:rsidR="00A354E8" w:rsidRDefault="00A727AD" w:rsidP="009C36BC">
      <w:pPr>
        <w:rPr>
          <w:lang w:eastAsia="en-US"/>
        </w:rPr>
      </w:pPr>
      <w:r>
        <w:rPr>
          <w:lang w:eastAsia="en-US"/>
        </w:rPr>
        <w:t>A</w:t>
      </w:r>
      <w:r w:rsidR="00586545">
        <w:rPr>
          <w:lang w:eastAsia="en-US"/>
        </w:rPr>
        <w:t>n analysis of media coverage</w:t>
      </w:r>
      <w:r w:rsidR="007151B9">
        <w:rPr>
          <w:lang w:eastAsia="en-US"/>
        </w:rPr>
        <w:t xml:space="preserve"> conducted by </w:t>
      </w:r>
      <w:r w:rsidR="008F4533">
        <w:rPr>
          <w:lang w:eastAsia="en-US"/>
        </w:rPr>
        <w:t xml:space="preserve">Garrissi, </w:t>
      </w:r>
      <w:r w:rsidR="00021634">
        <w:rPr>
          <w:lang w:eastAsia="en-US"/>
        </w:rPr>
        <w:fldChar w:fldCharType="begin" w:fldLock="1"/>
      </w:r>
      <w:r w:rsidR="00D72B62">
        <w:rPr>
          <w:lang w:eastAsia="en-US"/>
        </w:rPr>
        <w:instrText>ADDIN CSL_CITATION {"citationItems":[{"id":"ITEM-1","itemData":{"ISSN":"191265623X","author":[{"dropping-particle":"","family":"Garrisi","given":"Diana","non-dropping-particle":"","parse-names":false,"suffix":""},{"dropping-particle":"","family":"Janciute","given":"LAIMA","non-dropping-particle":"","parse-names":false,"suffix":""},{"dropping-particle":"","family":"Johanssen","given":"JACOB","non-dropping-particle":"","parse-names":false,"suffix":""}],"id":"ITEM-1","issued":{"date-parts":[["2018"]]},"publisher":"University of Westminster Press","title":"CAMRI Policy Brief: Appearance, Discrimination and the Media-Portraying Facial Disfigurement Fairly in the News","type":"article-journal"},"uris":["http://www.mendeley.com/documents/?uuid=666a479b-31cc-4e95-8f11-696528a09800"]}],"mendeley":{"formattedCitation":"(Garrisi, Janciute, &amp; Johanssen, 2018)","manualFormatting":"Janciute and Johanssen (2018)","plainTextFormattedCitation":"(Garrisi, Janciute, &amp; Johanssen, 2018)","previouslyFormattedCitation":"(Garrisi, Janciute, &amp; Johanssen, 2018)"},"properties":{"noteIndex":0},"schema":"https://github.com/citation-style-language/schema/raw/master/csl-citation.json"}</w:instrText>
      </w:r>
      <w:r w:rsidR="00021634">
        <w:rPr>
          <w:lang w:eastAsia="en-US"/>
        </w:rPr>
        <w:fldChar w:fldCharType="separate"/>
      </w:r>
      <w:r w:rsidR="00021634" w:rsidRPr="00021634">
        <w:rPr>
          <w:noProof/>
          <w:lang w:eastAsia="en-US"/>
        </w:rPr>
        <w:t xml:space="preserve">Janciute </w:t>
      </w:r>
      <w:r w:rsidR="00021634">
        <w:rPr>
          <w:noProof/>
          <w:lang w:eastAsia="en-US"/>
        </w:rPr>
        <w:t>and</w:t>
      </w:r>
      <w:r w:rsidR="00021634" w:rsidRPr="00021634">
        <w:rPr>
          <w:noProof/>
          <w:lang w:eastAsia="en-US"/>
        </w:rPr>
        <w:t xml:space="preserve"> Johanssen </w:t>
      </w:r>
      <w:r w:rsidR="00021634">
        <w:rPr>
          <w:noProof/>
          <w:lang w:eastAsia="en-US"/>
        </w:rPr>
        <w:t>(</w:t>
      </w:r>
      <w:r w:rsidR="00021634" w:rsidRPr="00021634">
        <w:rPr>
          <w:noProof/>
          <w:lang w:eastAsia="en-US"/>
        </w:rPr>
        <w:t>2018)</w:t>
      </w:r>
      <w:r w:rsidR="00021634">
        <w:rPr>
          <w:lang w:eastAsia="en-US"/>
        </w:rPr>
        <w:fldChar w:fldCharType="end"/>
      </w:r>
      <w:r w:rsidR="00021634">
        <w:rPr>
          <w:lang w:eastAsia="en-US"/>
        </w:rPr>
        <w:t xml:space="preserve"> </w:t>
      </w:r>
      <w:r w:rsidR="00586545">
        <w:rPr>
          <w:lang w:eastAsia="en-US"/>
        </w:rPr>
        <w:t>suggest</w:t>
      </w:r>
      <w:r w:rsidR="00021634">
        <w:rPr>
          <w:lang w:eastAsia="en-US"/>
        </w:rPr>
        <w:t>ed</w:t>
      </w:r>
      <w:r w:rsidR="00586545">
        <w:rPr>
          <w:lang w:eastAsia="en-US"/>
        </w:rPr>
        <w:t xml:space="preserve"> that</w:t>
      </w:r>
      <w:r>
        <w:rPr>
          <w:lang w:eastAsia="en-US"/>
        </w:rPr>
        <w:t xml:space="preserve"> </w:t>
      </w:r>
      <w:r w:rsidR="00586545">
        <w:rPr>
          <w:lang w:eastAsia="en-US"/>
        </w:rPr>
        <w:t xml:space="preserve">disfigurement is generally misrepresented or underrepresented. A search of the word ‘disfigurement’ </w:t>
      </w:r>
      <w:r>
        <w:rPr>
          <w:lang w:eastAsia="en-US"/>
        </w:rPr>
        <w:t xml:space="preserve"> across </w:t>
      </w:r>
      <w:r w:rsidR="00586545">
        <w:rPr>
          <w:lang w:eastAsia="en-US"/>
        </w:rPr>
        <w:t>broadsheet (</w:t>
      </w:r>
      <w:r w:rsidR="00586545" w:rsidRPr="004D2DCA">
        <w:rPr>
          <w:i/>
          <w:iCs/>
          <w:lang w:eastAsia="en-US"/>
        </w:rPr>
        <w:t>The Guardian, the daily Telegraph, The times, The independent</w:t>
      </w:r>
      <w:r w:rsidR="00586545">
        <w:rPr>
          <w:lang w:eastAsia="en-US"/>
        </w:rPr>
        <w:t>) and tabloid</w:t>
      </w:r>
      <w:r>
        <w:rPr>
          <w:lang w:eastAsia="en-US"/>
        </w:rPr>
        <w:t xml:space="preserve"> </w:t>
      </w:r>
      <w:r w:rsidR="00586545">
        <w:rPr>
          <w:lang w:eastAsia="en-US"/>
        </w:rPr>
        <w:t>(</w:t>
      </w:r>
      <w:r w:rsidR="00586545" w:rsidRPr="004D2DCA">
        <w:rPr>
          <w:i/>
          <w:iCs/>
          <w:lang w:eastAsia="en-US"/>
        </w:rPr>
        <w:t>The daily mirror, The sun, The daily mail</w:t>
      </w:r>
      <w:r w:rsidR="00586545">
        <w:rPr>
          <w:lang w:eastAsia="en-US"/>
        </w:rPr>
        <w:t xml:space="preserve">, amongst others) </w:t>
      </w:r>
      <w:r>
        <w:rPr>
          <w:lang w:eastAsia="en-US"/>
        </w:rPr>
        <w:t>newspapers showed that disfigurement</w:t>
      </w:r>
      <w:r w:rsidR="005F5AB1">
        <w:rPr>
          <w:lang w:eastAsia="en-US"/>
        </w:rPr>
        <w:t xml:space="preserve"> </w:t>
      </w:r>
      <w:r w:rsidR="00586545">
        <w:rPr>
          <w:lang w:eastAsia="en-US"/>
        </w:rPr>
        <w:t xml:space="preserve">was framed in </w:t>
      </w:r>
      <w:r w:rsidR="005F5AB1">
        <w:rPr>
          <w:lang w:eastAsia="en-US"/>
        </w:rPr>
        <w:t xml:space="preserve">the context of crime, entertainment and popular medicine. </w:t>
      </w:r>
      <w:r w:rsidR="007151B9">
        <w:rPr>
          <w:lang w:eastAsia="en-US"/>
        </w:rPr>
        <w:t>I</w:t>
      </w:r>
      <w:r w:rsidR="005F5AB1">
        <w:rPr>
          <w:lang w:eastAsia="en-US"/>
        </w:rPr>
        <w:t>n 46% of the matches</w:t>
      </w:r>
      <w:r w:rsidR="000731FC">
        <w:rPr>
          <w:lang w:eastAsia="en-US"/>
        </w:rPr>
        <w:t xml:space="preserve"> within broadsheet newspapers,</w:t>
      </w:r>
      <w:r w:rsidR="005F5AB1">
        <w:rPr>
          <w:lang w:eastAsia="en-US"/>
        </w:rPr>
        <w:t xml:space="preserve"> the word “disfigurement”</w:t>
      </w:r>
      <w:r w:rsidR="000731FC">
        <w:rPr>
          <w:lang w:eastAsia="en-US"/>
        </w:rPr>
        <w:t xml:space="preserve"> </w:t>
      </w:r>
      <w:r w:rsidR="001D09AC">
        <w:rPr>
          <w:lang w:eastAsia="en-US"/>
        </w:rPr>
        <w:t>appeared in</w:t>
      </w:r>
      <w:r w:rsidR="000731FC">
        <w:rPr>
          <w:lang w:eastAsia="en-US"/>
        </w:rPr>
        <w:t xml:space="preserve"> </w:t>
      </w:r>
      <w:r w:rsidR="005F5AB1">
        <w:rPr>
          <w:lang w:eastAsia="en-US"/>
        </w:rPr>
        <w:t>articles</w:t>
      </w:r>
      <w:r w:rsidR="007151B9">
        <w:rPr>
          <w:lang w:eastAsia="en-US"/>
        </w:rPr>
        <w:t xml:space="preserve"> </w:t>
      </w:r>
      <w:r w:rsidR="005F5AB1">
        <w:rPr>
          <w:lang w:eastAsia="en-US"/>
        </w:rPr>
        <w:t>about fiction, arts and entertainment, mostly referr</w:t>
      </w:r>
      <w:r w:rsidR="00A354E8">
        <w:rPr>
          <w:lang w:eastAsia="en-US"/>
        </w:rPr>
        <w:t>ing</w:t>
      </w:r>
      <w:r w:rsidR="005F5AB1">
        <w:rPr>
          <w:lang w:eastAsia="en-US"/>
        </w:rPr>
        <w:t xml:space="preserve"> to </w:t>
      </w:r>
      <w:r w:rsidR="00A354E8">
        <w:rPr>
          <w:lang w:eastAsia="en-US"/>
        </w:rPr>
        <w:t xml:space="preserve">movie </w:t>
      </w:r>
      <w:r w:rsidR="005F5AB1">
        <w:rPr>
          <w:lang w:eastAsia="en-US"/>
        </w:rPr>
        <w:t>characters with skin conditions. Further</w:t>
      </w:r>
      <w:r w:rsidR="007151B9">
        <w:rPr>
          <w:lang w:eastAsia="en-US"/>
        </w:rPr>
        <w:t>,</w:t>
      </w:r>
      <w:r w:rsidR="005F5AB1">
        <w:rPr>
          <w:lang w:eastAsia="en-US"/>
        </w:rPr>
        <w:t xml:space="preserve"> 17% articles placed disfigurement around crimes</w:t>
      </w:r>
      <w:r w:rsidR="001D09AC">
        <w:rPr>
          <w:lang w:eastAsia="en-US"/>
        </w:rPr>
        <w:t xml:space="preserve"> (e.g.,</w:t>
      </w:r>
      <w:r w:rsidR="005F5AB1">
        <w:rPr>
          <w:lang w:eastAsia="en-US"/>
        </w:rPr>
        <w:t xml:space="preserve"> acid attacks</w:t>
      </w:r>
      <w:r w:rsidR="00021634">
        <w:rPr>
          <w:lang w:eastAsia="en-US"/>
        </w:rPr>
        <w:t>, tragic accidents</w:t>
      </w:r>
      <w:r w:rsidR="001D09AC">
        <w:rPr>
          <w:lang w:eastAsia="en-US"/>
        </w:rPr>
        <w:t>),</w:t>
      </w:r>
      <w:r w:rsidR="007151B9">
        <w:rPr>
          <w:lang w:eastAsia="en-US"/>
        </w:rPr>
        <w:t xml:space="preserve"> and the remaining 37%</w:t>
      </w:r>
      <w:r w:rsidR="005F5AB1">
        <w:rPr>
          <w:lang w:eastAsia="en-US"/>
        </w:rPr>
        <w:t xml:space="preserve"> </w:t>
      </w:r>
      <w:r w:rsidR="00A354E8">
        <w:rPr>
          <w:lang w:eastAsia="en-US"/>
        </w:rPr>
        <w:t>referred</w:t>
      </w:r>
      <w:r w:rsidR="007151B9">
        <w:rPr>
          <w:lang w:eastAsia="en-US"/>
        </w:rPr>
        <w:t xml:space="preserve"> to disfigurement in the context </w:t>
      </w:r>
      <w:r w:rsidR="00021634">
        <w:rPr>
          <w:lang w:eastAsia="en-US"/>
        </w:rPr>
        <w:t>fiction arts and entertainment</w:t>
      </w:r>
      <w:r w:rsidR="007151B9">
        <w:rPr>
          <w:lang w:eastAsia="en-US"/>
        </w:rPr>
        <w:t xml:space="preserve">. </w:t>
      </w:r>
    </w:p>
    <w:p w14:paraId="66E740B0" w14:textId="148DF95C" w:rsidR="00623270" w:rsidRDefault="007151B9" w:rsidP="009C36BC">
      <w:pPr>
        <w:rPr>
          <w:lang w:eastAsia="en-US"/>
        </w:rPr>
      </w:pPr>
      <w:r>
        <w:rPr>
          <w:lang w:eastAsia="en-US"/>
        </w:rPr>
        <w:lastRenderedPageBreak/>
        <w:t xml:space="preserve">Tabloids </w:t>
      </w:r>
      <w:r w:rsidR="00A354E8">
        <w:rPr>
          <w:lang w:eastAsia="en-US"/>
        </w:rPr>
        <w:t>portraited disfigurement around sensationalis</w:t>
      </w:r>
      <w:r w:rsidR="001D09AC">
        <w:rPr>
          <w:lang w:eastAsia="en-US"/>
        </w:rPr>
        <w:t>t news</w:t>
      </w:r>
      <w:r w:rsidR="00A354E8">
        <w:rPr>
          <w:lang w:eastAsia="en-US"/>
        </w:rPr>
        <w:t xml:space="preserve">, particularly </w:t>
      </w:r>
      <w:r w:rsidR="00021634">
        <w:rPr>
          <w:lang w:eastAsia="en-US"/>
        </w:rPr>
        <w:t>body injuries</w:t>
      </w:r>
      <w:r w:rsidR="00973C23">
        <w:rPr>
          <w:lang w:eastAsia="en-US"/>
        </w:rPr>
        <w:t xml:space="preserve"> as a result of accidents or crimes </w:t>
      </w:r>
      <w:r w:rsidR="00A354E8">
        <w:rPr>
          <w:lang w:eastAsia="en-US"/>
        </w:rPr>
        <w:t>(4</w:t>
      </w:r>
      <w:r w:rsidR="00021634">
        <w:rPr>
          <w:lang w:eastAsia="en-US"/>
        </w:rPr>
        <w:t>7</w:t>
      </w:r>
      <w:r w:rsidR="00A354E8">
        <w:rPr>
          <w:lang w:eastAsia="en-US"/>
        </w:rPr>
        <w:t xml:space="preserve">% in </w:t>
      </w:r>
      <w:r w:rsidR="00A354E8" w:rsidRPr="004D2DCA">
        <w:rPr>
          <w:i/>
          <w:iCs/>
          <w:lang w:eastAsia="en-US"/>
        </w:rPr>
        <w:t>the Sun</w:t>
      </w:r>
      <w:r w:rsidR="00A354E8">
        <w:rPr>
          <w:lang w:eastAsia="en-US"/>
        </w:rPr>
        <w:t xml:space="preserve">) and medical procedures such as </w:t>
      </w:r>
      <w:r w:rsidR="00973C23">
        <w:rPr>
          <w:lang w:eastAsia="en-US"/>
        </w:rPr>
        <w:t xml:space="preserve">malpractice in </w:t>
      </w:r>
      <w:r w:rsidR="00A354E8">
        <w:rPr>
          <w:lang w:eastAsia="en-US"/>
        </w:rPr>
        <w:t>surgeries</w:t>
      </w:r>
      <w:r w:rsidR="00973C23">
        <w:rPr>
          <w:lang w:eastAsia="en-US"/>
        </w:rPr>
        <w:t xml:space="preserve"> that led to disfigurement or new treatments of skin conditions</w:t>
      </w:r>
      <w:r w:rsidR="00A354E8">
        <w:rPr>
          <w:lang w:eastAsia="en-US"/>
        </w:rPr>
        <w:t xml:space="preserve"> (4</w:t>
      </w:r>
      <w:r w:rsidR="00973C23">
        <w:rPr>
          <w:lang w:eastAsia="en-US"/>
        </w:rPr>
        <w:t>5</w:t>
      </w:r>
      <w:r w:rsidR="00A354E8">
        <w:rPr>
          <w:lang w:eastAsia="en-US"/>
        </w:rPr>
        <w:t xml:space="preserve">% in </w:t>
      </w:r>
      <w:r w:rsidR="00A354E8" w:rsidRPr="004D2DCA">
        <w:rPr>
          <w:i/>
          <w:iCs/>
          <w:lang w:eastAsia="en-US"/>
        </w:rPr>
        <w:t>the daily mirror</w:t>
      </w:r>
      <w:r w:rsidR="00A354E8">
        <w:rPr>
          <w:lang w:eastAsia="en-US"/>
        </w:rPr>
        <w:t xml:space="preserve">). </w:t>
      </w:r>
      <w:r w:rsidR="00623270">
        <w:rPr>
          <w:lang w:eastAsia="en-US"/>
        </w:rPr>
        <w:t xml:space="preserve">Overall, the coverage of disfigurement in the news was contextualised within atypical scenarios like tragic accidents, severe crimes and medical </w:t>
      </w:r>
      <w:r w:rsidR="00973C23">
        <w:rPr>
          <w:lang w:eastAsia="en-US"/>
        </w:rPr>
        <w:t>related news</w:t>
      </w:r>
      <w:r w:rsidR="00623270">
        <w:rPr>
          <w:lang w:eastAsia="en-US"/>
        </w:rPr>
        <w:t xml:space="preserve">. </w:t>
      </w:r>
      <w:r w:rsidR="008F4533">
        <w:rPr>
          <w:lang w:eastAsia="en-US"/>
        </w:rPr>
        <w:t xml:space="preserve">According to </w:t>
      </w:r>
      <w:r w:rsidR="008F4533">
        <w:rPr>
          <w:lang w:eastAsia="en-US"/>
        </w:rPr>
        <w:fldChar w:fldCharType="begin" w:fldLock="1"/>
      </w:r>
      <w:r w:rsidR="00716EEA">
        <w:rPr>
          <w:lang w:eastAsia="en-US"/>
        </w:rPr>
        <w:instrText>ADDIN CSL_CITATION {"citationItems":[{"id":"ITEM-1","itemData":{"ISSN":"191265623X","author":[{"dropping-particle":"","family":"Garrisi","given":"Diana","non-dropping-particle":"","parse-names":false,"suffix":""},{"dropping-particle":"","family":"Janciute","given":"LAIMA","non-dropping-particle":"","parse-names":false,"suffix":""},{"dropping-particle":"","family":"Johanssen","given":"JACOB","non-dropping-particle":"","parse-names":false,"suffix":""}],"id":"ITEM-1","issued":{"date-parts":[["2018"]]},"publisher":"University of Westminster Press","title":"CAMRI Policy Brief: Appearance, Discrimination and the Media-Portraying Facial Disfigurement Fairly in the News","type":"article-journal"},"uris":["http://www.mendeley.com/documents/?uuid=666a479b-31cc-4e95-8f11-696528a09800"]}],"mendeley":{"formattedCitation":"(Garrisi et al., 2018)","manualFormatting":"Garrisi et al (2018)","plainTextFormattedCitation":"(Garrisi et al., 2018)","previouslyFormattedCitation":"(Garrisi et al., 2018)"},"properties":{"noteIndex":0},"schema":"https://github.com/citation-style-language/schema/raw/master/csl-citation.json"}</w:instrText>
      </w:r>
      <w:r w:rsidR="008F4533">
        <w:rPr>
          <w:lang w:eastAsia="en-US"/>
        </w:rPr>
        <w:fldChar w:fldCharType="separate"/>
      </w:r>
      <w:r w:rsidR="008F4533" w:rsidRPr="008F4533">
        <w:rPr>
          <w:noProof/>
          <w:lang w:eastAsia="en-US"/>
        </w:rPr>
        <w:t>Garrisi et al</w:t>
      </w:r>
      <w:r w:rsidR="008F4533">
        <w:rPr>
          <w:noProof/>
          <w:lang w:eastAsia="en-US"/>
        </w:rPr>
        <w:t xml:space="preserve"> (</w:t>
      </w:r>
      <w:r w:rsidR="008F4533" w:rsidRPr="008F4533">
        <w:rPr>
          <w:noProof/>
          <w:lang w:eastAsia="en-US"/>
        </w:rPr>
        <w:t>2018)</w:t>
      </w:r>
      <w:r w:rsidR="008F4533">
        <w:rPr>
          <w:lang w:eastAsia="en-US"/>
        </w:rPr>
        <w:fldChar w:fldCharType="end"/>
      </w:r>
      <w:r w:rsidR="008F4533">
        <w:rPr>
          <w:lang w:eastAsia="en-US"/>
        </w:rPr>
        <w:t xml:space="preserve">, the representation of FD in the media seems to be reduced to ‘before and after’ stories, failing to cover the broader spectrum of what means to live with FD. </w:t>
      </w:r>
      <w:r w:rsidR="00623270">
        <w:rPr>
          <w:lang w:eastAsia="en-US"/>
        </w:rPr>
        <w:t>However, adjectives and adverbs linked to the word were not robustly negative. Only a small percentage of pejorative terms was found in both types of news outlets.</w:t>
      </w:r>
    </w:p>
    <w:p w14:paraId="3B47BB90" w14:textId="5DA0229B" w:rsidR="009C36BC" w:rsidRDefault="00BA5E71" w:rsidP="00213376">
      <w:pPr>
        <w:rPr>
          <w:lang w:eastAsia="en-US"/>
        </w:rPr>
      </w:pPr>
      <w:r w:rsidRPr="004D2DCA">
        <w:rPr>
          <w:lang w:eastAsia="en-US"/>
        </w:rPr>
        <w:t xml:space="preserve">On a positive note, </w:t>
      </w:r>
      <w:r w:rsidR="00213376" w:rsidRPr="004D2DCA">
        <w:rPr>
          <w:lang w:eastAsia="en-US"/>
        </w:rPr>
        <w:t xml:space="preserve">it is worth nothing that </w:t>
      </w:r>
      <w:r w:rsidR="00CD1E9B" w:rsidRPr="004D2DCA">
        <w:rPr>
          <w:lang w:eastAsia="en-US"/>
        </w:rPr>
        <w:t>inclusion</w:t>
      </w:r>
      <w:r w:rsidRPr="004D2DCA">
        <w:rPr>
          <w:lang w:eastAsia="en-US"/>
        </w:rPr>
        <w:t xml:space="preserve"> efforts</w:t>
      </w:r>
      <w:r w:rsidR="00213376" w:rsidRPr="004D2DCA">
        <w:rPr>
          <w:lang w:eastAsia="en-US"/>
        </w:rPr>
        <w:t xml:space="preserve"> such as education campaigns</w:t>
      </w:r>
      <w:r w:rsidR="00CD1E9B" w:rsidRPr="004D2DCA">
        <w:rPr>
          <w:lang w:eastAsia="en-US"/>
        </w:rPr>
        <w:t xml:space="preserve"> and positive discrimination policies </w:t>
      </w:r>
      <w:r w:rsidR="00213376" w:rsidRPr="004D2DCA">
        <w:rPr>
          <w:lang w:eastAsia="en-US"/>
        </w:rPr>
        <w:t xml:space="preserve">are </w:t>
      </w:r>
      <w:r w:rsidR="001D09AC" w:rsidRPr="004D2DCA">
        <w:rPr>
          <w:lang w:eastAsia="en-US"/>
        </w:rPr>
        <w:t xml:space="preserve">increasingly being </w:t>
      </w:r>
      <w:r w:rsidR="00213376" w:rsidRPr="004D2DCA">
        <w:rPr>
          <w:lang w:eastAsia="en-US"/>
        </w:rPr>
        <w:t>found in across western</w:t>
      </w:r>
      <w:r w:rsidRPr="004D2DCA">
        <w:rPr>
          <w:lang w:eastAsia="en-US"/>
        </w:rPr>
        <w:t xml:space="preserve"> societ</w:t>
      </w:r>
      <w:r w:rsidR="00716EEA" w:rsidRPr="004D2DCA">
        <w:rPr>
          <w:lang w:eastAsia="en-US"/>
        </w:rPr>
        <w:t>ies</w:t>
      </w:r>
      <w:r w:rsidR="004E2036" w:rsidRPr="004D2DCA">
        <w:rPr>
          <w:lang w:eastAsia="en-US"/>
        </w:rPr>
        <w:t>, for example, in the form of positive discrimination policies</w:t>
      </w:r>
      <w:r w:rsidR="00213376" w:rsidRPr="004D2DCA">
        <w:rPr>
          <w:lang w:eastAsia="en-US"/>
        </w:rPr>
        <w:t>.</w:t>
      </w:r>
      <w:r w:rsidRPr="004D2DCA">
        <w:rPr>
          <w:lang w:eastAsia="en-US"/>
        </w:rPr>
        <w:t xml:space="preserve"> </w:t>
      </w:r>
      <w:r w:rsidR="00716EEA" w:rsidRPr="004D2DCA">
        <w:rPr>
          <w:lang w:eastAsia="en-US"/>
        </w:rPr>
        <w:t>Literature evidences a growing interest towards</w:t>
      </w:r>
      <w:r w:rsidR="00213376" w:rsidRPr="004D2DCA">
        <w:rPr>
          <w:lang w:eastAsia="en-US"/>
        </w:rPr>
        <w:t xml:space="preserve"> building research-based capacity to provide an</w:t>
      </w:r>
      <w:r w:rsidRPr="004D2DCA">
        <w:rPr>
          <w:lang w:eastAsia="en-US"/>
        </w:rPr>
        <w:t xml:space="preserve"> environment </w:t>
      </w:r>
      <w:r w:rsidR="00213376" w:rsidRPr="004D2DCA">
        <w:rPr>
          <w:lang w:eastAsia="en-US"/>
        </w:rPr>
        <w:t>that facilitates</w:t>
      </w:r>
      <w:r w:rsidRPr="004D2DCA">
        <w:rPr>
          <w:lang w:eastAsia="en-US"/>
        </w:rPr>
        <w:t xml:space="preserve"> the adjustment of individuals </w:t>
      </w:r>
      <w:r w:rsidR="001D09AC" w:rsidRPr="004D2DCA">
        <w:rPr>
          <w:lang w:eastAsia="en-US"/>
        </w:rPr>
        <w:t xml:space="preserve">that have been targets of discrimination because of their physical appearance. </w:t>
      </w:r>
      <w:r w:rsidR="00716EEA" w:rsidRPr="004D2DCA">
        <w:rPr>
          <w:lang w:eastAsia="en-US"/>
        </w:rPr>
        <w:t>Furthermore, o</w:t>
      </w:r>
      <w:r w:rsidR="001D09AC" w:rsidRPr="004D2DCA">
        <w:rPr>
          <w:lang w:eastAsia="en-US"/>
        </w:rPr>
        <w:t xml:space="preserve">ld stereotypes towards </w:t>
      </w:r>
      <w:r w:rsidR="00716EEA" w:rsidRPr="004D2DCA">
        <w:rPr>
          <w:lang w:eastAsia="en-US"/>
        </w:rPr>
        <w:t>disfigurement</w:t>
      </w:r>
      <w:r w:rsidR="004E2036" w:rsidRPr="004D2DCA">
        <w:rPr>
          <w:lang w:eastAsia="en-US"/>
        </w:rPr>
        <w:t xml:space="preserve"> </w:t>
      </w:r>
      <w:r w:rsidR="001D09AC" w:rsidRPr="004D2DCA">
        <w:rPr>
          <w:lang w:eastAsia="en-US"/>
        </w:rPr>
        <w:t xml:space="preserve">are increasingly being challenged. </w:t>
      </w:r>
      <w:r w:rsidRPr="004D2DCA">
        <w:rPr>
          <w:lang w:eastAsia="en-US"/>
        </w:rPr>
        <w:t xml:space="preserve">For instance, individuals defying stereotypes </w:t>
      </w:r>
      <w:r w:rsidR="00213376" w:rsidRPr="004D2DCA">
        <w:rPr>
          <w:lang w:eastAsia="en-US"/>
        </w:rPr>
        <w:t>associated with</w:t>
      </w:r>
      <w:r w:rsidRPr="004D2DCA">
        <w:rPr>
          <w:lang w:eastAsia="en-US"/>
        </w:rPr>
        <w:t xml:space="preserve"> disfigurement have </w:t>
      </w:r>
      <w:r w:rsidR="00716EEA" w:rsidRPr="004D2DCA">
        <w:rPr>
          <w:lang w:eastAsia="en-US"/>
        </w:rPr>
        <w:t>raised</w:t>
      </w:r>
      <w:r w:rsidRPr="004D2DCA">
        <w:rPr>
          <w:lang w:eastAsia="en-US"/>
        </w:rPr>
        <w:t xml:space="preserve"> awareness </w:t>
      </w:r>
      <w:r w:rsidR="00716EEA" w:rsidRPr="004D2DCA">
        <w:rPr>
          <w:lang w:eastAsia="en-US"/>
        </w:rPr>
        <w:t xml:space="preserve">by </w:t>
      </w:r>
      <w:r w:rsidR="00213376" w:rsidRPr="004D2DCA">
        <w:rPr>
          <w:lang w:eastAsia="en-US"/>
        </w:rPr>
        <w:t xml:space="preserve">working in fields with public appeal, as it is the case of </w:t>
      </w:r>
      <w:r w:rsidR="00716EEA" w:rsidRPr="00716EEA">
        <w:rPr>
          <w:lang w:eastAsia="en-US"/>
        </w:rPr>
        <w:t>Winnie Harlow</w:t>
      </w:r>
      <w:r w:rsidR="00716EEA">
        <w:rPr>
          <w:lang w:eastAsia="en-US"/>
        </w:rPr>
        <w:t xml:space="preserve">, a Canadian fashion model with vitiligo that has become a renowned public figure and advocate for Vitiligo </w:t>
      </w:r>
      <w:r w:rsidR="00716EEA">
        <w:rPr>
          <w:lang w:eastAsia="en-US"/>
        </w:rPr>
        <w:fldChar w:fldCharType="begin" w:fldLock="1"/>
      </w:r>
      <w:r w:rsidR="00E976AA">
        <w:rPr>
          <w:lang w:eastAsia="en-US"/>
        </w:rPr>
        <w:instrText>ADDIN CSL_CITATION {"citationItems":[{"id":"ITEM-1","itemData":{"author":[{"dropping-particle":"","family":"Kluger","given":"Nicolas","non-dropping-particle":"","parse-names":false,"suffix":""}],"container-title":"The Journal of clinical and aesthetic dermatology","id":"ITEM-1","issue":"9","issued":{"date-parts":[["2019"]]},"page":"12","publisher":"Matrix Medical Communications","title":"THE MICHAEL JACKSON AND WINNIE HARLOW EFFECT: IMPACT ON VITILIGO AWARENESS ON THE INTERNET","type":"article-journal","volume":"12"},"uris":["http://www.mendeley.com/documents/?uuid=2360fd25-aa08-433e-a1f3-bf55f8b98643"]},{"id":"ITEM-2","itemData":{"author":[{"dropping-particle":"","family":"Witcher","given":"Elizabeth","non-dropping-particle":"","parse-names":false,"suffix":""}],"id":"ITEM-2","issued":{"date-parts":[["2019"]]},"publisher":"SocArXiv","title":"The Role of Social Media in the Emotional Lives of People with Vitiligo","type":"article-journal"},"uris":["http://www.mendeley.com/documents/?uuid=704e8a5a-8234-4849-b1c9-a698bbb4b283"]}],"mendeley":{"formattedCitation":"(Kluger, 2019; Witcher, 2019)","plainTextFormattedCitation":"(Kluger, 2019; Witcher, 2019)","previouslyFormattedCitation":"(Kluger, 2019; Witcher, 2019)"},"properties":{"noteIndex":0},"schema":"https://github.com/citation-style-language/schema/raw/master/csl-citation.json"}</w:instrText>
      </w:r>
      <w:r w:rsidR="00716EEA">
        <w:rPr>
          <w:lang w:eastAsia="en-US"/>
        </w:rPr>
        <w:fldChar w:fldCharType="separate"/>
      </w:r>
      <w:r w:rsidR="00716EEA" w:rsidRPr="00716EEA">
        <w:rPr>
          <w:noProof/>
          <w:lang w:eastAsia="en-US"/>
        </w:rPr>
        <w:t>(Kluger, 2019; Witcher, 2019)</w:t>
      </w:r>
      <w:r w:rsidR="00716EEA">
        <w:rPr>
          <w:lang w:eastAsia="en-US"/>
        </w:rPr>
        <w:fldChar w:fldCharType="end"/>
      </w:r>
    </w:p>
    <w:p w14:paraId="490CBE0C" w14:textId="7C683BA1" w:rsidR="00867F98" w:rsidRPr="00985A2E" w:rsidRDefault="00867F98" w:rsidP="00867F98">
      <w:pPr>
        <w:rPr>
          <w:bCs/>
        </w:rPr>
      </w:pPr>
      <w:r w:rsidRPr="00985A2E">
        <w:rPr>
          <w:bCs/>
        </w:rPr>
        <w:t xml:space="preserve">During the last two decades, great efforts have been made to reduce discrimination towards disfigurement in the UK. </w:t>
      </w:r>
      <w:r>
        <w:rPr>
          <w:bCs/>
        </w:rPr>
        <w:t>A</w:t>
      </w:r>
      <w:r w:rsidR="00C5451B">
        <w:rPr>
          <w:bCs/>
        </w:rPr>
        <w:t xml:space="preserve"> significant</w:t>
      </w:r>
      <w:r>
        <w:rPr>
          <w:bCs/>
        </w:rPr>
        <w:t xml:space="preserve"> mile stone </w:t>
      </w:r>
      <w:r w:rsidR="00C5451B">
        <w:rPr>
          <w:bCs/>
        </w:rPr>
        <w:t>towards achieving more</w:t>
      </w:r>
      <w:r>
        <w:rPr>
          <w:bCs/>
        </w:rPr>
        <w:t xml:space="preserve"> inclusion </w:t>
      </w:r>
      <w:r w:rsidR="00C5451B">
        <w:rPr>
          <w:bCs/>
        </w:rPr>
        <w:t>for</w:t>
      </w:r>
      <w:r>
        <w:rPr>
          <w:bCs/>
        </w:rPr>
        <w:t xml:space="preserve"> people with disfigurement was the </w:t>
      </w:r>
      <w:r w:rsidR="00C5451B">
        <w:rPr>
          <w:bCs/>
        </w:rPr>
        <w:t xml:space="preserve">establishment of the </w:t>
      </w:r>
      <w:r w:rsidRPr="00985A2E">
        <w:rPr>
          <w:bCs/>
        </w:rPr>
        <w:t>Discrimination Act 2010</w:t>
      </w:r>
      <w:r w:rsidR="00C5451B">
        <w:rPr>
          <w:bCs/>
        </w:rPr>
        <w:t>. This act</w:t>
      </w:r>
      <w:r w:rsidRPr="00985A2E">
        <w:rPr>
          <w:bCs/>
        </w:rPr>
        <w:t xml:space="preserve"> provid</w:t>
      </w:r>
      <w:r w:rsidR="00C5451B">
        <w:rPr>
          <w:bCs/>
        </w:rPr>
        <w:t>e</w:t>
      </w:r>
      <w:r w:rsidRPr="00985A2E">
        <w:rPr>
          <w:bCs/>
        </w:rPr>
        <w:t xml:space="preserve"> special rights for individuals that are visibly different in order to protect them from discrimination. </w:t>
      </w:r>
      <w:r w:rsidR="00C5451B">
        <w:rPr>
          <w:bCs/>
        </w:rPr>
        <w:t>Similarly, o</w:t>
      </w:r>
      <w:r w:rsidRPr="00985A2E">
        <w:rPr>
          <w:bCs/>
        </w:rPr>
        <w:t xml:space="preserve">ther governments have </w:t>
      </w:r>
      <w:r w:rsidR="00C5451B">
        <w:rPr>
          <w:bCs/>
        </w:rPr>
        <w:t>granted</w:t>
      </w:r>
      <w:r w:rsidRPr="00985A2E">
        <w:rPr>
          <w:bCs/>
        </w:rPr>
        <w:t xml:space="preserve"> </w:t>
      </w:r>
      <w:r w:rsidR="00C5451B">
        <w:rPr>
          <w:bCs/>
        </w:rPr>
        <w:t>a</w:t>
      </w:r>
      <w:r w:rsidRPr="00985A2E">
        <w:rPr>
          <w:bCs/>
        </w:rPr>
        <w:t xml:space="preserve"> protected status</w:t>
      </w:r>
      <w:r w:rsidR="00C5451B">
        <w:rPr>
          <w:bCs/>
        </w:rPr>
        <w:t xml:space="preserve"> for </w:t>
      </w:r>
      <w:r w:rsidR="00C5451B" w:rsidRPr="00985A2E">
        <w:rPr>
          <w:bCs/>
        </w:rPr>
        <w:t>severe disfigurement</w:t>
      </w:r>
      <w:r w:rsidRPr="00985A2E">
        <w:rPr>
          <w:bCs/>
        </w:rPr>
        <w:t xml:space="preserve"> </w:t>
      </w:r>
      <w:r w:rsidR="00C5451B">
        <w:rPr>
          <w:bCs/>
        </w:rPr>
        <w:t>in the form of</w:t>
      </w:r>
      <w:r w:rsidRPr="00985A2E">
        <w:rPr>
          <w:bCs/>
        </w:rPr>
        <w:t xml:space="preserve"> positive discrimination policies </w:t>
      </w:r>
      <w:r w:rsidR="00C5451B">
        <w:rPr>
          <w:bCs/>
        </w:rPr>
        <w:t>like</w:t>
      </w:r>
      <w:r w:rsidRPr="00985A2E">
        <w:rPr>
          <w:bCs/>
        </w:rPr>
        <w:t xml:space="preserve"> the discrimination act in the UK. (e.g., </w:t>
      </w:r>
      <w:r w:rsidRPr="00985A2E">
        <w:t>Disability Discrimination Act of 1992 in Australia and the Canadian Human Rights Act).</w:t>
      </w:r>
    </w:p>
    <w:p w14:paraId="5C97DD2C" w14:textId="66C5F003" w:rsidR="00867F98" w:rsidRPr="005212EC" w:rsidRDefault="00867F98" w:rsidP="004D2DCA">
      <w:r w:rsidRPr="00985A2E">
        <w:rPr>
          <w:bCs/>
        </w:rPr>
        <w:t xml:space="preserve">In addition, charities like ‘Changing Faces’ and ‘The Katie Piper foundation’ are continuously working on </w:t>
      </w:r>
      <w:r w:rsidR="00C5451B">
        <w:rPr>
          <w:bCs/>
        </w:rPr>
        <w:t xml:space="preserve">raising </w:t>
      </w:r>
      <w:r w:rsidRPr="00985A2E">
        <w:rPr>
          <w:bCs/>
        </w:rPr>
        <w:t xml:space="preserve">awareness </w:t>
      </w:r>
      <w:r w:rsidR="00C5451B">
        <w:rPr>
          <w:bCs/>
        </w:rPr>
        <w:t xml:space="preserve">about the </w:t>
      </w:r>
      <w:r w:rsidRPr="00985A2E">
        <w:rPr>
          <w:bCs/>
        </w:rPr>
        <w:t>inequality</w:t>
      </w:r>
      <w:r w:rsidR="00C5451B">
        <w:rPr>
          <w:bCs/>
        </w:rPr>
        <w:t xml:space="preserve"> treatment</w:t>
      </w:r>
      <w:r w:rsidRPr="00985A2E">
        <w:rPr>
          <w:bCs/>
        </w:rPr>
        <w:t xml:space="preserve"> encountered by individuals with disfigurement</w:t>
      </w:r>
      <w:r w:rsidR="00C5451B">
        <w:rPr>
          <w:bCs/>
        </w:rPr>
        <w:t>. Efforts of inclusion include</w:t>
      </w:r>
      <w:r w:rsidRPr="00985A2E">
        <w:rPr>
          <w:bCs/>
        </w:rPr>
        <w:t xml:space="preserve"> protest messages</w:t>
      </w:r>
      <w:r w:rsidR="00C5451B">
        <w:rPr>
          <w:bCs/>
        </w:rPr>
        <w:t xml:space="preserve"> distributed via mass media (tv and social media)</w:t>
      </w:r>
      <w:r w:rsidRPr="00985A2E">
        <w:rPr>
          <w:bCs/>
        </w:rPr>
        <w:t>, and by providing material on anti-bullying policies, teaching support and training programs for health care professional</w:t>
      </w:r>
      <w:r w:rsidR="00C5451B">
        <w:rPr>
          <w:bCs/>
        </w:rPr>
        <w:t>s that are in contact with people with disfigurement</w:t>
      </w:r>
      <w:r w:rsidRPr="00985A2E">
        <w:rPr>
          <w:bCs/>
        </w:rPr>
        <w:t xml:space="preserve">. </w:t>
      </w:r>
    </w:p>
    <w:p w14:paraId="3B5BC983" w14:textId="0E55750B" w:rsidR="00985A2E" w:rsidRPr="00985A2E" w:rsidRDefault="00985A2E">
      <w:pPr>
        <w:pStyle w:val="Heading2"/>
      </w:pPr>
      <w:r w:rsidRPr="008A6347">
        <w:lastRenderedPageBreak/>
        <w:t>Psychosocial impact of having a FD</w:t>
      </w:r>
      <w:bookmarkEnd w:id="13"/>
    </w:p>
    <w:p w14:paraId="4B4E8333" w14:textId="7DFF74B6" w:rsidR="00985A2E" w:rsidRPr="00985A2E" w:rsidRDefault="00985A2E" w:rsidP="00985A2E">
      <w:pPr>
        <w:ind w:firstLine="0"/>
      </w:pPr>
      <w:r w:rsidRPr="00985A2E">
        <w:t xml:space="preserve">Facial disfigurement is the aesthetic effect of a visible mark on the skin (e.g., rash, scar), a striking asymmetry or mobility impairment to the face.  </w:t>
      </w:r>
      <w:r w:rsidR="00454FF8">
        <w:t>O</w:t>
      </w:r>
      <w:r w:rsidRPr="00985A2E">
        <w:t xml:space="preserve">ver 1,345,000 (or one in 44) people in the United Kingdom report a severe disfigurement and 542,000 (or one in 111) report to have disfigurement in the face (Changing Faces, 2008). </w:t>
      </w:r>
      <w:r w:rsidR="008A6347">
        <w:t>Because h</w:t>
      </w:r>
      <w:r w:rsidRPr="00985A2E">
        <w:t>aving a FD</w:t>
      </w:r>
      <w:r w:rsidR="00454FF8">
        <w:t xml:space="preserve"> is particularly hard to </w:t>
      </w:r>
      <w:r w:rsidR="00652D22">
        <w:t>hide from others</w:t>
      </w:r>
      <w:r w:rsidRPr="00985A2E">
        <w:t xml:space="preserve">, some of the most common difficulties </w:t>
      </w:r>
      <w:r w:rsidR="00652D22">
        <w:t>faced</w:t>
      </w:r>
      <w:r w:rsidR="00652D22" w:rsidRPr="00985A2E">
        <w:t xml:space="preserve"> </w:t>
      </w:r>
      <w:r w:rsidRPr="00985A2E">
        <w:t>by individuals with FD are associated</w:t>
      </w:r>
      <w:r w:rsidR="00652D22">
        <w:t xml:space="preserve"> with</w:t>
      </w:r>
      <w:r w:rsidRPr="00985A2E">
        <w:t xml:space="preserve"> </w:t>
      </w:r>
      <w:r w:rsidR="00652D22" w:rsidRPr="00985A2E">
        <w:t xml:space="preserve">social interaction, such as the creation of new relationships </w:t>
      </w:r>
      <w:r w:rsidR="00652D22" w:rsidRPr="00985A2E">
        <w:rPr>
          <w:noProof/>
        </w:rPr>
        <w:t>(Lansdown et al., 1997)</w:t>
      </w:r>
      <w:r w:rsidR="00652D22" w:rsidRPr="00985A2E">
        <w:t xml:space="preserve">, especially with dating and marriage prospects </w:t>
      </w:r>
      <w:r w:rsidR="00652D22" w:rsidRPr="00985A2E">
        <w:rPr>
          <w:noProof/>
        </w:rPr>
        <w:t>(Hughes et al., 2009; Mojon-Azzi, Potnik, &amp; Mojon, 2008)</w:t>
      </w:r>
      <w:r w:rsidR="00652D22" w:rsidRPr="00985A2E">
        <w:t>.</w:t>
      </w:r>
      <w:r w:rsidR="00652D22">
        <w:t xml:space="preserve"> Other commonly found complaints include negative</w:t>
      </w:r>
      <w:r w:rsidRPr="00985A2E">
        <w:t xml:space="preserve"> self-perception (e.g., negative body</w:t>
      </w:r>
      <w:r w:rsidR="00652D22">
        <w:t xml:space="preserve"> image</w:t>
      </w:r>
      <w:r w:rsidRPr="00985A2E">
        <w:t xml:space="preserve"> </w:t>
      </w:r>
      <w:r w:rsidR="00652D22">
        <w:t>and fear of negative evaluation</w:t>
      </w:r>
      <w:r w:rsidRPr="00985A2E">
        <w:t>;</w:t>
      </w:r>
      <w:r w:rsidR="00652D22">
        <w:rPr>
          <w:noProof/>
        </w:rPr>
        <w:t xml:space="preserve"> </w:t>
      </w:r>
      <w:r w:rsidRPr="00985A2E">
        <w:rPr>
          <w:noProof/>
        </w:rPr>
        <w:t>Clarke, Thompson, Jenkinson, Rumsey, &amp; Newell, 2014; Newell, 1999)</w:t>
      </w:r>
      <w:r w:rsidR="00454FF8">
        <w:t>.</w:t>
      </w:r>
      <w:r w:rsidRPr="00985A2E">
        <w:t xml:space="preserve"> </w:t>
      </w:r>
    </w:p>
    <w:p w14:paraId="1E0C28DA" w14:textId="5B0897E6" w:rsidR="00985A2E" w:rsidRPr="00985A2E" w:rsidRDefault="00985A2E" w:rsidP="00985A2E">
      <w:r w:rsidRPr="00985A2E">
        <w:t xml:space="preserve">The boundaries between what is or not </w:t>
      </w:r>
      <w:r w:rsidR="00D15403">
        <w:t xml:space="preserve">considered </w:t>
      </w:r>
      <w:r w:rsidRPr="00985A2E">
        <w:t xml:space="preserve">disfigurement rely on inter-subjective agreements </w:t>
      </w:r>
      <w:r w:rsidR="008A6347">
        <w:t>about</w:t>
      </w:r>
      <w:r w:rsidRPr="00985A2E">
        <w:t xml:space="preserve"> what is an ideal or normal appearance. For instance, </w:t>
      </w:r>
      <w:r w:rsidR="00D15403">
        <w:t xml:space="preserve">there has been documentation about societies in which </w:t>
      </w:r>
      <w:r w:rsidRPr="00985A2E">
        <w:t>body modifications</w:t>
      </w:r>
      <w:r w:rsidR="008A6347">
        <w:t xml:space="preserve"> (e.g.</w:t>
      </w:r>
      <w:r w:rsidR="00D15403">
        <w:t>,</w:t>
      </w:r>
      <w:r w:rsidR="008A6347">
        <w:t xml:space="preserve"> marking their faces)</w:t>
      </w:r>
      <w:r w:rsidR="00D15403">
        <w:t xml:space="preserve"> are performed to </w:t>
      </w:r>
      <w:r w:rsidR="008A6347">
        <w:t>achieve a desirable appearance</w:t>
      </w:r>
      <w:r w:rsidR="00D15403">
        <w:t xml:space="preserve"> amongst peers, as it is the case of some tribes of </w:t>
      </w:r>
      <w:r w:rsidR="008A6347" w:rsidRPr="00985A2E">
        <w:t>Sub-Saharan Africa</w:t>
      </w:r>
      <w:r w:rsidR="008A6347" w:rsidRPr="00985A2E" w:rsidDel="008A6347">
        <w:t xml:space="preserve"> </w:t>
      </w:r>
      <w:r w:rsidRPr="00985A2E">
        <w:rPr>
          <w:noProof/>
        </w:rPr>
        <w:t>(Babatunde &amp; Oyeronke, 2010; Garve, Garve, Türp, Fobil, &amp; Meyer, 2017)</w:t>
      </w:r>
      <w:r w:rsidRPr="00985A2E">
        <w:t xml:space="preserve"> and Australasia </w:t>
      </w:r>
      <w:r w:rsidRPr="00985A2E">
        <w:rPr>
          <w:noProof/>
        </w:rPr>
        <w:t>(Kononen, 2012)</w:t>
      </w:r>
      <w:r w:rsidRPr="00985A2E">
        <w:t xml:space="preserve">.  </w:t>
      </w:r>
      <w:r w:rsidR="00D15403">
        <w:t>Indeed</w:t>
      </w:r>
      <w:r w:rsidR="00D25566">
        <w:t>,</w:t>
      </w:r>
      <w:r w:rsidRPr="00985A2E">
        <w:t xml:space="preserve"> </w:t>
      </w:r>
      <w:r w:rsidR="006A0A34">
        <w:t>in western societies</w:t>
      </w:r>
      <w:r w:rsidR="00A85B4B">
        <w:t>,</w:t>
      </w:r>
      <w:r w:rsidR="006A0A34" w:rsidRPr="00985A2E" w:rsidDel="00D15403">
        <w:t xml:space="preserve"> </w:t>
      </w:r>
      <w:r w:rsidRPr="00985A2E">
        <w:t xml:space="preserve">practices like body piercings and tattoos </w:t>
      </w:r>
      <w:r w:rsidR="006A0A34">
        <w:t>a</w:t>
      </w:r>
      <w:r w:rsidR="00A85B4B">
        <w:t>re a form of</w:t>
      </w:r>
      <w:r w:rsidRPr="00985A2E">
        <w:t xml:space="preserve"> appearance modification</w:t>
      </w:r>
      <w:r w:rsidR="00A85B4B">
        <w:t>,</w:t>
      </w:r>
      <w:r w:rsidRPr="00985A2E">
        <w:t xml:space="preserve"> </w:t>
      </w:r>
      <w:r w:rsidR="00A85B4B">
        <w:t>but are</w:t>
      </w:r>
      <w:r w:rsidR="00A85B4B" w:rsidRPr="00985A2E">
        <w:t xml:space="preserve"> </w:t>
      </w:r>
      <w:r w:rsidRPr="00985A2E">
        <w:t xml:space="preserve">not </w:t>
      </w:r>
      <w:r w:rsidR="006A0A34">
        <w:t>labelled as</w:t>
      </w:r>
      <w:r w:rsidR="006A0A34" w:rsidRPr="00985A2E">
        <w:t xml:space="preserve"> </w:t>
      </w:r>
      <w:r w:rsidRPr="00985A2E">
        <w:t>disfigurement</w:t>
      </w:r>
      <w:r w:rsidR="006A0A34">
        <w:t>.</w:t>
      </w:r>
      <w:r w:rsidRPr="00985A2E">
        <w:t xml:space="preserve"> </w:t>
      </w:r>
      <w:r w:rsidR="00A85B4B">
        <w:t>B</w:t>
      </w:r>
      <w:r w:rsidR="00A85B4B" w:rsidRPr="00985A2E">
        <w:t xml:space="preserve">ody piercings and tattoos </w:t>
      </w:r>
      <w:r w:rsidRPr="00985A2E">
        <w:t>have traditionally symbolised status, affiliation to a cultural subgroups (e.g., gang subcultures</w:t>
      </w:r>
      <w:r w:rsidR="006F0795">
        <w:t xml:space="preserve">; </w:t>
      </w:r>
      <w:r w:rsidRPr="00985A2E">
        <w:rPr>
          <w:noProof/>
        </w:rPr>
        <w:t>Schildkrout, 2004; Wolf, 2012)</w:t>
      </w:r>
      <w:r w:rsidRPr="00985A2E">
        <w:t xml:space="preserve"> or simply modern self-expression of identity </w:t>
      </w:r>
      <w:r w:rsidRPr="00985A2E">
        <w:rPr>
          <w:noProof/>
        </w:rPr>
        <w:t>(Armstrong, Roberts, Owen, &amp; Koch, 2004)</w:t>
      </w:r>
      <w:r w:rsidRPr="00985A2E">
        <w:t>. Therefore,</w:t>
      </w:r>
      <w:r w:rsidR="006A0A34">
        <w:t xml:space="preserve"> it could be said that  “</w:t>
      </w:r>
      <w:r w:rsidRPr="00985A2E">
        <w:rPr>
          <w:i/>
          <w:iCs/>
        </w:rPr>
        <w:t>…</w:t>
      </w:r>
      <w:r w:rsidRPr="00985A2E">
        <w:rPr>
          <w:iCs/>
        </w:rPr>
        <w:t>the definition of disfigurement depends on an interaction between social norms and individual attitudes and values</w:t>
      </w:r>
      <w:r w:rsidRPr="00985A2E">
        <w:rPr>
          <w:i/>
          <w:iCs/>
        </w:rPr>
        <w:t>.”</w:t>
      </w:r>
      <w:r w:rsidRPr="00985A2E">
        <w:t xml:space="preserve"> </w:t>
      </w:r>
      <w:r w:rsidRPr="00985A2E">
        <w:rPr>
          <w:noProof/>
        </w:rPr>
        <w:t>(Thompson &amp; Kent, 2001,</w:t>
      </w:r>
      <w:r w:rsidRPr="00985A2E">
        <w:rPr>
          <w:noProof/>
          <w:color w:val="FFFFFF"/>
        </w:rPr>
        <w:t>)</w:t>
      </w:r>
      <w:r w:rsidRPr="00985A2E">
        <w:t>p. 664).</w:t>
      </w:r>
    </w:p>
    <w:p w14:paraId="5387E732" w14:textId="7B5552D1" w:rsidR="00985A2E" w:rsidRDefault="00985A2E" w:rsidP="00985A2E">
      <w:r w:rsidRPr="00985A2E">
        <w:t xml:space="preserve">Unlike disfigurement in other parts of the body, visible differences affecting the face are very difficult to disguise, which makes FD features particularly salient in social interactions </w:t>
      </w:r>
      <w:r w:rsidRPr="00985A2E">
        <w:rPr>
          <w:noProof/>
        </w:rPr>
        <w:t>(Macgregor, 1990)</w:t>
      </w:r>
      <w:r w:rsidRPr="00985A2E">
        <w:t xml:space="preserve">. The aetiology of FD has been broadly defined as either </w:t>
      </w:r>
      <w:r w:rsidRPr="00985A2E">
        <w:rPr>
          <w:i/>
          <w:iCs/>
        </w:rPr>
        <w:t>acquired</w:t>
      </w:r>
      <w:r w:rsidRPr="00985A2E">
        <w:t xml:space="preserve"> through disease processes</w:t>
      </w:r>
      <w:r w:rsidR="00A85B4B">
        <w:t>,</w:t>
      </w:r>
      <w:r w:rsidRPr="00985A2E">
        <w:t xml:space="preserve"> traumatic events </w:t>
      </w:r>
      <w:r w:rsidR="00A85B4B">
        <w:t>(</w:t>
      </w:r>
      <w:r w:rsidRPr="00985A2E">
        <w:t>like fires, road or traffic accidents</w:t>
      </w:r>
      <w:r w:rsidR="00A85B4B">
        <w:t>),</w:t>
      </w:r>
      <w:r w:rsidRPr="00985A2E">
        <w:t xml:space="preserve"> or </w:t>
      </w:r>
      <w:r w:rsidRPr="00985A2E">
        <w:rPr>
          <w:i/>
          <w:iCs/>
        </w:rPr>
        <w:t xml:space="preserve">congenital </w:t>
      </w:r>
      <w:r w:rsidRPr="00985A2E">
        <w:t xml:space="preserve">such as Treacher-Collins Syndrome, which involves underdeveloped facial features </w:t>
      </w:r>
      <w:r w:rsidRPr="00985A2E">
        <w:rPr>
          <w:noProof/>
        </w:rPr>
        <w:t>(Poswillo, 1975; Rumsey &amp; Harcourt, 2004)</w:t>
      </w:r>
      <w:r w:rsidRPr="00985A2E">
        <w:t xml:space="preserve">. A recent report by Changing Faces (2017) showed that a sample of individuals with FD in the UK (N = 806) identified conditions and diseases specific to the skin as the leading cause of disfigurement (21%). Congenital birthmarks were the second most reported aetiology (15.2%), closely followed by scaring (12%) and craniofacial conditions (10%). The remaining reported causes included burns, paralysis and hair loss. Most of the sample reported the head or neck as the area of the body affected by disfigurement. </w:t>
      </w:r>
    </w:p>
    <w:p w14:paraId="1FBD4541" w14:textId="4A1C416D" w:rsidR="00985A2E" w:rsidRPr="00985A2E" w:rsidRDefault="00985A2E" w:rsidP="00985A2E">
      <w:r w:rsidRPr="00985A2E">
        <w:lastRenderedPageBreak/>
        <w:t xml:space="preserve">Two perspectives have been drawn in the study of stigma towards FD; </w:t>
      </w:r>
      <w:r w:rsidR="005862B6">
        <w:t xml:space="preserve">the individual (body-self relations) </w:t>
      </w:r>
      <w:r w:rsidRPr="00985A2E">
        <w:t>or ‘view from the inside’ and the socio-cultural and evoluti</w:t>
      </w:r>
      <w:r w:rsidR="005862B6">
        <w:t>onary</w:t>
      </w:r>
      <w:r w:rsidRPr="00985A2E">
        <w:t xml:space="preserve"> perspective or ‘view from the outside’ </w:t>
      </w:r>
      <w:r w:rsidRPr="00985A2E">
        <w:rPr>
          <w:noProof/>
        </w:rPr>
        <w:t>(</w:t>
      </w:r>
      <w:r w:rsidR="005862B6">
        <w:rPr>
          <w:noProof/>
        </w:rPr>
        <w:t xml:space="preserve">Cash, 1990 as cited in </w:t>
      </w:r>
      <w:r w:rsidRPr="00985A2E">
        <w:rPr>
          <w:noProof/>
        </w:rPr>
        <w:t>Thompson &amp; Kent, 2001)</w:t>
      </w:r>
      <w:r w:rsidRPr="00985A2E">
        <w:t xml:space="preserve">. The </w:t>
      </w:r>
      <w:r w:rsidR="00EA2682">
        <w:t>‘view from the inside’</w:t>
      </w:r>
      <w:r w:rsidRPr="00985A2E">
        <w:t xml:space="preserve"> studies stigma from the receiving end of the devaluation or rejection. The </w:t>
      </w:r>
      <w:r w:rsidRPr="00985A2E">
        <w:rPr>
          <w:i/>
          <w:iCs/>
        </w:rPr>
        <w:t>view from the outsid</w:t>
      </w:r>
      <w:r w:rsidRPr="00985A2E">
        <w:t xml:space="preserve">e concerns the study of how stigma affects social perceptions and interpersonal processes of those with a FD.  Facial disfigurement has traditionally been </w:t>
      </w:r>
      <w:r w:rsidR="009617CE" w:rsidRPr="00985A2E">
        <w:t>portrayed</w:t>
      </w:r>
      <w:r w:rsidRPr="00985A2E">
        <w:t xml:space="preserve"> in </w:t>
      </w:r>
      <w:r w:rsidR="005862B6">
        <w:t>art,</w:t>
      </w:r>
      <w:r w:rsidRPr="00985A2E">
        <w:t xml:space="preserve"> media and advertising as indications of evilness or moral defect </w:t>
      </w:r>
      <w:r w:rsidRPr="00985A2E">
        <w:rPr>
          <w:noProof/>
        </w:rPr>
        <w:t>(Pausch et al., 2012; Wardle, Boyce, &amp; Barron, 2009)</w:t>
      </w:r>
      <w:r w:rsidRPr="00985A2E">
        <w:t xml:space="preserve">. People with FD systematically report having experienced negative reactions such as stares or intrusive and rude remarks from the public </w:t>
      </w:r>
      <w:r w:rsidRPr="00985A2E">
        <w:rPr>
          <w:noProof/>
        </w:rPr>
        <w:t>(Hodge, 2017; Hunt, Burden, Hepper, &amp; Johnston, 2005; Rumsey, Clarke, &amp; Musa, 2002; Strauss et al., 2007)</w:t>
      </w:r>
      <w:r w:rsidRPr="00985A2E">
        <w:t xml:space="preserve">. </w:t>
      </w:r>
    </w:p>
    <w:p w14:paraId="3B168B28" w14:textId="77777777" w:rsidR="00985A2E" w:rsidRPr="00985A2E" w:rsidRDefault="00985A2E" w:rsidP="007A3FE4">
      <w:pPr>
        <w:pStyle w:val="Heading2"/>
      </w:pPr>
      <w:bookmarkStart w:id="14" w:name="_Toc12024610"/>
      <w:r w:rsidRPr="00985A2E">
        <w:t>The view from the inside</w:t>
      </w:r>
      <w:bookmarkEnd w:id="14"/>
    </w:p>
    <w:p w14:paraId="6AE54E60" w14:textId="2EE656DE" w:rsidR="00985A2E" w:rsidRPr="00985A2E" w:rsidRDefault="00985A2E" w:rsidP="005A2B3D">
      <w:pPr>
        <w:ind w:firstLine="0"/>
      </w:pPr>
      <w:r w:rsidRPr="00985A2E">
        <w:t xml:space="preserve">Self-stigma is the term commonly utilised to denote how individuals respond </w:t>
      </w:r>
      <w:r w:rsidR="00D23AA3">
        <w:t>when they are</w:t>
      </w:r>
      <w:r w:rsidRPr="00985A2E">
        <w:t xml:space="preserve"> the target of stigma </w:t>
      </w:r>
      <w:r w:rsidRPr="00985A2E">
        <w:rPr>
          <w:noProof/>
        </w:rPr>
        <w:t>(Bathje &amp; Pryor, 2011)</w:t>
      </w:r>
      <w:r w:rsidRPr="00985A2E">
        <w:t xml:space="preserve">. According to Goffman (1963), stigmatisation differs in whether the devaluated attribute is discernible, (‘discredited’), or concealable (‘discreditable’) to observers. A discredited stigma refers to stigma based on attributes that are clearly visible for the observer, such as obesity, FD or amputees. A ‘discreditable’ stigma covers less apparent forms of typically stigmatised attributes, such as psychiatric conditions or early manifestations of HIV. While discreditable stigmas can be hidden, individuals’ stigmatising attributes are susceptible to being exposed or, as branded by Goffman (1963), ‘discreditable’.  </w:t>
      </w:r>
    </w:p>
    <w:p w14:paraId="79FCB8B3" w14:textId="2FEE58DD" w:rsidR="00985A2E" w:rsidRPr="00985A2E" w:rsidRDefault="00985A2E" w:rsidP="00985A2E">
      <w:r w:rsidRPr="00985A2E">
        <w:t>Following Goffman’s seminal theory of stigma in 1963, researchers have expanded on the notions of discrediting and discreditable within the process of stigmatisation. For instance,</w:t>
      </w:r>
      <w:r w:rsidR="005A2B3D">
        <w:t xml:space="preserve"> </w:t>
      </w:r>
      <w:r w:rsidRPr="00985A2E">
        <w:rPr>
          <w:noProof/>
        </w:rPr>
        <w:t>Chaudoir, Earnshaw, and Andel (2013)</w:t>
      </w:r>
      <w:r w:rsidRPr="00985A2E">
        <w:t xml:space="preserve"> suggested that people experiencing stigma display three distinctive beliefs; anticipated, enacted and internalised stigma. </w:t>
      </w:r>
      <w:r w:rsidRPr="00985A2E">
        <w:rPr>
          <w:i/>
        </w:rPr>
        <w:t>Anticipated stigma</w:t>
      </w:r>
      <w:r w:rsidRPr="00985A2E">
        <w:t xml:space="preserve"> contemplates the expectation </w:t>
      </w:r>
      <w:r w:rsidR="00D23AA3">
        <w:t>experienced by an</w:t>
      </w:r>
      <w:r w:rsidRPr="00985A2E">
        <w:t xml:space="preserve"> individual </w:t>
      </w:r>
      <w:r w:rsidR="00D23AA3">
        <w:t>who is about to be</w:t>
      </w:r>
      <w:r w:rsidRPr="00985A2E">
        <w:t xml:space="preserve"> the target of devaluation, discrimination, and avoidance from their </w:t>
      </w:r>
      <w:r w:rsidR="00D23AA3">
        <w:t>peers</w:t>
      </w:r>
      <w:r w:rsidRPr="00985A2E">
        <w:t xml:space="preserve">. Individuals with stigmatised attributes may experience distress in the prospect of being in a social interaction where they may face discrimination or stigma from the public </w:t>
      </w:r>
      <w:r w:rsidRPr="00985A2E">
        <w:rPr>
          <w:noProof/>
        </w:rPr>
        <w:t>(Leary, Rapp, Herbst, Exum, &amp; Feldman, 1998)</w:t>
      </w:r>
      <w:r w:rsidRPr="00985A2E">
        <w:t xml:space="preserve">. Congruently, in believing that they will be the target of stigma, individuals experience feelings of vulnerability and shame </w:t>
      </w:r>
      <w:r w:rsidRPr="00985A2E">
        <w:rPr>
          <w:noProof/>
        </w:rPr>
        <w:t>(Chaudoir et al., 2013; Quinn et al., 2014)</w:t>
      </w:r>
      <w:r w:rsidRPr="00985A2E">
        <w:t>.</w:t>
      </w:r>
      <w:r w:rsidR="005A2B3D">
        <w:t xml:space="preserve"> </w:t>
      </w:r>
      <w:r w:rsidRPr="00985A2E">
        <w:t xml:space="preserve">Facing the prospects of potential discrimination may implicate tension and stress for individuals with FD. </w:t>
      </w:r>
      <w:r w:rsidR="00D23AA3">
        <w:t>I</w:t>
      </w:r>
      <w:r w:rsidRPr="00985A2E">
        <w:t xml:space="preserve">ndividuals with FD are likely to be particularly preoccupied with social acceptance </w:t>
      </w:r>
      <w:r w:rsidR="00994C93">
        <w:t>when</w:t>
      </w:r>
      <w:r w:rsidRPr="00985A2E">
        <w:t xml:space="preserve"> participating in interactions where they m</w:t>
      </w:r>
      <w:r w:rsidR="00994C93">
        <w:t>ight</w:t>
      </w:r>
      <w:r w:rsidRPr="00985A2E">
        <w:t xml:space="preserve"> face</w:t>
      </w:r>
      <w:r w:rsidR="00994C93">
        <w:t xml:space="preserve"> scrutinization from others or even </w:t>
      </w:r>
      <w:r w:rsidRPr="00985A2E">
        <w:t xml:space="preserve"> negative evaluation </w:t>
      </w:r>
      <w:r w:rsidRPr="00985A2E">
        <w:rPr>
          <w:noProof/>
        </w:rPr>
        <w:t xml:space="preserve">(Adhikari, Kaehler, </w:t>
      </w:r>
      <w:r w:rsidRPr="00985A2E">
        <w:rPr>
          <w:noProof/>
        </w:rPr>
        <w:lastRenderedPageBreak/>
        <w:t>Chapman, Raut, &amp; Roche, 2014; Katz, Irish, Devins, Rodin, &amp; Gullane, 2003;  Kent &amp; Keohane, 2001)</w:t>
      </w:r>
      <w:r w:rsidRPr="00985A2E">
        <w:t xml:space="preserve">. For instance, a survey report with visibly different individuals (N = 806; </w:t>
      </w:r>
      <w:r w:rsidRPr="00985A2E">
        <w:rPr>
          <w:noProof/>
        </w:rPr>
        <w:t>Changing Faces, 2017)</w:t>
      </w:r>
      <w:r w:rsidRPr="00985A2E">
        <w:t xml:space="preserve"> found that almost to 80% of respondents had evaded applying for a job due to fear of negative responses during the interview process or from fellow co-workers. Furthermore, over 40% of participants expressed their FD hindered their educational and career aspirations. Congruently, in the literature, anticipated stigma has been associated with self-isolation, and social withdrawal </w:t>
      </w:r>
      <w:r w:rsidRPr="00985A2E">
        <w:rPr>
          <w:noProof/>
        </w:rPr>
        <w:t>(Judgeo &amp; Moalusi, 2014; Quinn et al., 2014)</w:t>
      </w:r>
      <w:r w:rsidRPr="00985A2E">
        <w:t xml:space="preserve">. </w:t>
      </w:r>
    </w:p>
    <w:p w14:paraId="6F46A6BB" w14:textId="65D3EACD" w:rsidR="00985A2E" w:rsidRPr="00985A2E" w:rsidRDefault="00985A2E" w:rsidP="00985A2E">
      <w:r w:rsidRPr="00985A2E">
        <w:rPr>
          <w:i/>
          <w:iCs/>
        </w:rPr>
        <w:t>Enacted stigma</w:t>
      </w:r>
      <w:r w:rsidRPr="00985A2E">
        <w:t xml:space="preserve"> covers past experiences whereby individuals have received explicit manifestations of stigma </w:t>
      </w:r>
      <w:r w:rsidRPr="00985A2E">
        <w:rPr>
          <w:noProof/>
        </w:rPr>
        <w:t>(Chaudoir et al., 2013)</w:t>
      </w:r>
      <w:r w:rsidRPr="00985A2E">
        <w:t xml:space="preserve">. </w:t>
      </w:r>
      <w:r w:rsidR="00B32D9C">
        <w:t>O</w:t>
      </w:r>
      <w:r w:rsidRPr="00985A2E">
        <w:t>vert display</w:t>
      </w:r>
      <w:r w:rsidR="00B32D9C">
        <w:t>s</w:t>
      </w:r>
      <w:r w:rsidRPr="00985A2E">
        <w:t xml:space="preserve"> of stigma towards FD have been documented in the literature </w:t>
      </w:r>
      <w:r w:rsidRPr="00985A2E">
        <w:rPr>
          <w:noProof/>
        </w:rPr>
        <w:t>(Madera &amp; Hebl, 2012; Rumsey, Bull, &amp; Gahagan, 1982; Stevenage &amp; Furness, 2008; Stone &amp; Wright, 2013)</w:t>
      </w:r>
      <w:r w:rsidRPr="00985A2E">
        <w:t>. Moreover, surveys, as well as anecdot</w:t>
      </w:r>
      <w:r w:rsidR="00794616">
        <w:t>al</w:t>
      </w:r>
      <w:r w:rsidRPr="00985A2E">
        <w:t xml:space="preserve"> reports of experienced discrimination amongst people with FD, are consistent in that FD has negative implications across financial </w:t>
      </w:r>
      <w:r w:rsidRPr="00985A2E">
        <w:rPr>
          <w:noProof/>
        </w:rPr>
        <w:t>(Horn et al., 2007)</w:t>
      </w:r>
      <w:r w:rsidRPr="00985A2E">
        <w:t xml:space="preserve">, educational </w:t>
      </w:r>
      <w:r w:rsidRPr="00985A2E">
        <w:rPr>
          <w:noProof/>
        </w:rPr>
        <w:t>(Prior &amp; O’Dell, 2009)</w:t>
      </w:r>
      <w:r w:rsidRPr="00985A2E">
        <w:t xml:space="preserve">, occupational </w:t>
      </w:r>
      <w:r w:rsidRPr="00985A2E">
        <w:rPr>
          <w:noProof/>
        </w:rPr>
        <w:t>(Hong, Koo, &amp; Koo, 2008; Stone &amp; Wright, 2013)</w:t>
      </w:r>
      <w:r w:rsidRPr="00985A2E">
        <w:t xml:space="preserve">, partner selection </w:t>
      </w:r>
      <w:r w:rsidRPr="00985A2E">
        <w:rPr>
          <w:noProof/>
        </w:rPr>
        <w:t>(Hughes et al., 2009; Mojon-Azzi et al., 2008)</w:t>
      </w:r>
      <w:r w:rsidRPr="00985A2E">
        <w:t xml:space="preserve"> and overall wellbeing </w:t>
      </w:r>
      <w:r w:rsidRPr="00985A2E">
        <w:rPr>
          <w:noProof/>
        </w:rPr>
        <w:t>(Anne Clarke, 1999; Kent &amp; Al</w:t>
      </w:r>
      <w:r w:rsidRPr="00985A2E">
        <w:rPr>
          <w:rFonts w:ascii="Cambria Math" w:hAnsi="Cambria Math" w:cs="Cambria Math"/>
          <w:noProof/>
        </w:rPr>
        <w:t>‐</w:t>
      </w:r>
      <w:r w:rsidRPr="00985A2E">
        <w:rPr>
          <w:noProof/>
        </w:rPr>
        <w:t>Abadie, 1996)</w:t>
      </w:r>
      <w:r w:rsidRPr="00985A2E">
        <w:t xml:space="preserve">. </w:t>
      </w:r>
    </w:p>
    <w:p w14:paraId="04774FF2" w14:textId="0DE3B67B" w:rsidR="00985A2E" w:rsidRPr="00985A2E" w:rsidRDefault="00985A2E" w:rsidP="00985A2E">
      <w:r w:rsidRPr="00985A2E">
        <w:t xml:space="preserve">A recent report by Changing Faces (2017) provided a useful summary of enacted stigma towards people with FD in the UK. Two-thirds of the sample reported </w:t>
      </w:r>
      <w:r w:rsidR="00994C93">
        <w:t xml:space="preserve">already </w:t>
      </w:r>
      <w:r w:rsidRPr="00985A2E">
        <w:t xml:space="preserve">living with disfigurement during their secondary school years, and close to half of these (49.5%) respondents experienced bullying associated with their different appearance. Furthermore, 40% reported having failed to be successful at certain job applications because of their </w:t>
      </w:r>
      <w:r w:rsidR="00994C93">
        <w:t>physical appearance</w:t>
      </w:r>
      <w:r w:rsidRPr="00985A2E">
        <w:t xml:space="preserve"> and 45.8% said they had received unpleasant reactions from a shop assistant. </w:t>
      </w:r>
    </w:p>
    <w:p w14:paraId="70429BB4" w14:textId="671FADD4" w:rsidR="00985A2E" w:rsidRPr="00985A2E" w:rsidRDefault="00985A2E" w:rsidP="00985A2E">
      <w:r w:rsidRPr="00985A2E">
        <w:t xml:space="preserve">In response to stressors associated with stigma, individuals with FD may experience higher levels of appearance-related distress and face challenges in social interactions </w:t>
      </w:r>
      <w:r w:rsidRPr="00985A2E">
        <w:rPr>
          <w:noProof/>
        </w:rPr>
        <w:t>(Clarke et al., 2014)</w:t>
      </w:r>
      <w:r w:rsidRPr="00985A2E">
        <w:t xml:space="preserve">. In dermatological conditions such as psoriasis, individuals can develop dysfunctional coping strategies such as alcohol misuse and smoking </w:t>
      </w:r>
      <w:r w:rsidRPr="00985A2E">
        <w:rPr>
          <w:noProof/>
        </w:rPr>
        <w:t>(Ginsburg &amp; Link, 1993; Pouplard et al., 2013; Zhu, Zhu, &amp; Fan, 2012)</w:t>
      </w:r>
      <w:r w:rsidRPr="00985A2E">
        <w:t xml:space="preserve">. For instance, </w:t>
      </w:r>
      <w:r w:rsidRPr="00985A2E">
        <w:rPr>
          <w:noProof/>
          <w:color w:val="FFFFFF"/>
        </w:rPr>
        <w:t>(</w:t>
      </w:r>
      <w:r w:rsidRPr="00985A2E">
        <w:rPr>
          <w:noProof/>
        </w:rPr>
        <w:t>Poikolainen, Karvonen, and Pukkala, (1999)</w:t>
      </w:r>
      <w:r w:rsidRPr="00985A2E">
        <w:t xml:space="preserve"> reported that patients with psoriasis </w:t>
      </w:r>
      <w:r w:rsidR="00F152EC">
        <w:t xml:space="preserve">had </w:t>
      </w:r>
      <w:r w:rsidRPr="00985A2E">
        <w:t>a greater risk of dying by diseases associated with alcohol consumption (e.g., liver diseases), compared to mean mortality rates</w:t>
      </w:r>
      <w:r w:rsidR="00994C93">
        <w:t xml:space="preserve"> of people without psoriasis</w:t>
      </w:r>
      <w:r w:rsidRPr="00985A2E">
        <w:t xml:space="preserve">. </w:t>
      </w:r>
    </w:p>
    <w:p w14:paraId="465C2959" w14:textId="5C5918A0" w:rsidR="00985A2E" w:rsidRPr="00985A2E" w:rsidRDefault="00985A2E" w:rsidP="00985A2E">
      <w:r w:rsidRPr="00985A2E">
        <w:rPr>
          <w:i/>
          <w:iCs/>
        </w:rPr>
        <w:t>Internalised stigma</w:t>
      </w:r>
      <w:r w:rsidRPr="00985A2E">
        <w:t xml:space="preserve"> was first hypothesised by Goffman (1963) and later supported by Chaudoir et al</w:t>
      </w:r>
      <w:r w:rsidR="00AF776D">
        <w:t>.</w:t>
      </w:r>
      <w:r w:rsidRPr="00985A2E">
        <w:t xml:space="preserve"> (2013). According to this hypothesis, people that have been subjected to stigma for an extended period can internalise feelings of stigma. This subjective process typically involves negative feelings about self (e.g., body shame</w:t>
      </w:r>
      <w:r w:rsidR="006F0795">
        <w:t xml:space="preserve">; </w:t>
      </w:r>
      <w:r w:rsidRPr="00985A2E">
        <w:rPr>
          <w:noProof/>
        </w:rPr>
        <w:t xml:space="preserve"> </w:t>
      </w:r>
      <w:r w:rsidRPr="00985A2E">
        <w:rPr>
          <w:noProof/>
        </w:rPr>
        <w:lastRenderedPageBreak/>
        <w:t>Kent &amp; Thompson, 2002)</w:t>
      </w:r>
      <w:r w:rsidRPr="00985A2E">
        <w:t xml:space="preserve">, maladaptive behaviours (e.g., low treatment adherence) and coping strategies (alcohol misuse), and psychological distress </w:t>
      </w:r>
      <w:r w:rsidRPr="00985A2E">
        <w:rPr>
          <w:noProof/>
        </w:rPr>
        <w:t>(Livingston &amp; Boyd, 2010)</w:t>
      </w:r>
      <w:r w:rsidRPr="00985A2E">
        <w:t xml:space="preserve">. For instance, Coneo et al. (2017) showed that almost a third of a sample of people with skin conditions met the clinical </w:t>
      </w:r>
      <w:r w:rsidR="00994C93">
        <w:t xml:space="preserve">criteria for </w:t>
      </w:r>
      <w:r w:rsidRPr="00985A2E">
        <w:t>anxiety and depression</w:t>
      </w:r>
      <w:r w:rsidR="00994C93">
        <w:t>.</w:t>
      </w:r>
      <w:r w:rsidRPr="00985A2E">
        <w:t xml:space="preserve">   </w:t>
      </w:r>
    </w:p>
    <w:p w14:paraId="58AB16F8" w14:textId="36C2F538" w:rsidR="00985A2E" w:rsidRPr="00985A2E" w:rsidRDefault="00985A2E" w:rsidP="00985A2E">
      <w:r w:rsidRPr="00985A2E">
        <w:t xml:space="preserve">Research of FD stigma has been concentrated </w:t>
      </w:r>
      <w:r w:rsidR="00994C93">
        <w:t>around</w:t>
      </w:r>
      <w:r w:rsidRPr="00985A2E">
        <w:t xml:space="preserve"> the issues and difficulties encountered by those affected by it. However, not all individuals are affected to the same extent and some adjust well to their visible difference </w:t>
      </w:r>
      <w:r w:rsidRPr="00985A2E">
        <w:rPr>
          <w:noProof/>
        </w:rPr>
        <w:t>(Rumsey &amp; Harcourt, 2004; Thompson &amp; Broom, 2009)</w:t>
      </w:r>
      <w:r w:rsidRPr="00985A2E">
        <w:t xml:space="preserve">. Furthermore, numerous studies show that in general, psychological distress is weakly correlated with the magnitude of the physical disfigurement </w:t>
      </w:r>
      <w:r w:rsidRPr="00985A2E">
        <w:rPr>
          <w:noProof/>
        </w:rPr>
        <w:t>(Rumsey, Clarke, White, Wyn-Williams, &amp; Garlick, 2004; van den Elzen et al., 2012)</w:t>
      </w:r>
      <w:r w:rsidRPr="00985A2E">
        <w:t xml:space="preserve">, which enhances the relevance to study the array of psychosocial, cultural, and physical factors implicated in the process of adjustment to disfigurement </w:t>
      </w:r>
      <w:r w:rsidRPr="00985A2E">
        <w:rPr>
          <w:noProof/>
        </w:rPr>
        <w:t>(Coneo, Thompson, &amp; Lavda, 2017)</w:t>
      </w:r>
      <w:r w:rsidRPr="00985A2E">
        <w:t xml:space="preserve">. However, studies addressing the underlying factors contributing to people’s adjustment to FD, are typically </w:t>
      </w:r>
      <w:r w:rsidR="00994C93">
        <w:t>restricted</w:t>
      </w:r>
      <w:r w:rsidRPr="00985A2E">
        <w:t xml:space="preserve"> in terms of sample size,</w:t>
      </w:r>
      <w:r w:rsidR="00B32D9C">
        <w:t xml:space="preserve"> </w:t>
      </w:r>
      <w:r w:rsidR="00994C93">
        <w:t xml:space="preserve">statistical </w:t>
      </w:r>
      <w:r w:rsidRPr="00985A2E">
        <w:t>power</w:t>
      </w:r>
      <w:r w:rsidR="00994C93">
        <w:t xml:space="preserve"> and the lack of predictive nature in of the </w:t>
      </w:r>
      <w:r w:rsidRPr="00985A2E">
        <w:t xml:space="preserve">designs </w:t>
      </w:r>
      <w:r w:rsidRPr="00985A2E">
        <w:rPr>
          <w:noProof/>
        </w:rPr>
        <w:t>(Rumsey et al., 2004)</w:t>
      </w:r>
      <w:r w:rsidRPr="00985A2E">
        <w:t>.</w:t>
      </w:r>
    </w:p>
    <w:p w14:paraId="369D078E" w14:textId="4F607D5C" w:rsidR="00985A2E" w:rsidRPr="00985A2E" w:rsidRDefault="00985A2E" w:rsidP="00985A2E">
      <w:r w:rsidRPr="00985A2E">
        <w:t xml:space="preserve">The literature concerning the study of stigma reduction from the individual perspective (from the inside) has targeted two main challenges faced by people with FD; managing observers’ reaction in social interactions and the development of positive body image </w:t>
      </w:r>
      <w:r w:rsidRPr="00985A2E">
        <w:rPr>
          <w:noProof/>
        </w:rPr>
        <w:t>(Thompson &amp; Kent, 2001)</w:t>
      </w:r>
      <w:r w:rsidRPr="00985A2E">
        <w:t xml:space="preserve">. Strategies to reduce self-stigma may be grouped into three categories; medical </w:t>
      </w:r>
      <w:r w:rsidRPr="00985A2E">
        <w:rPr>
          <w:noProof/>
        </w:rPr>
        <w:t>(van Schijndel, Tasman, &amp; Litschel, 2015)</w:t>
      </w:r>
      <w:r w:rsidRPr="00985A2E">
        <w:t xml:space="preserve">, training of social skills </w:t>
      </w:r>
      <w:r w:rsidRPr="00985A2E">
        <w:rPr>
          <w:noProof/>
        </w:rPr>
        <w:t>(Bessell &amp; Moss, 2007; Robinson, Rumsey, &amp; Partridge, 1996)</w:t>
      </w:r>
      <w:r w:rsidRPr="00985A2E">
        <w:t xml:space="preserve"> and cognitive-behavioural therapy (CBT</w:t>
      </w:r>
      <w:r w:rsidR="006F0795">
        <w:t xml:space="preserve">; </w:t>
      </w:r>
      <w:r w:rsidRPr="00985A2E">
        <w:rPr>
          <w:noProof/>
        </w:rPr>
        <w:t>Clarke, Thompson, Jenkinson, Rumsey, &amp; Newell, 2013)</w:t>
      </w:r>
      <w:r w:rsidRPr="00985A2E">
        <w:t>. While medical orientations attempt to treat or surgically ‘correct’ FD, psychological interventions attempt to improve adjustment to</w:t>
      </w:r>
      <w:r w:rsidR="00AA3C36">
        <w:t xml:space="preserve"> living with</w:t>
      </w:r>
      <w:r w:rsidRPr="00985A2E">
        <w:t xml:space="preserve"> a facial difference or disfigurement. </w:t>
      </w:r>
    </w:p>
    <w:p w14:paraId="413795CC" w14:textId="4907A81D" w:rsidR="00985A2E" w:rsidRPr="00985A2E" w:rsidRDefault="00985A2E" w:rsidP="00985A2E">
      <w:r w:rsidRPr="00985A2E">
        <w:t xml:space="preserve">A meta-analysis </w:t>
      </w:r>
      <w:r w:rsidR="00AA3C36">
        <w:t>of</w:t>
      </w:r>
      <w:r w:rsidRPr="00985A2E">
        <w:t xml:space="preserve"> 22 studies</w:t>
      </w:r>
      <w:r w:rsidR="00AA3C36">
        <w:t xml:space="preserve"> evaluating the effectiveness of</w:t>
      </w:r>
      <w:r w:rsidRPr="00985A2E">
        <w:t xml:space="preserve"> interventions </w:t>
      </w:r>
      <w:r w:rsidR="00AA3C36">
        <w:t>aimed to improve</w:t>
      </w:r>
      <w:r w:rsidRPr="00985A2E">
        <w:t xml:space="preserve"> psychological </w:t>
      </w:r>
      <w:r w:rsidR="00AA3C36">
        <w:t>adjustment to</w:t>
      </w:r>
      <w:r w:rsidRPr="00985A2E">
        <w:t xml:space="preserve"> </w:t>
      </w:r>
      <w:r w:rsidR="00AA3C36">
        <w:t>living with</w:t>
      </w:r>
      <w:r w:rsidRPr="00985A2E">
        <w:t xml:space="preserve"> skin conditions (n = 906 participants across studies), reported a significant effect of psychological interventions such as CBT, group therapy and psychotherapy on improved psychological wellbeing of people with a range of skin conditions </w:t>
      </w:r>
      <w:r w:rsidRPr="00985A2E">
        <w:rPr>
          <w:noProof/>
        </w:rPr>
        <w:t>(Lavda, Webb, &amp; Thompson, 2012)</w:t>
      </w:r>
      <w:r w:rsidRPr="00985A2E">
        <w:t xml:space="preserve">. Moreover, significant changes in psychological outcomes were not affected by duration or mode of treatment. </w:t>
      </w:r>
      <w:r w:rsidR="00AA3C36">
        <w:t>Similarly,</w:t>
      </w:r>
      <w:r w:rsidRPr="00985A2E">
        <w:t xml:space="preserve"> training in social skills targeting individuals with FD has also </w:t>
      </w:r>
      <w:r w:rsidR="00AA3C36">
        <w:t>resulted in</w:t>
      </w:r>
      <w:r w:rsidRPr="00985A2E">
        <w:t xml:space="preserve"> significant improvement in levels of anxiety and self-confidence </w:t>
      </w:r>
      <w:r w:rsidRPr="00985A2E">
        <w:rPr>
          <w:noProof/>
        </w:rPr>
        <w:t>(Robinson et al., 1996)</w:t>
      </w:r>
      <w:r w:rsidRPr="00985A2E">
        <w:t xml:space="preserve">. However, the long-term effects of these interventions are yet to be explored in the literature. </w:t>
      </w:r>
    </w:p>
    <w:p w14:paraId="0C7A8A54" w14:textId="77777777" w:rsidR="00985A2E" w:rsidRPr="00985A2E" w:rsidRDefault="00985A2E" w:rsidP="007A3FE4">
      <w:pPr>
        <w:pStyle w:val="Heading2"/>
      </w:pPr>
      <w:bookmarkStart w:id="15" w:name="_Toc12024611"/>
      <w:r w:rsidRPr="00985A2E">
        <w:lastRenderedPageBreak/>
        <w:t>The view from the outside</w:t>
      </w:r>
      <w:bookmarkEnd w:id="15"/>
    </w:p>
    <w:p w14:paraId="54197C7A" w14:textId="3296C899" w:rsidR="00985A2E" w:rsidRPr="00985A2E" w:rsidRDefault="00FF50F0" w:rsidP="005A2B3D">
      <w:pPr>
        <w:ind w:firstLine="0"/>
      </w:pPr>
      <w:r>
        <w:t>S</w:t>
      </w:r>
      <w:r w:rsidR="00985A2E" w:rsidRPr="00985A2E">
        <w:t xml:space="preserve">ocial biases that benefit physically attractive </w:t>
      </w:r>
      <w:r>
        <w:t>people</w:t>
      </w:r>
      <w:r w:rsidR="00985A2E" w:rsidRPr="00985A2E">
        <w:t xml:space="preserve"> are well researched in the literature. </w:t>
      </w:r>
      <w:r w:rsidR="00985A2E" w:rsidRPr="00985A2E">
        <w:rPr>
          <w:noProof/>
        </w:rPr>
        <w:t>(Eagly &amp; Ashmore, 1991; Feingold, 1992; Hosoda, Stone</w:t>
      </w:r>
      <w:r w:rsidR="00985A2E" w:rsidRPr="00985A2E">
        <w:rPr>
          <w:rFonts w:ascii="Cambria Math" w:hAnsi="Cambria Math" w:cs="Cambria Math"/>
          <w:noProof/>
        </w:rPr>
        <w:t>‐</w:t>
      </w:r>
      <w:r w:rsidR="00985A2E" w:rsidRPr="00985A2E">
        <w:rPr>
          <w:noProof/>
        </w:rPr>
        <w:t>Romero, &amp; Coats, 2003)</w:t>
      </w:r>
      <w:r w:rsidR="00985A2E" w:rsidRPr="00985A2E">
        <w:fldChar w:fldCharType="begin"/>
      </w:r>
      <w:r w:rsidR="00985A2E" w:rsidRPr="00985A2E">
        <w:instrText xml:space="preserve">  EN.CITE </w:instrText>
      </w:r>
      <w:r w:rsidR="00985A2E" w:rsidRPr="00985A2E">
        <w:fldChar w:fldCharType="begin"/>
      </w:r>
      <w:r w:rsidR="00985A2E" w:rsidRPr="00985A2E">
        <w:instrText xml:space="preserve">  EN.CITE.DATA </w:instrText>
      </w:r>
      <w:r w:rsidR="00985A2E" w:rsidRPr="00985A2E">
        <w:fldChar w:fldCharType="end"/>
      </w:r>
      <w:r w:rsidR="00985A2E" w:rsidRPr="00985A2E">
        <w:fldChar w:fldCharType="separate"/>
      </w:r>
      <w:r w:rsidR="00985A2E" w:rsidRPr="00985A2E">
        <w:t>(Lemay, Clark, &amp; Greenberg, 2010; Lorenzo, Biesanz, &amp; Human, 2010)</w:t>
      </w:r>
      <w:r w:rsidR="00985A2E" w:rsidRPr="00985A2E">
        <w:fldChar w:fldCharType="end"/>
      </w:r>
      <w:r w:rsidR="00985A2E" w:rsidRPr="00985A2E">
        <w:t xml:space="preserve">. These biases are reinforced by the mass media via advertising and entertainment industries, which has negative consequences in the body image </w:t>
      </w:r>
      <w:r>
        <w:t>and</w:t>
      </w:r>
      <w:r w:rsidR="00985A2E" w:rsidRPr="00985A2E">
        <w:t xml:space="preserve"> self-perception of women </w:t>
      </w:r>
      <w:r w:rsidR="00985A2E" w:rsidRPr="00985A2E">
        <w:rPr>
          <w:noProof/>
        </w:rPr>
        <w:t>(Grabe, Ward, &amp; Hyde, 2008)</w:t>
      </w:r>
      <w:r w:rsidR="00985A2E" w:rsidRPr="00985A2E">
        <w:t xml:space="preserve"> and men </w:t>
      </w:r>
      <w:r w:rsidR="00985A2E" w:rsidRPr="00985A2E">
        <w:rPr>
          <w:noProof/>
        </w:rPr>
        <w:t>(Duggan &amp; McCreary, 2004)</w:t>
      </w:r>
      <w:r w:rsidR="00985A2E" w:rsidRPr="00985A2E">
        <w:fldChar w:fldCharType="begin"/>
      </w:r>
      <w:r w:rsidR="00985A2E" w:rsidRPr="00985A2E">
        <w:instrText xml:space="preserve">  EN.CITE &lt;EndNote&gt;&lt;Cite&gt;&lt;Author&gt;Harn&lt;/Author&gt;&lt;Year&gt;1987&lt;/Year&gt;&lt;IDText&gt;ADVERTISING THE ACCEPTABLY EMPLOYABLE IMAGE DISABILITY AND CAPITALISM&lt;/IDText&gt;&lt;DisplayText&gt;(Harn, 1987)&lt;/DisplayText&gt;&lt;record&gt;&lt;urls&gt;&lt;related-urls&gt;&lt;url&gt;http://dx.doi.org/10.1111/j.1541-0072.1987.tb00729.x&lt;/url&gt;&lt;/related-urls&gt;&lt;/urls&gt;&lt;isbn&gt;1541-0072&lt;/isbn&gt;&lt;titles&gt;&lt;title&gt;ADVERTISING THE ACCEPTABLY EMPLOYABLE IMAGE DISABILITY AND CAPITALISM&lt;/title&gt;&lt;secondary-title&gt;Policy Studies Journal&lt;/secondary-title&gt;&lt;/titles&gt;&lt;pages&gt;551-570&lt;/pages&gt;&lt;number&gt;3&lt;/number&gt;&lt;contributors&gt;&lt;authors&gt;&lt;author&gt;Harn, Harlan&lt;/author&gt;&lt;/authors&gt;&lt;/contributors&gt;&lt;added-date format="utc"&gt;1363882842&lt;/added-date&gt;&lt;ref-type name="Journal Article"&gt;17&lt;/ref-type&gt;&lt;dates&gt;&lt;year&gt;1987&lt;/year&gt;&lt;/dates&gt;&lt;rec-number&gt;284&lt;/rec-number&gt;&lt;publisher&gt;Blackwell Publishing Ltd&lt;/publisher&gt;&lt;last-updated-date format="utc"&gt;1363882842&lt;/last-updated-date&gt;&lt;electronic-resource-num&gt;10.1111/j.1541-0072.1987.tb00729.x&lt;/electronic-resource-num&gt;&lt;volume&gt;15&lt;/volume&gt;&lt;/record&gt;&lt;/Cite&gt;&lt;/EndNote&gt;</w:instrText>
      </w:r>
      <w:r w:rsidR="00985A2E" w:rsidRPr="00985A2E">
        <w:fldChar w:fldCharType="separate"/>
      </w:r>
      <w:r w:rsidR="00985A2E" w:rsidRPr="00985A2E">
        <w:t>(Harn, 1987)</w:t>
      </w:r>
      <w:r w:rsidR="00985A2E" w:rsidRPr="00985A2E">
        <w:fldChar w:fldCharType="end"/>
      </w:r>
      <w:r w:rsidR="00985A2E" w:rsidRPr="00985A2E">
        <w:t xml:space="preserve">. Research suggests that the presence of visible different features affects the way observers perceive and respond to individuals with FD </w:t>
      </w:r>
      <w:r w:rsidR="00985A2E" w:rsidRPr="00985A2E">
        <w:rPr>
          <w:noProof/>
        </w:rPr>
        <w:t>(Ishii, Carey, Byrne, Zee, &amp; Ishii, 2009; Rumsey et al., 1982; Stone &amp; Wright, 2012; Van Schijndel, Litschel, Maal, Berg &amp; Tasman, 2015)</w:t>
      </w:r>
      <w:r w:rsidR="00985A2E" w:rsidRPr="00985A2E">
        <w:t xml:space="preserve">.  </w:t>
      </w:r>
    </w:p>
    <w:p w14:paraId="70C9247E" w14:textId="093DB4F5" w:rsidR="00985A2E" w:rsidRPr="00985A2E" w:rsidRDefault="00FB2CD7" w:rsidP="00985A2E">
      <w:r>
        <w:rPr>
          <w:noProof/>
        </w:rPr>
        <w:t>In the literature studying how others perceive and interact with FD</w:t>
      </w:r>
      <w:r w:rsidR="00985A2E" w:rsidRPr="00985A2E">
        <w:t xml:space="preserve">, </w:t>
      </w:r>
      <w:r>
        <w:t xml:space="preserve">three distinctive </w:t>
      </w:r>
      <w:r w:rsidR="00985A2E" w:rsidRPr="00985A2E">
        <w:t xml:space="preserve">theoretical rationales </w:t>
      </w:r>
      <w:r>
        <w:t>have provided a</w:t>
      </w:r>
      <w:r w:rsidR="00985A2E" w:rsidRPr="00985A2E">
        <w:t xml:space="preserve"> framework to </w:t>
      </w:r>
      <w:r>
        <w:t xml:space="preserve">understand the phenomenon of </w:t>
      </w:r>
      <w:r w:rsidR="00985A2E" w:rsidRPr="00985A2E">
        <w:t>stigmati</w:t>
      </w:r>
      <w:r>
        <w:t>zation towards FD</w:t>
      </w:r>
      <w:r w:rsidR="00985A2E" w:rsidRPr="00985A2E">
        <w:t xml:space="preserve">. First, the belief in a "just world" or the attribution that the disfigurement involves some kind of moral balance from a greater power (e.g., cosmic balance) and magical thinking </w:t>
      </w:r>
      <w:r w:rsidR="00985A2E" w:rsidRPr="00985A2E">
        <w:rPr>
          <w:noProof/>
        </w:rPr>
        <w:t>(Goffman, 1963)</w:t>
      </w:r>
      <w:r w:rsidR="00985A2E" w:rsidRPr="00985A2E">
        <w:fldChar w:fldCharType="begin"/>
      </w:r>
      <w:r w:rsidR="00985A2E" w:rsidRPr="00985A2E">
        <w:instrText xml:space="preserve">  EN.CITE </w:instrText>
      </w:r>
      <w:r w:rsidR="00985A2E" w:rsidRPr="00985A2E">
        <w:fldChar w:fldCharType="begin"/>
      </w:r>
      <w:r w:rsidR="00985A2E" w:rsidRPr="00985A2E">
        <w:instrText xml:space="preserve">  EN.CITE.DATA </w:instrText>
      </w:r>
      <w:r w:rsidR="00985A2E" w:rsidRPr="00985A2E">
        <w:fldChar w:fldCharType="end"/>
      </w:r>
      <w:r w:rsidR="00985A2E" w:rsidRPr="00985A2E">
        <w:fldChar w:fldCharType="separate"/>
      </w:r>
      <w:r w:rsidR="00985A2E" w:rsidRPr="00985A2E">
        <w:t>(Park, Faulkner, &amp; Schaller, 2003; Thompson &amp; Kent, 2001)</w:t>
      </w:r>
      <w:r w:rsidR="00985A2E" w:rsidRPr="00985A2E">
        <w:fldChar w:fldCharType="end"/>
      </w:r>
      <w:r w:rsidR="00985A2E" w:rsidRPr="00985A2E">
        <w:t xml:space="preserve">. This framework is particularly useful in studies using </w:t>
      </w:r>
      <w:r w:rsidR="00BE4324">
        <w:t>samples of participants from certain non-western cultural background</w:t>
      </w:r>
      <w:r w:rsidR="00985A2E" w:rsidRPr="00985A2E">
        <w:t xml:space="preserve">.  </w:t>
      </w:r>
      <w:r w:rsidR="00BE4324">
        <w:t>For instance, i</w:t>
      </w:r>
      <w:r w:rsidR="00985A2E" w:rsidRPr="00985A2E">
        <w:t xml:space="preserve">ndividuals of South Asian background heavily rely on religious and cultural beliefs to explain disfigurement, which is </w:t>
      </w:r>
      <w:r w:rsidR="00BE4324">
        <w:t>thought to be</w:t>
      </w:r>
      <w:r w:rsidR="00985A2E" w:rsidRPr="00985A2E">
        <w:t xml:space="preserve"> the result of the will of God, destiny or as punishment for sinning </w:t>
      </w:r>
      <w:r w:rsidR="00985A2E" w:rsidRPr="00985A2E">
        <w:rPr>
          <w:noProof/>
        </w:rPr>
        <w:t>(Hughes et al., 2009)</w:t>
      </w:r>
      <w:r w:rsidR="00985A2E" w:rsidRPr="00985A2E">
        <w:t xml:space="preserve">. Similarly, studies in African samples report that stigma towards clef lip palate </w:t>
      </w:r>
      <w:r w:rsidR="00BE4324">
        <w:t xml:space="preserve">occurs in the context of </w:t>
      </w:r>
      <w:r w:rsidR="00985A2E" w:rsidRPr="00985A2E">
        <w:t>cultural and magical beliefs</w:t>
      </w:r>
      <w:r w:rsidR="00BE4324">
        <w:t xml:space="preserve"> that link FD with negative attributes</w:t>
      </w:r>
      <w:r w:rsidR="00985A2E" w:rsidRPr="00985A2E">
        <w:t xml:space="preserve"> </w:t>
      </w:r>
      <w:r w:rsidR="00985A2E" w:rsidRPr="00985A2E">
        <w:rPr>
          <w:noProof/>
        </w:rPr>
        <w:t>(Oginni, Asuku, Oladele, Obuekwe, &amp; Nnabuko, 2010; Owotade et al., 2014)</w:t>
      </w:r>
      <w:r w:rsidR="00985A2E" w:rsidRPr="00985A2E">
        <w:t xml:space="preserve">. </w:t>
      </w:r>
    </w:p>
    <w:p w14:paraId="6F89DD3F" w14:textId="4235F225" w:rsidR="00985A2E" w:rsidRPr="00985A2E" w:rsidRDefault="00BE4324" w:rsidP="00985A2E">
      <w:r>
        <w:t>The literature examining</w:t>
      </w:r>
      <w:r w:rsidR="00985A2E" w:rsidRPr="00985A2E">
        <w:t xml:space="preserve"> responses towards FD </w:t>
      </w:r>
      <w:r>
        <w:t>appears to be</w:t>
      </w:r>
      <w:r w:rsidR="00985A2E" w:rsidRPr="00985A2E">
        <w:t xml:space="preserve"> highly concentrated within western, high-income countries, and thus systematic comparisons with samples of low- and middle-income countries (LMIC) are not feasible. The study of stigma towards FD in relation to sociocultural variables would be complemented by studies using samples of non-industrialised societies such as countries of the global south </w:t>
      </w:r>
      <w:r w:rsidR="00985A2E" w:rsidRPr="00985A2E">
        <w:rPr>
          <w:noProof/>
        </w:rPr>
        <w:t>(Ward, 2017)</w:t>
      </w:r>
      <w:r w:rsidR="00985A2E" w:rsidRPr="00985A2E">
        <w:t xml:space="preserve">. </w:t>
      </w:r>
    </w:p>
    <w:p w14:paraId="2D62078E" w14:textId="094514C8" w:rsidR="00FB2CD7" w:rsidRPr="00985A2E" w:rsidRDefault="00985A2E" w:rsidP="00FB2CD7">
      <w:r w:rsidRPr="00985A2E">
        <w:t>The second rationale</w:t>
      </w:r>
      <w:r w:rsidR="00FB2CD7">
        <w:t xml:space="preserve"> proposes that </w:t>
      </w:r>
      <w:r w:rsidR="00CA7ADA">
        <w:t>stigma and avoidant</w:t>
      </w:r>
      <w:r w:rsidR="00FB2CD7" w:rsidRPr="00985A2E">
        <w:t xml:space="preserve"> responses towards FD are maintained and reinforced by interactional uncertainty about how to behave when encountering the disfigurement. For instance, in </w:t>
      </w:r>
      <w:r w:rsidR="00FB2CD7" w:rsidRPr="00985A2E">
        <w:rPr>
          <w:noProof/>
        </w:rPr>
        <w:t>Stone and Potton (2014)</w:t>
      </w:r>
      <w:r w:rsidR="00FB2CD7" w:rsidRPr="00985A2E">
        <w:t xml:space="preserve"> self-reported emotions of observers presented with FD stimuli reported higher levels of curiosity and sorrow compared to those evaluating control faces without disfigurement.</w:t>
      </w:r>
      <w:r w:rsidR="00CA7ADA">
        <w:t xml:space="preserve"> </w:t>
      </w:r>
    </w:p>
    <w:p w14:paraId="24C8A768" w14:textId="77777777" w:rsidR="00FB2CD7" w:rsidRPr="00985A2E" w:rsidRDefault="00FB2CD7" w:rsidP="00FB2CD7">
      <w:r w:rsidRPr="00985A2E">
        <w:t xml:space="preserve">The face provides abundant information about the interlocutor’s emotions, identity as well as verbal and non-verbal language </w:t>
      </w:r>
      <w:r w:rsidRPr="00985A2E">
        <w:rPr>
          <w:noProof/>
        </w:rPr>
        <w:t xml:space="preserve">(Haxby, Hoffman, &amp; Gobbini, 2002; Knapp, Hall, &amp; Horgan, 2013; Mertens, Siegmund, &amp; Grüsser, 1993; Walker-Smith, </w:t>
      </w:r>
      <w:r w:rsidRPr="00985A2E">
        <w:rPr>
          <w:noProof/>
        </w:rPr>
        <w:lastRenderedPageBreak/>
        <w:t>Gale, &amp; Findlay, 1977)</w:t>
      </w:r>
      <w:r w:rsidRPr="00985A2E">
        <w:t xml:space="preserve">. Studies with eye tracking suggest that when presented with images of faces, perceivers focus on the central triangle of the face, which comprises information from eyes, nose, and mouth. It is possible that disfigurement appears to the observer as a new stimulus in the face that affects the process of communication </w:t>
      </w:r>
      <w:r w:rsidRPr="00985A2E">
        <w:rPr>
          <w:noProof/>
        </w:rPr>
        <w:t>(Ishii et al., 2009; Madera &amp; Hebl, 2012; Stone &amp; Potton, 2017; Van Schijndel et al., 2015)</w:t>
      </w:r>
      <w:r w:rsidRPr="00985A2E">
        <w:t>.</w:t>
      </w:r>
    </w:p>
    <w:p w14:paraId="7930E82C" w14:textId="77777777" w:rsidR="00CA7ADA" w:rsidRDefault="00FB2CD7" w:rsidP="00FB2CD7">
      <w:r w:rsidRPr="00985A2E">
        <w:t xml:space="preserve">It has been suggested in the literature that a similar phenomenon to divided attention </w:t>
      </w:r>
      <w:r w:rsidRPr="00985A2E">
        <w:rPr>
          <w:noProof/>
        </w:rPr>
        <w:t>(Johnson &amp; Zatorre, 2006; Shomstein &amp; Yantis, 2004)</w:t>
      </w:r>
      <w:r w:rsidRPr="00985A2E">
        <w:t xml:space="preserve"> may be associated with observer’s perception of FD and evaluation of FD. Madera and Helb (2012), utilised eye-tracking technology to investigate perception, evaluation and memory recall of FD. Participants allocated to interact with FD stimuli showed longer visual fixation to the area where the disfigurement was located and reported using more self-regulatory resources and less memory recollection of the interaction: Participants also recalled fewer details about the interaction compared to participants allocated to control interactions with a confederate without FD. In other words, the presence of disfigurement may deviate the attention of observers away from the central triangle of the face </w:t>
      </w:r>
      <w:r w:rsidRPr="00985A2E">
        <w:rPr>
          <w:noProof/>
        </w:rPr>
        <w:t>(Ishii et al., 2009)</w:t>
      </w:r>
      <w:r w:rsidRPr="00985A2E">
        <w:t xml:space="preserve"> and associated content from this area of the face, hindering the quality of the interaction.  The implementation of more resources to self-regulate responses may also contribute to poor interactions and memory of people FD </w:t>
      </w:r>
      <w:r w:rsidRPr="00985A2E">
        <w:rPr>
          <w:noProof/>
        </w:rPr>
        <w:t>(Madera &amp; Hebl, 2012)</w:t>
      </w:r>
      <w:r w:rsidRPr="00985A2E">
        <w:t xml:space="preserve">. </w:t>
      </w:r>
      <w:r w:rsidR="00985A2E" w:rsidRPr="00985A2E">
        <w:t xml:space="preserve"> </w:t>
      </w:r>
    </w:p>
    <w:p w14:paraId="446AD020" w14:textId="7AF07185" w:rsidR="00985A2E" w:rsidRPr="00985A2E" w:rsidRDefault="00CA7ADA" w:rsidP="00985A2E">
      <w:r>
        <w:t>The third rationale suggests that st</w:t>
      </w:r>
      <w:r w:rsidR="00985A2E" w:rsidRPr="00985A2E">
        <w:t xml:space="preserve">igmatising responses </w:t>
      </w:r>
      <w:r>
        <w:t>are</w:t>
      </w:r>
      <w:r w:rsidR="00985A2E" w:rsidRPr="00985A2E">
        <w:t xml:space="preserve"> associated with the resemblance that FD shares with other physical manifestations of contagious </w:t>
      </w:r>
      <w:r>
        <w:t>diseases</w:t>
      </w:r>
      <w:r w:rsidR="00985A2E" w:rsidRPr="00985A2E">
        <w:t xml:space="preserve"> (e.g., Buruli Ulcer</w:t>
      </w:r>
      <w:r w:rsidR="006F0795">
        <w:t xml:space="preserve">; </w:t>
      </w:r>
      <w:r w:rsidR="00985A2E" w:rsidRPr="00985A2E">
        <w:rPr>
          <w:noProof/>
        </w:rPr>
        <w:t>Merritt et al., 2010)</w:t>
      </w:r>
      <w:r>
        <w:t xml:space="preserve">. Highly contagious diseases like lepra and </w:t>
      </w:r>
      <w:r w:rsidR="00E976AA" w:rsidRPr="004D2DCA">
        <w:t>smallpox</w:t>
      </w:r>
      <w:r w:rsidRPr="00E976AA">
        <w:t xml:space="preserve"> are known to </w:t>
      </w:r>
      <w:r w:rsidRPr="0010212F">
        <w:t>elicit</w:t>
      </w:r>
      <w:r w:rsidR="00985A2E" w:rsidRPr="0010212F">
        <w:t xml:space="preserve"> avoidance responses</w:t>
      </w:r>
      <w:r w:rsidRPr="0010212F">
        <w:t xml:space="preserve"> towards </w:t>
      </w:r>
      <w:r w:rsidRPr="00E2260B">
        <w:t xml:space="preserve">those that  are infected </w:t>
      </w:r>
      <w:r w:rsidR="00985A2E" w:rsidRPr="00E2260B">
        <w:rPr>
          <w:noProof/>
        </w:rPr>
        <w:t>(Sinha,</w:t>
      </w:r>
      <w:r w:rsidR="00985A2E" w:rsidRPr="00985A2E">
        <w:rPr>
          <w:noProof/>
        </w:rPr>
        <w:t xml:space="preserve"> Kushwaha, Kotwal, Sanghi, &amp; Verma, 2010)</w:t>
      </w:r>
      <w:r w:rsidR="00985A2E" w:rsidRPr="00985A2E">
        <w:t xml:space="preserve">. However, </w:t>
      </w:r>
      <w:r w:rsidR="00C04EAD">
        <w:t>other</w:t>
      </w:r>
      <w:r w:rsidR="00985A2E" w:rsidRPr="00985A2E">
        <w:t xml:space="preserve"> forms of FD tha</w:t>
      </w:r>
      <w:r w:rsidR="00C04EAD">
        <w:t>t</w:t>
      </w:r>
      <w:r w:rsidR="00985A2E" w:rsidRPr="00985A2E">
        <w:t xml:space="preserve"> are known to be non-contagious (e.g., burns or acne)</w:t>
      </w:r>
      <w:r>
        <w:t xml:space="preserve"> also</w:t>
      </w:r>
      <w:r w:rsidR="00985A2E" w:rsidRPr="00985A2E">
        <w:t xml:space="preserve"> elicit similar avoidance</w:t>
      </w:r>
      <w:r>
        <w:t xml:space="preserve"> and stigmatising</w:t>
      </w:r>
      <w:r w:rsidR="00985A2E" w:rsidRPr="00985A2E">
        <w:t xml:space="preserve"> reactions to contagiousness manifestations </w:t>
      </w:r>
      <w:r w:rsidR="00985A2E" w:rsidRPr="00985A2E">
        <w:rPr>
          <w:noProof/>
        </w:rPr>
        <w:t>(Green-Armytage, Simonds, John, &amp; Woodger, 2019; Kouznetsova, Stevenson, Oaten, &amp; Case, 2012; Ryan et al., 2012)</w:t>
      </w:r>
      <w:r w:rsidR="00985A2E" w:rsidRPr="00985A2E">
        <w:t xml:space="preserve">. </w:t>
      </w:r>
      <w:r w:rsidR="00693398">
        <w:t>R</w:t>
      </w:r>
      <w:r>
        <w:t>esearch from the</w:t>
      </w:r>
      <w:r w:rsidR="00985A2E" w:rsidRPr="00985A2E">
        <w:t xml:space="preserve"> field of evolutionary psychology</w:t>
      </w:r>
      <w:r>
        <w:t xml:space="preserve"> </w:t>
      </w:r>
      <w:r w:rsidR="00693398">
        <w:t>suggest that</w:t>
      </w:r>
      <w:r w:rsidR="00985A2E" w:rsidRPr="00985A2E">
        <w:t xml:space="preserve"> stigma</w:t>
      </w:r>
      <w:r w:rsidR="00693398">
        <w:t xml:space="preserve">tisation processes towards contagious and non-contagious FD are part of the </w:t>
      </w:r>
      <w:r w:rsidR="00985A2E" w:rsidRPr="00985A2E">
        <w:t>mechanisms developed</w:t>
      </w:r>
      <w:r w:rsidR="00693398">
        <w:t xml:space="preserve"> in humans to facilitate</w:t>
      </w:r>
      <w:r w:rsidR="00985A2E" w:rsidRPr="00985A2E">
        <w:t xml:space="preserve"> survival. This perspective follow</w:t>
      </w:r>
      <w:r w:rsidR="00AF756E">
        <w:t>s certain</w:t>
      </w:r>
      <w:r w:rsidR="00985A2E" w:rsidRPr="00985A2E">
        <w:t xml:space="preserve"> considerations in the understanding of stigma</w:t>
      </w:r>
      <w:r w:rsidR="00AF756E">
        <w:t>; f</w:t>
      </w:r>
      <w:r w:rsidR="00985A2E" w:rsidRPr="00985A2E">
        <w:t xml:space="preserve">irstly, contemporary humans and human behaviours are the result of a series of adaptations to recurrent problems associated with survival of the species </w:t>
      </w:r>
      <w:r w:rsidR="00985A2E" w:rsidRPr="00985A2E">
        <w:rPr>
          <w:noProof/>
        </w:rPr>
        <w:t>(Darwin, 1859)</w:t>
      </w:r>
      <w:r w:rsidR="00985A2E" w:rsidRPr="00985A2E">
        <w:t>. Secondly, problem-solving mechanisms in humans are likely</w:t>
      </w:r>
      <w:r w:rsidR="001A746A">
        <w:t xml:space="preserve"> to be</w:t>
      </w:r>
      <w:r w:rsidR="00985A2E" w:rsidRPr="00985A2E">
        <w:t xml:space="preserve"> specific in their functioning. Thirdly, humans are equipped with information-processing systems each of which has been phylogenetically shaped to overcome specific adaptive problems, including </w:t>
      </w:r>
      <w:r w:rsidR="00985A2E" w:rsidRPr="00985A2E">
        <w:lastRenderedPageBreak/>
        <w:t xml:space="preserve">socialisation </w:t>
      </w:r>
      <w:r w:rsidR="00985A2E" w:rsidRPr="00985A2E">
        <w:rPr>
          <w:noProof/>
        </w:rPr>
        <w:t>(Cosmides &amp; Tooby, 1994, 2010)</w:t>
      </w:r>
      <w:r w:rsidR="00985A2E" w:rsidRPr="00985A2E">
        <w:t xml:space="preserve">. </w:t>
      </w:r>
      <w:r w:rsidR="001A746A">
        <w:t>By excluding and devaluating others</w:t>
      </w:r>
      <w:r w:rsidR="00853317">
        <w:t>,</w:t>
      </w:r>
      <w:r w:rsidR="001A746A">
        <w:t xml:space="preserve"> humans have </w:t>
      </w:r>
      <w:r w:rsidR="00853317">
        <w:t>historically</w:t>
      </w:r>
      <w:r w:rsidR="001A746A">
        <w:t xml:space="preserve"> resolved </w:t>
      </w:r>
      <w:r w:rsidR="00853317">
        <w:t xml:space="preserve">issues associated with sociality and survival. Therefore, the potential for these responses may </w:t>
      </w:r>
      <w:r w:rsidR="00985A2E" w:rsidRPr="00985A2E">
        <w:t xml:space="preserve">be rooted in the species’ phylogenetical </w:t>
      </w:r>
      <w:r w:rsidR="00853317">
        <w:t>past</w:t>
      </w:r>
      <w:r w:rsidR="00985A2E" w:rsidRPr="00985A2E">
        <w:t xml:space="preserve"> </w:t>
      </w:r>
      <w:r w:rsidR="00853317">
        <w:t>and appears to be endorsed by cultural beliefs</w:t>
      </w:r>
      <w:r w:rsidR="00985A2E" w:rsidRPr="00985A2E">
        <w:t xml:space="preserve"> </w:t>
      </w:r>
      <w:r w:rsidR="00985A2E" w:rsidRPr="00985A2E">
        <w:rPr>
          <w:noProof/>
        </w:rPr>
        <w:t>(Kurzban &amp; Leary, 2001)</w:t>
      </w:r>
      <w:r w:rsidR="00985A2E" w:rsidRPr="00985A2E">
        <w:t xml:space="preserve">.  </w:t>
      </w:r>
    </w:p>
    <w:p w14:paraId="50BF2DF8" w14:textId="754005B5" w:rsidR="00985A2E" w:rsidRPr="00985A2E" w:rsidRDefault="00985A2E" w:rsidP="00985A2E">
      <w:r w:rsidRPr="00985A2E">
        <w:t>Selecting individuals to engage within social interactions, serves one of three functions; (i) avoidance of social interactions with potential partners that offer limited social gain; (ii) exploitation of subjected groups that preserve people’s group identities and dominance over resources; and (iii) reduction of the probability to be contaminated with infectious diseases (disease avoidance</w:t>
      </w:r>
      <w:r w:rsidR="006F0795">
        <w:t xml:space="preserve">; </w:t>
      </w:r>
      <w:r w:rsidRPr="00985A2E">
        <w:rPr>
          <w:noProof/>
        </w:rPr>
        <w:t>Kurzban &amp; Leary, 2001; Navarrete &amp; Fessler, 2006; Park et al., 2003)</w:t>
      </w:r>
      <w:r w:rsidRPr="00985A2E">
        <w:t xml:space="preserve">. </w:t>
      </w:r>
      <w:r w:rsidR="000D3027" w:rsidRPr="0010212F">
        <w:t>In line with this hypothesis, three distin</w:t>
      </w:r>
      <w:r w:rsidR="000D3027" w:rsidRPr="00E2260B">
        <w:t>ctive stigmatising conditions may elicit in observers</w:t>
      </w:r>
      <w:r w:rsidR="00905DFB" w:rsidRPr="00E2260B">
        <w:t xml:space="preserve"> </w:t>
      </w:r>
      <w:r w:rsidR="000D3027" w:rsidRPr="00E2260B">
        <w:t xml:space="preserve">specific </w:t>
      </w:r>
      <w:r w:rsidR="00905DFB" w:rsidRPr="00E2260B">
        <w:t>affective</w:t>
      </w:r>
      <w:r w:rsidR="000D3027" w:rsidRPr="00E2260B">
        <w:t>, c</w:t>
      </w:r>
      <w:r w:rsidR="000D3027" w:rsidRPr="00BA0F72">
        <w:t>ognitive and behavioural mechanisms that are different in nature.</w:t>
      </w:r>
      <w:r w:rsidR="003C706C" w:rsidRPr="004D2DCA">
        <w:t xml:space="preserve"> For instance, e</w:t>
      </w:r>
      <w:r w:rsidR="000D3027" w:rsidRPr="0010212F">
        <w:t>motional responses are known to lead an organism towards achiev</w:t>
      </w:r>
      <w:r w:rsidR="000D3027" w:rsidRPr="00E2260B">
        <w:t>ing an adaptative behaviour (e.g., fear-escaping</w:t>
      </w:r>
      <w:r w:rsidR="00096F37" w:rsidRPr="004D2DCA">
        <w:t>;</w:t>
      </w:r>
      <w:r w:rsidR="00E976AA" w:rsidRPr="004D2DCA">
        <w:t xml:space="preserve"> </w:t>
      </w:r>
      <w:r w:rsidR="00E976AA" w:rsidRPr="004D2DCA">
        <w:fldChar w:fldCharType="begin" w:fldLock="1"/>
      </w:r>
      <w:r w:rsidR="0010212F">
        <w:instrText>ADDIN CSL_CITATION {"citationItems":[{"id":"ITEM-1","itemData":{"ISSN":"1939-1471","author":[{"dropping-particle":"","family":"Öhman","given":"Arne","non-dropping-particle":"","parse-names":false,"suffix":""},{"dropping-particle":"","family":"Mineka","given":"Susan","non-dropping-particle":"","parse-names":false,"suffix":""}],"container-title":"Psychological review","id":"ITEM-1","issue":"3","issued":{"date-parts":[["2001"]]},"page":"483","publisher":"American Psychological Association","title":"Fears, phobias, and preparedness: toward an evolved module of fear and fear learning.","type":"article-journal","volume":"108"},"uris":["http://www.mendeley.com/documents/?uuid=e2516db2-11e4-4de5-a61f-90db51417f94"]}],"mendeley":{"formattedCitation":"(Öhman &amp; Mineka, 2001)","manualFormatting":"Öhman &amp; Mineka, 2001)","plainTextFormattedCitation":"(Öhman &amp; Mineka, 2001)","previouslyFormattedCitation":"(Öhman &amp; Mineka, 2001)"},"properties":{"noteIndex":0},"schema":"https://github.com/citation-style-language/schema/raw/master/csl-citation.json"}</w:instrText>
      </w:r>
      <w:r w:rsidR="00E976AA" w:rsidRPr="004D2DCA">
        <w:fldChar w:fldCharType="separate"/>
      </w:r>
      <w:r w:rsidR="00E976AA" w:rsidRPr="004D2DCA">
        <w:rPr>
          <w:noProof/>
        </w:rPr>
        <w:t>Öhman &amp; Mineka, 2001)</w:t>
      </w:r>
      <w:r w:rsidR="00E976AA" w:rsidRPr="004D2DCA">
        <w:fldChar w:fldCharType="end"/>
      </w:r>
      <w:r w:rsidR="00096F37" w:rsidRPr="004D2DCA">
        <w:t>. G</w:t>
      </w:r>
      <w:r w:rsidR="003C706C" w:rsidRPr="0010212F">
        <w:t xml:space="preserve">roups devaluated </w:t>
      </w:r>
      <w:r w:rsidR="003C706C" w:rsidRPr="004D2DCA">
        <w:t>based on functions of</w:t>
      </w:r>
      <w:r w:rsidR="003C706C" w:rsidRPr="0010212F">
        <w:t xml:space="preserve"> intergroup competition </w:t>
      </w:r>
      <w:r w:rsidR="003C706C" w:rsidRPr="00E2260B">
        <w:t>and exploitation may elicit</w:t>
      </w:r>
      <w:r w:rsidR="003C706C" w:rsidRPr="004D2DCA">
        <w:t xml:space="preserve"> in </w:t>
      </w:r>
      <w:r w:rsidR="00096F37" w:rsidRPr="0010212F">
        <w:t>other</w:t>
      </w:r>
      <w:r w:rsidR="00096F37">
        <w:t>s</w:t>
      </w:r>
      <w:r w:rsidR="003C706C" w:rsidRPr="0010212F">
        <w:t xml:space="preserve"> emotions of fear, </w:t>
      </w:r>
      <w:r w:rsidR="003C706C" w:rsidRPr="00E2260B">
        <w:t>hate and anger, while stigmatisation contextualised in avoidance of contaminating cues</w:t>
      </w:r>
      <w:r w:rsidR="003C706C" w:rsidRPr="004D2DCA">
        <w:t xml:space="preserve"> (</w:t>
      </w:r>
      <w:r w:rsidR="00396014" w:rsidRPr="004D2DCA">
        <w:t>like FD)</w:t>
      </w:r>
      <w:r w:rsidR="003C706C" w:rsidRPr="004D2DCA">
        <w:t xml:space="preserve"> is associated with</w:t>
      </w:r>
      <w:r w:rsidR="003C706C" w:rsidRPr="0010212F">
        <w:t xml:space="preserve"> </w:t>
      </w:r>
      <w:r w:rsidR="003C706C" w:rsidRPr="004D2DCA">
        <w:t>evoking</w:t>
      </w:r>
      <w:r w:rsidR="003C706C" w:rsidRPr="0010212F">
        <w:t xml:space="preserve"> emotions of disgust (Kurzban &amp; Leary, 2001).</w:t>
      </w:r>
      <w:r w:rsidR="003C706C">
        <w:t xml:space="preserve">    </w:t>
      </w:r>
      <w:r w:rsidR="000D3027">
        <w:t xml:space="preserve">  </w:t>
      </w:r>
    </w:p>
    <w:p w14:paraId="515374D6" w14:textId="77777777" w:rsidR="00985A2E" w:rsidRPr="00985A2E" w:rsidRDefault="00985A2E" w:rsidP="00985A2E">
      <w:r w:rsidRPr="00985A2E">
        <w:t xml:space="preserve">In line with the evolutionary perspective, discriminating behaviour towards facial and body disfigurement is hypothesised to be associated with an evolved mechanism to avoid contagious parasitic threats </w:t>
      </w:r>
      <w:r w:rsidRPr="00985A2E">
        <w:rPr>
          <w:noProof/>
        </w:rPr>
        <w:t>(Crocker &amp; Major, 2004; Kurzban &amp; Leary, 2001)</w:t>
      </w:r>
      <w:r w:rsidRPr="00985A2E">
        <w:t>. Disease-avoidance mechanisms involve information processing systems that facilitate the detection of potential parasitic infestations. Because diseases with contagious characteristics are normally accompanied by abnormal physical manifestations, humans have evolved to respond emotionally (anxiety, disgust), cognitively (negative attitudes) and behaviourally (avoidance), when encountering individuals that are visibly different (</w:t>
      </w:r>
      <w:r w:rsidRPr="00985A2E">
        <w:rPr>
          <w:noProof/>
        </w:rPr>
        <w:t>Park et al., 2003; Tybur, Lieberman, &amp; Griskevicius, 2009)</w:t>
      </w:r>
      <w:r w:rsidRPr="00985A2E">
        <w:fldChar w:fldCharType="begin"/>
      </w:r>
      <w:r w:rsidRPr="00985A2E">
        <w:instrText xml:space="preserve">  EN.CITE </w:instrText>
      </w:r>
      <w:r w:rsidRPr="00985A2E">
        <w:fldChar w:fldCharType="begin"/>
      </w:r>
      <w:r w:rsidRPr="00985A2E">
        <w:instrText xml:space="preserve">  EN.CITE.DATA </w:instrText>
      </w:r>
      <w:r w:rsidRPr="00985A2E">
        <w:fldChar w:fldCharType="end"/>
      </w:r>
      <w:r w:rsidRPr="00985A2E">
        <w:fldChar w:fldCharType="separate"/>
      </w:r>
      <w:r w:rsidRPr="00985A2E">
        <w:t>(M. Oaten, Stevenson, &amp; Case, 2009; Megan Oaten, Stevenson, &amp; Case, 2011)</w:t>
      </w:r>
      <w:r w:rsidRPr="00985A2E">
        <w:fldChar w:fldCharType="end"/>
      </w:r>
      <w:r w:rsidRPr="00985A2E">
        <w:t xml:space="preserve">. In the presence of FD, humans may avoid proximity or the possibility to exchange body fluids </w:t>
      </w:r>
      <w:r w:rsidRPr="00985A2E">
        <w:rPr>
          <w:noProof/>
        </w:rPr>
        <w:t>(Ryan et al., 2012)</w:t>
      </w:r>
      <w:r w:rsidRPr="00985A2E">
        <w:t>.</w:t>
      </w:r>
    </w:p>
    <w:p w14:paraId="09B6053F" w14:textId="77777777" w:rsidR="00985A2E" w:rsidRPr="00985A2E" w:rsidRDefault="00985A2E" w:rsidP="00985A2E">
      <w:r w:rsidRPr="00985A2E">
        <w:t xml:space="preserve">There is a robust body of evidence linking mechanisms of disgust with disease avoidance of contaminating cues </w:t>
      </w:r>
      <w:r w:rsidRPr="00985A2E">
        <w:rPr>
          <w:noProof/>
        </w:rPr>
        <w:t>(Schaller &amp; Duncan, 2007; Schaller &amp; Park, 2011; Tybur &amp; Lieberman, 2016)</w:t>
      </w:r>
      <w:r w:rsidRPr="00985A2E">
        <w:t xml:space="preserve">. Indeed, it is considered one of the most relevant mechanisms in the study of disease avoidance </w:t>
      </w:r>
      <w:r w:rsidRPr="00985A2E">
        <w:rPr>
          <w:noProof/>
        </w:rPr>
        <w:t>(Rozin, Haidt, &amp; McCauley, 1993)</w:t>
      </w:r>
      <w:r w:rsidRPr="00985A2E">
        <w:t xml:space="preserve">. The definition of disgusts dates back to Darwin’s Emotional responses in man and animals </w:t>
      </w:r>
      <w:r w:rsidRPr="00985A2E">
        <w:rPr>
          <w:noProof/>
        </w:rPr>
        <w:t>(Darwin, 1890)</w:t>
      </w:r>
      <w:r w:rsidRPr="00985A2E">
        <w:t xml:space="preserve">. </w:t>
      </w:r>
    </w:p>
    <w:p w14:paraId="26F3EAA6" w14:textId="3427DD7A" w:rsidR="00985A2E" w:rsidRPr="00985A2E" w:rsidRDefault="00985A2E" w:rsidP="00985A2E">
      <w:pPr>
        <w:ind w:left="720"/>
      </w:pPr>
      <w:r w:rsidRPr="00985A2E">
        <w:lastRenderedPageBreak/>
        <w:t xml:space="preserve">"Disgust is typically experienced as a feeling of revulsion, sometimes accompanied by nausea, along with a strong desire to withdraw from the eliciting stimulus". </w:t>
      </w:r>
      <w:r w:rsidRPr="00985A2E">
        <w:rPr>
          <w:noProof/>
        </w:rPr>
        <w:t>(Oaten, Stevenson, &amp; Case, 2009,</w:t>
      </w:r>
      <w:r w:rsidR="006A4F50">
        <w:rPr>
          <w:noProof/>
        </w:rPr>
        <w:t xml:space="preserve"> </w:t>
      </w:r>
      <w:r w:rsidRPr="00985A2E">
        <w:t>page 303)</w:t>
      </w:r>
    </w:p>
    <w:p w14:paraId="767DB4F3" w14:textId="78685A5F" w:rsidR="00985A2E" w:rsidRPr="00985A2E" w:rsidRDefault="00985A2E" w:rsidP="00985A2E">
      <w:r w:rsidRPr="00985A2E">
        <w:t xml:space="preserve">Many basic biological needs require involvement in situations with a high risk of contamination (e.g., eating, drinking, sexual activity). Disgust mechanisms help identify and avoid high-risk of contamination in the environment </w:t>
      </w:r>
      <w:r w:rsidRPr="00985A2E">
        <w:rPr>
          <w:noProof/>
        </w:rPr>
        <w:t>(Armstrong, Olatunji, Sarawgi, &amp; Simmons, 2010; Olatunji, Haidt, McKay, &amp; David, 2008)</w:t>
      </w:r>
      <w:r w:rsidRPr="00985A2E">
        <w:t xml:space="preserve">. For instance, common elicitors of disgust, such as body fluids, decomposed food or faeces are also substances high in harmful bacteria </w:t>
      </w:r>
      <w:r w:rsidRPr="00985A2E">
        <w:rPr>
          <w:noProof/>
        </w:rPr>
        <w:t>(Curtis &amp; Biran, 2001; Toronchuk &amp; Ellis, 2007)</w:t>
      </w:r>
      <w:r w:rsidRPr="00985A2E">
        <w:t xml:space="preserve">. Likewise, FD stimuli are likely to trigger disgust emotions in order to prevent contact and potential contamination </w:t>
      </w:r>
      <w:r w:rsidRPr="00985A2E">
        <w:rPr>
          <w:noProof/>
        </w:rPr>
        <w:t>(Ryan et al., 2012)</w:t>
      </w:r>
      <w:r w:rsidRPr="00985A2E">
        <w:t xml:space="preserve">. Moreover, disgust has been associated with stigma and prejudicial responses towards disadvantaged groups, </w:t>
      </w:r>
      <w:r w:rsidR="00370EE0">
        <w:t xml:space="preserve">even those </w:t>
      </w:r>
      <w:r w:rsidRPr="00985A2E">
        <w:t xml:space="preserve">typically studied under functions of exploitation/domination </w:t>
      </w:r>
      <w:r w:rsidRPr="00985A2E">
        <w:rPr>
          <w:noProof/>
        </w:rPr>
        <w:t>(Faulkner, Schaller, Park, &amp; Duncan, 2004)</w:t>
      </w:r>
      <w:r w:rsidRPr="00985A2E">
        <w:t xml:space="preserve">. Furthermore, individual differences in sensitivity to disgust have been found to predict stigmatisation towards FD </w:t>
      </w:r>
      <w:r w:rsidRPr="00985A2E">
        <w:rPr>
          <w:noProof/>
        </w:rPr>
        <w:t>(Ryan et al., 2012; Shanmugarajah et al., 2012; Stone &amp; Potton, 2014, 2017)</w:t>
      </w:r>
      <w:r w:rsidRPr="00985A2E">
        <w:t xml:space="preserve"> and other stigmatised groups based on appearance (e.g., obesity</w:t>
      </w:r>
      <w:r w:rsidR="006F0795">
        <w:t xml:space="preserve">; </w:t>
      </w:r>
      <w:r w:rsidRPr="00985A2E">
        <w:rPr>
          <w:noProof/>
        </w:rPr>
        <w:t>Lieberman, Tybur, &amp; Latner, 2012; Vartanian, 2010)</w:t>
      </w:r>
      <w:r w:rsidRPr="00985A2E">
        <w:t xml:space="preserve">. </w:t>
      </w:r>
    </w:p>
    <w:p w14:paraId="6EBAE621" w14:textId="77777777" w:rsidR="00396014" w:rsidRDefault="00985A2E" w:rsidP="00396014">
      <w:r w:rsidRPr="00985A2E">
        <w:t>However, individuals need to cover basic needs that require social interaction. In order to maximise chances of survival and meet basic needs, humans tend to avoid interactions that are associated with the greatest threat for survival (Error Management Theory</w:t>
      </w:r>
      <w:r w:rsidR="006F0795">
        <w:t xml:space="preserve">; </w:t>
      </w:r>
      <w:r w:rsidRPr="00985A2E">
        <w:rPr>
          <w:noProof/>
        </w:rPr>
        <w:t>Haselton &amp; Buss, 2000; Kouznetsova et al., 2012)</w:t>
      </w:r>
      <w:r w:rsidRPr="00985A2E">
        <w:t xml:space="preserve">. Following this logic, facing individuals with FD will likely result in avoidance as the consequences of failing to identify a potentially contaminating cue could be fatal. </w:t>
      </w:r>
    </w:p>
    <w:p w14:paraId="4F93B587" w14:textId="7661CE9E" w:rsidR="00985A2E" w:rsidRPr="00985A2E" w:rsidRDefault="00DE7BB8" w:rsidP="00385171">
      <w:bookmarkStart w:id="16" w:name="_Hlk33449578"/>
      <w:r>
        <w:t xml:space="preserve">Stigmatisation practices </w:t>
      </w:r>
      <w:r w:rsidR="00A07FC1">
        <w:t xml:space="preserve">towards FD </w:t>
      </w:r>
      <w:r>
        <w:t xml:space="preserve">may serve a function of protection </w:t>
      </w:r>
      <w:r w:rsidR="00A07FC1">
        <w:t>against potential contact with dangerous pathogens</w:t>
      </w:r>
      <w:r w:rsidR="0010212F">
        <w:t xml:space="preserve"> </w:t>
      </w:r>
      <w:r w:rsidR="0010212F">
        <w:fldChar w:fldCharType="begin" w:fldLock="1"/>
      </w:r>
      <w:r w:rsidR="00E2260B">
        <w:instrText>ADDIN CSL_CITATION {"citationItems":[{"id":"ITEM-1","itemData":{"ISSN":"0033-2909","PMID":"11316010","abstract":"A reconceptualization of stigma is presented that changes the emphasis from the devaluation of an individual's identity to the process by which individuals who satisfy certain criteria come to be excluded from various kinds of social interactions. The authors propose that phenomena currently placed under the general rubric of stigma involve a set of distinct psychological systems designed by natural selection to solve specific problems associated with sociality. In particular, the authors suggest that human beings possess cognitive adaptations designed to cause them to avoid poor social exchange partners, join cooperative groups (for purposes of between-group competition and exploitation), and avoid contact with those who are differentially likely to carry communicable pathogens. The evolutionary view contributes to the current conceptualization of stigma by providing an account of the ultimate function of stigmatization and helping to explain its consensual nature.","author":[{"dropping-particle":"","family":"Kurzban","given":"R","non-dropping-particle":"","parse-names":false,"suffix":""},{"dropping-particle":"","family":"Leary","given":"MR R","non-dropping-particle":"","parse-names":false,"suffix":""}],"container-title":"Psychological bulletin","id":"ITEM-1","issue":"2","issued":{"date-parts":[["2001","3"]]},"page":"187-208","title":"Evolutionary origins of stigmatization: the functions of social exclusion.","type":"article-journal","volume":"127"},"uris":["http://www.mendeley.com/documents/?uuid=b4daee26-e8a4-46a1-a6c2-54f808a7164c"]}],"mendeley":{"formattedCitation":"(Kurzban &amp; Leary, 2001)","plainTextFormattedCitation":"(Kurzban &amp; Leary, 2001)","previouslyFormattedCitation":"(Kurzban &amp; Leary, 2001)"},"properties":{"noteIndex":0},"schema":"https://github.com/citation-style-language/schema/raw/master/csl-citation.json"}</w:instrText>
      </w:r>
      <w:r w:rsidR="0010212F">
        <w:fldChar w:fldCharType="separate"/>
      </w:r>
      <w:r w:rsidR="0010212F" w:rsidRPr="0010212F">
        <w:rPr>
          <w:noProof/>
        </w:rPr>
        <w:t>(Kurzban &amp; Leary, 2001)</w:t>
      </w:r>
      <w:r w:rsidR="0010212F">
        <w:fldChar w:fldCharType="end"/>
      </w:r>
      <w:r w:rsidR="00A07FC1">
        <w:t>. However, what</w:t>
      </w:r>
      <w:r w:rsidR="00A30CFA">
        <w:t xml:space="preserve"> </w:t>
      </w:r>
      <w:r w:rsidR="00A07FC1">
        <w:t xml:space="preserve">features </w:t>
      </w:r>
      <w:r w:rsidR="00A30CFA">
        <w:t>are to be (or not)</w:t>
      </w:r>
      <w:r w:rsidR="00A07FC1">
        <w:t xml:space="preserve"> stigmatised </w:t>
      </w:r>
      <w:r w:rsidR="00A30CFA">
        <w:t>depend (to an extend) on</w:t>
      </w:r>
      <w:r w:rsidR="00A07FC1">
        <w:t xml:space="preserve"> interpersonal agreement</w:t>
      </w:r>
      <w:r w:rsidR="00A30CFA">
        <w:t>s, which are in turn</w:t>
      </w:r>
      <w:r w:rsidR="00A07FC1">
        <w:t xml:space="preserve"> </w:t>
      </w:r>
      <w:r w:rsidR="00A30CFA">
        <w:t>kept alive via</w:t>
      </w:r>
      <w:r w:rsidR="00A07FC1">
        <w:t xml:space="preserve"> socialization and cultural transmission. S</w:t>
      </w:r>
      <w:r w:rsidR="003471B3">
        <w:t>oci</w:t>
      </w:r>
      <w:r w:rsidR="00985A2E" w:rsidRPr="00985A2E">
        <w:t xml:space="preserve">ocultural </w:t>
      </w:r>
      <w:r w:rsidR="00A07FC1">
        <w:t xml:space="preserve">practices and beliefs maintain the </w:t>
      </w:r>
      <w:r w:rsidR="00A30CFA">
        <w:t>systematic avoidance of certain types of social interaction</w:t>
      </w:r>
      <w:r w:rsidR="00385388">
        <w:t xml:space="preserve"> </w:t>
      </w:r>
      <w:r w:rsidR="0010212F">
        <w:fldChar w:fldCharType="begin" w:fldLock="1"/>
      </w:r>
      <w:r w:rsidR="0010212F">
        <w:instrText>ADDIN CSL_CITATION {"citationItems":[{"id":"ITEM-1","itemData":{"ISSN":"0046-2772","author":[{"dropping-particle":"","family":"Guimond","given":"Serge","non-dropping-particle":"","parse-names":false,"suffix":""}],"container-title":"European Journal of Social Psychology","id":"ITEM-1","issue":"3","issued":{"date-parts":[["2000"]]},"page":"335-354","publisher":"Wiley Online Library","title":"Group socialization and prejudice: The social transmission of intergroup attitudes and beliefs","type":"article-journal","volume":"30"},"uris":["http://www.mendeley.com/documents/?uuid=5ebc53c8-342e-4d27-b4b9-7291da0529db"]}],"mendeley":{"formattedCitation":"(Guimond, 2000)","plainTextFormattedCitation":"(Guimond, 2000)","previouslyFormattedCitation":"(Guimond, 2000)"},"properties":{"noteIndex":0},"schema":"https://github.com/citation-style-language/schema/raw/master/csl-citation.json"}</w:instrText>
      </w:r>
      <w:r w:rsidR="0010212F">
        <w:fldChar w:fldCharType="separate"/>
      </w:r>
      <w:r w:rsidR="0010212F" w:rsidRPr="0010212F">
        <w:rPr>
          <w:noProof/>
        </w:rPr>
        <w:t>(Guimond, 2000)</w:t>
      </w:r>
      <w:r w:rsidR="0010212F">
        <w:fldChar w:fldCharType="end"/>
      </w:r>
      <w:r w:rsidR="00985A2E" w:rsidRPr="00985A2E">
        <w:t>.</w:t>
      </w:r>
      <w:r w:rsidR="00A30CFA">
        <w:t xml:space="preserve"> </w:t>
      </w:r>
      <w:r w:rsidR="009123CE">
        <w:t>For example</w:t>
      </w:r>
      <w:r w:rsidR="00385388">
        <w:t xml:space="preserve">, the stigmatisation of FD has been widely found across cultures </w:t>
      </w:r>
      <w:r w:rsidR="007A4B97">
        <w:t xml:space="preserve">and </w:t>
      </w:r>
      <w:r w:rsidR="00385388">
        <w:t>through</w:t>
      </w:r>
      <w:r w:rsidR="007A4B97">
        <w:t>out</w:t>
      </w:r>
      <w:r w:rsidR="00385388">
        <w:t xml:space="preserve"> human history (e.g., literature, historic records, plastic art, media)</w:t>
      </w:r>
      <w:r w:rsidR="007A4B97">
        <w:t>. Moreover, stereotyping of individuals with FD</w:t>
      </w:r>
      <w:r w:rsidR="00D22A85">
        <w:t xml:space="preserve"> persist</w:t>
      </w:r>
      <w:r w:rsidR="007A4B97">
        <w:t>s</w:t>
      </w:r>
      <w:r w:rsidR="00D22A85">
        <w:t xml:space="preserve"> nowadays</w:t>
      </w:r>
      <w:r w:rsidR="007A4B97">
        <w:t>;</w:t>
      </w:r>
      <w:r w:rsidR="00385388">
        <w:t xml:space="preserve"> literature suggest that current media outlets still portray FD in a way that endorse misrepresentation</w:t>
      </w:r>
      <w:r w:rsidR="00D22A85">
        <w:t xml:space="preserve"> and stereotyping </w:t>
      </w:r>
      <w:r w:rsidR="00385388">
        <w:t>of individuals with</w:t>
      </w:r>
      <w:r w:rsidR="00D22A85">
        <w:t xml:space="preserve"> a visible difference</w:t>
      </w:r>
      <w:r w:rsidR="00E2260B">
        <w:t xml:space="preserve"> </w:t>
      </w:r>
      <w:r w:rsidR="00E2260B">
        <w:fldChar w:fldCharType="begin" w:fldLock="1"/>
      </w:r>
      <w:r w:rsidR="00D72B62">
        <w:instrText>ADDIN CSL_CITATION {"citationItems":[{"id":"ITEM-1","itemData":{"author":[{"dropping-particle":"","family":"Wardle","given":"Claire","non-dropping-particle":"","parse-names":false,"suffix":""},{"dropping-particle":"","family":"Boyce","given":"Tammy","non-dropping-particle":"","parse-names":false,"suffix":""},{"dropping-particle":"","family":"Barron","given":"J","non-dropping-particle":"","parse-names":false,"suffix":""}],"container-title":"The Healing Foundation","id":"ITEM-1","issued":{"date-parts":[["2009"]]},"title":"Media coverage and audience reception of people with disfigurement or visible loss of function","type":"article-journal"},"uris":["http://www.mendeley.com/documents/?uuid=96952e98-77c8-449e-8e0f-a510cdb18722"]},{"id":"ITEM-2","itemData":{"ISSN":"191265623X","author":[{"dropping-particle":"","family":"Garrisi","given":"Diana","non-dropping-particle":"","parse-names":false,"suffix":""},{"dropping-particle":"","family":"Janciute","given":"LAIMA","non-dropping-particle":"","parse-names":false,"suffix":""},{"dropping-particle":"","family":"Johanssen","given":"JACOB","non-dropping-particle":"","parse-names":false,"suffix":""}],"id":"ITEM-2","issued":{"date-parts":[["2018"]]},"publisher":"University of Westminster Press","title":"CAMRI Policy Brief: Appearance, Discrimination and the Media-Portraying Facial Disfigurement Fairly in the News","type":"article-journal"},"uris":["http://www.mendeley.com/documents/?uuid=666a479b-31cc-4e95-8f11-696528a09800"]},{"id":"ITEM-3","itemData":{"ISSN":"1540-9740","author":[{"dropping-particle":"","family":"Johanssen","given":"Jacob","non-dropping-particle":"","parse-names":false,"suffix":""},{"dropping-particle":"","family":"Garrisi","given":"Diana","non-dropping-particle":"","parse-names":false,"suffix":""}],"container-title":"Skinmed","id":"ITEM-3","issue":"1","issued":{"date-parts":[["2018"]]},"page":"11-12","title":"Media and the Skin.","type":"article-journal","volume":"16"},"uris":["http://www.mendeley.com/documents/?uuid=907643c4-8a9a-4209-9ae6-fc77f575ad44"]}],"mendeley":{"formattedCitation":"(Garrisi et al., 2018; Johanssen &amp; Garrisi, 2018; Wardle, Boyce, &amp; Barron, 2009)","plainTextFormattedCitation":"(Garrisi et al., 2018; Johanssen &amp; Garrisi, 2018; Wardle, Boyce, &amp; Barron, 2009)","previouslyFormattedCitation":"(Garrisi et al., 2018; Johanssen &amp; Garrisi, 2018; Wardle, Boyce, &amp; Barron, 2009)"},"properties":{"noteIndex":0},"schema":"https://github.com/citation-style-language/schema/raw/master/csl-citation.json"}</w:instrText>
      </w:r>
      <w:r w:rsidR="00E2260B">
        <w:fldChar w:fldCharType="separate"/>
      </w:r>
      <w:r w:rsidR="001871E7" w:rsidRPr="001871E7">
        <w:rPr>
          <w:noProof/>
        </w:rPr>
        <w:t>(Garrisi et al., 2018; Johanssen &amp; Garrisi, 2018; Wardle, Boyce, &amp; Barron, 2009)</w:t>
      </w:r>
      <w:r w:rsidR="00E2260B">
        <w:fldChar w:fldCharType="end"/>
      </w:r>
      <w:r w:rsidR="00385388">
        <w:t xml:space="preserve">.   </w:t>
      </w:r>
      <w:r w:rsidR="00A30CFA">
        <w:t xml:space="preserve"> </w:t>
      </w:r>
      <w:r w:rsidR="00985A2E" w:rsidRPr="00985A2E">
        <w:t xml:space="preserve">  </w:t>
      </w:r>
    </w:p>
    <w:bookmarkEnd w:id="16"/>
    <w:p w14:paraId="7720E7B7" w14:textId="77777777" w:rsidR="004D2DCA" w:rsidRDefault="004D2DCA" w:rsidP="00985A2E">
      <w:pPr>
        <w:rPr>
          <w:b/>
          <w:bCs/>
        </w:rPr>
      </w:pPr>
    </w:p>
    <w:p w14:paraId="70A7E191" w14:textId="778CFF09" w:rsidR="00985A2E" w:rsidRPr="00985A2E" w:rsidRDefault="00985A2E" w:rsidP="00985A2E">
      <w:pPr>
        <w:rPr>
          <w:b/>
          <w:bCs/>
        </w:rPr>
      </w:pPr>
      <w:r w:rsidRPr="00985A2E">
        <w:rPr>
          <w:b/>
          <w:bCs/>
        </w:rPr>
        <w:t>The dual process of stigma</w:t>
      </w:r>
      <w:r w:rsidR="003471B3">
        <w:rPr>
          <w:b/>
          <w:bCs/>
        </w:rPr>
        <w:t xml:space="preserve"> </w:t>
      </w:r>
    </w:p>
    <w:p w14:paraId="73857C99" w14:textId="446B75AE" w:rsidR="00985A2E" w:rsidRPr="00985A2E" w:rsidRDefault="00985A2E" w:rsidP="005A2B3D">
      <w:pPr>
        <w:ind w:firstLine="0"/>
      </w:pPr>
      <w:r w:rsidRPr="00985A2E">
        <w:lastRenderedPageBreak/>
        <w:t>There is perhaps a</w:t>
      </w:r>
      <w:r w:rsidR="00767A5A">
        <w:t>nothe</w:t>
      </w:r>
      <w:r w:rsidR="00BB0103">
        <w:t>r</w:t>
      </w:r>
      <w:r w:rsidRPr="00985A2E">
        <w:t xml:space="preserve"> perspective that has contributed towards the understanding of stigma towards commonly stigmatised individuals, the dual-process of stigma proposed by Pryor, Reeder, Yeadon, and Hesson-McInnis (2004). According to this perspective, stigma contemplates two process</w:t>
      </w:r>
      <w:r w:rsidR="00BB0103">
        <w:t>es</w:t>
      </w:r>
      <w:r w:rsidRPr="00985A2E">
        <w:t xml:space="preserve">, one that involves (i) </w:t>
      </w:r>
      <w:r w:rsidRPr="00985A2E">
        <w:rPr>
          <w:i/>
          <w:iCs/>
        </w:rPr>
        <w:t>automatic</w:t>
      </w:r>
      <w:r w:rsidRPr="00985A2E">
        <w:t xml:space="preserve"> (implicit, impulsive, reflexive); and another that is (ii) reflective, deliberate or </w:t>
      </w:r>
      <w:r w:rsidRPr="00985A2E">
        <w:rPr>
          <w:i/>
          <w:iCs/>
        </w:rPr>
        <w:t>rule-based</w:t>
      </w:r>
      <w:r w:rsidRPr="00985A2E">
        <w:t>. This model suggests a temporal pattern in reactions to which reflexive responses are automatically elicited by the stimuli, while subsequent explicit reactions are “adjustments” to such initial responses.  In other words, automatic responses are not replaced by rule-based responses; instead, a dynamic process over time elicits subsequent emotional and behavioural reactions in the perceiver (see Figure 1</w:t>
      </w:r>
      <w:r w:rsidR="00312E49">
        <w:t>.1</w:t>
      </w:r>
      <w:r w:rsidRPr="00985A2E">
        <w:t>).</w:t>
      </w:r>
    </w:p>
    <w:p w14:paraId="6309DC69" w14:textId="77777777" w:rsidR="00985A2E" w:rsidRPr="00985A2E" w:rsidRDefault="00985A2E" w:rsidP="00985A2E">
      <w:r w:rsidRPr="00985A2E">
        <w:t xml:space="preserve">Automatic reactions reflect the operation of a reflexive and automatic system, which comprises immediate behavioural and emotional responses like disgust (Shanmugarajah, Gaind, Clarke, &amp; Butler, 2012), threat (Blascovich et al., 2001) and avoidance (Rumsey, Bull, &amp; Gahagan, 1982). Pryor et al. proposed that these reactions can be learnt over a lifetime via repeated association; for example, some automatic prejudice reactions to out-groups (i.e., groups of other ethnicities) have been shown to be the result of repeated learnt associations between certain ethnicities and unfavourable traits </w:t>
      </w:r>
      <w:r w:rsidRPr="00985A2E">
        <w:rPr>
          <w:noProof/>
        </w:rPr>
        <w:t>(Oswald, Mitchell, Blanton, Jaccard, &amp; Tetlock, 2013)</w:t>
      </w:r>
      <w:r w:rsidRPr="00985A2E">
        <w:t xml:space="preserve">. Automatic responses can also be of instinctive nature, as it is the case of protective responses of avoidance towards potentially pathogen-carrying individuals (Ryan, Oaten, Stevenson, &amp; Case, 2012; Tybur, Lieberman, Kurzban, &amp; DeScioli, 2013). </w:t>
      </w:r>
    </w:p>
    <w:p w14:paraId="0C599877" w14:textId="77777777" w:rsidR="00985A2E" w:rsidRPr="00985A2E" w:rsidRDefault="00985A2E" w:rsidP="00985A2E"/>
    <w:p w14:paraId="643ACB6B" w14:textId="77777777" w:rsidR="00985A2E" w:rsidRPr="00985A2E" w:rsidRDefault="00985A2E" w:rsidP="00985A2E"/>
    <w:p w14:paraId="3E9ABEEF" w14:textId="77777777" w:rsidR="00985A2E" w:rsidRPr="00D93CC5" w:rsidRDefault="00985A2E" w:rsidP="00D93CC5">
      <w:pPr>
        <w:pStyle w:val="TOCHeading"/>
        <w:rPr>
          <w:rFonts w:ascii="Arial" w:hAnsi="Arial" w:cs="Arial"/>
          <w:i/>
          <w:iCs/>
          <w:color w:val="auto"/>
          <w:sz w:val="22"/>
          <w:szCs w:val="22"/>
        </w:rPr>
      </w:pPr>
      <w:r w:rsidRPr="00D93CC5">
        <w:rPr>
          <w:rFonts w:ascii="Arial" w:hAnsi="Arial" w:cs="Arial"/>
          <w:color w:val="auto"/>
          <w:sz w:val="22"/>
          <w:szCs w:val="22"/>
        </w:rPr>
        <w:t>Figure 1.</w:t>
      </w:r>
      <w:r w:rsidR="00E74B2F">
        <w:rPr>
          <w:rFonts w:ascii="Arial" w:hAnsi="Arial" w:cs="Arial"/>
          <w:color w:val="auto"/>
          <w:sz w:val="22"/>
          <w:szCs w:val="22"/>
        </w:rPr>
        <w:t>1</w:t>
      </w:r>
      <w:r w:rsidRPr="00D93CC5">
        <w:rPr>
          <w:rFonts w:ascii="Arial" w:hAnsi="Arial" w:cs="Arial"/>
          <w:color w:val="auto"/>
          <w:sz w:val="22"/>
          <w:szCs w:val="22"/>
        </w:rPr>
        <w:t xml:space="preserve"> </w:t>
      </w:r>
      <w:r w:rsidRPr="00D93CC5">
        <w:rPr>
          <w:rFonts w:ascii="Arial" w:hAnsi="Arial" w:cs="Arial"/>
          <w:i/>
          <w:iCs/>
          <w:color w:val="auto"/>
          <w:sz w:val="22"/>
          <w:szCs w:val="22"/>
        </w:rPr>
        <w:t xml:space="preserve">The </w:t>
      </w:r>
      <w:r w:rsidR="00E01BCE">
        <w:rPr>
          <w:rFonts w:ascii="Arial" w:hAnsi="Arial" w:cs="Arial"/>
          <w:i/>
          <w:iCs/>
          <w:color w:val="auto"/>
          <w:sz w:val="22"/>
          <w:szCs w:val="22"/>
        </w:rPr>
        <w:t>dual</w:t>
      </w:r>
      <w:r w:rsidRPr="00D93CC5">
        <w:rPr>
          <w:rFonts w:ascii="Arial" w:hAnsi="Arial" w:cs="Arial"/>
          <w:i/>
          <w:iCs/>
          <w:color w:val="auto"/>
          <w:sz w:val="22"/>
          <w:szCs w:val="22"/>
        </w:rPr>
        <w:t xml:space="preserve"> model of reactions to perceived stigma (Pryor et al., 2004, p, 438)</w:t>
      </w:r>
    </w:p>
    <w:p w14:paraId="519BA25A" w14:textId="4BFCE8A1" w:rsidR="00985A2E" w:rsidRPr="00985A2E" w:rsidRDefault="00D02823" w:rsidP="00985A2E">
      <w:r>
        <w:rPr>
          <w:noProof/>
          <w:color w:val="auto"/>
          <w:lang w:val="es-CO" w:eastAsia="es-CO"/>
        </w:rPr>
        <w:drawing>
          <wp:inline distT="0" distB="0" distL="0" distR="0" wp14:anchorId="64C71226" wp14:editId="22665CA5">
            <wp:extent cx="5402580" cy="2764155"/>
            <wp:effectExtent l="0" t="0" r="0" b="0"/>
            <wp:docPr id="1" name="Picture 25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ap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580" cy="2764155"/>
                    </a:xfrm>
                    <a:prstGeom prst="rect">
                      <a:avLst/>
                    </a:prstGeom>
                    <a:noFill/>
                    <a:ln>
                      <a:noFill/>
                    </a:ln>
                  </pic:spPr>
                </pic:pic>
              </a:graphicData>
            </a:graphic>
          </wp:inline>
        </w:drawing>
      </w:r>
    </w:p>
    <w:p w14:paraId="5AB03421" w14:textId="77777777" w:rsidR="00985A2E" w:rsidRPr="00985A2E" w:rsidRDefault="00985A2E" w:rsidP="00985A2E">
      <w:r w:rsidRPr="00985A2E">
        <w:lastRenderedPageBreak/>
        <w:t xml:space="preserve"> </w:t>
      </w:r>
    </w:p>
    <w:p w14:paraId="34CCC33C" w14:textId="1A096469" w:rsidR="00985A2E" w:rsidRPr="00985A2E" w:rsidRDefault="00985A2E" w:rsidP="00985A2E">
      <w:r w:rsidRPr="00985A2E">
        <w:t xml:space="preserve">On the other hand, reactions associated with the ruled-based system involve conscious deliberation and reflection of responses automatically elicited by the reflexive system, for instance by consciously evaluating the appropriateness of a specific response </w:t>
      </w:r>
      <w:r w:rsidRPr="00985A2E">
        <w:rPr>
          <w:noProof/>
        </w:rPr>
        <w:t>(Corrigan, Bink, Fokuo, &amp; Schmidt, 2015; Crandall, Eshleman, &amp; O’Brien, 2002)</w:t>
      </w:r>
      <w:r w:rsidRPr="00985A2E">
        <w:t>. People are likely to try to control their explicit responses (e.g., ratings) when asked about topics related with equality, prejudice and stigma</w:t>
      </w:r>
      <w:r w:rsidR="00BB0103">
        <w:t>,</w:t>
      </w:r>
      <w:r w:rsidRPr="00985A2E">
        <w:t xml:space="preserve"> but the motivations behind socially desirable responses may vary </w:t>
      </w:r>
      <w:r w:rsidRPr="00985A2E">
        <w:rPr>
          <w:noProof/>
        </w:rPr>
        <w:t>(Stone &amp; Potton, 2014)</w:t>
      </w:r>
      <w:r w:rsidRPr="00985A2E">
        <w:t>. It has been suggested that responses towards equality issues are driven by internal (i.e., personal values, beliefs, and self-image) and external motivations (i.e., legal, social and interpersonal demands) to respond in a way that is closer to desired social values. For example, considering racial prejudice, Devine, Plant, Amodio, Harmon-Jones, and Vance (2002) found that participants who responded in a non-prejudiced way because it was personally important for them showed less racial prejudice</w:t>
      </w:r>
      <w:r w:rsidR="002410DA">
        <w:t xml:space="preserve"> than those that attempted to be non-prejudicial in order to avoid other’s judgement</w:t>
      </w:r>
      <w:r w:rsidRPr="00985A2E">
        <w:t>.</w:t>
      </w:r>
    </w:p>
    <w:p w14:paraId="2E6AA832" w14:textId="77777777" w:rsidR="00985A2E" w:rsidRDefault="00985A2E" w:rsidP="00985A2E">
      <w:r w:rsidRPr="00985A2E">
        <w:t>While there is a growing number of studies supporting the dual-based model process in concealable or ‘discreditable’ forms of stigma (e.g., AIDS and mental health), future research would benefit from systematically testing this model in conditions that are more evident to the gaze of the public (FD;</w:t>
      </w:r>
      <w:r w:rsidR="006F0795">
        <w:rPr>
          <w:noProof/>
          <w:color w:val="FFFFFF"/>
        </w:rPr>
        <w:t xml:space="preserve"> </w:t>
      </w:r>
      <w:r w:rsidRPr="00985A2E">
        <w:rPr>
          <w:noProof/>
        </w:rPr>
        <w:t>Blascovich, Mendes, Hunter, Lickel, &amp; Kowai-Bell, 2001; Grandfield, Thompson, &amp; Turpin, 2005; Stone &amp; Potton, 2017)</w:t>
      </w:r>
      <w:r w:rsidRPr="00985A2E">
        <w:t xml:space="preserve"> </w:t>
      </w:r>
    </w:p>
    <w:p w14:paraId="4CC34002" w14:textId="77777777" w:rsidR="00E01BCE" w:rsidRPr="00985A2E" w:rsidRDefault="00E01BCE" w:rsidP="00985A2E"/>
    <w:p w14:paraId="797B6F41" w14:textId="2D53CC53" w:rsidR="00985A2E" w:rsidRPr="00985A2E" w:rsidRDefault="002410DA" w:rsidP="004D2DCA">
      <w:pPr>
        <w:jc w:val="center"/>
        <w:rPr>
          <w:b/>
        </w:rPr>
      </w:pPr>
      <w:r>
        <w:rPr>
          <w:b/>
        </w:rPr>
        <w:t>R</w:t>
      </w:r>
      <w:r w:rsidR="00985A2E" w:rsidRPr="00985A2E">
        <w:rPr>
          <w:b/>
        </w:rPr>
        <w:t>eduction</w:t>
      </w:r>
      <w:r>
        <w:rPr>
          <w:b/>
        </w:rPr>
        <w:t xml:space="preserve"> of health-related stigma</w:t>
      </w:r>
    </w:p>
    <w:p w14:paraId="05ED9582" w14:textId="6F9DCD2D" w:rsidR="00911F03" w:rsidRDefault="002410DA" w:rsidP="005A2B3D">
      <w:pPr>
        <w:ind w:firstLine="0"/>
      </w:pPr>
      <w:r>
        <w:t>Literature suggest that s</w:t>
      </w:r>
      <w:r w:rsidR="00985A2E" w:rsidRPr="00985A2E">
        <w:t>tigma</w:t>
      </w:r>
      <w:r>
        <w:t>tisation</w:t>
      </w:r>
      <w:r w:rsidR="00985A2E" w:rsidRPr="00985A2E">
        <w:t xml:space="preserve"> </w:t>
      </w:r>
      <w:r w:rsidR="00647683">
        <w:t xml:space="preserve">is associated with </w:t>
      </w:r>
      <w:r>
        <w:t xml:space="preserve">poor adjustment to medical conditions </w:t>
      </w:r>
      <w:r w:rsidR="00647683">
        <w:t>and disease manifestations</w:t>
      </w:r>
      <w:r>
        <w:t xml:space="preserve">. </w:t>
      </w:r>
      <w:r w:rsidR="00911F03" w:rsidRPr="00985A2E">
        <w:t xml:space="preserve">Stigma towards chronic health conditions causes not only suffering and exclusion towards those affected by it  </w:t>
      </w:r>
      <w:r w:rsidR="00911F03" w:rsidRPr="00985A2E">
        <w:rPr>
          <w:noProof/>
        </w:rPr>
        <w:t>(Fiest, Birbeck, Jacoby, &amp; Jette, 2014; Kaur &amp; Brakel, 2002; Nyblade, 2006)</w:t>
      </w:r>
      <w:r w:rsidR="00911F03" w:rsidRPr="00985A2E">
        <w:t xml:space="preserve">, but also greater burden public health systems across the world, as efforts to combat and treat a condition are less effective when the condition is heavily </w:t>
      </w:r>
      <w:r w:rsidR="00911F03" w:rsidRPr="00E2260B">
        <w:t xml:space="preserve">stigmatised </w:t>
      </w:r>
      <w:r w:rsidR="00E2260B" w:rsidRPr="004D2DCA">
        <w:fldChar w:fldCharType="begin" w:fldLock="1"/>
      </w:r>
      <w:r w:rsidR="00E2260B">
        <w:instrText>ADDIN CSL_CITATION {"citationItems":[{"id":"ITEM-1","itemData":{"DOI":"10.1016/S0140-6736(06)68184-1","ISSN":"1474-547X","PMID":"16473129","author":[{"dropping-particle":"","family":"Link","given":"Bruce G","non-dropping-particle":"","parse-names":false,"suffix":""},{"dropping-particle":"","family":"Phelan","given":"Jo C","non-dropping-particle":"","parse-names":false,"suffix":""}],"container-title":"Lancet (London, England)","id":"ITEM-1","issue":"9509","issued":{"date-parts":[["2006","3","11"]]},"language":"English","page":"528-9","publisher":"Elsevier","title":"Stigma and its public health implications.","type":"article-journal","volume":"367"},"uris":["http://www.mendeley.com/documents/?uuid=e0f4f3c4-d230-473d-ad07-39ad90e45671"]}],"mendeley":{"formattedCitation":"(Link &amp; Phelan, 2006)","plainTextFormattedCitation":"(Link &amp; Phelan, 2006)","previouslyFormattedCitation":"(Link &amp; Phelan, 2006)"},"properties":{"noteIndex":0},"schema":"https://github.com/citation-style-language/schema/raw/master/csl-citation.json"}</w:instrText>
      </w:r>
      <w:r w:rsidR="00E2260B" w:rsidRPr="004D2DCA">
        <w:fldChar w:fldCharType="separate"/>
      </w:r>
      <w:r w:rsidR="00E2260B" w:rsidRPr="004D2DCA">
        <w:rPr>
          <w:noProof/>
        </w:rPr>
        <w:t>(Link &amp; Phelan, 2006)</w:t>
      </w:r>
      <w:r w:rsidR="00E2260B" w:rsidRPr="004D2DCA">
        <w:fldChar w:fldCharType="end"/>
      </w:r>
      <w:r w:rsidR="00911F03" w:rsidRPr="00985A2E">
        <w:t>. Negative effects</w:t>
      </w:r>
      <w:r w:rsidR="00911F03">
        <w:t xml:space="preserve"> of</w:t>
      </w:r>
      <w:r w:rsidR="00911F03" w:rsidRPr="00985A2E">
        <w:t xml:space="preserve"> stigma</w:t>
      </w:r>
      <w:r w:rsidR="00911F03">
        <w:t>tisation towards certain health conditions include</w:t>
      </w:r>
      <w:r w:rsidR="00911F03" w:rsidRPr="00985A2E">
        <w:t>: increas</w:t>
      </w:r>
      <w:r w:rsidR="00911F03">
        <w:t>ing</w:t>
      </w:r>
      <w:r w:rsidR="00911F03" w:rsidRPr="00985A2E">
        <w:t xml:space="preserve"> diseases transmission (when the condition is contagious) due to delay in diagnosis and treatment, and poor treatment adherence (</w:t>
      </w:r>
      <w:r w:rsidR="00911F03">
        <w:t xml:space="preserve">e.g., </w:t>
      </w:r>
      <w:r w:rsidR="00911F03" w:rsidRPr="00985A2E">
        <w:t xml:space="preserve">HIV and mental </w:t>
      </w:r>
      <w:r w:rsidR="00911F03" w:rsidRPr="00BA0F72">
        <w:t xml:space="preserve">illness; </w:t>
      </w:r>
      <w:r w:rsidR="00E2260B" w:rsidRPr="004D2DCA">
        <w:fldChar w:fldCharType="begin" w:fldLock="1"/>
      </w:r>
      <w:r w:rsidR="00D72B62">
        <w:instrText>ADDIN CSL_CITATION {"citationItems":[{"id":"ITEM-1","itemData":{"ISSN":"1087-2914","author":[{"dropping-particle":"","family":"Rintamaki","given":"Lance S","non-dropping-particle":"","parse-names":false,"suffix":""},{"dropping-particle":"","family":"Davis","given":"Terry C","non-dropping-particle":"","parse-names":false,"suffix":""},{"dropping-particle":"","family":"Skripkauskas","given":"Silvia","non-dropping-particle":"","parse-names":false,"suffix":""},{"dropping-particle":"","family":"Bennett","given":"Charles L","non-dropping-particle":"","parse-names":false,"suffix":""},{"dropping-particle":"","family":"Wolf","given":"Michael S","non-dropping-particle":"","parse-names":false,"suffix":""}],"container-title":"AIDS Patient Care &amp; STDs","id":"ITEM-1","issue":"5","issued":{"date-parts":[["2006"]]},"page":"359-368","publisher":"Mary Ann Liebert, Inc. 2 Madison Avenue Larchmont, NY 10538 USA","title":"Social stigma concerns and HIV medication adherence","type":"article-journal","volume":"20"},"uris":["http://www.mendeley.com/documents/?uuid=d7366ff5-b57a-42d2-88f4-80c038ab4349"]}],"mendeley":{"formattedCitation":"(Rintamaki, Davis, Skripkauskas, Bennett, &amp; Wolf, 2006)","manualFormatting":"Rintamaki et al., 2006","plainTextFormattedCitation":"(Rintamaki, Davis, Skripkauskas, Bennett, &amp; Wolf, 2006)","previouslyFormattedCitation":"(Rintamaki, Davis, Skripkauskas, Bennett, &amp; Wolf, 2006)"},"properties":{"noteIndex":0},"schema":"https://github.com/citation-style-language/schema/raw/master/csl-citation.json"}</w:instrText>
      </w:r>
      <w:r w:rsidR="00E2260B" w:rsidRPr="004D2DCA">
        <w:fldChar w:fldCharType="separate"/>
      </w:r>
      <w:r w:rsidR="00E2260B" w:rsidRPr="004D2DCA">
        <w:rPr>
          <w:noProof/>
        </w:rPr>
        <w:t>Rintamaki et al., 2006</w:t>
      </w:r>
      <w:r w:rsidR="00E2260B" w:rsidRPr="004D2DCA">
        <w:fldChar w:fldCharType="end"/>
      </w:r>
      <w:r w:rsidR="00E2260B" w:rsidRPr="004D2DCA">
        <w:t xml:space="preserve">; </w:t>
      </w:r>
      <w:r w:rsidR="00E2260B" w:rsidRPr="004D2DCA">
        <w:fldChar w:fldCharType="begin" w:fldLock="1"/>
      </w:r>
      <w:r w:rsidR="00BA0F72">
        <w:instrText>ADDIN CSL_CITATION {"citationItems":[{"id":"ITEM-1","itemData":{"author":[{"dropping-particle":"","family":"Kamaradova","given":"Dana","non-dropping-particle":"","parse-names":false,"suffix":""},{"dropping-particle":"","family":"Latalova","given":"Klara","non-dropping-particle":"","parse-names":false,"suffix":""},{"dropping-particle":"","family":"Prasko","given":"Jan","non-dropping-particle":"","parse-names":false,"suffix":""},{"dropping-particle":"","family":"Kubinek","given":"Radim","non-dropping-particle":"","parse-names":false,"suffix":""},{"dropping-particle":"","family":"Vrbova","given":"Kristyna","non-dropping-particle":"","parse-names":false,"suffix":""},{"dropping-particle":"","family":"Mainerova","given":"Barbora","non-dropping-particle":"","parse-names":false,"suffix":""},{"dropping-particle":"","family":"Cinculova","given":"Andrea","non-dropping-particle":"","parse-names":false,"suffix":""},{"dropping-particle":"","family":"Ociskova","given":"Marie","non-dropping-particle":"","parse-names":false,"suffix":""},{"dropping-particle":"","family":"Holubova","given":"Michaela","non-dropping-particle":"","parse-names":false,"suffix":""},{"dropping-particle":"","family":"Smoldasova","given":"Jarmila","non-dropping-particle":"","parse-names":false,"suffix":""}],"container-title":"Patient preference and adherence","id":"ITEM-1","issued":{"date-parts":[["2016"]]},"page":"1289","publisher":"Dove Press","title":"Connection between self-stigma, adherence to treatment, and discontinuation of medication","type":"article-journal","volume":"10"},"uris":["http://www.mendeley.com/documents/?uuid=b305b1ec-4548-47a9-8323-dc8d7740576b"]}],"mendeley":{"formattedCitation":"(Kamaradova et al., 2016)","manualFormatting":"Kamaradova et al., 2016)","plainTextFormattedCitation":"(Kamaradova et al., 2016)","previouslyFormattedCitation":"(Kamaradova et al., 2016)"},"properties":{"noteIndex":0},"schema":"https://github.com/citation-style-language/schema/raw/master/csl-citation.json"}</w:instrText>
      </w:r>
      <w:r w:rsidR="00E2260B" w:rsidRPr="004D2DCA">
        <w:fldChar w:fldCharType="separate"/>
      </w:r>
      <w:r w:rsidR="00E2260B" w:rsidRPr="004D2DCA">
        <w:rPr>
          <w:noProof/>
        </w:rPr>
        <w:t>Kamaradova et al., 2016)</w:t>
      </w:r>
      <w:r w:rsidR="00E2260B" w:rsidRPr="004D2DCA">
        <w:fldChar w:fldCharType="end"/>
      </w:r>
      <w:r w:rsidR="00E2260B">
        <w:t xml:space="preserve"> </w:t>
      </w:r>
      <w:r w:rsidR="00911F03" w:rsidRPr="00985A2E">
        <w:t>which leads to greater drug resistance (Van Brakel, 2006; van Brakel et al., 2006).</w:t>
      </w:r>
    </w:p>
    <w:p w14:paraId="0F680B59" w14:textId="37F593E2" w:rsidR="00985A2E" w:rsidRPr="00985A2E" w:rsidRDefault="00801F04" w:rsidP="004D2DCA">
      <w:r>
        <w:lastRenderedPageBreak/>
        <w:t xml:space="preserve">Due to the negative </w:t>
      </w:r>
      <w:r w:rsidR="00911F03">
        <w:t xml:space="preserve">implications </w:t>
      </w:r>
      <w:r>
        <w:t>that</w:t>
      </w:r>
      <w:r w:rsidR="00911F03">
        <w:t xml:space="preserve"> stigmatisation </w:t>
      </w:r>
      <w:r>
        <w:t>has on certain</w:t>
      </w:r>
      <w:r w:rsidR="00911F03">
        <w:t xml:space="preserve"> health conditions,</w:t>
      </w:r>
      <w:r>
        <w:t xml:space="preserve"> the study of health-related stigma has gained</w:t>
      </w:r>
      <w:r w:rsidR="00911F03">
        <w:t xml:space="preserve"> </w:t>
      </w:r>
      <w:r w:rsidR="00985A2E" w:rsidRPr="00985A2E">
        <w:t>considerable attention from policymakers and the scientific community</w:t>
      </w:r>
      <w:r>
        <w:t xml:space="preserve"> in the last four decades</w:t>
      </w:r>
      <w:r w:rsidR="00BA0F72">
        <w:t xml:space="preserve"> </w:t>
      </w:r>
      <w:r w:rsidR="00BA0F72">
        <w:fldChar w:fldCharType="begin" w:fldLock="1"/>
      </w:r>
      <w:r w:rsidR="00D72B62">
        <w:instrText>ADDIN CSL_CITATION {"citationItems":[{"id":"ITEM-1","itemData":{"DOI":"10.1016/j.ridd.2011.10.009","ISSN":"1873-3379","PMID":"22115915","abstract":"The theoretical construct of stigma has received much attention in psychiatric disability research, leading to the development of widely used measures. Such measures have had real world impact in that they allow for the assessment of stigma change efforts. The study of stigma has not received the same level of attention for persons with intellectual disabilities. In this manuscript we evaluate existing measures of intellectual disability stigma through a systematic review of the literature. Twenty-four scales were reviewed and evaluated. Findings indicate a paucity of stigma measures based on theoretical conceptualizations pointing to a need for further development of measures to pursue the study of public, self, and family stigma as related to intellectual disability.","author":[{"dropping-particle":"","family":"Werner","given":"Shirli","non-dropping-particle":"","parse-names":false,"suffix":""},{"dropping-particle":"","family":"Corrigan","given":"Patrick","non-dropping-particle":"","parse-names":false,"suffix":""},{"dropping-particle":"","family":"Ditchman","given":"Nicole","non-dropping-particle":"","parse-names":false,"suffix":""},{"dropping-particle":"","family":"Sokol","given":"Kristin","non-dropping-particle":"","parse-names":false,"suffix":""}],"container-title":"Research in developmental disabilities","id":"ITEM-1","issue":"2","issued":{"date-parts":[["2012","1"]]},"page":"748-65","title":"Stigma and intellectual disability: a review of related measures and future directions.","type":"article-journal","volume":"33"},"uris":["http://www.mendeley.com/documents/?uuid=27045141-3718-45c0-bcbc-db17ff3c4762"]},{"id":"ITEM-2","itemData":{"DOI":"10.1016/j.drugpo.2007.02.004","ISSN":"1873-4758","PMID":"17854724","abstract":"In the past decade, there has been an increasing emphasis by researchers regarding the stigmatization of people who are hepatitis C positive as they seek health care. Because the vast majority of people with hepatitis C have a history of injection drug use, they are frequently assumed by practitioners to be injection drug users (IDUs), blamed for acquiring the disease, and viewed as irresponsible, immoral, and unworthy. Such stigmatization may cause people who have hepatitis C to avoid testing, treatment and care, as well as to not disclose their hepatitis C or injection drug use to practitioners. The purpose of this paper is to critically examine the representation of stigmatization in 21 published research reports from 1995 to 2006, with a specific focus on how these depictions have shaped the current understanding of interventions to address stigmatization of people with hepatitis C by health care practitioners. We will identify two themes in this literature: (1) hepatitis C-related stigmatization in health care settings arises primarily from practitioners' negative views of injection drug use, and (2) practitioners' negative attitudes toward people with hepatitis C are the result of their lack of awareness and/or information about the disease and/or about injection drug use. We will illustrate that similar themes have informed anti-stigma initiatives in other diseases, notably HIV/AIDS and mental illness, which have had little sustained effect in changing practitioners' behaviour toward the stigmatized population. In conclusion, we will call for research that considers factors beyond the individual practitioner as contributing to the stigmatization of people with hepatitis C, such as social, structural and institutional forces that shape practitioners' interactions with people with hepatitis C in health care settings.","author":[{"dropping-particle":"","family":"Paterson","given":"Barbara L","non-dropping-particle":"","parse-names":false,"suffix":""},{"dropping-particle":"","family":"Backmund","given":"Markus","non-dropping-particle":"","parse-names":false,"suffix":""},{"dropping-particle":"","family":"Hirsch","given":"Geri","non-dropping-particle":"","parse-names":false,"suffix":""},{"dropping-particle":"","family":"Yim","given":"Colina","non-dropping-particle":"","parse-names":false,"suffix":""}],"container-title":"The International journal on drug policy","id":"ITEM-2","issue":"5","issued":{"date-parts":[["2007","10"]]},"page":"364-73","title":"The depiction of stigmatization in research about hepatitis C.","type":"article-journal","volume":"18"},"uris":["http://www.mendeley.com/documents/?uuid=1d6aaa56-2219-4647-a5c2-7789ff5d8ba9"]}],"mendeley":{"formattedCitation":"(Paterson, Backmund, Hirsch, &amp; Yim, 2007; Werner, Corrigan, Ditchman, &amp; Sokol, 2012)","plainTextFormattedCitation":"(Paterson, Backmund, Hirsch, &amp; Yim, 2007; Werner, Corrigan, Ditchman, &amp; Sokol, 2012)","previouslyFormattedCitation":"(Paterson, Backmund, Hirsch, &amp; Yim, 2007; Werner, Corrigan, Ditchman, &amp; Sokol, 2012)"},"properties":{"noteIndex":0},"schema":"https://github.com/citation-style-language/schema/raw/master/csl-citation.json"}</w:instrText>
      </w:r>
      <w:r w:rsidR="00BA0F72">
        <w:fldChar w:fldCharType="separate"/>
      </w:r>
      <w:r w:rsidR="001871E7" w:rsidRPr="001871E7">
        <w:rPr>
          <w:noProof/>
        </w:rPr>
        <w:t>(Paterson, Backmund, Hirsch, &amp; Yim, 2007; Werner, Corrigan, Ditchman, &amp; Sokol, 2012)</w:t>
      </w:r>
      <w:r w:rsidR="00BA0F72">
        <w:fldChar w:fldCharType="end"/>
      </w:r>
      <w:r>
        <w:t>.</w:t>
      </w:r>
      <w:r w:rsidR="00985A2E" w:rsidRPr="00985A2E">
        <w:t xml:space="preserve"> </w:t>
      </w:r>
      <w:r>
        <w:t>I</w:t>
      </w:r>
      <w:r w:rsidR="00985A2E" w:rsidRPr="00985A2E">
        <w:t xml:space="preserve">nitiatives to reduce health-related stigma have been designed and tested </w:t>
      </w:r>
      <w:r>
        <w:t>worldwide</w:t>
      </w:r>
      <w:r w:rsidR="00985A2E" w:rsidRPr="00985A2E">
        <w:t xml:space="preserve"> </w:t>
      </w:r>
      <w:r w:rsidR="00985A2E" w:rsidRPr="00985A2E">
        <w:fldChar w:fldCharType="begin" w:fldLock="1"/>
      </w:r>
      <w:r w:rsidR="00985A2E" w:rsidRPr="00985A2E">
        <w:instrText xml:space="preserve"> CSL_CITATION { "citationItems" : [ { "id" : "ITEM-1", "itemData" : { "author" : [ { "dropping-particle" : "", "family" : "Heijnders", "given" : "M", "non-dropping-particle" : "", "parse-names" : false, "suffix" : "" }, { "dropping-particle" : "Van Der", "family" : "Meij", "given" : "S", "non-dropping-particle" : "", "parse-names" : false, "suffix" : "" } ], "container-title" : "Psychology, health &amp; medicine", "id" : "ITEM-1", "issued" : { "date-parts" : [ [ "2006" ] ] }, "title" : "The fight against stigma: an overview of stigma-reduction strategies and interventions", "type" : "article-journal" }, "uris" : [ "http://www.mendeley.com/documents/?uuid=7f5fd24a-60dd-4c27-ae73-5aec5a9e721c" ] } ], "mendeley" : { "formattedCitation" : "(Heijnders &amp; Meij, 2006)", "plainTextFormattedCitation" : "(Heijnders &amp; Meij, 2006)", "previouslyFormattedCitation" : "(Heijnders &amp; Meij, 2006)" }, "properties" : { "noteIndex" : 0 }, "schema" : "https://github.com/citation-style-language/schema/raw/master/csl-citation.json" }</w:instrText>
      </w:r>
      <w:r w:rsidR="00985A2E" w:rsidRPr="00985A2E">
        <w:fldChar w:fldCharType="separate"/>
      </w:r>
      <w:r w:rsidR="00985A2E" w:rsidRPr="00985A2E">
        <w:rPr>
          <w:noProof/>
        </w:rPr>
        <w:t>(Heijnders &amp; Meij, 2006)</w:t>
      </w:r>
      <w:r w:rsidR="00985A2E" w:rsidRPr="00985A2E">
        <w:fldChar w:fldCharType="end"/>
      </w:r>
      <w:r w:rsidR="00985A2E" w:rsidRPr="00985A2E">
        <w:t xml:space="preserve">. </w:t>
      </w:r>
      <w:r>
        <w:t>According to the literature, i</w:t>
      </w:r>
      <w:r w:rsidR="00985A2E" w:rsidRPr="00985A2E">
        <w:t>n order to</w:t>
      </w:r>
      <w:r>
        <w:t xml:space="preserve"> effectively reduce s</w:t>
      </w:r>
      <w:r w:rsidR="00985A2E" w:rsidRPr="00985A2E">
        <w:t>tigm</w:t>
      </w:r>
      <w:r>
        <w:t>a, interventions must target different manifestations of this phenomenon</w:t>
      </w:r>
      <w:r w:rsidR="00A743BC">
        <w:t xml:space="preserve"> at different levels:</w:t>
      </w:r>
      <w:r>
        <w:t xml:space="preserve"> social</w:t>
      </w:r>
      <w:r w:rsidR="00A743BC">
        <w:t xml:space="preserve"> </w:t>
      </w:r>
      <w:r w:rsidR="00A743BC" w:rsidRPr="00985A2E">
        <w:t>(media, community discussions)</w:t>
      </w:r>
      <w:r w:rsidR="00A743BC">
        <w:t xml:space="preserve">, individual </w:t>
      </w:r>
      <w:r w:rsidR="00A743BC" w:rsidRPr="00985A2E">
        <w:t>(stereotypical beliefs, attitudes, discriminatory behaviour)</w:t>
      </w:r>
      <w:r w:rsidR="00A743BC">
        <w:t xml:space="preserve"> and </w:t>
      </w:r>
      <w:r w:rsidR="00985A2E" w:rsidRPr="00985A2E">
        <w:t>policy and practice</w:t>
      </w:r>
      <w:r w:rsidR="00A743BC">
        <w:t>.</w:t>
      </w:r>
      <w:r w:rsidR="00985A2E" w:rsidRPr="00985A2E">
        <w:t xml:space="preserve"> </w:t>
      </w:r>
      <w:r>
        <w:t>Because</w:t>
      </w:r>
      <w:r w:rsidR="00985A2E" w:rsidRPr="00985A2E">
        <w:t xml:space="preserve"> each element </w:t>
      </w:r>
      <w:r w:rsidR="00A743BC">
        <w:t xml:space="preserve">cannot be conceived without the other, </w:t>
      </w:r>
      <w:r w:rsidR="00985A2E" w:rsidRPr="00985A2E">
        <w:t xml:space="preserve">effective health-related stigma interventions </w:t>
      </w:r>
      <w:r w:rsidR="00A743BC">
        <w:t>must include a multilevel approach</w:t>
      </w:r>
      <w:r w:rsidR="00985A2E" w:rsidRPr="00985A2E">
        <w:t xml:space="preserve"> </w:t>
      </w:r>
      <w:r w:rsidR="00985A2E" w:rsidRPr="00985A2E">
        <w:fldChar w:fldCharType="begin" w:fldLock="1"/>
      </w:r>
      <w:r w:rsidR="00985A2E" w:rsidRPr="00985A2E">
        <w:instrText xml:space="preserve"> CSL_CITATION { "citationItems" : [ { "id" : "ITEM-1", "itemData" : { "author" : [ { "dropping-particle" : "", "family" : "Hornik", "given" : "R", "non-dropping-particle" : "", "parse-names" : false, "suffix" : "" } ], "id" : "ITEM-1", "issued" : { "date-parts" : [ [ "2002" ] ] }, "title" : "Public health communication: Evidence for behavior change", "type" : "book" }, "uris" : [ "http://www.mendeley.com/documents/?uuid=630ee0ec-a3ae-4ae6-8598-6665358a6957" ] } ], "mendeley" : { "formattedCitation" : "(Hornik, 2002)", "plainTextFormattedCitation" : "(Hornik, 2002)", "previouslyFormattedCitation" : "(Hornik, 2002)" }, "properties" : { "noteIndex" : 0 }, "schema" : "https://github.com/citation-style-language/schema/raw/master/csl-citation.json" }</w:instrText>
      </w:r>
      <w:r w:rsidR="00985A2E" w:rsidRPr="00985A2E">
        <w:fldChar w:fldCharType="separate"/>
      </w:r>
      <w:r w:rsidR="00985A2E" w:rsidRPr="00985A2E">
        <w:rPr>
          <w:noProof/>
        </w:rPr>
        <w:t>(Hornik, 2002)</w:t>
      </w:r>
      <w:r w:rsidR="00985A2E" w:rsidRPr="00985A2E">
        <w:fldChar w:fldCharType="end"/>
      </w:r>
      <w:r w:rsidR="00985A2E" w:rsidRPr="00985A2E">
        <w:t xml:space="preserve">. </w:t>
      </w:r>
    </w:p>
    <w:p w14:paraId="0465CCAA" w14:textId="2E5FC585" w:rsidR="00985A2E" w:rsidRPr="00985A2E" w:rsidRDefault="00A743BC" w:rsidP="00985A2E">
      <w:r>
        <w:t>Psychological o</w:t>
      </w:r>
      <w:r w:rsidR="00985A2E" w:rsidRPr="00985A2E">
        <w:t>utcomes measured across the health-related stigma</w:t>
      </w:r>
      <w:r>
        <w:t xml:space="preserve"> literature</w:t>
      </w:r>
      <w:r w:rsidR="00985A2E" w:rsidRPr="00985A2E">
        <w:t xml:space="preserve"> include knowledge, attitudes and/or intended behaviour</w:t>
      </w:r>
      <w:r>
        <w:t>.</w:t>
      </w:r>
      <w:r w:rsidR="00985A2E" w:rsidRPr="00985A2E">
        <w:t xml:space="preserve"> </w:t>
      </w:r>
      <w:r>
        <w:t>S</w:t>
      </w:r>
      <w:r w:rsidR="00985A2E" w:rsidRPr="00985A2E">
        <w:t xml:space="preserve">elf-report instruments are commonly prevalent in assessing stigma change </w:t>
      </w:r>
      <w:r w:rsidR="00985A2E" w:rsidRPr="00985A2E">
        <w:rPr>
          <w:noProof/>
        </w:rPr>
        <w:t>(Corrigan, Morris, Michaels, Rafacz, &amp; Rüsch, 2012)</w:t>
      </w:r>
      <w:r w:rsidR="00127B9C">
        <w:rPr>
          <w:noProof/>
        </w:rPr>
        <w:t xml:space="preserve">. </w:t>
      </w:r>
      <w:r w:rsidR="00127B9C">
        <w:t>However, conscious evaluations of others are only a part of the stigmatisation phenomenon. Furthermore, questionnaires and explicit forms of evaluation are known to be subjected to</w:t>
      </w:r>
      <w:r w:rsidR="00127B9C" w:rsidRPr="00985A2E">
        <w:t xml:space="preserve"> self-presentation issues</w:t>
      </w:r>
      <w:r w:rsidR="00127B9C">
        <w:t>,</w:t>
      </w:r>
      <w:r w:rsidR="00127B9C" w:rsidRPr="00985A2E">
        <w:t xml:space="preserve"> motivated by people's desires to conform to social norms </w:t>
      </w:r>
      <w:r w:rsidR="00127B9C" w:rsidRPr="00985A2E">
        <w:rPr>
          <w:noProof/>
        </w:rPr>
        <w:t>(Plant &amp; Devine, 1998)</w:t>
      </w:r>
      <w:r w:rsidR="00127B9C">
        <w:rPr>
          <w:noProof/>
        </w:rPr>
        <w:t xml:space="preserve">. Therefore, </w:t>
      </w:r>
      <w:r w:rsidR="00127B9C">
        <w:t>responses of</w:t>
      </w:r>
      <w:r w:rsidR="00985A2E" w:rsidRPr="00985A2E">
        <w:t xml:space="preserve"> </w:t>
      </w:r>
      <w:r w:rsidR="00127B9C" w:rsidRPr="00985A2E">
        <w:t>automatic or implicit</w:t>
      </w:r>
      <w:r w:rsidR="00127B9C">
        <w:t xml:space="preserve"> nature have been increasingly included within the study of stigmatisation and prejudice  </w:t>
      </w:r>
      <w:r w:rsidR="00127B9C" w:rsidRPr="00985A2E">
        <w:rPr>
          <w:noProof/>
        </w:rPr>
        <w:t>(Greenwald, 1998; Pryor, Reeder, Yeadon, &amp; Hesson-McLnnis, 2004)</w:t>
      </w:r>
      <w:r w:rsidR="00127B9C" w:rsidRPr="00985A2E">
        <w:t>.</w:t>
      </w:r>
      <w:r w:rsidR="00127B9C">
        <w:t xml:space="preserve"> Technological advances have facilitated the</w:t>
      </w:r>
      <w:r w:rsidR="00985A2E" w:rsidRPr="00985A2E">
        <w:t xml:space="preserve"> inclu</w:t>
      </w:r>
      <w:r w:rsidR="00127B9C">
        <w:t>sion of</w:t>
      </w:r>
      <w:r w:rsidR="00985A2E" w:rsidRPr="00985A2E">
        <w:t xml:space="preserve"> less face valid measures </w:t>
      </w:r>
      <w:r w:rsidR="009F7608">
        <w:t xml:space="preserve">to study </w:t>
      </w:r>
      <w:r w:rsidR="00985A2E" w:rsidRPr="00985A2E">
        <w:t>stigma</w:t>
      </w:r>
      <w:r w:rsidR="009F7608">
        <w:t>,</w:t>
      </w:r>
      <w:r w:rsidR="00985A2E" w:rsidRPr="00985A2E">
        <w:t xml:space="preserve"> such as implicit association tests (IAT</w:t>
      </w:r>
      <w:r w:rsidR="00BA0F72">
        <w:t xml:space="preserve">; </w:t>
      </w:r>
      <w:r w:rsidR="00BA0F72">
        <w:fldChar w:fldCharType="begin" w:fldLock="1"/>
      </w:r>
      <w:r w:rsidR="00D72B62">
        <w:instrText>ADDIN CSL_CITATION {"citationItems":[{"id":"ITEM-1","itemData":{"ISSN":"0022-3514 (Print)","PMID":"11708555","abstract":"There has been significant interest in indirect measures of attitudes like the Implicit Association Test (IAT), presumably because of the possibility of uncovering implicit prejudices. The authors derived a set of qualitative predictions for people's performance in the IAT on the basis of random walk models. These were supported in 3 experiments comparing clearly positive or negative categories to nonwords. They also provided evidence that participants shift their response criterion when doing the IAT. Because of these criterion shifts, a response pattern in the IAT can have multiple causes. Thus, it is not possible to infer a single cause (such as prejudice) from IAT results. A surprising additional result was that nonwords were treated as though they were evaluated more negatively than obviously negative items like insects, suggesting that low familiarity items may generate the pattern of data previously interpreted as evidence for implicit prejudice.","author":[{"dropping-particle":"","family":"Brendl","given":"C M","non-dropping-particle":"","parse-names":false,"suffix":""},{"dropping-particle":"","family":"Markman","given":"A B","non-dropping-particle":"","parse-names":false,"suffix":""},{"dropping-particle":"","family":"Messner","given":"C","non-dropping-particle":"","parse-names":false,"suffix":""}],"container-title":"Journal of personality and social psychology","id":"ITEM-1","issue":"5","issued":{"date-parts":[["2001","11"]]},"language":"eng","page":"760-773","publisher-place":"United States","title":"How do indirect measures of evaluation work? Evaluating the inference of prejudice in the Implicit Association Test.","type":"article-journal","volume":"81"},"uris":["http://www.mendeley.com/documents/?uuid=edff32dc-763a-4f40-8ebf-0e2189ad2e5c"]}],"mendeley":{"formattedCitation":"(Brendl, Markman, &amp; Messner, 2001)","manualFormatting":"Brendl et al., 2001)","plainTextFormattedCitation":"(Brendl, Markman, &amp; Messner, 2001)","previouslyFormattedCitation":"(Brendl, Markman, &amp; Messner, 2001)"},"properties":{"noteIndex":0},"schema":"https://github.com/citation-style-language/schema/raw/master/csl-citation.json"}</w:instrText>
      </w:r>
      <w:r w:rsidR="00BA0F72">
        <w:fldChar w:fldCharType="separate"/>
      </w:r>
      <w:r w:rsidR="00BA0F72" w:rsidRPr="00BA0F72">
        <w:rPr>
          <w:noProof/>
        </w:rPr>
        <w:t>Brendl et al., 2001)</w:t>
      </w:r>
      <w:r w:rsidR="00BA0F72">
        <w:fldChar w:fldCharType="end"/>
      </w:r>
      <w:r w:rsidR="00985A2E" w:rsidRPr="00985A2E">
        <w:t>, eye-tracking</w:t>
      </w:r>
      <w:r w:rsidR="00BA0F72">
        <w:t xml:space="preserve"> </w:t>
      </w:r>
      <w:r w:rsidR="00BA0F72">
        <w:fldChar w:fldCharType="begin" w:fldLock="1"/>
      </w:r>
      <w:r w:rsidR="00D72B62">
        <w:instrText>ADDIN CSL_CITATION {"citationItems":[{"id":"ITEM-1","itemData":{"DOI":"10.1002/lary.20132","ISBN":"1531-4995 (Electronic)\\r0023-852X (Linking)","ISSN":"0023852X","PMID":"19235748","abstract":"OBJECTIVES: Introduce a novel method for objectively evaluating attentional bias to peripheral facial deformities using an established metric of attention. METHODS: The SMI eye-tracker system (SensoMotoric Inc., Boston, MA) was used to record the eye movement patterns, called scanpaths, of eight naïve observers gazing at pictures of faces with or without peripheral surgical deformities. The scanpaths of observers gazing on those novel faces were compared, and the fixation durations for different facial regions were compared between faces. RESULTS: There were statistically significant differences in the mean fixation times between the faces considered normal and those considered abnormal (those with an obvious defect). When multivariate analysis of variance was performed with dependent variables total fixation time, fixation time in central triangle, and fixation time in the defect region and the independent variable face, all four tests were highly statistically significant. When univariate analysis of variance was performed to test the hypothesis that defect fixation times varied by face, the results were highly statistically significant (F = 8.79, P = .0003). CONCLUSIONS: Observers gazing on faces typically focus their attention on discriminating features, such as eyes, nose, and mouth. The well-established method of eye movement recordings was applied in a novel way to provide quantitative data showing changes in observer gaze patterns to focus on deformities. These gaze patterns are a direct reflection of observer attention. This is the first objective method to quantify the amount of distraction caused by peripheral facial deformities and may provide insight into the perception of facial deformity.","author":[{"dropping-particle":"","family":"Ishii","given":"Lisa","non-dropping-particle":"","parse-names":false,"suffix":""},{"dropping-particle":"","family":"Carey","given":"John","non-dropping-particle":"","parse-names":false,"suffix":""},{"dropping-particle":"","family":"Byrne","given":"Patrick","non-dropping-particle":"","parse-names":false,"suffix":""},{"dropping-particle":"","family":"Zee","given":"David S.","non-dropping-particle":"","parse-names":false,"suffix":""},{"dropping-particle":"","family":"Ishii","given":"Masaru","non-dropping-particle":"","parse-names":false,"suffix":""}],"container-title":"Laryngoscope","id":"ITEM-1","issue":"3","issued":{"date-parts":[["2009"]]},"page":"459-465","title":"Measuring attentional bias to peripheral facial deformities","type":"article-journal","volume":"119"},"uris":["http://www.mendeley.com/documents/?uuid=e7ffc53d-5753-40dd-a592-7f13f8675443"]}],"mendeley":{"formattedCitation":"(Ishii, Carey, Byrne, Zee, &amp; Ishii, 2009)","plainTextFormattedCitation":"(Ishii, Carey, Byrne, Zee, &amp; Ishii, 2009)","previouslyFormattedCitation":"(Ishii, Carey, Byrne, Zee, &amp; Ishii, 2009)"},"properties":{"noteIndex":0},"schema":"https://github.com/citation-style-language/schema/raw/master/csl-citation.json"}</w:instrText>
      </w:r>
      <w:r w:rsidR="00BA0F72">
        <w:fldChar w:fldCharType="separate"/>
      </w:r>
      <w:r w:rsidR="001871E7" w:rsidRPr="001871E7">
        <w:rPr>
          <w:noProof/>
        </w:rPr>
        <w:t>(Ishii, Carey, Byrne, Zee, &amp; Ishii, 2009)</w:t>
      </w:r>
      <w:r w:rsidR="00BA0F72">
        <w:fldChar w:fldCharType="end"/>
      </w:r>
      <w:r w:rsidR="00985A2E" w:rsidRPr="00985A2E">
        <w:t xml:space="preserve"> and physiological </w:t>
      </w:r>
      <w:r w:rsidR="00985A2E" w:rsidRPr="00BA0F72">
        <w:t>responses</w:t>
      </w:r>
      <w:r w:rsidR="009F7608" w:rsidRPr="00BA0F72">
        <w:t xml:space="preserve"> </w:t>
      </w:r>
      <w:r w:rsidR="00BA0F72" w:rsidRPr="004D2DCA">
        <w:fldChar w:fldCharType="begin" w:fldLock="1"/>
      </w:r>
      <w:r w:rsidR="00D72B62">
        <w:instrText>ADDIN CSL_CITATION {"citationItems":[{"id":"ITEM-1","itemData":{"ISSN":"1939-1315","author":[{"dropping-particle":"","family":"Blascovich","given":"Jim","non-dropping-particle":"","parse-names":false,"suffix":""},{"dropping-particle":"","family":"Mendes","given":"Wendy Berry","non-dropping-particle":"","parse-names":false,"suffix":""},{"dropping-particle":"","family":"Hunter","given":"Sarah B","non-dropping-particle":"","parse-names":false,"suffix":""},{"dropping-particle":"","family":"Lickel","given":"Brian","non-dropping-particle":"","parse-names":false,"suffix":""},{"dropping-particle":"","family":"Kowai-Bell","given":"Neneh","non-dropping-particle":"","parse-names":false,"suffix":""}],"container-title":"Journal of personality and social psychology","id":"ITEM-1","issue":"2","issued":{"date-parts":[["2001"]]},"page":"253","publisher":"American Psychological Association","title":"Perceiver threat in social interactions with stigmatized others.","type":"article-journal","volume":"80"},"uris":["http://www.mendeley.com/documents/?uuid=86cf8f5e-4404-473a-a851-4a7d88994200"]}],"mendeley":{"formattedCitation":"(Blascovich, Mendes, Hunter, Lickel, &amp; Kowai-Bell, 2001)","plainTextFormattedCitation":"(Blascovich, Mendes, Hunter, Lickel, &amp; Kowai-Bell, 2001)","previouslyFormattedCitation":"(Blascovich, Mendes, Hunter, Lickel, &amp; Kowai-Bell, 2001)"},"properties":{"noteIndex":0},"schema":"https://github.com/citation-style-language/schema/raw/master/csl-citation.json"}</w:instrText>
      </w:r>
      <w:r w:rsidR="00BA0F72" w:rsidRPr="004D2DCA">
        <w:fldChar w:fldCharType="separate"/>
      </w:r>
      <w:r w:rsidR="001871E7" w:rsidRPr="001871E7">
        <w:rPr>
          <w:noProof/>
        </w:rPr>
        <w:t>(Blascovich, Mendes, Hunter, Lickel, &amp; Kowai-Bell, 2001)</w:t>
      </w:r>
      <w:r w:rsidR="00BA0F72" w:rsidRPr="004D2DCA">
        <w:fldChar w:fldCharType="end"/>
      </w:r>
      <w:r w:rsidR="009F7608" w:rsidRPr="00BA0F72">
        <w:t>. However implicit and automatic measures</w:t>
      </w:r>
      <w:r w:rsidR="009F7608" w:rsidRPr="004C54F2">
        <w:t xml:space="preserve"> are rarely used to evaluate the eff</w:t>
      </w:r>
      <w:r w:rsidR="009F7608" w:rsidRPr="001E36DF">
        <w:t>ectiveness</w:t>
      </w:r>
      <w:r w:rsidR="009F7608">
        <w:t xml:space="preserve"> of intervention strategies</w:t>
      </w:r>
      <w:r w:rsidR="00985A2E" w:rsidRPr="00985A2E">
        <w:t xml:space="preserve">. </w:t>
      </w:r>
    </w:p>
    <w:p w14:paraId="506956DF" w14:textId="3DD29116" w:rsidR="00985A2E" w:rsidRPr="00985A2E" w:rsidRDefault="00985A2E" w:rsidP="00985A2E">
      <w:r w:rsidRPr="00985A2E">
        <w:t xml:space="preserve">According to the literature on public stigma towards health conditions, the most tested type interventions used are </w:t>
      </w:r>
      <w:r w:rsidRPr="00B32D9C">
        <w:rPr>
          <w:i/>
          <w:iCs/>
        </w:rPr>
        <w:t>protest, education, and contact</w:t>
      </w:r>
      <w:r w:rsidRPr="00985A2E">
        <w:t xml:space="preserve"> </w:t>
      </w:r>
      <w:r w:rsidRPr="00985A2E">
        <w:fldChar w:fldCharType="begin" w:fldLock="1"/>
      </w:r>
      <w:r w:rsidRPr="00985A2E">
        <w:instrText xml:space="preserve"> CSL_CITATION { "citationItems" : [ { "id" : "ITEM-1", "itemData" : { "ISSN" : "0003066X", "abstract" : "Advocacy, government, and public-service groups rely on a variety of strategies to diminish the impact of stigma on persons with severe mental illness. These strategies include protest, education, and promoting contact between the general public and persons with these disorders. The authors argue that social psychological research on ethnic minority and other group stereotypes should be considered when implementing these strategies. Such research indicates that (a) attempts to suppress stereotypes through protest can result in a rebound effect; (b) education programs may be limited because many stereotypes are resilient to change; and (c) contact is enhanced by a variety of factors, including equal status, cooperative interaction, and institutional support. Future directions for research and practice to reduce stigma toward persons with severe mental illness are discussed.", "author" : [ { "dropping-particle" : "", "family" : "Corrigan", "given" : "Patrick W.", "non-dropping-particle" : "", "parse-names" : false, "suffix" : "" }, { "dropping-particle" : "", "family" : "Penn", "given" : "David L.", "non-dropping-particle" : "", "parse-names" : false, "suffix" : "" } ], "container-title" : "American Psychologist", "id" : "ITEM-1", "issue" : "9", "issued" : { "date-parts" : [ [ "1999" ] ] }, "page" : "765-776", "title" : "Lessons from social psychology on discrediting psychiatric stigma", "type" : "article-journal", "volume" : "54" }, "uris" : [ "http://www.mendeley.com/documents/?uuid=354fb3b9-afa4-4c6b-a2b9-26e4ba9eb5e7" ] }, { "id" : "ITEM-2", "itemData" : { "author" : [ { "dropping-particle" : "", "family" : "Heijnders", "given" : "M", "non-dropping-particle" : "", "parse-names" : false, "suffix" : "" }, { "dropping-particle" : "Van Der", "family" : "Meij", "given" : "S", "non-dropping-particle" : "", "parse-names" : false, "suffix" : "" } ], "container-title" : "Psychology, health &amp; medicine", "id" : "ITEM-2", "issued" : { "date-parts" : [ [ "2006" ] ] }, "title" : "The fight against stigma: an overview of stigma-reduction strategies and interventions", "type" : "article-journal" }, "uris" : [ "http://www.mendeley.com/documents/?uuid=7f5fd24a-60dd-4c27-ae73-5aec5a9e721c" ] } ], "mendeley" : { "formattedCitation" : "(Corrigan &amp; Penn, 1999; Heijnders &amp; Meij, 2006)", "plainTextFormattedCitation" : "(Corrigan &amp; Penn, 1999; Heijnders &amp; Meij, 2006)", "previouslyFormattedCitation" : "(Corrigan &amp; Penn, 1999; Heijnders &amp; Meij, 2006)" }, "properties" : { "noteIndex" : 0 }, "schema" : "https://github.com/citation-style-language/schema/raw/master/csl-citation.json" }</w:instrText>
      </w:r>
      <w:r w:rsidRPr="00985A2E">
        <w:fldChar w:fldCharType="separate"/>
      </w:r>
      <w:r w:rsidRPr="00985A2E">
        <w:rPr>
          <w:noProof/>
        </w:rPr>
        <w:t>(Corrigan &amp; Penn, 1999; Heijnders &amp; Meij, 2006)</w:t>
      </w:r>
      <w:r w:rsidRPr="00985A2E">
        <w:fldChar w:fldCharType="end"/>
      </w:r>
      <w:r w:rsidRPr="00985A2E">
        <w:t>. Protest interventions have been utilised to create awareness about inequality and prejudice</w:t>
      </w:r>
      <w:r w:rsidR="009F7608">
        <w:t>. Protest</w:t>
      </w:r>
      <w:r w:rsidRPr="00985A2E">
        <w:t xml:space="preserve"> intend</w:t>
      </w:r>
      <w:r w:rsidR="00B32D9C">
        <w:t>s</w:t>
      </w:r>
      <w:r w:rsidRPr="00985A2E">
        <w:t xml:space="preserve"> to suppress negative stereotypes and representation</w:t>
      </w:r>
      <w:r w:rsidR="009F7608">
        <w:t>s</w:t>
      </w:r>
      <w:r w:rsidRPr="00985A2E">
        <w:t xml:space="preserve"> of a stigmatised </w:t>
      </w:r>
      <w:r w:rsidR="009F7608">
        <w:t>group</w:t>
      </w:r>
      <w:r w:rsidRPr="00985A2E">
        <w:t xml:space="preserve"> by identifying</w:t>
      </w:r>
      <w:r w:rsidR="009F7608">
        <w:t xml:space="preserve"> and disclosing </w:t>
      </w:r>
      <w:r w:rsidRPr="00985A2E">
        <w:t xml:space="preserve">episodes where prejudice and discrimination are taking place, in order to publicly condemn it </w:t>
      </w:r>
      <w:r w:rsidRPr="00985A2E">
        <w:rPr>
          <w:noProof/>
        </w:rPr>
        <w:t>(Corrigan et al., 2012; Heijnders &amp; Meij, 2006)</w:t>
      </w:r>
      <w:r w:rsidRPr="00985A2E">
        <w:t xml:space="preserve">. However, there is little evidence </w:t>
      </w:r>
      <w:r w:rsidR="009F7608">
        <w:t>supporting</w:t>
      </w:r>
      <w:r w:rsidRPr="00985A2E">
        <w:t xml:space="preserve"> the effectiveness of protest campaigns</w:t>
      </w:r>
      <w:r w:rsidR="009F7608">
        <w:t xml:space="preserve"> and it is sometimes suggested that they</w:t>
      </w:r>
      <w:r w:rsidRPr="00985A2E">
        <w:t xml:space="preserve"> enhance negative reactions</w:t>
      </w:r>
      <w:r w:rsidR="009F7608">
        <w:t>.</w:t>
      </w:r>
      <w:r w:rsidRPr="00985A2E">
        <w:t xml:space="preserve"> </w:t>
      </w:r>
      <w:r w:rsidR="009F7608">
        <w:t>Instructing p</w:t>
      </w:r>
      <w:r w:rsidRPr="00985A2E">
        <w:t>eople to suppress negative stereotype</w:t>
      </w:r>
      <w:r w:rsidR="009F7608">
        <w:t xml:space="preserve">s could </w:t>
      </w:r>
      <w:r w:rsidRPr="00985A2E">
        <w:t>sensitise individuals</w:t>
      </w:r>
      <w:r w:rsidR="009F7608">
        <w:t>, whom</w:t>
      </w:r>
      <w:r w:rsidRPr="00985A2E">
        <w:t xml:space="preserve"> later on create undesirable </w:t>
      </w:r>
      <w:r w:rsidRPr="00985A2E">
        <w:lastRenderedPageBreak/>
        <w:t xml:space="preserve">recollections about the stigmatised group </w:t>
      </w:r>
      <w:r w:rsidRPr="00985A2E">
        <w:fldChar w:fldCharType="begin" w:fldLock="1"/>
      </w:r>
      <w:r w:rsidRPr="00985A2E">
        <w:instrText xml:space="preserve"> CSL_CITATION { "citationItems" : [ { "id" : "ITEM-1", "itemData" : { "DOI" : "10.1016/S0920-9964(03)00186-5", "ISSN" : "09209964", "abstract" : "Objectives: The main purpose of this study is to examine whether the relationship between familiarity with mental illness and stigmatizing attitudes about mental illness, which had been observed in a previous study based on a sample of community college students (Psychiatr. Serv. 52 (2001) 953), can be replicated using data from a representative population survey. Methods: In spring 2001, a representative survey was carried out in Germany (n=5025). A personal, fully structured interview was conducted which began with the presentation of a vignette depicting someone with either schizophrenia or major depression. Respondents were asked to respond to measures assessing familiarity, perception of dangerousness, fear, and social distance. Path analysis with manifest variable structural modeling techniques was applied to test the model used in the previous study. Results: Despite differences in methods, most findings of the previous study were replicated. Respondents who were familiar with mental illness were less likely to believe that people with schizophrenia or major depression are dangerous. Weaker perceptions of dangerousness corresponded closely with less fear of such people, which in turn was associated with less social distance. The effect of familiarity was somewhat pervasive: respondents who reported to be familiar with mental illness expressed a less strong desire for social distance. There is also a relatively strong relationship between perceived dangerousness and social distance. Conclusions: Our findings fully support the notion that approaches to social change which increase the public's familiarity with mental illness will decrease stigma.", "author" : [ { "dropping-particle" : "", "family" : "Angermeyer", "given" : "Matthias C", "non-dropping-particle" : "", "parse-names" : false, "suffix" : "" }, { "dropping-particle" : "", "family" : "Matschinger", "given" : "Herbert", "non-dropping-particle" : "", "parse-names" : false, "suffix" : "" }, { "dropping-particle" : "", "family" : "Corrigan", "given" : "Patrick W", "non-dropping-particle" : "", "parse-names" : false, "suffix" : "" } ], "container-title" : "Schizophrenia Research", "id" : "ITEM-1", "issue" : "2-3", "issued" : { "date-parts" : [ [ "2004", "8" ] ] }, "page" : "175-182", "title" : "Familiarity with mental illness and social distance from people with schizophrenia and major depression: testing a model using data from a representative population survey", "type" : "article-journal", "volume" : "69" }, "uris" : [ "http://www.mendeley.com/documents/?uuid=105bdc76-64cd-45ec-816e-0dabc453dfc3" ] } ], "mendeley" : { "formattedCitation" : "(Angermeyer, Matschinger, &amp; Corrigan, 2004)", "plainTextFormattedCitation" : "(Angermeyer, Matschinger, &amp; Corrigan, 2004)", "previouslyFormattedCitation" : "(Angermeyer, Matschinger, &amp; Corrigan, 2004)" }, "properties" : { "noteIndex" : 0 }, "schema" : "https://github.com/citation-style-language/schema/raw/master/csl-citation.json" }</w:instrText>
      </w:r>
      <w:r w:rsidRPr="00985A2E">
        <w:fldChar w:fldCharType="separate"/>
      </w:r>
      <w:r w:rsidRPr="00985A2E">
        <w:rPr>
          <w:noProof/>
        </w:rPr>
        <w:t>(Angermeyer, Matschinger, &amp; Corrigan, 2004)</w:t>
      </w:r>
      <w:r w:rsidRPr="00985A2E">
        <w:fldChar w:fldCharType="end"/>
      </w:r>
      <w:r w:rsidRPr="00985A2E">
        <w:t xml:space="preserve">. </w:t>
      </w:r>
    </w:p>
    <w:p w14:paraId="74367CEE" w14:textId="7FB102CC" w:rsidR="00985A2E" w:rsidRPr="00985A2E" w:rsidRDefault="00985A2E">
      <w:r w:rsidRPr="00985A2E">
        <w:t xml:space="preserve">Education strategies have traditionally been used to challenge myths, stereotypes, and misconceptions with facts and knowledge. </w:t>
      </w:r>
      <w:r w:rsidR="00840AAD">
        <w:t>Studies reporting results about the</w:t>
      </w:r>
      <w:r w:rsidRPr="00985A2E">
        <w:t xml:space="preserve"> </w:t>
      </w:r>
      <w:r w:rsidR="00840AAD">
        <w:t>evaluation</w:t>
      </w:r>
      <w:r w:rsidRPr="00985A2E">
        <w:t xml:space="preserve"> of educational </w:t>
      </w:r>
      <w:r w:rsidR="00840AAD">
        <w:t xml:space="preserve">interventions </w:t>
      </w:r>
      <w:r w:rsidRPr="00985A2E">
        <w:t>is</w:t>
      </w:r>
      <w:r w:rsidR="00840AAD">
        <w:t xml:space="preserve"> varied, as</w:t>
      </w:r>
      <w:r w:rsidRPr="00985A2E">
        <w:t xml:space="preserve"> </w:t>
      </w:r>
      <w:r w:rsidR="00840AAD">
        <w:t>evidence of effectiveness is not always available for a portion of the studies</w:t>
      </w:r>
      <w:r w:rsidRPr="00985A2E">
        <w:t xml:space="preserve"> </w:t>
      </w:r>
      <w:r w:rsidRPr="00985A2E">
        <w:fldChar w:fldCharType="begin" w:fldLock="1"/>
      </w:r>
      <w:r w:rsidRPr="00985A2E">
        <w:instrText xml:space="preserve"> CSL_CITATION { "citationItems" : [ { "id" : "ITEM-1", "itemData" : { "DOI" : "10.1176/appi.ps.201100459", "ISSN" : "1557-9700", "PMID" : "22855130", "abstract" : "OBJECTIVE: The purpose of this article was to comprehensively review published literature about strategies to reduce self-stigma among people with mental illness. Recommendations and implications for research also are discussed.\n\nMETHODS: The electronic databases of Ovid, PubMed, and PsycINFO were searched for peer-reviewed articles published between January 2000 and August 2011 by using the key words \u201cself-stigma,\u201d \u201cinternalized stigma,\u201d \u201cperceived stigma,\u201d and \u201cstigma intervention.\u201d The search was further narrowed to studies that described a detailed intervention and that used self-stigma as a primary or secondary outcome, tested the intervention among individuals with a psychiatric illness, and analyzed data quantitatively with acceptable statistical tools.\n\nRESULTS: Fourteen articles met inclusion criteria, and eight reported significant improvement in self-stigma outcomes. Participants predominantly had schizophrenia and related disorders or depression. Six self-stigma reduction strategies were identified. Psychoeducation was the most frequently tested intervention. Self-stigma definitions, measurements, and conceptual frameworks varied considerably across these studies. Several studies lacked a theoretical framework for their intervention. Six different scales were used to measure self-stigma.\n\nCONCLUSIONS: Two prominent approaches for self-stigma reduction emerged from our review: one, interventions that attempt to alter the stigmatizing beliefs and attitudes of the individual; and two, interventions that enhance skills for coping with self-stigma through improvements in self-esteem, empowerment, and help-seeking behavior. The second approach seems to have gained traction among stigma experts. Targeting high-risk groups to preempt self-stigma appears to be a promising area for future research.", "author" : [ { "dropping-particle" : "", "family" : "Mittal", "given" : "Dinesh", "non-dropping-particle" : "", "parse-names" : false, "suffix" : "" }, { "dropping-particle" : "", "family" : "Sullivan", "given" : "Greer", "non-dropping-particle" : "", "parse-names" : false, "suffix" : "" }, { "dropping-particle" : "", "family" : "Chekuri", "given" : "Lakshminarayana", "non-dropping-particle" : "", "parse-names" : false, "suffix" : "" }, { "dropping-particle" : "", "family" : "Allee", "given" : "Elise", "non-dropping-particle" : "", "parse-names" : false, "suffix" : "" }, { "dropping-particle" : "", "family" : "Corrigan", "given" : "Patrick W", "non-dropping-particle" : "", "parse-names" : false, "suffix" : "" } ], "container-title" : "Psychiatric services (Washington, D.C.)", "id" : "ITEM-1", "issue" : "10", "issued" : { "date-parts" : [ [ "2012", "10" ] ] }, "page" : "974-81", "title" : "Empirical Studies of Self-Stigma Reduction Strategies: A Critical Review of the Literature.", "type" : "article-journal", "volume" : "63" }, "uris" : [ "http://www.mendeley.com/documents/?uuid=372ecce7-7801-4c88-9abc-e8327904571a" ] } ], "mendeley" : { "formattedCitation" : "(Mittal, Sullivan, Chekuri, Allee, &amp; Corrigan, 2012)", "plainTextFormattedCitation" : "(Mittal, Sullivan, Chekuri, Allee, &amp; Corrigan, 2012)", "previouslyFormattedCitation" : "(Mittal, Sullivan, Chekuri, Allee, &amp; Corrigan, 2012)" }, "properties" : { "noteIndex" : 0 }, "schema" : "https://github.com/citation-style-language/schema/raw/master/csl-citation.json" }</w:instrText>
      </w:r>
      <w:r w:rsidRPr="00985A2E">
        <w:fldChar w:fldCharType="separate"/>
      </w:r>
      <w:r w:rsidRPr="00985A2E">
        <w:rPr>
          <w:noProof/>
        </w:rPr>
        <w:t>(Mittal, Sullivan, Chekuri, Allee, &amp; Corrigan, 2012)</w:t>
      </w:r>
      <w:r w:rsidRPr="00985A2E">
        <w:fldChar w:fldCharType="end"/>
      </w:r>
      <w:r w:rsidRPr="00985A2E">
        <w:t xml:space="preserve">. For example, efforts to reduce stigma towards mental illness have found that traditional lecture on psychopathology (teaching of symptoms and causes) increase knowledge of participants, but has little effect on measures of attitudes </w:t>
      </w:r>
      <w:r w:rsidRPr="00985A2E">
        <w:fldChar w:fldCharType="begin" w:fldLock="1"/>
      </w:r>
      <w:r w:rsidRPr="00985A2E">
        <w:instrText xml:space="preserve"> CSL_CITATION { "citationItems" : [ { "id" : "ITEM-1", "itemData" : { "DOI" : "10.1016/j.psychres.2013.12.056", "ISSN" : "1872-7123", "PMID" : "24485063", "abstract" : "Many anti-stigma campaigns emphasize biogenetic causes to convey that schizophrenia is an \"illness like others\". A growing body of studies shows that although biogenetic explanations reduce blame, they tend to reinforce prognostic pessimism and harsher treatment of people with schizophrenia. In contrast, psychosocial explanations attenuate prognostic pessimism and perceived otherness, but seem less suitable to reduce blame. We hypothesized that a vulnerability-stress model that combines biogenetic and psychosocial explanations would yield clearer stigma-reducing effects than the mono-causal models. In an online-experiment, 416 participants from the general population randomly received either a vulnerability-stress, biogenetic, psychosocial or control-intervention, which consisted of information text and video presentation of a case-example. Causal beliefs, stereotypes and desired social distance were assessed by self-report. Baseline causal beliefs were weakly associated with stereotypes. The vulnerability-stress intervention did not reduce stigma more effectively than the biogenetic or psychosocial intervention and was less effective in reducing perceived blame than the biogenetic intervention. Compared to the control-intervention, no intervention showed significant stigma-reducing effects, but the psychosocial and vulnerability-stress conditions both increased blame. We found no evidence for vulnerability-stress explanations as a mean to reduce stigma. We propose further research to identify more effective ways to tackle stigma.", "author" : [ { "dropping-particle" : "", "family" : "Schlier", "given" : "Bj\u00f6rn", "non-dropping-particle" : "", "parse-names" : false, "suffix" : "" }, { "dropping-particle" : "", "family" : "Schmick", "given" : "Sylvia", "non-dropping-particle" : "", "parse-names" : false, "suffix" : "" }, { "dropping-particle" : "", "family" : "Lincoln", "given" : "Tania Marie", "non-dropping-particle" : "", "parse-names" : false, "suffix" : "" } ], "container-title" : "Psychiatry research", "id" : "ITEM-1", "issue" : "3", "issued" : { "date-parts" : [ [ "2014", "3", "30" ] ] }, "page" : "753-9", "title" : "No matter of etiology: biogenetic, psychosocial and vulnerability-stress causal explanations fail to improve attitudes towards schizophrenia.", "type" : "article-journal", "volume" : "215" }, "uris" : [ "http://www.mendeley.com/documents/?uuid=14c49993-3c35-465a-ad05-54ec42f5fa40" ] } ], "mendeley" : { "formattedCitation" : "(Schlier, Schmick, &amp; Lincoln, 2014)", "manualFormatting" : "(e.g. Schlier, Schmick, &amp; Lincoln, 2014)", "plainTextFormattedCitation" : "(Schlier, Schmick, &amp; Lincoln, 2014)", "previouslyFormattedCitation" : "(Schlier, Schmick, &amp; Lincoln, 2014)" }, "properties" : { "noteIndex" : 0 }, "schema" : "https://github.com/citation-style-language/schema/raw/master/csl-citation.json" }</w:instrText>
      </w:r>
      <w:r w:rsidRPr="00985A2E">
        <w:fldChar w:fldCharType="separate"/>
      </w:r>
      <w:r w:rsidRPr="00985A2E">
        <w:rPr>
          <w:noProof/>
        </w:rPr>
        <w:t>(e.g., Schlier, Schmick, &amp; Lincoln, 2014)</w:t>
      </w:r>
      <w:r w:rsidRPr="00985A2E">
        <w:fldChar w:fldCharType="end"/>
      </w:r>
      <w:r w:rsidRPr="00985A2E">
        <w:t xml:space="preserve">. </w:t>
      </w:r>
      <w:r w:rsidR="00840AAD">
        <w:t>Furthermore, s</w:t>
      </w:r>
      <w:r w:rsidRPr="00985A2E">
        <w:t>trategies focusing on teaching the biogenetic causes of mental illness have been found to increase stigma</w:t>
      </w:r>
      <w:r w:rsidR="00840AAD">
        <w:t xml:space="preserve"> </w:t>
      </w:r>
      <w:r w:rsidR="00BA0F72">
        <w:fldChar w:fldCharType="begin" w:fldLock="1"/>
      </w:r>
      <w:r w:rsidR="00D72B62">
        <w:instrText>ADDIN CSL_CITATION {"citationItems":[{"id":"ITEM-1","itemData":{"ISSN":"0022-1465","author":[{"dropping-particle":"","family":"Phelan","given":"Jo C","non-dropping-particle":"","parse-names":false,"suffix":""}],"container-title":"Journal of health and social behavior","id":"ITEM-1","issue":"4","issued":{"date-parts":[["2005"]]},"page":"307-322","publisher":"Sage Publications Sage CA: Los Angeles, CA","title":"Geneticization of deviant behavior and consequences for stigma: The case of mental illness","type":"article-journal","volume":"46"},"uris":["http://www.mendeley.com/documents/?uuid=3c5f9b03-c478-4c78-be67-06f187f81d1a"]},{"id":"ITEM-2","itemData":{"DOI":"https://doi.org/10.1016/j.socscimed.2013.07.017","ISSN":"0277-9536","abstract":"The stigma and social rejection faced by people with a mental disorder constitute a major barrier to their well-being and recovery. Medicalization has been welcomed as a strategy to reduce blame and stigma, although critics have cautioned that attributing mental disorders to biogenetic causes may have unintended side effects that could exacerbate prejudice and rejection. The present study presents a quantitative synthesis of the literature on relationships between biogenetic explanations for mental disorders and three key elements of stigma, namely blame, perceptions of dangerousness, and social distance. A comprehensive search yielded 25 studies meeting the inclusion criteria. Separate meta-analyses (Ns = 4278–23,816) were conducted for the three stigma types, and assessed the consistency of effects across subgroups of studies involving different types of biogenetic explanations, mental disorders, and samples. We found that people who hold biogenetic explanations for mental disorders tend to blame affected persons less for their problems (r = −0.19), but perceive them as more dangerous (r = 0.09) and desire more distance from them (r = 0.05). The negative association with blame was significant for schizophrenia, belief in genetic causation, and in student samples. The positive association with dangerousness was significant for all disorders, belief in general biogenetic causation, and in community samples. The positive association with social distance was significant for schizophrenia, beliefs in neurochemical and general biogenetic causation, and in community samples. Nevertheless, across all analyses, biogenetic explanations were only weakly related to stigma. We conclude that biogenetic explanations for mental disorders confer mixed blessings for stigma.","author":[{"dropping-particle":"","family":"Kvaale","given":"Erlend P","non-dropping-particle":"","parse-names":false,"suffix":""},{"dropping-particle":"","family":"Gottdiener","given":"William H","non-dropping-particle":"","parse-names":false,"suffix":""},{"dropping-particle":"","family":"Haslam","given":"Nick","non-dropping-particle":"","parse-names":false,"suffix":""}],"container-title":"Social Science &amp; Medicine","id":"ITEM-2","issued":{"date-parts":[["2013"]]},"page":"95-103","title":"Biogenetic explanations and stigma: A meta-analytic review of associations among laypeople","type":"article-journal","volume":"96"},"uris":["http://www.mendeley.com/documents/?uuid=d80b01ce-1723-4d25-a8b2-4a3bc95ee2d1"]}],"mendeley":{"formattedCitation":"(Kvaale, Gottdiener, &amp; Haslam, 2013; Phelan, 2005)","plainTextFormattedCitation":"(Kvaale, Gottdiener, &amp; Haslam, 2013; Phelan, 2005)","previouslyFormattedCitation":"(Kvaale, Gottdiener, &amp; Haslam, 2013; Phelan, 2005)"},"properties":{"noteIndex":0},"schema":"https://github.com/citation-style-language/schema/raw/master/csl-citation.json"}</w:instrText>
      </w:r>
      <w:r w:rsidR="00BA0F72">
        <w:fldChar w:fldCharType="separate"/>
      </w:r>
      <w:r w:rsidR="001871E7" w:rsidRPr="001871E7">
        <w:rPr>
          <w:noProof/>
        </w:rPr>
        <w:t>(Kvaale, Gottdiener, &amp; Haslam, 2013; Phelan, 2005)</w:t>
      </w:r>
      <w:r w:rsidR="00BA0F72">
        <w:fldChar w:fldCharType="end"/>
      </w:r>
      <w:r w:rsidRPr="00985A2E">
        <w:t xml:space="preserve">. </w:t>
      </w:r>
      <w:r w:rsidR="00840AAD">
        <w:t>A</w:t>
      </w:r>
      <w:r w:rsidR="001C29EA">
        <w:t>ccording to</w:t>
      </w:r>
      <w:r w:rsidR="00840AAD">
        <w:t xml:space="preserve"> C</w:t>
      </w:r>
      <w:r w:rsidRPr="00985A2E">
        <w:t>orrigan and Penn (1999)</w:t>
      </w:r>
      <w:r w:rsidR="001C29EA">
        <w:t xml:space="preserve">, </w:t>
      </w:r>
      <w:r w:rsidRPr="00985A2E">
        <w:t>educational strateg</w:t>
      </w:r>
      <w:r w:rsidR="00840AAD">
        <w:t>ies must include</w:t>
      </w:r>
      <w:r w:rsidRPr="00985A2E">
        <w:t xml:space="preserve"> four key factors</w:t>
      </w:r>
      <w:r w:rsidR="00840AAD">
        <w:t xml:space="preserve"> to achieve stigma reduction</w:t>
      </w:r>
      <w:r w:rsidRPr="00985A2E">
        <w:t>; information about the individual</w:t>
      </w:r>
      <w:r w:rsidR="001C29EA">
        <w:t xml:space="preserve"> that is target of stigma</w:t>
      </w:r>
      <w:r w:rsidRPr="00985A2E">
        <w:t xml:space="preserve">, focus on clarifying myths, simulations to increase empathy and discussion. </w:t>
      </w:r>
    </w:p>
    <w:p w14:paraId="6963A115" w14:textId="44C536CF" w:rsidR="00985A2E" w:rsidRPr="00985A2E" w:rsidRDefault="00985A2E" w:rsidP="00985A2E">
      <w:r w:rsidRPr="00985A2E">
        <w:t xml:space="preserve">In the case of stigma towards individuals with HIV/AIDS and psychiatric conditions, education strategies have been proved beneficial to complement the training of health providers and students who are likely to come into contact with these populations </w:t>
      </w:r>
      <w:r w:rsidRPr="00985A2E">
        <w:fldChar w:fldCharType="begin" w:fldLock="1"/>
      </w:r>
      <w:r w:rsidRPr="00985A2E">
        <w:instrText xml:space="preserve"> CSL_CITATION { "citationItems" : [ { "id" : "ITEM-1", "itemData" : { "DOI" : "10.1007/s10597-013-9628-0", "ISSN" : "1573-2789", "PMID" : "23760975", "abstract" : "This study assessed the Anti-Stigma Project workshop, a contact/education intervention developed by On Our Own of Maryland, Inc. and the Maryland Mental Hygiene Administration. Two separate randomized controlled trials administered pre- and post-test questionnaire assessments. One included people with mental illness (N = 127) and a second included mental health providers (N = 131). Post-intervention, people with mental illness were more aware of stigma, had lower levels of prejudice, and increased belief in recovery. Providers were more aware of stigma, had lower levels of prejudice, and increased concurrence in self-determination of people with mental illness. Increasing providers' stigma awareness and recognition can promote higher quality service delivery. Increasing stigma awareness and recognition for people with mental illness can foster confidence in overcoming psychiatric disabilities. Using a participatory action research team, our protocol included extant and newly developed stigma change tools. Organizations seeking to conduct effective evaluation studies should consider collaborative processes including the expertise of affected constituents.", "author" : [ { "dropping-particle" : "", "family" : "Michaels", "given" : "Patrick J", "non-dropping-particle" : "", "parse-names" : false, "suffix" : "" }, { "dropping-particle" : "", "family" : "Corrigan", "given" : "Patrick W", "non-dropping-particle" : "", "parse-names" : false, "suffix" : "" }, { "dropping-particle" : "", "family" : "Buchholz", "given" : "Blythe", "non-dropping-particle" : "", "parse-names" : false, "suffix" : "" }, { "dropping-particle" : "", "family" : "Brown", "given" : "Jennifer", "non-dropping-particle" : "", "parse-names" : false, "suffix" : "" }, { "dropping-particle" : "", "family" : "Arthur", "given" : "Thomas", "non-dropping-particle" : "", "parse-names" : false, "suffix" : "" }, { "dropping-particle" : "", "family" : "Netter", "given" : "Clarissa", "non-dropping-particle" : "", "parse-names" : false, "suffix" : "" }, { "dropping-particle" : "", "family" : "Macdonald-Wilson", "given" : "Kim L", "non-dropping-particle" : "", "parse-names" : false, "suffix" : "" } ], "container-title" : "Community mental health journal", "id" : "ITEM-1", "issue" : "4", "issued" : { "date-parts" : [ [ "2014", "5" ] ] }, "page" : "395-401", "title" : "Changing stigma through a consumer-based stigma reduction program.", "type" : "article-journal", "volume" : "50" }, "uris" : [ "http://www.mendeley.com/documents/?uuid=0d93070a-f1d6-4be9-84cf-6176b320952a" ] }, { "id" : "ITEM-2", "itemData" : { "DOI" : "10.1186/s12888-014-0231-x", "ISSN" : "1471-244X", "PMID" : "25115221", "abstract" : "BACKGROUND: Stigma and discrimination are widely experienced by people with mental illness, even in healthcare settings. The purposes of this study were to assess mental health stigma among community mental health staff in Guangzhou, China and in doing so also to assess the psychometric properties of the Reported and Intended Behaviour Scale (RIBS) - Chinese version.\n\nMETHODS: A cross-sectional survey was undertaken among 214 community mental health staff in Guangzhou from September to November, 2013. The Mental Health Knowledge Schedule (MAKS) and RIBS were administered together with the Mental Illness: Clinicians' Attitudes Scale (MICA) to evaluate staff stigma from the perspective of knowledge, attitudes and behaviour.\n\nRESULTS: The total scores of RIBS, MAKS and MICA were (11.97 \u00b1 3.41), (16.80 \u00b1 5.39) and (51.69 \u00b1 6.94) respectively. Female staff members were more willing to contact people with mental illness than males (t(212)\u2009=\u2009-2.85,P = 0.005) and had more knowledge about mental illness (t(212)\u2009=\u2009-2.28,P = 0.024). The Chinese version of RIBS had good internal consistency (alpha = 0.82), test-retest reliability (r = 0.68,P &lt; 0.001) and adequate convergent validity, as indicated by a significant negative correlation with the Chinese version of MICA(r =\u2009-0.43, P &lt; 0.001).\n\nCONCLUSIONS: Our results show relatively high levels of stigma toward people with mental illness among community mental health staff in Guangzhou, China. There are slightly gender differences in discriminatory behaviours and stigma related knowledge of mental illness among community mental health staff, with female staff in general less stigmatising. Accordingly, anti-stigma programmes should be established among healthcare staff. In addition, the Chinese version of RIBS is a reliable, valid and acceptable measure which can be used to assess the willingness of participants to contact people with mental illness in future anti-stigma campaigns.", "author" : [ { "dropping-particle" : "", "family" : "Li", "given" : "Jie", "non-dropping-particle" : "", "parse-names" : false, "suffix" : "" }, { "dropping-particle" : "", "family" : "Li", "given" : "Juan", "non-dropping-particle" : "", "parse-names" : false, "suffix" : "" }, { "dropping-particle" : "", "family" : "Thornicroft", "given" : "Graham", "non-dropping-particle" : "", "parse-names" : false, "suffix" : "" }, { "dropping-particle" : "", "family" : "Huang", "given" : "Yuanguang", "non-dropping-particle" : "", "parse-names" : false, "suffix" : "" } ], "container-title" : "BMC psychiatry", "id" : "ITEM-2", "issue" : "1", "issued" : { "date-parts" : [ [ "2014", "1" ] ] }, "page" : "231", "publisher" : "BioMed Central Ltd.", "title" : "Levels of stigma among community mental health staff in Guangzhou, China.", "type" : "article-journal", "volume" : "14" }, "uris" : [ "http://www.mendeley.com/documents/?uuid=8edc4e0f-a30f-4cea-8a54-7fbe1cb686f4" ] } ], "mendeley" : { "formattedCitation" : "(J. Li, Li, Thornicroft, &amp; Huang, 2014; Michaels et al., 2014)", "manualFormatting" : "(e.g. Li, Li, Thornicroft, &amp; Huang, 2014; Michaels et al., 2014)", "plainTextFormattedCitation" : "(J. Li, Li, Thornicroft, &amp; Huang, 2014; Michaels et al., 2014)", "previouslyFormattedCitation" : "(J. Li, Li, Thornicroft, &amp; Huang, 2014; Michaels et al., 2014)" }, "properties" : { "noteIndex" : 0 }, "schema" : "https://github.com/citation-style-language/schema/raw/master/csl-citation.json" }</w:instrText>
      </w:r>
      <w:r w:rsidRPr="00985A2E">
        <w:fldChar w:fldCharType="separate"/>
      </w:r>
      <w:r w:rsidRPr="00985A2E">
        <w:rPr>
          <w:noProof/>
        </w:rPr>
        <w:t>(e.g., Li, Li, Thornicroft, &amp; Huang, 2014; Michaels et al., 2014)</w:t>
      </w:r>
      <w:r w:rsidRPr="00985A2E">
        <w:fldChar w:fldCharType="end"/>
      </w:r>
      <w:r w:rsidRPr="00985A2E">
        <w:t xml:space="preserve">. Education strategies </w:t>
      </w:r>
      <w:r w:rsidR="001C29EA">
        <w:t>were</w:t>
      </w:r>
      <w:r w:rsidRPr="00985A2E">
        <w:t xml:space="preserve"> effective in increasing knowledge about conditions, promoting the willingness towards receiving treatment and generating positive attitudes towards targeted groups in these populations</w:t>
      </w:r>
      <w:r w:rsidR="004C54F2">
        <w:t xml:space="preserve"> </w:t>
      </w:r>
      <w:r w:rsidR="004C54F2">
        <w:fldChar w:fldCharType="begin" w:fldLock="1"/>
      </w:r>
      <w:r w:rsidR="004C54F2">
        <w:instrText>ADDIN CSL_CITATION {"citationItems":[{"id":"ITEM-1","itemData":{"DOI":"10.1016/j.cpr.2010.06.004","ISSN":"1873-7811","PMID":"20674114","abstract":"Public stigma robs people with mental illnesses from rightful opportunities related to work and other important life goals. Advocates have developed anti-stigma programs meant to address the prejudice and discrimination associated with these conditions. Evidence is now needed to make sense of program impact; this paper looks at measurement issues related to stigma change. Community-based participatory research is central to this research and includes the involvement of a diverse collection of stakeholders in all phases of evaluation. Investigators should be cautious about measures vis-à-vis social desirability effects and should directed by social validity of targeted audiences. Conceptual domains with some research support that correspond with assessments include behavior, penetration, psychological perspective, knowledge, and physiological/information processes. These issues are summarized as ten recommendations for evaluation of anti-stigma programs.","author":[{"dropping-particle":"","family":"Corrigan","given":"Patrick W","non-dropping-particle":"","parse-names":false,"suffix":""},{"dropping-particle":"","family":"Shapiro","given":"Jenessa R","non-dropping-particle":"","parse-names":false,"suffix":""}],"container-title":"Clinical psychology review","id":"ITEM-1","issue":"8","issued":{"date-parts":[["2010","12"]]},"page":"907-22","title":"Measuring the impact of programs that challenge the public stigma of mental illness.","type":"article-journal","volume":"30"},"uris":["http://www.mendeley.com/documents/?uuid=0c90400d-435a-4485-bdc8-a14d1aa2588d"]}],"mendeley":{"formattedCitation":"(Corrigan &amp; Shapiro, 2010)","plainTextFormattedCitation":"(Corrigan &amp; Shapiro, 2010)","previouslyFormattedCitation":"(Corrigan &amp; Shapiro, 2010)"},"properties":{"noteIndex":0},"schema":"https://github.com/citation-style-language/schema/raw/master/csl-citation.json"}</w:instrText>
      </w:r>
      <w:r w:rsidR="004C54F2">
        <w:fldChar w:fldCharType="separate"/>
      </w:r>
      <w:r w:rsidR="004C54F2" w:rsidRPr="004C54F2">
        <w:rPr>
          <w:noProof/>
        </w:rPr>
        <w:t>(Corrigan &amp; Shapiro, 2010)</w:t>
      </w:r>
      <w:r w:rsidR="004C54F2">
        <w:fldChar w:fldCharType="end"/>
      </w:r>
      <w:r w:rsidRPr="00985A2E">
        <w:t>. However, the evidence is often limited to short term effects. The effectiveness of educational strategies over time is unclear and further research would enrich the literature by conducting studies with longitudinal designs.</w:t>
      </w:r>
    </w:p>
    <w:p w14:paraId="2E278EC0" w14:textId="6FC958EB" w:rsidR="00985A2E" w:rsidRPr="00985A2E" w:rsidRDefault="00985A2E" w:rsidP="00985A2E">
      <w:r w:rsidRPr="00985A2E">
        <w:t>According to empirical results on stigma towards individuals with health conditions, contact strategies have yielded better results on reducing stigma than protest and education strategies</w:t>
      </w:r>
      <w:r w:rsidR="004C54F2">
        <w:t xml:space="preserve"> </w:t>
      </w:r>
      <w:r w:rsidR="004C54F2">
        <w:fldChar w:fldCharType="begin" w:fldLock="1"/>
      </w:r>
      <w:r w:rsidR="001E36DF">
        <w:instrText>ADDIN CSL_CITATION {"citationItems":[{"id":"ITEM-1","itemData":{"ISSN":"0046-2772","author":[{"dropping-particle":"","family":"Pettigrew","given":"Thomas F","non-dropping-particle":"","parse-names":false,"suffix":""},{"dropping-particle":"","family":"Tropp","given":"Linda R","non-dropping-particle":"","parse-names":false,"suffix":""}],"container-title":"European Journal of Social Psychology","id":"ITEM-1","issue":"6","issued":{"date-parts":[["2008"]]},"page":"922-934","publisher":"Wiley Online Library","title":"How does intergroup contact reduce prejudice? Meta</w:instrText>
      </w:r>
      <w:r w:rsidR="001E36DF">
        <w:rPr>
          <w:rFonts w:ascii="Cambria Math" w:hAnsi="Cambria Math" w:cs="Cambria Math"/>
        </w:rPr>
        <w:instrText>‐</w:instrText>
      </w:r>
      <w:r w:rsidR="001E36DF">
        <w:instrText>analytic tests of three mediators","type":"article-journal","volume":"38"},"uris":["http://www.mendeley.com/documents/?uuid=2662c61c-98c6-4853-903b-7b5174a03e1d"]}],"mendeley":{"formattedCitation":"(Pettigrew &amp; Tropp, 2008)","plainTextFormattedCitation":"(Pettigrew &amp; Tropp, 2008)","previouslyFormattedCitation":"(Pettigrew &amp; Tropp, 2008)"},"properties":{"noteIndex":0},"schema":"https://github.com/citation-style-language/schema/raw/master/csl-citation.json"}</w:instrText>
      </w:r>
      <w:r w:rsidR="004C54F2">
        <w:fldChar w:fldCharType="separate"/>
      </w:r>
      <w:r w:rsidR="004C54F2" w:rsidRPr="004C54F2">
        <w:rPr>
          <w:noProof/>
        </w:rPr>
        <w:t>(Pettigrew &amp; Tropp, 2008)</w:t>
      </w:r>
      <w:r w:rsidR="004C54F2">
        <w:fldChar w:fldCharType="end"/>
      </w:r>
      <w:r w:rsidRPr="00985A2E">
        <w:t>. Interpersonal contact with stigmatised individuals have been associated with positive change across components of stigma (knowledge, attitudes, and intended behaviour) and studies suggest that change is maintained in the longer term</w:t>
      </w:r>
      <w:r w:rsidR="001C29EA">
        <w:t xml:space="preserve"> compared with</w:t>
      </w:r>
      <w:r w:rsidRPr="00985A2E">
        <w:t xml:space="preserve"> education</w:t>
      </w:r>
      <w:r w:rsidR="001C29EA">
        <w:t>al</w:t>
      </w:r>
      <w:r w:rsidRPr="00985A2E">
        <w:t xml:space="preserve"> strategies </w:t>
      </w:r>
      <w:r w:rsidRPr="00985A2E">
        <w:fldChar w:fldCharType="begin" w:fldLock="1"/>
      </w:r>
      <w:r w:rsidRPr="00985A2E">
        <w:instrText xml:space="preserve"> CSL_CITATION { "citationItems" : [ { "id" : "ITEM-1", "itemData" : { "DOI" : "10.1111/j.1600-0447.2012.01826.x", "ISSN" : "1600-0447", "PMID" : "22242976", "abstract" : "OBJECTIVE: To explore whether the increase in knowledge about the biological correlates of mental disorders over the last decades has translated into improved public understanding of mental illness, increased readiness to seek mental health care and more tolerant attitudes towards mentally ill persons.\n\nMETHOD: A systematic review of all studies on mental illness-related beliefs and attitudes in the general population published before 31 March 2011, examining the time trends of attitudes with a follow-up interval of at least 2 years and using national representative population samples. A subsample of methodologically homogeneous studies was further included in a meta-regression analysis of time trends.\n\nRESULTS: Thirty-three reports on 16 studies on national time trends met our inclusion criteria, six of which were eligible for a meta-regression analysis. Two major trends emerged: there was a coherent trend to greater mental health literacy, in particular towards a biological model of mental illness, and greater acceptance of professional help for mental health problems. In contrast, however, no changes or even changes to the worse were observed regarding the attitudes towards people with mental illness.\n\nCONCLUSION: Increasing public understanding of the biological correlates of mental illness seems not to result in better social acceptance of persons with mental illness.", "author" : [ { "dropping-particle" : "", "family" : "Schomerus", "given" : "G", "non-dropping-particle" : "", "parse-names" : false, "suffix" : "" }, { "dropping-particle" : "", "family" : "Schwahn", "given" : "C", "non-dropping-particle" : "", "parse-names" : false, "suffix" : "" }, { "dropping-particle" : "", "family" : "Holzinger", "given" : "A", "non-dropping-particle" : "", "parse-names" : false, "suffix" : "" }, { "dropping-particle" : "", "family" : "Corrigan", "given" : "P W", "non-dropping-particle" : "", "parse-names" : false, "suffix" : "" }, { "dropping-particle" : "", "family" : "Grabe", "given" : "H J", "non-dropping-particle" : "", "parse-names" : false, "suffix" : "" }, { "dropping-particle" : "", "family" : "Carta", "given" : "M G", "non-dropping-particle" : "", "parse-names" : false, "suffix" : "" }, { "dropping-particle" : "", "family" : "Angermeyer", "given" : "M C", "non-dropping-particle" : "", "parse-names" : false, "suffix" : "" } ], "container-title" : "Acta psychiatrica Scandinavica", "id" : "ITEM-1", "issue" : "6", "issued" : { "date-parts" : [ [ "2012", "6" ] ] }, "page" : "440-52", "title" : "Evolution of public attitudes about mental illness: a systematic review and meta-analysis.", "type" : "article-journal", "volume" : "125" }, "uris" : [ "http://www.mendeley.com/documents/?uuid=7202726f-17e4-4608-840a-8041e2aa8a26" ] }, { "id" : "ITEM-2", "itemData" : { "author" : [ { "dropping-particle" : "", "family" : "Heijnders", "given" : "M", "non-dropping-particle" : "", "parse-names" : false, "suffix" : "" }, { "dropping-particle" : "Van Der", "family" : "Meij", "given" : "S", "non-dropping-particle" : "", "parse-names" : false, "suffix" : "" } ], "container-title" : "Psychology, health &amp; medicine", "id" : "ITEM-2", "issued" : { "date-parts" : [ [ "2006" ] ] }, "title" : "The fight against stigma: an overview of stigma-reduction strategies and interventions", "type" : "article-journal" }, "uris" : [ "http://www.mendeley.com/documents/?uuid=7f5fd24a-60dd-4c27-ae73-5aec5a9e721c" ] } ], "mendeley" : { "formattedCitation" : "(Heijnders &amp; Meij, 2006; Schomerus et al., 2012)", "plainTextFormattedCitation" : "(Heijnders &amp; Meij, 2006; Schomerus et al., 2012)", "previouslyFormattedCitation" : "(Heijnders &amp; Meij, 2006; Schomerus et al., 2012)" }, "properties" : { "noteIndex" : 0 }, "schema" : "https://github.com/citation-style-language/schema/raw/master/csl-citation.json" }</w:instrText>
      </w:r>
      <w:r w:rsidRPr="00985A2E">
        <w:fldChar w:fldCharType="separate"/>
      </w:r>
      <w:r w:rsidRPr="00985A2E">
        <w:rPr>
          <w:noProof/>
        </w:rPr>
        <w:t>(Heijnders &amp; Meij, 2006; Schomerus et al., 2012)</w:t>
      </w:r>
      <w:r w:rsidRPr="00985A2E">
        <w:fldChar w:fldCharType="end"/>
      </w:r>
      <w:r w:rsidRPr="00985A2E">
        <w:t xml:space="preserve">. The debate </w:t>
      </w:r>
      <w:r w:rsidR="001C29EA">
        <w:t xml:space="preserve">when considering the use of </w:t>
      </w:r>
      <w:r w:rsidRPr="00985A2E">
        <w:t xml:space="preserve">contact </w:t>
      </w:r>
      <w:r w:rsidR="001C29EA">
        <w:t>ant-</w:t>
      </w:r>
      <w:r w:rsidRPr="00985A2E">
        <w:t>stigma strateg</w:t>
      </w:r>
      <w:r w:rsidR="001C29EA">
        <w:t>ies has been focused on</w:t>
      </w:r>
      <w:r w:rsidRPr="00985A2E">
        <w:t xml:space="preserve"> the mean</w:t>
      </w:r>
      <w:r w:rsidR="001C29EA">
        <w:t>s</w:t>
      </w:r>
      <w:r w:rsidRPr="00985A2E">
        <w:t xml:space="preserve"> of delivery. </w:t>
      </w:r>
      <w:r w:rsidRPr="00985A2E">
        <w:fldChar w:fldCharType="begin" w:fldLock="1"/>
      </w:r>
      <w:r w:rsidRPr="00985A2E">
        <w:instrText xml:space="preserve"> CSL_CITATION { "citationItems" : [ { "id" : "ITEM-1", "itemData" : { "author" : [ { "dropping-particle" : "", "family" : "Reinke", "given" : "RR", "non-dropping-particle" : "", "parse-names" : false, "suffix" : "" }, { "dropping-particle" : "", "family" : "Corrigan", "given" : "PW", "non-dropping-particle" : "", "parse-names" : false, "suffix" : "" } ], "container-title" : "Journal of Social and  \u2026", "id" : "ITEM-1", "issued" : { "date-parts" : [ [ "2004" ] ] }, "title" : "Examining two aspects of contact on the stigma of mental illness", "type" : "article-journal" }, "uris" : [ "http://www.mendeley.com/documents/?uuid=d8f437a0-bd93-48ff-92fa-0c7c7267c7a1" ] } ], "mendeley" : { "formattedCitation" : "(Reinke &amp; Corrigan, 2004)", "manualFormatting" : "Reinke and Corrigan (2004)", "plainTextFormattedCitation" : "(Reinke &amp; Corrigan, 2004)", "previouslyFormattedCitation" : "(Reinke &amp; Corrigan, 2004)" }, "properties" : { "noteIndex" : 0 }, "schema" : "https://github.com/citation-style-language/schema/raw/master/csl-citation.json" }</w:instrText>
      </w:r>
      <w:r w:rsidRPr="00985A2E">
        <w:fldChar w:fldCharType="separate"/>
      </w:r>
      <w:r w:rsidRPr="00985A2E">
        <w:rPr>
          <w:noProof/>
        </w:rPr>
        <w:t>Reinke and Corrigan (2004)</w:t>
      </w:r>
      <w:r w:rsidRPr="00985A2E">
        <w:fldChar w:fldCharType="end"/>
      </w:r>
      <w:r w:rsidRPr="00985A2E">
        <w:t xml:space="preserve"> found that participants in both the direct contact and videotaped conditions had a significant positive change in stigmatising attitudes towards mental illness, compared with control participants. However, a recent meta-analysis on mental health stigma conducted by </w:t>
      </w:r>
      <w:r w:rsidRPr="00985A2E">
        <w:fldChar w:fldCharType="begin" w:fldLock="1"/>
      </w:r>
      <w:r w:rsidRPr="00985A2E">
        <w:instrText xml:space="preserve"> CSL_CITATION { "citationItems" : [ { "id" : "ITEM-1", "itemData" : { "DOI" : "10.1111/j.1600-0447.2012.01826.x", "ISSN" : "1600-0447", "PMID" : "22242976", "abstract" : "OBJECTIVE: To explore whether the increase in knowledge about the biological correlates of mental disorders over the last decades has translated into improved public understanding of mental illness, increased readiness to seek mental health care and more tolerant attitudes towards mentally ill persons.\n\nMETHOD: A systematic review of all studies on mental illness-related beliefs and attitudes in the general population published before 31 March 2011, examining the time trends of attitudes with a follow-up interval of at least 2 years and using national representative population samples. A subsample of methodologically homogeneous studies was further included in a meta-regression analysis of time trends.\n\nRESULTS: Thirty-three reports on 16 studies on national time trends met our inclusion criteria, six of which were eligible for a meta-regression analysis. Two major trends emerged: there was a coherent trend to greater mental health literacy, in particular towards a biological model of mental illness, and greater acceptance of professional help for mental health problems. In contrast, however, no changes or even changes to the worse were observed regarding the attitudes towards people with mental illness.\n\nCONCLUSION: Increasing public understanding of the biological correlates of mental illness seems not to result in better social acceptance of persons with mental illness.", "author" : [ { "dropping-particle" : "", "family" : "Schomerus", "given" : "G", "non-dropping-particle" : "", "parse-names" : false, "suffix" : "" }, { "dropping-particle" : "", "family" : "Schwahn", "given" : "C", "non-dropping-particle" : "", "parse-names" : false, "suffix" : "" }, { "dropping-particle" : "", "family" : "Holzinger", "given" : "A", "non-dropping-particle" : "", "parse-names" : false, "suffix" : "" }, { "dropping-particle" : "", "family" : "Corrigan", "given" : "P W", "non-dropping-particle" : "", "parse-names" : false, "suffix" : "" }, { "dropping-particle" : "", "family" : "Grabe", "given" : "H J", "non-dropping-particle" : "", "parse-names" : false, "suffix" : "" }, { "dropping-particle" : "", "family" : "Carta", "given" : "M G", "non-dropping-particle" : "", "parse-names" : false, "suffix" : "" }, { "dropping-particle" : "", "family" : "Angermeyer", "given" : "M C", "non-dropping-particle" : "", "parse-names" : false, "suffix" : "" } ], "container-title" : "Acta psychiatrica Scandinavica", "id" : "ITEM-1", "issue" : "6", "issued" : { "date-parts" : [ [ "2012", "6" ] ] }, "page" : "440-52", "title" : "Evolution of public attitudes about mental illness: a systematic review and meta-analysis.", "type" : "article-journal", "volume" : "125" }, "uris" : [ "http://www.mendeley.com/documents/?uuid=7202726f-17e4-4608-840a-8041e2aa8a26" ] } ], "mendeley" : { "formattedCitation" : "(Schomerus et al., 2012)", "manualFormatting" : "Schomerus et al.(2012)", "plainTextFormattedCitation" : "(Schomerus et al., 2012)", "previouslyFormattedCitation" : "(Schomerus et al., 2012)" }, "properties" : { "noteIndex" : 0 }, "schema" : "https://github.com/citation-style-language/schema/raw/master/csl-citation.json" }</w:instrText>
      </w:r>
      <w:r w:rsidRPr="00985A2E">
        <w:fldChar w:fldCharType="separate"/>
      </w:r>
      <w:r w:rsidRPr="00985A2E">
        <w:rPr>
          <w:noProof/>
        </w:rPr>
        <w:t>Schomerus et al. (2012)</w:t>
      </w:r>
      <w:r w:rsidRPr="00985A2E">
        <w:fldChar w:fldCharType="end"/>
      </w:r>
      <w:r w:rsidRPr="00985A2E">
        <w:t xml:space="preserve"> suggested that </w:t>
      </w:r>
      <w:r w:rsidRPr="00985A2E">
        <w:lastRenderedPageBreak/>
        <w:t xml:space="preserve">direct contact is overall more effective than video-based strategies. In addition, although contact seems to be more effective than education in adult participants, the opposite appears to be the case for younger participants. </w:t>
      </w:r>
    </w:p>
    <w:p w14:paraId="3E9C39B6" w14:textId="4431CDDA" w:rsidR="00985A2E" w:rsidRPr="00985A2E" w:rsidRDefault="00985A2E" w:rsidP="00985A2E">
      <w:r w:rsidRPr="00985A2E">
        <w:t xml:space="preserve">Based </w:t>
      </w:r>
      <w:r w:rsidR="005C2502">
        <w:t>on the</w:t>
      </w:r>
      <w:r w:rsidRPr="00985A2E">
        <w:t xml:space="preserve"> contact hypothesis</w:t>
      </w:r>
      <w:r w:rsidR="005C2502">
        <w:t xml:space="preserve"> principle</w:t>
      </w:r>
      <w:r w:rsidRPr="00985A2E">
        <w:t xml:space="preserve">, strategies such as imagined contact (IC) have been tested with </w:t>
      </w:r>
      <w:r w:rsidR="005C2502">
        <w:t>various degrees of effectiveness in the</w:t>
      </w:r>
      <w:r w:rsidRPr="00985A2E">
        <w:t xml:space="preserve"> reduction of prejudice and stigma towards disabilities and psychiatric conditions</w:t>
      </w:r>
      <w:r w:rsidR="005C2502">
        <w:t xml:space="preserve"> </w:t>
      </w:r>
      <w:r w:rsidR="005C2502" w:rsidRPr="00985A2E">
        <w:rPr>
          <w:noProof/>
        </w:rPr>
        <w:t>(Miles &amp; Crisp, 2013)</w:t>
      </w:r>
      <w:r w:rsidRPr="00985A2E">
        <w:t xml:space="preserve">. The principle of IC is that a relatively simple imagination task </w:t>
      </w:r>
      <w:r w:rsidR="005C2502">
        <w:t>containing</w:t>
      </w:r>
      <w:r w:rsidRPr="00985A2E">
        <w:t xml:space="preserve"> a</w:t>
      </w:r>
      <w:r w:rsidR="005C2502">
        <w:t xml:space="preserve"> positive</w:t>
      </w:r>
      <w:r w:rsidRPr="00985A2E">
        <w:t xml:space="preserve"> interaction with a stigmatised other can result in reduced devaluating attitudes and responses. Despite reports supporting the effectiveness of IC strategies </w:t>
      </w:r>
      <w:r w:rsidRPr="00985A2E">
        <w:rPr>
          <w:noProof/>
        </w:rPr>
        <w:t>(Miles &amp; Crisp, 2013)</w:t>
      </w:r>
      <w:r w:rsidRPr="00985A2E">
        <w:t xml:space="preserve">, some scepticism has been expressed in the literature about the effectiveness of IC strategies </w:t>
      </w:r>
      <w:r w:rsidRPr="00985A2E">
        <w:rPr>
          <w:noProof/>
        </w:rPr>
        <w:t>(Bigler &amp; Hughes, 2010; Lee &amp; Jussim, 2010; West &amp; Greenland, 2016)</w:t>
      </w:r>
      <w:r w:rsidRPr="00985A2E">
        <w:t xml:space="preserve">. First, achieving and maintaining stigma reduction is a challenging task, as has been reported across the literature </w:t>
      </w:r>
      <w:r w:rsidRPr="00985A2E">
        <w:rPr>
          <w:noProof/>
        </w:rPr>
        <w:t>(Lemmer &amp; Wagner, 2015)</w:t>
      </w:r>
      <w:r w:rsidRPr="00985A2E">
        <w:t>. There is little support for meaningful long-term effects and some studies fail to find significant change following IC strategies (e.g</w:t>
      </w:r>
      <w:r w:rsidR="005A2B3D">
        <w:t xml:space="preserve">., </w:t>
      </w:r>
      <w:r w:rsidRPr="00985A2E">
        <w:rPr>
          <w:noProof/>
        </w:rPr>
        <w:t>Dermody, Jones, &amp; Cumming, 2013; West &amp; Greenland, 2016)</w:t>
      </w:r>
      <w:r w:rsidRPr="00985A2E">
        <w:t xml:space="preserve">. Second, publication bias may conceal studies reporting non-significant findings in relation to IC </w:t>
      </w:r>
      <w:r w:rsidRPr="00985A2E">
        <w:rPr>
          <w:noProof/>
        </w:rPr>
        <w:t>(Scargle, 1999)</w:t>
      </w:r>
      <w:r w:rsidRPr="00985A2E">
        <w:t xml:space="preserve">. </w:t>
      </w:r>
    </w:p>
    <w:p w14:paraId="0A5ECC6B" w14:textId="43AD1808" w:rsidR="00985A2E" w:rsidRPr="00985A2E" w:rsidRDefault="00985A2E" w:rsidP="00985A2E">
      <w:r w:rsidRPr="00985A2E">
        <w:t>Although the anti-stigma qualities of IC have been reported towards various target groups, most studies focus on stigma</w:t>
      </w:r>
      <w:r w:rsidR="005C2502">
        <w:t xml:space="preserve"> associated with the maintaining of</w:t>
      </w:r>
      <w:r w:rsidRPr="00985A2E">
        <w:t xml:space="preserve"> societal power</w:t>
      </w:r>
      <w:r w:rsidR="005C2502">
        <w:t xml:space="preserve"> and exploitation</w:t>
      </w:r>
      <w:r w:rsidRPr="00985A2E">
        <w:t xml:space="preserve"> between human groups</w:t>
      </w:r>
      <w:r w:rsidR="005C2502">
        <w:t>. Literature of IC centres around topics of</w:t>
      </w:r>
      <w:r w:rsidRPr="00985A2E">
        <w:t xml:space="preserve"> racism, sexism and ethnic minorities</w:t>
      </w:r>
      <w:r w:rsidR="005C2502">
        <w:t>,</w:t>
      </w:r>
      <w:r w:rsidRPr="00985A2E">
        <w:t xml:space="preserve"> rather than</w:t>
      </w:r>
      <w:r w:rsidR="005C2502">
        <w:t xml:space="preserve"> on</w:t>
      </w:r>
      <w:r w:rsidRPr="00985A2E">
        <w:t xml:space="preserve"> stigma towards health conditions</w:t>
      </w:r>
      <w:r w:rsidR="005C2502">
        <w:t xml:space="preserve">, with the </w:t>
      </w:r>
      <w:r w:rsidRPr="00985A2E">
        <w:t>except</w:t>
      </w:r>
      <w:r w:rsidR="005C2502">
        <w:t>ion of</w:t>
      </w:r>
      <w:r w:rsidRPr="00985A2E">
        <w:t xml:space="preserve"> stigma towards psychiatric conditions and physical disability</w:t>
      </w:r>
      <w:r w:rsidR="005C2502">
        <w:t xml:space="preserve"> </w:t>
      </w:r>
      <w:r w:rsidR="001E36DF">
        <w:fldChar w:fldCharType="begin" w:fldLock="1"/>
      </w:r>
      <w:r w:rsidR="00D72B62">
        <w:instrText>ADDIN CSL_CITATION {"citationItems":[{"id":"ITEM-1","itemData":{"ISSN":"0021-9029","author":[{"dropping-particle":"de","family":"Carvalho</w:instrText>
      </w:r>
      <w:r w:rsidR="00D72B62">
        <w:rPr>
          <w:rFonts w:ascii="Cambria Math" w:hAnsi="Cambria Math" w:cs="Cambria Math"/>
        </w:rPr>
        <w:instrText>‐</w:instrText>
      </w:r>
      <w:r w:rsidR="00D72B62">
        <w:instrText>Freitas","given":"Maria Nivalda","non-dropping-particle":"","parse-names":false,"suffix":""},{"dropping-particle":"","family":"Stathi","given":"Sofia","non-dropping-particle":"","parse-names":false,"suffix":""}],"container-title":"Journal of Applied Social Psychology","id":"ITEM-1","issue":"5","issued":{"date-parts":[["2017"]]},"page":"256-266","publisher":"Wiley Online Library","title":"Reducing workplace bias toward people with disabilities with the use of imagined contact","type":"article-journal","volume":"47"},"uris":["http://www.mendeley.com/documents/?uuid=08254474-ec97-4318-82e7-2f1bf167fee1"]},{"id":"ITEM-2","itemData":{"DOI":"10.1080/00224545.2012.697080","ISSN":"0022-4545","PMID":"23057193","abstract":"Research has demonstrated widespread negative attitudes held toward people with mental health problems. Our study investigated whether a new prejudice reduction technique, imagined intergroup contact (Crisp &amp; Turner, 2009), could combat stigma against people with mental illness, and the mediating processes through which it may exert this beneficial effect. We found that compared to a control condition, participants who imagined a positive encounter with a schizophrenic person reported weakened stereotypes and formed stronger intentions to engage in future social interactions with schizophrenic people in general. Importantly, these intentions were formed due to reduced feelings of anxiety about future interactions. We discuss the implications of these findings for improving the social inclusion of people with mental health problems.","author":[{"dropping-particle":"","family":"Stathi","given":"Sofia","non-dropping-particle":"","parse-names":false,"suffix":""},{"dropping-particle":"","family":"Tsantila","given":"Katerina","non-dropping-particle":"","parse-names":false,"suffix":""},{"dropping-particle":"","family":"Crisp","given":"Richard J","non-dropping-particle":"","parse-names":false,"suffix":""}],"container-title":"The Journal of social psychology","id":"ITEM-2","issue":"6","issued":{"date-parts":[["2012","1"]]},"page":"746-57","title":"Imagining intergroup contact can combat mental health stigma by reducing anxiety, avoidance and negative stereotyping.","type":"article-journal","volume":"152"},"uris":["http://www.mendeley.com/documents/?uuid=20412392-ddbd-4a36-b33f-71feb6724e1f"]}],"mendeley":{"formattedCitation":"(Carvalho</w:instrText>
      </w:r>
      <w:r w:rsidR="00D72B62">
        <w:rPr>
          <w:rFonts w:ascii="Cambria Math" w:hAnsi="Cambria Math" w:cs="Cambria Math"/>
        </w:rPr>
        <w:instrText>‐</w:instrText>
      </w:r>
      <w:r w:rsidR="00D72B62">
        <w:instrText>Freitas &amp; Stathi, 2017; Stathi, Tsantila, &amp; Crisp, 2012)","plainTextFormattedCitation":"(Carvalho</w:instrText>
      </w:r>
      <w:r w:rsidR="00D72B62">
        <w:rPr>
          <w:rFonts w:ascii="Cambria Math" w:hAnsi="Cambria Math" w:cs="Cambria Math"/>
        </w:rPr>
        <w:instrText>‐</w:instrText>
      </w:r>
      <w:r w:rsidR="00D72B62">
        <w:instrText>Freitas &amp; Stathi, 2017; Stathi, Tsantila, &amp; Crisp, 2012)","previouslyFormattedCitation":"(Carvalho</w:instrText>
      </w:r>
      <w:r w:rsidR="00D72B62">
        <w:rPr>
          <w:rFonts w:ascii="Cambria Math" w:hAnsi="Cambria Math" w:cs="Cambria Math"/>
        </w:rPr>
        <w:instrText>‐</w:instrText>
      </w:r>
      <w:r w:rsidR="00D72B62">
        <w:instrText>Freitas &amp; Stathi, 2017; Stathi, Tsantila, &amp; Crisp, 2012)"},"properties":{"noteIndex":0},"schema":"https://github.com/citation-style-language/schema/raw/master/csl-citation.json"}</w:instrText>
      </w:r>
      <w:r w:rsidR="001E36DF">
        <w:fldChar w:fldCharType="separate"/>
      </w:r>
      <w:r w:rsidR="001871E7" w:rsidRPr="001871E7">
        <w:rPr>
          <w:noProof/>
        </w:rPr>
        <w:t>(Carvalho</w:t>
      </w:r>
      <w:r w:rsidR="001871E7" w:rsidRPr="001871E7">
        <w:rPr>
          <w:rFonts w:ascii="Cambria Math" w:hAnsi="Cambria Math" w:cs="Cambria Math"/>
          <w:noProof/>
        </w:rPr>
        <w:t>‐</w:t>
      </w:r>
      <w:r w:rsidR="001871E7" w:rsidRPr="001871E7">
        <w:rPr>
          <w:noProof/>
        </w:rPr>
        <w:t>Freitas &amp; Stathi, 2017; Stathi, Tsantila, &amp; Crisp, 2012)</w:t>
      </w:r>
      <w:r w:rsidR="001E36DF">
        <w:fldChar w:fldCharType="end"/>
      </w:r>
      <w:r w:rsidRPr="00985A2E">
        <w:t xml:space="preserve">. </w:t>
      </w:r>
      <w:r w:rsidR="005C2502">
        <w:t>S</w:t>
      </w:r>
      <w:r w:rsidRPr="00985A2E">
        <w:t>tigma towards FD responds</w:t>
      </w:r>
      <w:r w:rsidR="005C2502">
        <w:t xml:space="preserve">, </w:t>
      </w:r>
      <w:r w:rsidRPr="00985A2E">
        <w:t>at least in part</w:t>
      </w:r>
      <w:r w:rsidR="005C2502">
        <w:t>,</w:t>
      </w:r>
      <w:r w:rsidRPr="00985A2E">
        <w:t xml:space="preserve"> </w:t>
      </w:r>
      <w:r w:rsidR="005C2502">
        <w:t>to</w:t>
      </w:r>
      <w:r w:rsidRPr="00985A2E">
        <w:t xml:space="preserve"> innate mechanism</w:t>
      </w:r>
      <w:r w:rsidR="005C2502">
        <w:t>s</w:t>
      </w:r>
      <w:r w:rsidRPr="00985A2E">
        <w:t xml:space="preserve"> of defence against potential contaminating pathogens </w:t>
      </w:r>
      <w:r w:rsidRPr="00985A2E">
        <w:rPr>
          <w:noProof/>
        </w:rPr>
        <w:t>(Kurzban &amp; Leary, 2001)</w:t>
      </w:r>
      <w:r w:rsidR="005C2502">
        <w:t>. Therefore,</w:t>
      </w:r>
      <w:r w:rsidRPr="00985A2E">
        <w:t xml:space="preserve"> the effect of IC on stigma to</w:t>
      </w:r>
      <w:r w:rsidR="005C2502">
        <w:t>wards</w:t>
      </w:r>
      <w:r w:rsidRPr="00985A2E">
        <w:t xml:space="preserve"> FD stimuli</w:t>
      </w:r>
      <w:r w:rsidR="005C2502">
        <w:t xml:space="preserve"> may</w:t>
      </w:r>
      <w:r w:rsidRPr="00985A2E">
        <w:t xml:space="preserve"> be different to that found in the case of other disadvantaged groups with less evident visible manifestation of potential contaminating cues. However, IC strategies are yet to be fully explored in the case of FD stigma reduction. </w:t>
      </w:r>
    </w:p>
    <w:p w14:paraId="71D4DB6B" w14:textId="77777777" w:rsidR="00985A2E" w:rsidRPr="00985A2E" w:rsidRDefault="00985A2E" w:rsidP="007A3FE4">
      <w:pPr>
        <w:pStyle w:val="Heading2"/>
      </w:pPr>
      <w:bookmarkStart w:id="17" w:name="_Toc12024612"/>
      <w:r w:rsidRPr="00985A2E">
        <w:t>Aims and structure of this thesis</w:t>
      </w:r>
      <w:bookmarkEnd w:id="17"/>
    </w:p>
    <w:p w14:paraId="12A9D03E" w14:textId="7709DF33" w:rsidR="00AF4E83" w:rsidRDefault="00985A2E" w:rsidP="00684FA9">
      <w:pPr>
        <w:ind w:firstLine="0"/>
        <w:rPr>
          <w:bCs/>
        </w:rPr>
      </w:pPr>
      <w:r w:rsidRPr="00985A2E">
        <w:t xml:space="preserve">The main aim of this research project </w:t>
      </w:r>
      <w:r w:rsidR="005C2502">
        <w:t>wa</w:t>
      </w:r>
      <w:r w:rsidRPr="00985A2E">
        <w:t xml:space="preserve">s to test interventions strategies in reducing stigma towards FD. In </w:t>
      </w:r>
      <w:r w:rsidR="00C7186C">
        <w:t>doing so,</w:t>
      </w:r>
      <w:r w:rsidRPr="00985A2E">
        <w:t xml:space="preserve"> a secondary aim </w:t>
      </w:r>
      <w:r w:rsidR="005C2502">
        <w:t>wa</w:t>
      </w:r>
      <w:r w:rsidRPr="00985A2E">
        <w:t xml:space="preserve">s to investigate </w:t>
      </w:r>
      <w:r w:rsidRPr="00985A2E">
        <w:rPr>
          <w:bCs/>
        </w:rPr>
        <w:t>the variables associated with</w:t>
      </w:r>
      <w:r w:rsidR="00C7186C">
        <w:rPr>
          <w:bCs/>
        </w:rPr>
        <w:t xml:space="preserve"> how observers respond and evaluate individuals with FD</w:t>
      </w:r>
      <w:r w:rsidRPr="00985A2E">
        <w:rPr>
          <w:bCs/>
        </w:rPr>
        <w:t>.</w:t>
      </w:r>
      <w:r w:rsidR="00AF4E83">
        <w:rPr>
          <w:bCs/>
        </w:rPr>
        <w:t xml:space="preserve"> Following this aim and in order to provide a theoretical framework for the research chapters to come, the second chapter of this thesis </w:t>
      </w:r>
      <w:r w:rsidR="002969B9">
        <w:rPr>
          <w:bCs/>
        </w:rPr>
        <w:t>describe the results of a</w:t>
      </w:r>
      <w:r w:rsidR="00AF4E83">
        <w:rPr>
          <w:bCs/>
        </w:rPr>
        <w:t xml:space="preserve"> systematic review of literature concerning </w:t>
      </w:r>
      <w:r w:rsidR="002969B9">
        <w:rPr>
          <w:bCs/>
        </w:rPr>
        <w:t xml:space="preserve">observer’s responses towards different forms of FD. Results </w:t>
      </w:r>
      <w:r w:rsidR="002969B9">
        <w:rPr>
          <w:bCs/>
        </w:rPr>
        <w:lastRenderedPageBreak/>
        <w:t>discuss literature findings about cognitive and emotional responses, behavioural reactions, attitudes and anti-stigma efforts around the topic of stigmatisation towards FD.</w:t>
      </w:r>
      <w:r w:rsidR="00AF4E83">
        <w:rPr>
          <w:bCs/>
        </w:rPr>
        <w:t xml:space="preserve">  </w:t>
      </w:r>
      <w:r w:rsidRPr="00985A2E">
        <w:rPr>
          <w:bCs/>
        </w:rPr>
        <w:t xml:space="preserve"> </w:t>
      </w:r>
    </w:p>
    <w:p w14:paraId="0DF27AB4" w14:textId="0C40348B" w:rsidR="00985A2E" w:rsidRPr="00985A2E" w:rsidRDefault="00985A2E" w:rsidP="00684FA9">
      <w:pPr>
        <w:ind w:firstLine="0"/>
        <w:rPr>
          <w:bCs/>
        </w:rPr>
      </w:pPr>
      <w:r w:rsidRPr="00985A2E">
        <w:rPr>
          <w:bCs/>
        </w:rPr>
        <w:t>The first empirical chapter (Chapter 3) of this thesis aim</w:t>
      </w:r>
      <w:r w:rsidR="002969B9">
        <w:rPr>
          <w:bCs/>
        </w:rPr>
        <w:t>ed</w:t>
      </w:r>
      <w:r w:rsidRPr="00985A2E">
        <w:rPr>
          <w:bCs/>
        </w:rPr>
        <w:t xml:space="preserve"> to examine the relationship between explicit</w:t>
      </w:r>
      <w:r w:rsidR="00C7186C">
        <w:rPr>
          <w:bCs/>
        </w:rPr>
        <w:t xml:space="preserve"> and implicit</w:t>
      </w:r>
      <w:r w:rsidRPr="00985A2E">
        <w:rPr>
          <w:bCs/>
        </w:rPr>
        <w:t xml:space="preserve"> attitudes towards disfigurement and variables of disgust sensitivity, appearance-related cognitions (salience and valence of appearance) and internal and external motivation to respond without prejudice.</w:t>
      </w:r>
      <w:r w:rsidR="00995453">
        <w:rPr>
          <w:bCs/>
        </w:rPr>
        <w:t xml:space="preserve"> </w:t>
      </w:r>
      <w:r w:rsidR="002944D1">
        <w:rPr>
          <w:bCs/>
        </w:rPr>
        <w:t xml:space="preserve">This study used a within-participant cross-sectional design experiment with a convenient sample of student to test what individual factors were associated with explicit and implicit attitudes towards FD. </w:t>
      </w:r>
      <w:r w:rsidR="00995453">
        <w:rPr>
          <w:bCs/>
        </w:rPr>
        <w:t xml:space="preserve"> </w:t>
      </w:r>
    </w:p>
    <w:p w14:paraId="2A5A1559" w14:textId="311B280A" w:rsidR="00985A2E" w:rsidRPr="00985A2E" w:rsidRDefault="002944D1" w:rsidP="00985A2E">
      <w:pPr>
        <w:rPr>
          <w:bCs/>
        </w:rPr>
      </w:pPr>
      <w:r>
        <w:rPr>
          <w:bCs/>
        </w:rPr>
        <w:t>The literature about stigmatisation towards</w:t>
      </w:r>
      <w:r w:rsidR="00C7186C" w:rsidRPr="00985A2E">
        <w:t xml:space="preserve"> facial disfigurement</w:t>
      </w:r>
      <w:r w:rsidR="005F7A54">
        <w:t xml:space="preserve"> is limited in the number of studies</w:t>
      </w:r>
      <w:r w:rsidR="00C7186C" w:rsidRPr="00985A2E">
        <w:t xml:space="preserve"> testing strategies to reduce public stigma</w:t>
      </w:r>
      <w:r w:rsidR="005F7A54">
        <w:t>.</w:t>
      </w:r>
      <w:r w:rsidR="00C7186C" w:rsidRPr="00985A2E">
        <w:t xml:space="preserve"> </w:t>
      </w:r>
      <w:r w:rsidR="005F7A54">
        <w:t>O</w:t>
      </w:r>
      <w:r w:rsidR="00C7186C" w:rsidRPr="00985A2E">
        <w:t xml:space="preserve">ther than education in the case of facial paralysis </w:t>
      </w:r>
      <w:r w:rsidR="00C7186C" w:rsidRPr="00985A2E">
        <w:rPr>
          <w:noProof/>
        </w:rPr>
        <w:t>(Bogart &amp; Tickle-Degnen, 2015)</w:t>
      </w:r>
      <w:r w:rsidR="005F7A54">
        <w:rPr>
          <w:noProof/>
        </w:rPr>
        <w:t>, few studies to date try to formally evaluate strategies to reduce stigma towards people with different facial appearance</w:t>
      </w:r>
      <w:r w:rsidR="00C7186C">
        <w:rPr>
          <w:noProof/>
        </w:rPr>
        <w:t>.</w:t>
      </w:r>
      <w:r w:rsidR="00C7186C" w:rsidRPr="00985A2E">
        <w:t xml:space="preserve"> </w:t>
      </w:r>
      <w:r w:rsidR="00C7186C">
        <w:t>Responding to this gap in the literature</w:t>
      </w:r>
      <w:r w:rsidR="005F7A54">
        <w:t>,</w:t>
      </w:r>
      <w:r w:rsidR="00C7186C">
        <w:t xml:space="preserve"> and </w:t>
      </w:r>
      <w:r w:rsidR="00C7186C">
        <w:rPr>
          <w:bCs/>
        </w:rPr>
        <w:t>f</w:t>
      </w:r>
      <w:r w:rsidR="00985A2E" w:rsidRPr="00985A2E">
        <w:rPr>
          <w:bCs/>
        </w:rPr>
        <w:t xml:space="preserve">ollowing the main aim of this thesis, the second experimental study (Chapter 4) </w:t>
      </w:r>
      <w:r w:rsidR="00867F98">
        <w:rPr>
          <w:bCs/>
        </w:rPr>
        <w:t>aimed to test</w:t>
      </w:r>
      <w:r w:rsidR="00985A2E" w:rsidRPr="00985A2E">
        <w:rPr>
          <w:bCs/>
        </w:rPr>
        <w:t xml:space="preserve"> </w:t>
      </w:r>
      <w:r w:rsidR="00867F98">
        <w:rPr>
          <w:bCs/>
        </w:rPr>
        <w:t>anti-s</w:t>
      </w:r>
      <w:r w:rsidR="00985A2E" w:rsidRPr="00985A2E">
        <w:rPr>
          <w:bCs/>
        </w:rPr>
        <w:t xml:space="preserve">igma </w:t>
      </w:r>
      <w:r w:rsidR="00867F98">
        <w:rPr>
          <w:bCs/>
        </w:rPr>
        <w:t>strategies, specifically;</w:t>
      </w:r>
      <w:r w:rsidR="00985A2E" w:rsidRPr="00985A2E">
        <w:rPr>
          <w:bCs/>
        </w:rPr>
        <w:t xml:space="preserve"> </w:t>
      </w:r>
      <w:r w:rsidR="00D76171" w:rsidRPr="00985A2E">
        <w:rPr>
          <w:bCs/>
        </w:rPr>
        <w:t xml:space="preserve">awareness </w:t>
      </w:r>
      <w:r w:rsidR="00D76171">
        <w:rPr>
          <w:bCs/>
        </w:rPr>
        <w:t xml:space="preserve">(written message, media presentation and control written message) </w:t>
      </w:r>
      <w:r w:rsidR="00D76171" w:rsidRPr="00985A2E">
        <w:rPr>
          <w:bCs/>
        </w:rPr>
        <w:t xml:space="preserve">and </w:t>
      </w:r>
      <w:r w:rsidR="00D76171">
        <w:rPr>
          <w:bCs/>
        </w:rPr>
        <w:t>imagined contact (IC vs IC control)</w:t>
      </w:r>
      <w:r w:rsidR="00867F98">
        <w:rPr>
          <w:bCs/>
        </w:rPr>
        <w:t>.</w:t>
      </w:r>
      <w:r w:rsidR="00D76171" w:rsidRPr="00985A2E">
        <w:rPr>
          <w:bCs/>
        </w:rPr>
        <w:t xml:space="preserve"> </w:t>
      </w:r>
      <w:r w:rsidR="00867F98">
        <w:rPr>
          <w:bCs/>
        </w:rPr>
        <w:t xml:space="preserve">The study used a 3 (awareness) x 2 (IC) factor experimental design. </w:t>
      </w:r>
    </w:p>
    <w:p w14:paraId="7B587A42" w14:textId="4933F279" w:rsidR="00B51FDD" w:rsidRPr="00985A2E" w:rsidRDefault="003E12DC" w:rsidP="00985A2E">
      <w:pPr>
        <w:rPr>
          <w:bCs/>
        </w:rPr>
      </w:pPr>
      <w:r>
        <w:rPr>
          <w:bCs/>
        </w:rPr>
        <w:t>Stigmatisation occurs in different spheres of the life of an individual with FD</w:t>
      </w:r>
      <w:r w:rsidR="005F7A54">
        <w:rPr>
          <w:bCs/>
        </w:rPr>
        <w:t>,</w:t>
      </w:r>
      <w:r>
        <w:rPr>
          <w:bCs/>
        </w:rPr>
        <w:t xml:space="preserve"> but</w:t>
      </w:r>
      <w:r w:rsidR="005F7A54">
        <w:rPr>
          <w:bCs/>
        </w:rPr>
        <w:t xml:space="preserve"> it</w:t>
      </w:r>
      <w:r>
        <w:rPr>
          <w:bCs/>
        </w:rPr>
        <w:t xml:space="preserve"> is most pervasive when the social interaction involves an evaluation that may significantly hinder prospects of employment, dating or education. Following up on the results from study two, the </w:t>
      </w:r>
      <w:r w:rsidR="0088574C">
        <w:rPr>
          <w:bCs/>
        </w:rPr>
        <w:t xml:space="preserve">final experimental chapter </w:t>
      </w:r>
      <w:r>
        <w:rPr>
          <w:bCs/>
        </w:rPr>
        <w:t>aimed to test</w:t>
      </w:r>
      <w:r w:rsidR="0088574C">
        <w:rPr>
          <w:bCs/>
        </w:rPr>
        <w:t xml:space="preserve"> whether</w:t>
      </w:r>
      <w:r>
        <w:rPr>
          <w:bCs/>
        </w:rPr>
        <w:t xml:space="preserve"> IC task</w:t>
      </w:r>
      <w:r w:rsidR="003641EC">
        <w:rPr>
          <w:bCs/>
        </w:rPr>
        <w:t>s</w:t>
      </w:r>
      <w:r w:rsidR="005F7A54">
        <w:rPr>
          <w:bCs/>
        </w:rPr>
        <w:t xml:space="preserve"> (IC vs control IC) could</w:t>
      </w:r>
      <w:r>
        <w:rPr>
          <w:bCs/>
        </w:rPr>
        <w:t xml:space="preserve"> significantly </w:t>
      </w:r>
      <w:r w:rsidR="005F7A54">
        <w:rPr>
          <w:bCs/>
        </w:rPr>
        <w:t xml:space="preserve">reduce intended avoidance and improve the evaluation of </w:t>
      </w:r>
      <w:r w:rsidR="0088574C">
        <w:rPr>
          <w:bCs/>
        </w:rPr>
        <w:t xml:space="preserve">a candidate with FD (candidate with FD vs candidate without FD) </w:t>
      </w:r>
      <w:r w:rsidR="003641EC">
        <w:rPr>
          <w:bCs/>
        </w:rPr>
        <w:t>in a sample</w:t>
      </w:r>
      <w:r>
        <w:rPr>
          <w:bCs/>
        </w:rPr>
        <w:t xml:space="preserve"> of participants with recruitment duties.  Th</w:t>
      </w:r>
      <w:r w:rsidR="0088574C">
        <w:rPr>
          <w:bCs/>
        </w:rPr>
        <w:t>is was a pilot</w:t>
      </w:r>
      <w:r>
        <w:rPr>
          <w:bCs/>
        </w:rPr>
        <w:t xml:space="preserve"> study </w:t>
      </w:r>
      <w:r w:rsidR="0088574C">
        <w:rPr>
          <w:bCs/>
        </w:rPr>
        <w:t xml:space="preserve">and </w:t>
      </w:r>
      <w:r>
        <w:rPr>
          <w:bCs/>
        </w:rPr>
        <w:t xml:space="preserve">used a </w:t>
      </w:r>
      <w:r w:rsidR="0088574C">
        <w:rPr>
          <w:bCs/>
        </w:rPr>
        <w:t>2 (IC) x 2 (FD vs Non-FD) experimental design to test the hypothesis.</w:t>
      </w:r>
    </w:p>
    <w:p w14:paraId="0C573C8D" w14:textId="68E9DF93" w:rsidR="00985A2E" w:rsidRPr="00985A2E" w:rsidRDefault="0088574C" w:rsidP="00312E49">
      <w:pPr>
        <w:ind w:firstLine="0"/>
      </w:pPr>
      <w:r>
        <w:t>T</w:t>
      </w:r>
      <w:r w:rsidR="00985A2E" w:rsidRPr="00985A2E">
        <w:t>he specific aims for each chapter of this are as follow</w:t>
      </w:r>
      <w:r w:rsidR="00B51FDD">
        <w:t>s</w:t>
      </w:r>
      <w:r w:rsidR="00985A2E" w:rsidRPr="00985A2E">
        <w:t>:</w:t>
      </w:r>
    </w:p>
    <w:p w14:paraId="09BAA965" w14:textId="77777777" w:rsidR="00985A2E" w:rsidRDefault="00985A2E" w:rsidP="00985A2E">
      <w:pPr>
        <w:ind w:firstLine="0"/>
      </w:pPr>
      <w:r w:rsidRPr="00985A2E">
        <w:rPr>
          <w:b/>
        </w:rPr>
        <w:t>Chapter 1:</w:t>
      </w:r>
      <w:r w:rsidRPr="00985A2E">
        <w:t xml:space="preserve"> Introduction</w:t>
      </w:r>
    </w:p>
    <w:p w14:paraId="590135B2" w14:textId="77777777" w:rsidR="00985A2E" w:rsidRPr="00985A2E" w:rsidRDefault="00985A2E" w:rsidP="00985A2E">
      <w:pPr>
        <w:ind w:firstLine="0"/>
      </w:pPr>
      <w:r w:rsidRPr="00985A2E">
        <w:t>Aim. To introduce research on stigma and anti-stigma strategies</w:t>
      </w:r>
    </w:p>
    <w:p w14:paraId="1E75DBBC" w14:textId="77777777" w:rsidR="00985A2E" w:rsidRPr="00985A2E" w:rsidRDefault="00985A2E" w:rsidP="00985A2E">
      <w:pPr>
        <w:ind w:firstLine="0"/>
      </w:pPr>
      <w:r w:rsidRPr="00985A2E">
        <w:rPr>
          <w:b/>
        </w:rPr>
        <w:t>Chapter 2:</w:t>
      </w:r>
      <w:r w:rsidRPr="00985A2E">
        <w:t xml:space="preserve"> Observers’ responses to facial difference and disfigurement: A systematic review.</w:t>
      </w:r>
    </w:p>
    <w:p w14:paraId="2A7B8E9E" w14:textId="77777777" w:rsidR="00985A2E" w:rsidRPr="00985A2E" w:rsidRDefault="00985A2E" w:rsidP="00985A2E">
      <w:pPr>
        <w:ind w:firstLine="0"/>
      </w:pPr>
      <w:r w:rsidRPr="00985A2E">
        <w:t>Aim. To identify, synthesize, and appraise the literature addressing observers’ reactions to facial disfigurement.</w:t>
      </w:r>
    </w:p>
    <w:p w14:paraId="611B1CA3" w14:textId="77777777" w:rsidR="00985A2E" w:rsidRPr="00985A2E" w:rsidRDefault="00985A2E" w:rsidP="00985A2E">
      <w:pPr>
        <w:ind w:firstLine="0"/>
      </w:pPr>
      <w:r w:rsidRPr="00985A2E">
        <w:rPr>
          <w:b/>
        </w:rPr>
        <w:lastRenderedPageBreak/>
        <w:t>Chapter 3</w:t>
      </w:r>
      <w:r w:rsidRPr="00985A2E">
        <w:t xml:space="preserve"> (Study 1): Explicit and implicit attitudes towards facial disfigurement: The role of disgust sensitivity, appearance-related cognitions, and motivations to respond without prejudice.</w:t>
      </w:r>
    </w:p>
    <w:p w14:paraId="68267FDD" w14:textId="77777777" w:rsidR="00985A2E" w:rsidRPr="00985A2E" w:rsidRDefault="00985A2E" w:rsidP="00985A2E">
      <w:pPr>
        <w:ind w:firstLine="0"/>
      </w:pPr>
      <w:r w:rsidRPr="00985A2E">
        <w:t>Aim.  To examine the relationship between explicit and implicit responses towards FD and salience and valence of appearance, disgust sensitivity, and motivations to respond without prejudice</w:t>
      </w:r>
    </w:p>
    <w:p w14:paraId="28043BA5" w14:textId="77777777" w:rsidR="00985A2E" w:rsidRPr="00985A2E" w:rsidRDefault="00985A2E" w:rsidP="00B51FDD">
      <w:pPr>
        <w:ind w:firstLine="0"/>
      </w:pPr>
      <w:r w:rsidRPr="00B51FDD">
        <w:rPr>
          <w:b/>
        </w:rPr>
        <w:t>Chapter 4</w:t>
      </w:r>
      <w:r w:rsidRPr="00985A2E">
        <w:t xml:space="preserve"> (Study 2): Testing the effectiveness of education awareness messages and imagined contact strategies in reducing public stigma towards facial disfigurement.</w:t>
      </w:r>
    </w:p>
    <w:p w14:paraId="4570F42B" w14:textId="77777777" w:rsidR="00985A2E" w:rsidRPr="00985A2E" w:rsidRDefault="00985A2E" w:rsidP="00B51FDD">
      <w:pPr>
        <w:ind w:firstLine="0"/>
      </w:pPr>
      <w:r w:rsidRPr="00985A2E">
        <w:t>Aim. T</w:t>
      </w:r>
      <w:r w:rsidRPr="00985A2E">
        <w:rPr>
          <w:iCs/>
        </w:rPr>
        <w:t>o test the impact of an awareness educative material about FD (displayed in written form and video-clip) and Imagined contact on stigma towards FD.</w:t>
      </w:r>
    </w:p>
    <w:p w14:paraId="1953FD8D" w14:textId="77777777" w:rsidR="00985A2E" w:rsidRPr="00985A2E" w:rsidRDefault="00985A2E" w:rsidP="00B51FDD">
      <w:pPr>
        <w:ind w:firstLine="0"/>
      </w:pPr>
      <w:r w:rsidRPr="00B51FDD">
        <w:rPr>
          <w:b/>
        </w:rPr>
        <w:t>Chapter 5</w:t>
      </w:r>
      <w:r w:rsidRPr="00985A2E">
        <w:t xml:space="preserve"> (Study 3): Testing the effectiveness of education and IC on stigma reduction towards FD in a sample of employees with recruitment duties</w:t>
      </w:r>
    </w:p>
    <w:p w14:paraId="4632BB3A" w14:textId="77777777" w:rsidR="00985A2E" w:rsidRPr="00985A2E" w:rsidRDefault="00985A2E" w:rsidP="00B51FDD">
      <w:pPr>
        <w:ind w:firstLine="0"/>
      </w:pPr>
      <w:r w:rsidRPr="00985A2E">
        <w:rPr>
          <w:rFonts w:eastAsia="Times New Roman"/>
        </w:rPr>
        <w:t>Aim. To pilot test the impact of an education and IC strategy to reduce stigma towards FD in a sample of employees with recruitment duties.</w:t>
      </w:r>
    </w:p>
    <w:p w14:paraId="234571F8" w14:textId="77777777" w:rsidR="00985A2E" w:rsidRPr="00985A2E" w:rsidRDefault="00985A2E" w:rsidP="00B51FDD">
      <w:pPr>
        <w:ind w:firstLine="0"/>
      </w:pPr>
      <w:r w:rsidRPr="00B51FDD">
        <w:rPr>
          <w:b/>
        </w:rPr>
        <w:t>Chapter 6</w:t>
      </w:r>
      <w:r w:rsidRPr="00985A2E">
        <w:t>: General discussion</w:t>
      </w:r>
    </w:p>
    <w:p w14:paraId="3A31FF07" w14:textId="77777777" w:rsidR="00985A2E" w:rsidRPr="00985A2E" w:rsidRDefault="00985A2E" w:rsidP="00B51FDD">
      <w:pPr>
        <w:ind w:firstLine="0"/>
      </w:pPr>
      <w:r w:rsidRPr="00985A2E">
        <w:t>Aim. To discuss the general findings of this thesis regarding contributions to theory and practice.</w:t>
      </w:r>
    </w:p>
    <w:bookmarkEnd w:id="12"/>
    <w:p w14:paraId="2B117168" w14:textId="77777777" w:rsidR="00704544" w:rsidRPr="00125F07" w:rsidRDefault="00704544" w:rsidP="0025530F"/>
    <w:p w14:paraId="3E22E164" w14:textId="77777777" w:rsidR="00B51FDD" w:rsidRDefault="00493986" w:rsidP="00B51FDD">
      <w:pPr>
        <w:pStyle w:val="Heading1"/>
      </w:pPr>
      <w:bookmarkStart w:id="18" w:name="_Toc12024613"/>
      <w:r>
        <w:t xml:space="preserve">Chapter 2 - </w:t>
      </w:r>
      <w:r w:rsidR="00B51FDD" w:rsidRPr="00B51FDD">
        <w:t>Observers’ responses to facial difference and disfigurement: A systematic review</w:t>
      </w:r>
      <w:bookmarkEnd w:id="18"/>
    </w:p>
    <w:p w14:paraId="5B2D890D" w14:textId="77777777" w:rsidR="00B51FDD" w:rsidRPr="00B51FDD" w:rsidRDefault="00B51FDD" w:rsidP="007A3FE4">
      <w:pPr>
        <w:pStyle w:val="Heading2"/>
      </w:pPr>
      <w:bookmarkStart w:id="19" w:name="_Toc12024614"/>
      <w:r w:rsidRPr="00B51FDD">
        <w:t>I</w:t>
      </w:r>
      <w:r w:rsidRPr="00B51FDD">
        <w:rPr>
          <w:rStyle w:val="Heading2Char"/>
          <w:b/>
        </w:rPr>
        <w:t>ntroduction</w:t>
      </w:r>
      <w:bookmarkEnd w:id="19"/>
    </w:p>
    <w:p w14:paraId="7CEF9BC0" w14:textId="51083CFF" w:rsidR="00B51FDD" w:rsidRPr="00B51FDD" w:rsidRDefault="00B51FDD" w:rsidP="008C73CA">
      <w:pPr>
        <w:ind w:firstLine="0"/>
      </w:pPr>
      <w:r w:rsidRPr="00B51FDD">
        <w:t>Stigma as a social phenomenon has traditionally been defined as widespread social disapproval or devaluation that emerges from attributions towards specific groups (Goffman, 1963). For instance, stigmatisation can be directed to individuals of a different ethnicity or race (tribal stigma), unconventional physical appearance (</w:t>
      </w:r>
      <w:r w:rsidR="008471FC">
        <w:t xml:space="preserve">e.g., </w:t>
      </w:r>
      <w:r w:rsidRPr="00B51FDD">
        <w:t>FD, amputees) and psychological affections (e.g.</w:t>
      </w:r>
      <w:r w:rsidR="008471FC">
        <w:t>,</w:t>
      </w:r>
      <w:r w:rsidRPr="00B51FDD">
        <w:t xml:space="preserve"> psychiatric disorders). Since Goffman, two different bodies of research have emerged in the study of stigma; prejudice, which targets intergroup dynamics based on exploitation and domination (Clair &amp; Denis, 2015) and stigma, driven by conformity to social norms (Goffman, 1963) and evolutionary forces </w:t>
      </w:r>
      <w:r w:rsidR="001E36DF">
        <w:t xml:space="preserve">of preservation </w:t>
      </w:r>
      <w:r w:rsidRPr="00B51FDD">
        <w:t xml:space="preserve">(Kurzban &amp; Leary, 2001). Although prejudice and stigma have been found to be overlapping concepts (Phelan, Link, &amp; Dovidio, 2008), stigmatisation towards FD has been better understood as the result of societal urges to </w:t>
      </w:r>
      <w:r w:rsidRPr="00B51FDD">
        <w:lastRenderedPageBreak/>
        <w:t xml:space="preserve">conform to aesthetic ideals (Eagly &amp; Ashmore, 1991) and disease avoidance mechanisms shaped by evolution </w:t>
      </w:r>
      <w:r w:rsidR="00900491">
        <w:t xml:space="preserve">and perpetuated by culture </w:t>
      </w:r>
      <w:r w:rsidRPr="00B51FDD">
        <w:t>(Park, Faulkner, &amp; Schaller, 2003).</w:t>
      </w:r>
    </w:p>
    <w:p w14:paraId="0F370166" w14:textId="632F67C0" w:rsidR="00B51FDD" w:rsidRPr="00B51FDD" w:rsidRDefault="00B51FDD" w:rsidP="00B51FDD">
      <w:r w:rsidRPr="00B51FDD">
        <w:t>Public’s responses towards commonly stigmatised groups have been marked by ambivalence. While stigma is not consistently exhibited when using self-report instruments, manifestations of stigma may be captured via non-verbal measures like physiological responses and eye-tracking (e.g.</w:t>
      </w:r>
      <w:r w:rsidR="008471FC">
        <w:t>,</w:t>
      </w:r>
      <w:r w:rsidRPr="00B51FDD">
        <w:t xml:space="preserve"> Van Schijndel, Litschel, Maal, Berg, &amp; Tasman, 2015).  It has been proposed that both responses occur in the perceiver because public stigma operates as a dual-process mechanism (Pryor, Reeder, Yeadon, &amp; Hesson-McLnnis, 2004). In other words, stigmatised individuals trigger negative reactions of an </w:t>
      </w:r>
      <w:r w:rsidRPr="00B51FDD">
        <w:rPr>
          <w:i/>
        </w:rPr>
        <w:t>automatic and reflexive</w:t>
      </w:r>
      <w:r w:rsidRPr="00B51FDD">
        <w:t xml:space="preserve"> nature in the perceiver, even if observers do not consciously agree with them.  This automatic process is particularly evident in responses towards FD, as it has been shown that the </w:t>
      </w:r>
      <w:r w:rsidR="0041651E">
        <w:t xml:space="preserve"> </w:t>
      </w:r>
      <w:r w:rsidRPr="00B51FDD">
        <w:t>display of visible differences (e.g.</w:t>
      </w:r>
      <w:r w:rsidR="008471FC">
        <w:t>,</w:t>
      </w:r>
      <w:r w:rsidRPr="00B51FDD">
        <w:t xml:space="preserve"> acne, birth marks) elicit affective responses of disgust and fear in observers (</w:t>
      </w:r>
      <w:r w:rsidR="008471FC">
        <w:t xml:space="preserve">e.g., </w:t>
      </w:r>
      <w:r w:rsidRPr="00B51FDD">
        <w:t>Shanmugarajah, Gaind, Clarke, &amp; Butler, 2012; Stone &amp; Potton, 2014). According to Kurzban and Leary (2001)</w:t>
      </w:r>
      <w:r w:rsidR="00B32D9C">
        <w:t>,</w:t>
      </w:r>
      <w:r w:rsidRPr="00B51FDD">
        <w:t xml:space="preserve"> these reflexive responses have been shaped by evolution to protect humans from </w:t>
      </w:r>
      <w:r w:rsidR="00B32D9C">
        <w:t xml:space="preserve">the </w:t>
      </w:r>
      <w:r w:rsidRPr="00B51FDD">
        <w:t>social exchange with</w:t>
      </w:r>
      <w:r w:rsidR="0041651E">
        <w:t xml:space="preserve"> poorly fitted peers or</w:t>
      </w:r>
      <w:r w:rsidRPr="00B51FDD">
        <w:t xml:space="preserve"> individuals that </w:t>
      </w:r>
      <w:r w:rsidR="0041651E">
        <w:t xml:space="preserve">may be </w:t>
      </w:r>
      <w:r w:rsidRPr="00B51FDD">
        <w:t xml:space="preserve">potential carriers of pathogens </w:t>
      </w:r>
      <w:r w:rsidR="0041651E">
        <w:t xml:space="preserve">(and </w:t>
      </w:r>
      <w:r w:rsidRPr="00B51FDD">
        <w:t xml:space="preserve">represent a greater risk </w:t>
      </w:r>
      <w:r w:rsidR="0041651E">
        <w:t>for</w:t>
      </w:r>
      <w:r w:rsidRPr="00B51FDD">
        <w:t xml:space="preserve"> survival</w:t>
      </w:r>
      <w:r w:rsidR="0041651E">
        <w:t>)</w:t>
      </w:r>
      <w:r w:rsidRPr="00B51FDD">
        <w:t xml:space="preserve">.  </w:t>
      </w:r>
    </w:p>
    <w:p w14:paraId="4C3D6837" w14:textId="77777777" w:rsidR="00B51FDD" w:rsidRPr="00B51FDD" w:rsidRDefault="00B51FDD" w:rsidP="00B51FDD">
      <w:r w:rsidRPr="00B51FDD">
        <w:t xml:space="preserve">Following </w:t>
      </w:r>
      <w:r w:rsidRPr="00B51FDD">
        <w:rPr>
          <w:i/>
        </w:rPr>
        <w:t>reflexive</w:t>
      </w:r>
      <w:r w:rsidRPr="00B51FDD">
        <w:t xml:space="preserve"> reactions, </w:t>
      </w:r>
      <w:r w:rsidRPr="00B51FDD">
        <w:rPr>
          <w:i/>
        </w:rPr>
        <w:t>rule-based</w:t>
      </w:r>
      <w:r w:rsidRPr="00B51FDD">
        <w:t xml:space="preserve"> processes occur in the observer, this processing involves conscious and deliberate efforts to adjust initial automatic reactions, for instance, by considering attributional reasonings about the individual’s responsibility of the health outcome that is stigmatised. If the health outcome is not attributed to be caused by the bearer, responses would likely result in sympathy or pity (Corrigan, 2000; Schwarzer &amp; Weiner, 1991). Conversely, when the individual is thought to have contributed towards an adverse health condition, feelings of anger and blame may be exacerbated in the observer.  For example, weight stigma is often sustained by the assumption that obese individuals can and should control unhealthy habits and thus are to blame for their overweight, which maintains discriminatory responses (Sikorski et al., 2011; Sikorski et al., 2015).  </w:t>
      </w:r>
    </w:p>
    <w:p w14:paraId="6AD3EEBA" w14:textId="070633BA" w:rsidR="00B51FDD" w:rsidRPr="00B51FDD" w:rsidRDefault="00B51FDD" w:rsidP="00B51FDD">
      <w:r w:rsidRPr="00B51FDD">
        <w:t>The aetiology of FD is diverse, broadly associated to three sources: congenital conditions (</w:t>
      </w:r>
      <w:r w:rsidR="008471FC">
        <w:t xml:space="preserve">e.g., </w:t>
      </w:r>
      <w:r w:rsidRPr="00B51FDD">
        <w:t>cleft lip palate), traumatic events (e.g.</w:t>
      </w:r>
      <w:r w:rsidR="008471FC">
        <w:t>,</w:t>
      </w:r>
      <w:r w:rsidRPr="00B51FDD">
        <w:t xml:space="preserve"> burns, accidents) and diseases (e.g.</w:t>
      </w:r>
      <w:r w:rsidR="008471FC">
        <w:t>,</w:t>
      </w:r>
      <w:r w:rsidRPr="00B51FDD">
        <w:t xml:space="preserve"> acne, head and neck cancer; Thompson &amp; Kent, 2001). While some forms of disfigurement derive from sources that evidently escape the control of the individual, other visible manifestations have been associated with attributions of controllability such as individual’s lack of hygiene or excessive greasy/fatty food intake (Kellett &amp; Gilbert, 2001; Rodin, Price, Sanchez, &amp; McElligot, 1989). Other attributes </w:t>
      </w:r>
      <w:r w:rsidR="0041651E">
        <w:lastRenderedPageBreak/>
        <w:t xml:space="preserve">stereotypically attributed to FD have been historically delivered via cultural </w:t>
      </w:r>
      <w:r w:rsidR="0041651E" w:rsidRPr="00F94C7D">
        <w:t>representations and</w:t>
      </w:r>
      <w:r w:rsidRPr="00F94C7D">
        <w:t xml:space="preserve"> mass media</w:t>
      </w:r>
      <w:r w:rsidR="0041651E" w:rsidRPr="00F94C7D">
        <w:t xml:space="preserve"> outlets</w:t>
      </w:r>
      <w:r w:rsidRPr="001E36DF">
        <w:t xml:space="preserve"> </w:t>
      </w:r>
      <w:r w:rsidR="0041651E" w:rsidRPr="001E36DF">
        <w:t>(e.g.</w:t>
      </w:r>
      <w:r w:rsidR="001E36DF" w:rsidRPr="004D2DCA">
        <w:t xml:space="preserve">, </w:t>
      </w:r>
      <w:r w:rsidR="001E36DF" w:rsidRPr="004D2DCA">
        <w:fldChar w:fldCharType="begin" w:fldLock="1"/>
      </w:r>
      <w:r w:rsidR="00F94C7D">
        <w:instrText>ADDIN CSL_CITATION {"citationItems":[{"id":"ITEM-1","itemData":{"ISSN":"191265623X","author":[{"dropping-particle":"","family":"Garrisi","given":"Diana","non-dropping-particle":"","parse-names":false,"suffix":""},{"dropping-particle":"","family":"Janciute","given":"LAIMA","non-dropping-particle":"","parse-names":false,"suffix":""},{"dropping-particle":"","family":"Johanssen","given":"JACOB","non-dropping-particle":"","parse-names":false,"suffix":""}],"id":"ITEM-1","issued":{"date-parts":[["2018"]]},"publisher":"University of Westminster Press","title":"CAMRI Policy Brief: Appearance, Discrimination and the Media-Portraying Facial Disfigurement Fairly in the News","type":"article-journal"},"uris":["http://www.mendeley.com/documents/?uuid=666a479b-31cc-4e95-8f11-696528a09800"]},{"id":"ITEM-2","itemData":{"ISSN":"1540-9740","author":[{"dropping-particle":"","family":"Johanssen","given":"Jacob","non-dropping-particle":"","parse-names":false,"suffix":""},{"dropping-particle":"","family":"Garrisi","given":"Diana","non-dropping-particle":"","parse-names":false,"suffix":""}],"container-title":"Skinmed","id":"ITEM-2","issue":"1","issued":{"date-parts":[["2018"]]},"page":"11-12","title":"Media and the Skin.","type":"article-journal","volume":"16"},"uris":["http://www.mendeley.com/documents/?uuid=907643c4-8a9a-4209-9ae6-fc77f575ad44"]}],"mendeley":{"formattedCitation":"(Garrisi et al., 2018; Johanssen &amp; Garrisi, 2018)","manualFormatting":"Garrisi et al., 2018; Johanssen &amp; Garrisi, 2018)","plainTextFormattedCitation":"(Garrisi et al., 2018; Johanssen &amp; Garrisi, 2018)","previouslyFormattedCitation":"(Garrisi et al., 2018; Johanssen &amp; Garrisi, 2018)"},"properties":{"noteIndex":0},"schema":"https://github.com/citation-style-language/schema/raw/master/csl-citation.json"}</w:instrText>
      </w:r>
      <w:r w:rsidR="001E36DF" w:rsidRPr="004D2DCA">
        <w:fldChar w:fldCharType="separate"/>
      </w:r>
      <w:r w:rsidR="001E36DF" w:rsidRPr="004D2DCA">
        <w:rPr>
          <w:noProof/>
        </w:rPr>
        <w:t>Garrisi et al., 2018; Johanssen &amp; Garrisi, 2018)</w:t>
      </w:r>
      <w:r w:rsidR="001E36DF" w:rsidRPr="004D2DCA">
        <w:fldChar w:fldCharType="end"/>
      </w:r>
      <w:r w:rsidR="001E36DF" w:rsidRPr="00F94C7D">
        <w:t xml:space="preserve">. </w:t>
      </w:r>
      <w:r w:rsidR="0041651E" w:rsidRPr="00F94C7D">
        <w:t xml:space="preserve"> For instance</w:t>
      </w:r>
      <w:r w:rsidR="0041651E">
        <w:t>, whenever a character has FD in popular culture, he or she is normally</w:t>
      </w:r>
      <w:r w:rsidR="00C57CB3">
        <w:t xml:space="preserve"> portraited in</w:t>
      </w:r>
      <w:r w:rsidRPr="00B51FDD">
        <w:t xml:space="preserve"> association with infamous</w:t>
      </w:r>
      <w:r w:rsidR="00C57CB3">
        <w:t xml:space="preserve"> or derogatory</w:t>
      </w:r>
      <w:r w:rsidRPr="00B51FDD">
        <w:t xml:space="preserve"> characteristics (</w:t>
      </w:r>
      <w:r w:rsidR="008471FC">
        <w:t>e.g.,</w:t>
      </w:r>
      <w:r w:rsidR="00B32D9C">
        <w:t xml:space="preserve"> </w:t>
      </w:r>
      <w:r w:rsidRPr="00B51FDD">
        <w:t>evilness</w:t>
      </w:r>
      <w:r w:rsidR="0041651E">
        <w:t>, moral defects</w:t>
      </w:r>
      <w:r w:rsidR="00C57CB3">
        <w:t>, lower social status</w:t>
      </w:r>
      <w:r w:rsidR="001E36DF">
        <w:t xml:space="preserve">; </w:t>
      </w:r>
      <w:r w:rsidRPr="00B51FDD">
        <w:t>Wardle &amp; Boyce, 2009).</w:t>
      </w:r>
    </w:p>
    <w:p w14:paraId="5F7A5339" w14:textId="13FB1AF3" w:rsidR="00B51FDD" w:rsidRPr="00B51FDD" w:rsidRDefault="00B51FDD" w:rsidP="00B51FDD">
      <w:r w:rsidRPr="00B51FDD">
        <w:t>Individuals with facial disfigurement (FD) report receiving intrusive and negative reactions (Clarke, Thompson, Jenkinson, Rumsey, &amp; Newell, 2014; Thompson &amp; Kent, 2001). A survey conducted by Changing Faces (2017) in the UK suggests that individuals with FD are victims of derogatory remarks by members of the public, bullying within education settings and difficulties accessing and remaining in employment due to the burden of observers’ reactions to their FD. For instance, 90% of people with FD using dating websites had intrusive and pejorative comments about their appearance from other users</w:t>
      </w:r>
      <w:r w:rsidR="00C57CB3">
        <w:t>,</w:t>
      </w:r>
      <w:r w:rsidRPr="00B51FDD">
        <w:t xml:space="preserve"> and 33% of surveyed individuals reported being victims of a hate crime associated with their appearance</w:t>
      </w:r>
      <w:r w:rsidR="00C57CB3">
        <w:t>, although</w:t>
      </w:r>
      <w:r w:rsidRPr="00B51FDD">
        <w:t xml:space="preserve"> only a third of victims reported it to the authorities (Hodge, 2017). </w:t>
      </w:r>
    </w:p>
    <w:p w14:paraId="72D7A312" w14:textId="77777777" w:rsidR="00B51FDD" w:rsidRPr="00B51FDD" w:rsidRDefault="00B51FDD" w:rsidP="00B51FDD">
      <w:r w:rsidRPr="00B51FDD">
        <w:t xml:space="preserve">Since 2010 the disabling aspect of having a FD has been acknowledged by the UK government and the Equality Act (2010) giving special legal rights and protection for people with FD. Other countries have passed protective legal measures towards people with disabilities, including conditions affecting physical appearance and disfigurement, as it is the case of the </w:t>
      </w:r>
      <w:r w:rsidRPr="00B51FDD">
        <w:rPr>
          <w:i/>
          <w:iCs/>
        </w:rPr>
        <w:t>Americans with Disabilities Act</w:t>
      </w:r>
      <w:r w:rsidRPr="00B51FDD">
        <w:t xml:space="preserve"> of 1990 in the US, the </w:t>
      </w:r>
      <w:bookmarkStart w:id="20" w:name="_Hlk11888041"/>
      <w:r w:rsidRPr="00B51FDD">
        <w:t>Disability Discrimination Act of 1992 in Australia and the Canadian Human Rights Act,</w:t>
      </w:r>
      <w:bookmarkEnd w:id="20"/>
      <w:r w:rsidRPr="00B51FDD">
        <w:t xml:space="preserve"> amongst others. </w:t>
      </w:r>
    </w:p>
    <w:p w14:paraId="5597E2EC" w14:textId="3E77D2FC" w:rsidR="00B51FDD" w:rsidRPr="00B51FDD" w:rsidRDefault="00B51FDD" w:rsidP="00B51FDD">
      <w:r w:rsidRPr="00B51FDD">
        <w:t>The study of stigma has covered disfigurement since it was first formulated as a social phenomenon (i.e. under abominations of the body, Goffman, 1963), however</w:t>
      </w:r>
      <w:r w:rsidR="00B32D9C">
        <w:t>,</w:t>
      </w:r>
      <w:r w:rsidRPr="00B51FDD">
        <w:t xml:space="preserve"> there is still limited understanding of the type of responses elicited by FD in the adult observer and what processes underlie stigmatisation towards FD. </w:t>
      </w:r>
      <w:r w:rsidR="00C57CB3">
        <w:t>Nevertheless, while</w:t>
      </w:r>
      <w:r w:rsidRPr="00B51FDD">
        <w:t xml:space="preserve"> some efforts have been made to review published literature on stigmatisation towards FD (e.g.Thompson &amp; Kent, 2001), there are no recent reviews with a well-defined methodology that have sought to summarise and critically appraise the empirical data on stigma towards FD. This systematic literature review responds to this gap in the literature by identifying and critically appraising studies that have sought to investigate observers’ reactions towards FD.</w:t>
      </w:r>
    </w:p>
    <w:p w14:paraId="3EE95B77" w14:textId="77777777" w:rsidR="00B51FDD" w:rsidRPr="00B51FDD" w:rsidRDefault="00B51FDD" w:rsidP="00B51FDD">
      <w:pPr>
        <w:pStyle w:val="Heading3"/>
      </w:pPr>
      <w:bookmarkStart w:id="21" w:name="_Toc12024615"/>
      <w:bookmarkStart w:id="22" w:name="_Hlk530391906"/>
      <w:r w:rsidRPr="00B51FDD">
        <w:t>Aims</w:t>
      </w:r>
      <w:bookmarkEnd w:id="21"/>
    </w:p>
    <w:p w14:paraId="1966B501" w14:textId="77777777" w:rsidR="00B51FDD" w:rsidRPr="00B51FDD" w:rsidRDefault="00B51FDD" w:rsidP="008C73CA">
      <w:pPr>
        <w:ind w:firstLine="0"/>
      </w:pPr>
      <w:r w:rsidRPr="00B51FDD">
        <w:t>To identify, synthesize,</w:t>
      </w:r>
      <w:r w:rsidRPr="00B51FDD" w:rsidDel="005247FF">
        <w:t xml:space="preserve"> </w:t>
      </w:r>
      <w:r w:rsidRPr="00B51FDD">
        <w:t>and appraise the literature addressing observers’ reactions to facial disfigurement.</w:t>
      </w:r>
    </w:p>
    <w:p w14:paraId="143AB9DD" w14:textId="77777777" w:rsidR="00B51FDD" w:rsidRPr="00B51FDD" w:rsidRDefault="00B51FDD" w:rsidP="00B51FDD">
      <w:r w:rsidRPr="00B51FDD">
        <w:t>This review will address the following questions:</w:t>
      </w:r>
    </w:p>
    <w:p w14:paraId="2BF9063D" w14:textId="77777777" w:rsidR="00B51FDD" w:rsidRPr="00B51FDD" w:rsidRDefault="00B51FDD" w:rsidP="0051216E">
      <w:pPr>
        <w:numPr>
          <w:ilvl w:val="0"/>
          <w:numId w:val="1"/>
        </w:numPr>
      </w:pPr>
      <w:r w:rsidRPr="00B51FDD">
        <w:lastRenderedPageBreak/>
        <w:t>What are the reactions prevailing towards individuals with facial disfigurement?</w:t>
      </w:r>
    </w:p>
    <w:p w14:paraId="0B71196C" w14:textId="77777777" w:rsidR="00B51FDD" w:rsidRPr="00B51FDD" w:rsidRDefault="00B51FDD" w:rsidP="0051216E">
      <w:pPr>
        <w:numPr>
          <w:ilvl w:val="0"/>
          <w:numId w:val="1"/>
        </w:numPr>
      </w:pPr>
      <w:r w:rsidRPr="00B51FDD">
        <w:t>What is it known so far about the emotional, cognitive and behavioural reactions underlying stigmatisation towards FD?</w:t>
      </w:r>
    </w:p>
    <w:p w14:paraId="0CE8EDC0" w14:textId="77777777" w:rsidR="00B51FDD" w:rsidRPr="00B51FDD" w:rsidRDefault="00B51FDD" w:rsidP="0051216E">
      <w:pPr>
        <w:numPr>
          <w:ilvl w:val="0"/>
          <w:numId w:val="1"/>
        </w:numPr>
      </w:pPr>
      <w:r w:rsidRPr="00B51FDD">
        <w:t>What is the result of cross-cultural comparisons regarding responses towards FD?</w:t>
      </w:r>
    </w:p>
    <w:p w14:paraId="5EF583FD" w14:textId="2ED97EED" w:rsidR="00B51FDD" w:rsidRPr="00B51FDD" w:rsidRDefault="00B51FDD" w:rsidP="0051216E">
      <w:pPr>
        <w:numPr>
          <w:ilvl w:val="0"/>
          <w:numId w:val="1"/>
        </w:numPr>
      </w:pPr>
      <w:r w:rsidRPr="00B51FDD">
        <w:t>Ha</w:t>
      </w:r>
      <w:r w:rsidR="00B32D9C">
        <w:t>s</w:t>
      </w:r>
      <w:r w:rsidRPr="00B51FDD">
        <w:t xml:space="preserve"> there been a change in </w:t>
      </w:r>
      <w:r w:rsidR="00AF4271">
        <w:t xml:space="preserve">perceptions of </w:t>
      </w:r>
      <w:r w:rsidRPr="00B51FDD">
        <w:t>FD over the years?</w:t>
      </w:r>
    </w:p>
    <w:p w14:paraId="0BD56551" w14:textId="77777777" w:rsidR="00B51FDD" w:rsidRPr="00B51FDD" w:rsidRDefault="00B51FDD" w:rsidP="0051216E">
      <w:pPr>
        <w:numPr>
          <w:ilvl w:val="0"/>
          <w:numId w:val="1"/>
        </w:numPr>
      </w:pPr>
      <w:r w:rsidRPr="00B51FDD">
        <w:t>What is the terminology used to address FD in the academic literature?</w:t>
      </w:r>
    </w:p>
    <w:p w14:paraId="149C9731" w14:textId="77777777" w:rsidR="00B51FDD" w:rsidRPr="00B51FDD" w:rsidRDefault="00B51FDD" w:rsidP="007A3FE4">
      <w:pPr>
        <w:pStyle w:val="Heading2"/>
      </w:pPr>
      <w:bookmarkStart w:id="23" w:name="_Toc12024616"/>
      <w:bookmarkEnd w:id="22"/>
      <w:r w:rsidRPr="00B51FDD">
        <w:t>Method</w:t>
      </w:r>
      <w:bookmarkEnd w:id="23"/>
    </w:p>
    <w:p w14:paraId="5660E035" w14:textId="77777777" w:rsidR="00B51FDD" w:rsidRPr="00B51FDD" w:rsidRDefault="00B51FDD" w:rsidP="008C73CA">
      <w:pPr>
        <w:pStyle w:val="Heading3"/>
      </w:pPr>
      <w:bookmarkStart w:id="24" w:name="_Toc12024617"/>
      <w:r w:rsidRPr="00B51FDD">
        <w:t>Search strategy</w:t>
      </w:r>
      <w:bookmarkEnd w:id="24"/>
    </w:p>
    <w:p w14:paraId="5D862DF0" w14:textId="2D87C467" w:rsidR="00B51FDD" w:rsidRPr="00B51FDD" w:rsidRDefault="00B51FDD" w:rsidP="008C73CA">
      <w:pPr>
        <w:ind w:firstLine="0"/>
      </w:pPr>
      <w:r w:rsidRPr="00B51FDD">
        <w:t xml:space="preserve">The review process was performed following the PRISMA statement (Liberati et al., 2009). Four bibliographical data bases were screened for publications: Web of Science (WoS), Medline, PsycINFO and Applied Social Sciences Index and Abstracts (ASSIA). The search included publications a time span from 1980 to December 2017. A systematic combination of words was input in each data base, including disfigure*/visible </w:t>
      </w:r>
      <w:r w:rsidR="00737030" w:rsidRPr="00B51FDD">
        <w:t>difference</w:t>
      </w:r>
      <w:r w:rsidRPr="00B51FDD">
        <w:t>/facial difference/facial deform* or facial abnormal*/ facial scar OR burn/facial malformation</w:t>
      </w:r>
      <w:r w:rsidR="00737030">
        <w:t>,</w:t>
      </w:r>
      <w:r w:rsidRPr="00B51FDD">
        <w:t xml:space="preserve"> and face specific conditions associated with FD like acne/cleft lip palate (CLP) and Strabismus</w:t>
      </w:r>
      <w:r w:rsidR="00737030">
        <w:t>. The search also included</w:t>
      </w:r>
      <w:r w:rsidRPr="00B51FDD">
        <w:t xml:space="preserve"> </w:t>
      </w:r>
      <w:r w:rsidR="00737030">
        <w:t xml:space="preserve">words denoting </w:t>
      </w:r>
      <w:r w:rsidRPr="00B51FDD">
        <w:t xml:space="preserve">commonly used </w:t>
      </w:r>
      <w:r w:rsidR="00737030">
        <w:t>variables</w:t>
      </w:r>
      <w:r w:rsidRPr="00B51FDD">
        <w:t xml:space="preserve"> the study of stigma; attitude*/discrimination/social distance / prejudice /avoidance/ bias/beliefs OR perception and stigma*. Additionally, the reference sections of documents meeting the inclusion </w:t>
      </w:r>
      <w:r w:rsidR="00737030" w:rsidRPr="00B51FDD">
        <w:t>criteria</w:t>
      </w:r>
      <w:r w:rsidRPr="00B51FDD">
        <w:t xml:space="preserve"> were searched to identify studies not captured by the electronic database search. </w:t>
      </w:r>
    </w:p>
    <w:p w14:paraId="7F9D4479" w14:textId="77777777" w:rsidR="00B51FDD" w:rsidRPr="00B51FDD" w:rsidRDefault="00B51FDD" w:rsidP="00B51FDD">
      <w:pPr>
        <w:pStyle w:val="Heading3"/>
      </w:pPr>
      <w:bookmarkStart w:id="25" w:name="_Toc12024618"/>
      <w:r w:rsidRPr="00B51FDD">
        <w:t>Inclusion and exclusion criteria</w:t>
      </w:r>
      <w:bookmarkEnd w:id="25"/>
      <w:r w:rsidRPr="00B51FDD">
        <w:t xml:space="preserve"> </w:t>
      </w:r>
    </w:p>
    <w:p w14:paraId="4F58D290" w14:textId="34F63C40" w:rsidR="00B51FDD" w:rsidRPr="00B51FDD" w:rsidRDefault="00B51FDD" w:rsidP="008C73CA">
      <w:pPr>
        <w:ind w:firstLine="0"/>
      </w:pPr>
      <w:r w:rsidRPr="00B51FDD">
        <w:t>This review included empirically based studies targeting observers’ responses to FD stimuli in any form, including acquired (e.g., burns</w:t>
      </w:r>
      <w:r w:rsidR="00737030">
        <w:t>, trauma</w:t>
      </w:r>
      <w:r w:rsidRPr="00B51FDD">
        <w:t>), congenital (e.g., Strabismus, CLP) or electronically fabricated images for experimental purposes. The search was restricted to studies published in peer-reviewed journals and containing data from participants aged16+. Articles targeting perceived stigma (self-stigma/internalised) and studies about disfigurement in body parts other than the face (</w:t>
      </w:r>
      <w:r w:rsidR="008471FC">
        <w:t>e.g.</w:t>
      </w:r>
      <w:r w:rsidR="00B32D9C">
        <w:t xml:space="preserve">, </w:t>
      </w:r>
      <w:r w:rsidRPr="00B51FDD">
        <w:t>amputees) were not included. Grey literature and documents without at least an abstract in English were also excluded.</w:t>
      </w:r>
    </w:p>
    <w:p w14:paraId="1D92BADA" w14:textId="77777777" w:rsidR="00B51FDD" w:rsidRPr="00B51FDD" w:rsidRDefault="00B51FDD" w:rsidP="00B51FDD">
      <w:pPr>
        <w:pStyle w:val="Heading3"/>
      </w:pPr>
      <w:bookmarkStart w:id="26" w:name="_Toc12024619"/>
      <w:r w:rsidRPr="00B51FDD">
        <w:t>Review process and quality assessment</w:t>
      </w:r>
      <w:bookmarkEnd w:id="26"/>
    </w:p>
    <w:p w14:paraId="2116FD30" w14:textId="31E086B3" w:rsidR="00B51FDD" w:rsidRPr="00B51FDD" w:rsidRDefault="00B51FDD" w:rsidP="00684FA9">
      <w:pPr>
        <w:ind w:firstLine="0"/>
      </w:pPr>
      <w:r w:rsidRPr="00B51FDD">
        <w:t xml:space="preserve">The systematic search via the four selected databases produced 56,515 hits. After duplicates were removed, 24,152 records remained. Upon screening of titles, 21,918 </w:t>
      </w:r>
      <w:r w:rsidRPr="00B51FDD">
        <w:lastRenderedPageBreak/>
        <w:t>were excluded, leaving 2234 papers. Abstracts from remaining papers were then reviewed and 2,123 were excluded. Full-text manuscripts out of the remaining</w:t>
      </w:r>
      <w:r w:rsidR="00737030">
        <w:t xml:space="preserve"> </w:t>
      </w:r>
      <w:r w:rsidRPr="00F94C7D">
        <w:t>11</w:t>
      </w:r>
      <w:r w:rsidR="001E36DF" w:rsidRPr="004D2DCA">
        <w:t>0</w:t>
      </w:r>
      <w:r w:rsidR="001E36DF">
        <w:rPr>
          <w:highlight w:val="cyan"/>
        </w:rPr>
        <w:t xml:space="preserve"> </w:t>
      </w:r>
      <w:r w:rsidRPr="00B51FDD">
        <w:t xml:space="preserve">documents were extracted whenever possible and coded as per the protocol. At this stage, 59 full-text articles were excluded for the following reasons; (1) Studies targeting disfigurement not specific to the face (e.g., Cacciapaglia, Beauchamp, &amp; Howells, 2004) or physical disabilities (e.g., Park, Faulkner, &amp; Schaller, 2003); (2) Measures of FD severity as outcome for surgical treatments (e.g., Terwee et al., 2003); (3) Studies of facial symmetry (e.g., Maner et al., 2003).  See Figure </w:t>
      </w:r>
      <w:r w:rsidR="000A7152">
        <w:t>2.</w:t>
      </w:r>
      <w:r w:rsidRPr="00B51FDD">
        <w:t xml:space="preserve">1 for details of the search process. </w:t>
      </w:r>
    </w:p>
    <w:p w14:paraId="09FBD290" w14:textId="31E73FF5" w:rsidR="00B51FDD" w:rsidRDefault="00B51FDD" w:rsidP="00B51FDD">
      <w:r w:rsidRPr="00B51FDD">
        <w:t xml:space="preserve">All quantitative studies were assessed in terms of methodological quality </w:t>
      </w:r>
      <w:r w:rsidR="00B7681F">
        <w:t>following</w:t>
      </w:r>
      <w:r w:rsidRPr="00B51FDD">
        <w:t xml:space="preserve"> the</w:t>
      </w:r>
      <w:r w:rsidR="00B7681F">
        <w:t xml:space="preserve"> Strengthening the Reporting of Observational Studies in Epidemiology</w:t>
      </w:r>
      <w:r w:rsidRPr="00B51FDD">
        <w:t xml:space="preserve"> </w:t>
      </w:r>
      <w:r w:rsidR="00B7681F">
        <w:t>(</w:t>
      </w:r>
      <w:r w:rsidRPr="00B51FDD">
        <w:t>STROBE</w:t>
      </w:r>
      <w:r w:rsidR="00B7681F">
        <w:t xml:space="preserve">) guidelines. The STROBE guidelines were the result of a collaborative work of an interdisciplinary team of epidemiologist, </w:t>
      </w:r>
      <w:r w:rsidR="00BC5FDF">
        <w:t>statisticians</w:t>
      </w:r>
      <w:r w:rsidR="00B7681F">
        <w:t xml:space="preserve">, researchers and journal editors that aimed to provide </w:t>
      </w:r>
      <w:r w:rsidR="00BC5FDF">
        <w:t>directions for the appropriate reporting of biomedical studies.  This literature review used the c</w:t>
      </w:r>
      <w:r w:rsidRPr="00B51FDD">
        <w:t>ritical appraisal checklist designed for cohort, case-control, and cross-sectional studies (von Elm et al., 2008)</w:t>
      </w:r>
      <w:r w:rsidR="00BC5FDF">
        <w:t xml:space="preserve"> as indicated by the STROBE statement</w:t>
      </w:r>
      <w:r w:rsidRPr="00B51FDD">
        <w:t>.</w:t>
      </w:r>
      <w:r w:rsidR="00BC5FDF">
        <w:t xml:space="preserve"> The STROBE checklist is composed of 22</w:t>
      </w:r>
      <w:r w:rsidR="0039456E">
        <w:t xml:space="preserve"> recommendations in the reporting of the </w:t>
      </w:r>
      <w:r w:rsidR="00402F01">
        <w:t>paper’s title and abstract</w:t>
      </w:r>
      <w:r w:rsidR="0039456E">
        <w:t xml:space="preserve"> (e.g., “</w:t>
      </w:r>
      <w:r w:rsidR="0039456E" w:rsidRPr="004D2DCA">
        <w:rPr>
          <w:i/>
          <w:iCs/>
        </w:rPr>
        <w:t>Indicate the study’s design with a commonly used term in the title or the abstract</w:t>
      </w:r>
      <w:r w:rsidR="0039456E">
        <w:t>”)</w:t>
      </w:r>
      <w:r w:rsidR="00402F01">
        <w:t>, introduction, methodology (e.g</w:t>
      </w:r>
      <w:r w:rsidR="0039456E">
        <w:t xml:space="preserve">.,  ” </w:t>
      </w:r>
      <w:r w:rsidR="0039456E" w:rsidRPr="004D2DCA">
        <w:rPr>
          <w:i/>
          <w:iCs/>
        </w:rPr>
        <w:t>presents</w:t>
      </w:r>
      <w:r w:rsidR="00402F01" w:rsidRPr="004D2DCA">
        <w:rPr>
          <w:i/>
          <w:iCs/>
        </w:rPr>
        <w:t xml:space="preserve"> key elements of study design early in the paper</w:t>
      </w:r>
      <w:r w:rsidR="0039456E">
        <w:t>”</w:t>
      </w:r>
      <w:r w:rsidR="00402F01">
        <w:t>), results and discussion</w:t>
      </w:r>
      <w:r w:rsidR="0039456E">
        <w:t xml:space="preserve"> (e.g., “</w:t>
      </w:r>
      <w:r w:rsidR="0039456E" w:rsidRPr="004D2DCA">
        <w:rPr>
          <w:i/>
          <w:iCs/>
        </w:rPr>
        <w:t>summarise key results with reference to study objectives</w:t>
      </w:r>
      <w:r w:rsidR="0039456E">
        <w:t>”)</w:t>
      </w:r>
      <w:r w:rsidR="00402F01">
        <w:t xml:space="preserve">. All the studies included in this review were critically appraised following the STROBE statement (for details see appendix </w:t>
      </w:r>
      <w:r w:rsidR="000A7152">
        <w:t>2A</w:t>
      </w:r>
      <w:r w:rsidR="00402F01">
        <w:t xml:space="preserve">). </w:t>
      </w:r>
      <w:r w:rsidRPr="00B51FDD">
        <w:t xml:space="preserve"> </w:t>
      </w:r>
      <w:r w:rsidR="00907447">
        <w:t>Three</w:t>
      </w:r>
      <w:r w:rsidRPr="00B51FDD">
        <w:t xml:space="preserve"> items concerning randomization</w:t>
      </w:r>
      <w:r w:rsidR="0039456E">
        <w:t xml:space="preserve"> (i.e., </w:t>
      </w:r>
      <w:r w:rsidR="00907447">
        <w:t>Randomisation sequence generation, Randomisation: type, Randomisation: allocation concealment, Randomisation implementation)</w:t>
      </w:r>
      <w:r w:rsidRPr="00B51FDD">
        <w:t xml:space="preserve"> and</w:t>
      </w:r>
      <w:r w:rsidR="00907447">
        <w:t xml:space="preserve"> one covering</w:t>
      </w:r>
      <w:r w:rsidRPr="00B51FDD">
        <w:t xml:space="preserve"> blinding </w:t>
      </w:r>
      <w:r w:rsidR="0039456E">
        <w:t>(i.e., “</w:t>
      </w:r>
      <w:r w:rsidR="00907447" w:rsidRPr="00907447">
        <w:t>If done, who was blinded after assignment to interventions and how</w:t>
      </w:r>
      <w:r w:rsidR="0039456E">
        <w:t xml:space="preserve">”) </w:t>
      </w:r>
      <w:r w:rsidRPr="00B51FDD">
        <w:t xml:space="preserve">were taken from the CONSORT checklist for Randomised Controlled Trials (Schulz, Altman, &amp; Moher, 2010) and added to the assessment of the study conducted by Bogart and Tickle-Degnen (2015), which used a randomized experimental design. </w:t>
      </w:r>
    </w:p>
    <w:p w14:paraId="7AB4433E" w14:textId="7084AC37" w:rsidR="006C623E" w:rsidRDefault="006C623E" w:rsidP="00B51FDD"/>
    <w:p w14:paraId="2CCF9C37" w14:textId="77777777" w:rsidR="006C623E" w:rsidRPr="00B51FDD" w:rsidRDefault="006C623E" w:rsidP="00B51FDD"/>
    <w:p w14:paraId="1CC993AA" w14:textId="77777777" w:rsidR="00261E92" w:rsidRPr="00125F07" w:rsidRDefault="00261E92" w:rsidP="00B13C71">
      <w:pPr>
        <w:ind w:firstLine="0"/>
      </w:pPr>
    </w:p>
    <w:p w14:paraId="7C32A0D1" w14:textId="77777777" w:rsidR="00401604" w:rsidRPr="00125F07" w:rsidRDefault="00401604" w:rsidP="00B13C71">
      <w:pPr>
        <w:ind w:firstLine="0"/>
      </w:pPr>
    </w:p>
    <w:p w14:paraId="3D507DBE" w14:textId="77777777" w:rsidR="00401604" w:rsidRDefault="00401604" w:rsidP="00B13C71">
      <w:pPr>
        <w:ind w:firstLine="0"/>
      </w:pPr>
    </w:p>
    <w:p w14:paraId="53F4B9C3" w14:textId="77777777" w:rsidR="00B51FDD" w:rsidRDefault="00B51FDD" w:rsidP="00B13C71">
      <w:pPr>
        <w:ind w:firstLine="0"/>
      </w:pPr>
    </w:p>
    <w:p w14:paraId="6E876293" w14:textId="77777777" w:rsidR="00B51FDD" w:rsidRDefault="00B51FDD" w:rsidP="00B13C71">
      <w:pPr>
        <w:ind w:firstLine="0"/>
      </w:pPr>
    </w:p>
    <w:p w14:paraId="5ADDA174" w14:textId="078D0D13" w:rsidR="00B51FDD" w:rsidRPr="00B51FDD" w:rsidRDefault="00B51FDD" w:rsidP="00493986">
      <w:pPr>
        <w:pStyle w:val="Figures"/>
      </w:pPr>
      <w:bookmarkStart w:id="27" w:name="_Toc12024849"/>
      <w:r w:rsidRPr="00B51FDD">
        <w:t xml:space="preserve">Figure </w:t>
      </w:r>
      <w:r w:rsidR="000A7152">
        <w:t>2.</w:t>
      </w:r>
      <w:r w:rsidRPr="00B51FDD">
        <w:t>1. PRISMA flow diagram of study selection process</w:t>
      </w:r>
      <w:bookmarkEnd w:id="27"/>
    </w:p>
    <w:p w14:paraId="0387C951" w14:textId="29756FA8" w:rsidR="00B51FDD" w:rsidRPr="00B51FDD" w:rsidRDefault="00D02823" w:rsidP="00B51FDD">
      <w:pPr>
        <w:ind w:firstLine="0"/>
      </w:pPr>
      <w:r>
        <w:rPr>
          <w:noProof/>
          <w:lang w:val="es-CO" w:eastAsia="es-CO"/>
        </w:rPr>
        <w:drawing>
          <wp:inline distT="0" distB="0" distL="0" distR="0" wp14:anchorId="44102441" wp14:editId="5A41CD7F">
            <wp:extent cx="5685790" cy="6001385"/>
            <wp:effectExtent l="0" t="0" r="0" b="0"/>
            <wp:docPr id="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5790" cy="6001385"/>
                    </a:xfrm>
                    <a:prstGeom prst="rect">
                      <a:avLst/>
                    </a:prstGeom>
                    <a:noFill/>
                    <a:ln>
                      <a:noFill/>
                    </a:ln>
                  </pic:spPr>
                </pic:pic>
              </a:graphicData>
            </a:graphic>
          </wp:inline>
        </w:drawing>
      </w:r>
    </w:p>
    <w:p w14:paraId="0B42EAAA" w14:textId="77777777" w:rsidR="00B51FDD" w:rsidRPr="00125F07" w:rsidRDefault="00B51FDD" w:rsidP="00B13C71">
      <w:pPr>
        <w:ind w:firstLine="0"/>
      </w:pPr>
    </w:p>
    <w:p w14:paraId="2131451D" w14:textId="77777777" w:rsidR="00401604" w:rsidRDefault="00401604" w:rsidP="00B13C71">
      <w:pPr>
        <w:ind w:firstLine="0"/>
      </w:pPr>
    </w:p>
    <w:p w14:paraId="7A353CB4" w14:textId="77777777" w:rsidR="002A2C99" w:rsidRDefault="002A2C99" w:rsidP="00B13C71">
      <w:pPr>
        <w:ind w:firstLine="0"/>
      </w:pPr>
    </w:p>
    <w:p w14:paraId="6766B70E" w14:textId="77777777" w:rsidR="002A2C99" w:rsidRDefault="002A2C99" w:rsidP="00B13C71">
      <w:pPr>
        <w:ind w:firstLine="0"/>
      </w:pPr>
    </w:p>
    <w:p w14:paraId="6A89830D" w14:textId="77777777" w:rsidR="00B51FDD" w:rsidRDefault="00B51FDD" w:rsidP="00B13C71">
      <w:pPr>
        <w:ind w:firstLine="0"/>
      </w:pPr>
    </w:p>
    <w:p w14:paraId="38758A4D" w14:textId="77777777" w:rsidR="00B51FDD" w:rsidRDefault="00B51FDD" w:rsidP="00B13C71">
      <w:pPr>
        <w:ind w:firstLine="0"/>
      </w:pPr>
    </w:p>
    <w:p w14:paraId="10477A20" w14:textId="77777777" w:rsidR="00B51FDD" w:rsidRDefault="00B51FDD" w:rsidP="00B13C71">
      <w:pPr>
        <w:ind w:firstLine="0"/>
      </w:pPr>
    </w:p>
    <w:p w14:paraId="2124E269" w14:textId="77777777" w:rsidR="00B51FDD" w:rsidRDefault="00B51FDD" w:rsidP="00B13C71">
      <w:pPr>
        <w:ind w:firstLine="0"/>
      </w:pPr>
    </w:p>
    <w:p w14:paraId="1F0EA63F" w14:textId="77777777" w:rsidR="00B51FDD" w:rsidRPr="00C72D56" w:rsidRDefault="00B51FDD" w:rsidP="007A3FE4">
      <w:pPr>
        <w:pStyle w:val="Heading2"/>
      </w:pPr>
      <w:bookmarkStart w:id="28" w:name="_Toc12024620"/>
      <w:r w:rsidRPr="00C72D56">
        <w:t>Results</w:t>
      </w:r>
      <w:bookmarkEnd w:id="28"/>
    </w:p>
    <w:p w14:paraId="100C7909" w14:textId="77777777" w:rsidR="00B51FDD" w:rsidRPr="00C72D56" w:rsidRDefault="00B51FDD" w:rsidP="00493986">
      <w:pPr>
        <w:pStyle w:val="Heading3"/>
      </w:pPr>
      <w:bookmarkStart w:id="29" w:name="_Toc12024621"/>
      <w:r w:rsidRPr="00C72D56">
        <w:t>Overview of studies</w:t>
      </w:r>
      <w:bookmarkEnd w:id="29"/>
    </w:p>
    <w:p w14:paraId="498BFFF2" w14:textId="0BD0E377" w:rsidR="00B51FDD" w:rsidRPr="00C72D56" w:rsidRDefault="00B51FDD" w:rsidP="008C73CA">
      <w:pPr>
        <w:ind w:firstLine="0"/>
      </w:pPr>
      <w:r w:rsidRPr="00C72D56">
        <w:t xml:space="preserve">A total of 51 articles met the inclusion criteria, containing data from 58 studies (see Table 1 for details). Of these, were published since 2010, and the majority used cross-sectional designs.  The geographical location of the studies is shown in Figure </w:t>
      </w:r>
      <w:r w:rsidR="00312E49">
        <w:t>2.2</w:t>
      </w:r>
      <w:r w:rsidRPr="00C72D56">
        <w:t xml:space="preserve"> and included studies conducted in Europe (</w:t>
      </w:r>
      <w:r w:rsidRPr="00C72D56">
        <w:rPr>
          <w:i/>
        </w:rPr>
        <w:t>n</w:t>
      </w:r>
      <w:r w:rsidRPr="00C72D56">
        <w:t xml:space="preserve"> = 27; of which </w:t>
      </w:r>
      <w:r w:rsidRPr="00C72D56">
        <w:rPr>
          <w:i/>
        </w:rPr>
        <w:t>n</w:t>
      </w:r>
      <w:r w:rsidRPr="00C72D56">
        <w:t xml:space="preserve"> = 18 were UK based), North America (</w:t>
      </w:r>
      <w:r w:rsidRPr="00C72D56">
        <w:rPr>
          <w:i/>
        </w:rPr>
        <w:t>n</w:t>
      </w:r>
      <w:r w:rsidRPr="00C72D56">
        <w:t xml:space="preserve"> = 14), Australasia (</w:t>
      </w:r>
      <w:r w:rsidRPr="00C72D56">
        <w:rPr>
          <w:i/>
        </w:rPr>
        <w:t>n</w:t>
      </w:r>
      <w:r w:rsidRPr="00C72D56">
        <w:t xml:space="preserve"> = 4), and Africa (</w:t>
      </w:r>
      <w:r w:rsidRPr="00C72D56">
        <w:rPr>
          <w:i/>
        </w:rPr>
        <w:t>n</w:t>
      </w:r>
      <w:r w:rsidRPr="00C72D56">
        <w:t xml:space="preserve"> = 4). One study examined data on UK residents with a South East Asian background (Hughes et al., 2009) and two studies aimed to compare cross-cultural differences between </w:t>
      </w:r>
      <w:r w:rsidR="00B32D9C">
        <w:t xml:space="preserve">the </w:t>
      </w:r>
      <w:r w:rsidRPr="00C72D56">
        <w:t xml:space="preserve">UK and Nigerian samples (Bull &amp; David, 1986b) and between UK and USA samples (Kerr, Bull, MacCoun, &amp; Rathborn, 1985).  </w:t>
      </w:r>
    </w:p>
    <w:p w14:paraId="1AE6D12A" w14:textId="77777777" w:rsidR="00B51FDD" w:rsidRPr="00C72D56" w:rsidRDefault="00B51FDD" w:rsidP="00493986">
      <w:pPr>
        <w:pStyle w:val="Figures"/>
      </w:pPr>
      <w:bookmarkStart w:id="30" w:name="_Toc12024850"/>
      <w:r w:rsidRPr="00C72D56">
        <w:t>Figure 2.</w:t>
      </w:r>
      <w:r w:rsidR="00253957">
        <w:t>2</w:t>
      </w:r>
      <w:r w:rsidRPr="00C72D56">
        <w:t xml:space="preserve"> Publication rate and locality of articles</w:t>
      </w:r>
      <w:bookmarkEnd w:id="30"/>
    </w:p>
    <w:p w14:paraId="23F30177" w14:textId="67614DA6" w:rsidR="00B51FDD" w:rsidRPr="00C72D56" w:rsidRDefault="00D02823" w:rsidP="00253957">
      <w:pPr>
        <w:ind w:firstLine="0"/>
        <w:jc w:val="both"/>
      </w:pPr>
      <w:r>
        <w:rPr>
          <w:noProof/>
          <w:lang w:val="es-CO" w:eastAsia="es-CO"/>
        </w:rPr>
        <w:drawing>
          <wp:inline distT="0" distB="0" distL="0" distR="0" wp14:anchorId="3A4BB365" wp14:editId="65AAE007">
            <wp:extent cx="3086100" cy="2066925"/>
            <wp:effectExtent l="0" t="0" r="0" b="0"/>
            <wp:docPr id="3" name="Chart 2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val="es-CO" w:eastAsia="es-CO"/>
        </w:rPr>
        <w:drawing>
          <wp:inline distT="0" distB="0" distL="0" distR="0" wp14:anchorId="052E051C" wp14:editId="3934BBDF">
            <wp:extent cx="3100705" cy="2059940"/>
            <wp:effectExtent l="0" t="0" r="0" b="0"/>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0705" cy="2059940"/>
                    </a:xfrm>
                    <a:prstGeom prst="rect">
                      <a:avLst/>
                    </a:prstGeom>
                    <a:noFill/>
                    <a:ln>
                      <a:noFill/>
                    </a:ln>
                  </pic:spPr>
                </pic:pic>
              </a:graphicData>
            </a:graphic>
          </wp:inline>
        </w:drawing>
      </w:r>
    </w:p>
    <w:p w14:paraId="3C8BF777" w14:textId="77777777" w:rsidR="00B51FDD" w:rsidRPr="00C72D56" w:rsidRDefault="00B51FDD" w:rsidP="00B51FDD">
      <w:r w:rsidRPr="00C72D56">
        <w:t>Out of the selected studies, 25 studies used samples comprised solely of student participants (</w:t>
      </w:r>
      <w:r w:rsidR="008471FC">
        <w:t xml:space="preserve">e.g., </w:t>
      </w:r>
      <w:r w:rsidRPr="00C72D56">
        <w:t>Rinnerthaler, Mueller, Weichbold, Wenning, &amp; Poewe, 2006),</w:t>
      </w:r>
      <w:r w:rsidRPr="00C72D56" w:rsidDel="006F0705">
        <w:t xml:space="preserve"> </w:t>
      </w:r>
      <w:r w:rsidRPr="00C72D56">
        <w:t>23 used laypeople, including pedestrians (</w:t>
      </w:r>
      <w:r w:rsidR="008471FC">
        <w:t xml:space="preserve">e.g., </w:t>
      </w:r>
      <w:r w:rsidRPr="00C72D56">
        <w:t>Roberts &amp; Gierasch, 2013) and hospital visitors (</w:t>
      </w:r>
      <w:r w:rsidR="008471FC">
        <w:t xml:space="preserve">e.g., </w:t>
      </w:r>
      <w:r w:rsidRPr="00C72D56">
        <w:t>Owotade et al., 2014) and further 3 (</w:t>
      </w:r>
      <w:r w:rsidR="008471FC">
        <w:t xml:space="preserve">e.g., </w:t>
      </w:r>
      <w:r w:rsidRPr="00C72D56">
        <w:t xml:space="preserve">Stevenage &amp; McKay, 1999) were conducted with mixed samples of  student and non-student participants. Five </w:t>
      </w:r>
      <w:r w:rsidRPr="00C72D56">
        <w:lastRenderedPageBreak/>
        <w:t xml:space="preserve">studies used service providers as participants. One study used extracted data from an archive of allegations about employment discrimination (Tartaglia et al., 2005).  </w:t>
      </w:r>
    </w:p>
    <w:p w14:paraId="60A163C6" w14:textId="1B2BEA53" w:rsidR="00B51FDD" w:rsidRDefault="00B51FDD" w:rsidP="00B51FDD">
      <w:r w:rsidRPr="00C72D56">
        <w:t>The most utilised term to address visible differences was ‘facial disfigurement’ (</w:t>
      </w:r>
      <w:r w:rsidRPr="00C72D56">
        <w:rPr>
          <w:i/>
        </w:rPr>
        <w:t>n</w:t>
      </w:r>
      <w:r w:rsidRPr="00C72D56">
        <w:t xml:space="preserve"> = 17), followed by ‘deformity’, commonly mixed with unhelpful adjectives like ‘abnormal’ (</w:t>
      </w:r>
      <w:r w:rsidRPr="00C72D56">
        <w:rPr>
          <w:i/>
        </w:rPr>
        <w:t>n</w:t>
      </w:r>
      <w:r w:rsidRPr="00C72D56" w:rsidDel="0010164E">
        <w:t xml:space="preserve"> </w:t>
      </w:r>
      <w:r w:rsidRPr="00C72D56">
        <w:t xml:space="preserve"> = 13). Publications studying specific diseases associated with FD (</w:t>
      </w:r>
      <w:r w:rsidRPr="00C72D56">
        <w:rPr>
          <w:i/>
        </w:rPr>
        <w:t>n</w:t>
      </w:r>
      <w:r w:rsidRPr="00C72D56" w:rsidDel="0010164E">
        <w:t xml:space="preserve"> </w:t>
      </w:r>
      <w:r w:rsidRPr="00C72D56">
        <w:t>= 7) used medical nomenclatures like oral cleft deformity (Pausch et al., 2012) and three publications used the terminology ‘Facial difference’/’visible difference’ (</w:t>
      </w:r>
      <w:r w:rsidR="008471FC">
        <w:t xml:space="preserve">e.g., </w:t>
      </w:r>
      <w:r w:rsidRPr="00C72D56">
        <w:t xml:space="preserve">Roberts &amp; Gierasch, 2013). See table </w:t>
      </w:r>
      <w:r w:rsidR="00656768">
        <w:t>2.</w:t>
      </w:r>
      <w:r w:rsidRPr="00C72D56">
        <w:t>1 for details.</w:t>
      </w:r>
    </w:p>
    <w:p w14:paraId="2A7D9113" w14:textId="77777777" w:rsidR="00253957" w:rsidRPr="00C72D56" w:rsidRDefault="00253957" w:rsidP="00B51FDD"/>
    <w:p w14:paraId="2E336031" w14:textId="77777777" w:rsidR="00B51FDD" w:rsidRPr="00C72D56" w:rsidRDefault="00B51FDD" w:rsidP="00B51FDD"/>
    <w:p w14:paraId="03FE0CEC" w14:textId="77777777" w:rsidR="00B51FDD" w:rsidRPr="00C72D56" w:rsidRDefault="00B51FDD" w:rsidP="00684FA9">
      <w:pPr>
        <w:pStyle w:val="Tables"/>
        <w:spacing w:after="0"/>
      </w:pPr>
      <w:bookmarkStart w:id="31" w:name="_Toc12024826"/>
      <w:r w:rsidRPr="00C72D56">
        <w:t xml:space="preserve">Table </w:t>
      </w:r>
      <w:r w:rsidR="00D93CC5">
        <w:t>2</w:t>
      </w:r>
      <w:r w:rsidRPr="00C72D56">
        <w:t>.</w:t>
      </w:r>
      <w:r w:rsidR="00014EE0">
        <w:t>1</w:t>
      </w:r>
      <w:r w:rsidRPr="00C72D56">
        <w:t xml:space="preserve"> Terminology used to address FD</w:t>
      </w:r>
      <w:bookmarkEnd w:id="31"/>
    </w:p>
    <w:p w14:paraId="44427A66" w14:textId="2E827011" w:rsidR="00B51FDD" w:rsidRPr="00C72D56" w:rsidRDefault="00D02823" w:rsidP="00B51FDD">
      <w:r>
        <w:rPr>
          <w:noProof/>
          <w:lang w:val="es-CO" w:eastAsia="es-CO"/>
        </w:rPr>
        <w:drawing>
          <wp:inline distT="0" distB="0" distL="0" distR="0" wp14:anchorId="5186A75D" wp14:editId="40F91409">
            <wp:extent cx="4509135" cy="30162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9135" cy="3016250"/>
                    </a:xfrm>
                    <a:prstGeom prst="rect">
                      <a:avLst/>
                    </a:prstGeom>
                    <a:noFill/>
                    <a:ln>
                      <a:noFill/>
                    </a:ln>
                  </pic:spPr>
                </pic:pic>
              </a:graphicData>
            </a:graphic>
          </wp:inline>
        </w:drawing>
      </w:r>
    </w:p>
    <w:p w14:paraId="455E6B87" w14:textId="0715DC5E" w:rsidR="00B51FDD" w:rsidRPr="00C72D56" w:rsidRDefault="00B51FDD" w:rsidP="00B51FDD">
      <w:r w:rsidRPr="00C72D56">
        <w:t>Most studies reported at least one measure of attitudes towards FD (</w:t>
      </w:r>
      <w:r w:rsidRPr="00C72D56">
        <w:rPr>
          <w:i/>
        </w:rPr>
        <w:t>n</w:t>
      </w:r>
      <w:r w:rsidRPr="00C72D56">
        <w:t xml:space="preserve"> =30), of these, 13 reported attitudes (A) alone, followed by a combination of attitudes and cognitive and emotional responses (CER;</w:t>
      </w:r>
      <w:r w:rsidRPr="00C72D56">
        <w:rPr>
          <w:i/>
        </w:rPr>
        <w:t xml:space="preserve"> n</w:t>
      </w:r>
      <w:r w:rsidRPr="00C72D56">
        <w:t xml:space="preserve"> = 10), attitudes and stigma (</w:t>
      </w:r>
      <w:r w:rsidRPr="00C72D56">
        <w:rPr>
          <w:i/>
        </w:rPr>
        <w:t>n</w:t>
      </w:r>
      <w:r w:rsidRPr="00C72D56">
        <w:t>= 4), and attitudes and knowledge (</w:t>
      </w:r>
      <w:r w:rsidRPr="00C72D56">
        <w:rPr>
          <w:i/>
        </w:rPr>
        <w:t>n</w:t>
      </w:r>
      <w:r w:rsidRPr="00C72D56">
        <w:t xml:space="preserve"> = 3). Ten studies measured and disseminated results of stigma (S: e.g.</w:t>
      </w:r>
      <w:r w:rsidR="008471FC">
        <w:t>,</w:t>
      </w:r>
      <w:r w:rsidRPr="00C72D56">
        <w:t xml:space="preserve"> intended avoidance, proxemic behaviour) and further 7 analysed cognitive and emotional responses only (</w:t>
      </w:r>
      <w:r w:rsidR="008471FC">
        <w:t xml:space="preserve">e.g., </w:t>
      </w:r>
      <w:r w:rsidRPr="00C72D56">
        <w:t>reaction times, autonomic physiological responses). Three studies tested knowledge about conditions associated with FD (</w:t>
      </w:r>
      <w:r w:rsidR="008471FC">
        <w:t>e.g.,</w:t>
      </w:r>
      <w:r w:rsidR="00312E49">
        <w:t xml:space="preserve"> </w:t>
      </w:r>
      <w:r w:rsidRPr="00C72D56">
        <w:t>Strabismus; Isawumi, Ulaikere, Adejumo, Adebayo, &amp; Kekunnaya, 2014) ) and one article (i.e.</w:t>
      </w:r>
      <w:r w:rsidR="003C771F">
        <w:t>,</w:t>
      </w:r>
      <w:r w:rsidRPr="00C72D56">
        <w:t xml:space="preserve"> Bogart &amp; Tickle-Degnen, 2015), tested an intervention strategy to improve attitudes towards facial paralysis (Int). See Table 1 for full details.</w:t>
      </w:r>
    </w:p>
    <w:p w14:paraId="524FF707" w14:textId="4D11A760" w:rsidR="00B51FDD" w:rsidRDefault="00B51FDD" w:rsidP="00B51FDD">
      <w:r w:rsidRPr="00C72D56">
        <w:t>FD stimuli w</w:t>
      </w:r>
      <w:r w:rsidR="00B32D9C">
        <w:t>ere</w:t>
      </w:r>
      <w:r w:rsidRPr="00C72D56">
        <w:t xml:space="preserve"> presented to observers in different forms including; digitally altered photographs simulating FD, confederates using cosmetics that mimicked FD </w:t>
      </w:r>
      <w:r w:rsidRPr="00C72D56">
        <w:lastRenderedPageBreak/>
        <w:t>(e.g.</w:t>
      </w:r>
      <w:r w:rsidR="003C771F">
        <w:t xml:space="preserve">, </w:t>
      </w:r>
      <w:r w:rsidRPr="00C72D56">
        <w:t>Rumsey, Bull, &amp; Gahagan, 1982), semantic references to FD (</w:t>
      </w:r>
      <w:r w:rsidR="008471FC">
        <w:t xml:space="preserve">e.g., </w:t>
      </w:r>
      <w:r w:rsidRPr="00C72D56">
        <w:t>Stone &amp; Wright, 201</w:t>
      </w:r>
      <w:r w:rsidR="00AC60CD">
        <w:t>2</w:t>
      </w:r>
      <w:r w:rsidRPr="00C72D56">
        <w:t>) and medical conditions associated with it (</w:t>
      </w:r>
      <w:r w:rsidR="008471FC">
        <w:t xml:space="preserve">e.g., </w:t>
      </w:r>
      <w:r w:rsidRPr="00C72D56">
        <w:t>dermatological conditions</w:t>
      </w:r>
      <w:r w:rsidR="006F0795">
        <w:t xml:space="preserve">; </w:t>
      </w:r>
      <w:r w:rsidRPr="00C72D56">
        <w:t>Grandfield, Thompson, &amp; Turpin, 2005), archive records of litigation cases of discrimination towards FD (Tartaglia et al., 2005) and images of people with real FD (e.g.</w:t>
      </w:r>
      <w:r w:rsidR="003C771F">
        <w:t xml:space="preserve">., </w:t>
      </w:r>
      <w:r w:rsidRPr="00C72D56">
        <w:t xml:space="preserve">Roberts, Neate, &amp; Gierasch, 2017). </w:t>
      </w:r>
    </w:p>
    <w:p w14:paraId="60C4B157" w14:textId="77777777" w:rsidR="00493986" w:rsidRDefault="00493986" w:rsidP="00B51FDD"/>
    <w:p w14:paraId="74D442B9" w14:textId="77777777" w:rsidR="00493986" w:rsidRDefault="00493986" w:rsidP="00B51FDD"/>
    <w:p w14:paraId="0E10B789" w14:textId="77777777" w:rsidR="00493986" w:rsidRDefault="00493986" w:rsidP="00B51FDD"/>
    <w:p w14:paraId="325DADDB" w14:textId="77777777" w:rsidR="00493986" w:rsidRDefault="00493986" w:rsidP="00B51FDD"/>
    <w:p w14:paraId="4EE36F0B" w14:textId="77777777" w:rsidR="00493986" w:rsidRDefault="00493986" w:rsidP="00B51FDD"/>
    <w:p w14:paraId="0627D397" w14:textId="77777777" w:rsidR="00493986" w:rsidRDefault="00493986" w:rsidP="00B51FDD"/>
    <w:p w14:paraId="40ECEC1F" w14:textId="77777777" w:rsidR="00493986" w:rsidRDefault="00493986" w:rsidP="00B51FDD"/>
    <w:p w14:paraId="5C2B37CD" w14:textId="77777777" w:rsidR="00493986" w:rsidRDefault="00493986" w:rsidP="00B51FDD"/>
    <w:p w14:paraId="0108ABD0" w14:textId="77777777" w:rsidR="00493986" w:rsidRDefault="00493986" w:rsidP="00B51FDD"/>
    <w:p w14:paraId="44B3F319" w14:textId="77777777" w:rsidR="00493986" w:rsidRDefault="00493986" w:rsidP="00B51FDD"/>
    <w:p w14:paraId="4681EA30" w14:textId="77777777" w:rsidR="00493986" w:rsidRDefault="00493986" w:rsidP="00B51FDD"/>
    <w:p w14:paraId="01020C28" w14:textId="77777777" w:rsidR="00493986" w:rsidRDefault="00493986" w:rsidP="00B51FDD"/>
    <w:p w14:paraId="46991068" w14:textId="77777777" w:rsidR="00493986" w:rsidRDefault="00493986" w:rsidP="00B51FDD"/>
    <w:p w14:paraId="79173042" w14:textId="77777777" w:rsidR="00493986" w:rsidRDefault="00493986" w:rsidP="00B51FDD"/>
    <w:p w14:paraId="09A34E6A" w14:textId="77777777" w:rsidR="00493986" w:rsidRDefault="00493986" w:rsidP="00B51FDD"/>
    <w:p w14:paraId="5903E47D" w14:textId="77777777" w:rsidR="00493986" w:rsidRDefault="00493986" w:rsidP="00B51FDD"/>
    <w:p w14:paraId="05618128" w14:textId="77777777" w:rsidR="00493986" w:rsidRDefault="00493986" w:rsidP="00B51FDD"/>
    <w:p w14:paraId="08A484AC" w14:textId="77777777" w:rsidR="00493986" w:rsidRDefault="00493986" w:rsidP="00B51FDD"/>
    <w:p w14:paraId="2A82633F" w14:textId="77777777" w:rsidR="00493986" w:rsidRDefault="00493986" w:rsidP="00B51FDD"/>
    <w:p w14:paraId="67263A88" w14:textId="77777777" w:rsidR="00493986" w:rsidRDefault="00493986" w:rsidP="00B51FDD"/>
    <w:p w14:paraId="40A05AA8" w14:textId="77777777" w:rsidR="00493986" w:rsidRDefault="00493986" w:rsidP="00B51FDD"/>
    <w:p w14:paraId="62C2C468" w14:textId="77777777" w:rsidR="00493986" w:rsidRDefault="00493986" w:rsidP="00B51FDD"/>
    <w:p w14:paraId="64F5C0C4" w14:textId="77777777" w:rsidR="00493986" w:rsidRDefault="00493986" w:rsidP="00B51FDD"/>
    <w:p w14:paraId="42F10A20" w14:textId="77777777" w:rsidR="00493986" w:rsidRDefault="00493986" w:rsidP="00B51FDD">
      <w:pPr>
        <w:sectPr w:rsidR="00493986" w:rsidSect="00014EE0">
          <w:footerReference w:type="first" r:id="rId16"/>
          <w:pgSz w:w="11906" w:h="16838" w:code="9"/>
          <w:pgMar w:top="1134" w:right="1134" w:bottom="1134" w:left="2268" w:header="709" w:footer="709" w:gutter="0"/>
          <w:cols w:space="720"/>
          <w:titlePg/>
          <w:docGrid w:linePitch="299"/>
        </w:sectPr>
      </w:pPr>
    </w:p>
    <w:tbl>
      <w:tblPr>
        <w:tblW w:w="10938" w:type="dxa"/>
        <w:tblLook w:val="04A0" w:firstRow="1" w:lastRow="0" w:firstColumn="1" w:lastColumn="0" w:noHBand="0" w:noVBand="1"/>
      </w:tblPr>
      <w:tblGrid>
        <w:gridCol w:w="1629"/>
        <w:gridCol w:w="1262"/>
        <w:gridCol w:w="805"/>
        <w:gridCol w:w="2129"/>
        <w:gridCol w:w="661"/>
        <w:gridCol w:w="2295"/>
        <w:gridCol w:w="2017"/>
        <w:gridCol w:w="1628"/>
      </w:tblGrid>
      <w:tr w:rsidR="00493986" w:rsidRPr="00493986" w14:paraId="50219371" w14:textId="77777777" w:rsidTr="00493986">
        <w:trPr>
          <w:trHeight w:val="530"/>
        </w:trPr>
        <w:tc>
          <w:tcPr>
            <w:tcW w:w="1443" w:type="dxa"/>
            <w:tcBorders>
              <w:top w:val="single" w:sz="8" w:space="0" w:color="auto"/>
              <w:left w:val="nil"/>
              <w:bottom w:val="single" w:sz="8" w:space="0" w:color="auto"/>
              <w:right w:val="nil"/>
            </w:tcBorders>
            <w:shd w:val="clear" w:color="auto" w:fill="auto"/>
            <w:hideMark/>
          </w:tcPr>
          <w:p w14:paraId="341E4F2F" w14:textId="7B707DEA" w:rsidR="00493986" w:rsidRPr="00493986" w:rsidRDefault="00D02823"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sz w:val="20"/>
                <w:szCs w:val="20"/>
              </w:rPr>
            </w:pPr>
            <w:r>
              <w:rPr>
                <w:rFonts w:eastAsia="Times New Roman"/>
                <w:b/>
                <w:bCs/>
                <w:noProof/>
                <w:sz w:val="20"/>
                <w:szCs w:val="20"/>
                <w:lang w:val="es-CO" w:eastAsia="es-CO"/>
              </w:rPr>
              <w:lastRenderedPageBreak/>
              <mc:AlternateContent>
                <mc:Choice Requires="wps">
                  <w:drawing>
                    <wp:anchor distT="0" distB="0" distL="114300" distR="114300" simplePos="0" relativeHeight="251653120" behindDoc="0" locked="0" layoutInCell="1" allowOverlap="1" wp14:anchorId="35CF6A5C" wp14:editId="72993AC5">
                      <wp:simplePos x="0" y="0"/>
                      <wp:positionH relativeFrom="column">
                        <wp:posOffset>-129540</wp:posOffset>
                      </wp:positionH>
                      <wp:positionV relativeFrom="paragraph">
                        <wp:posOffset>-483235</wp:posOffset>
                      </wp:positionV>
                      <wp:extent cx="4241800" cy="463550"/>
                      <wp:effectExtent l="0" t="0" r="0" b="0"/>
                      <wp:wrapNone/>
                      <wp:docPr id="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0D911" w14:textId="77777777" w:rsidR="004D2DCA" w:rsidRPr="00E01BCE" w:rsidRDefault="004D2DCA" w:rsidP="00E01BCE">
                                  <w:pPr>
                                    <w:ind w:firstLine="0"/>
                                  </w:pPr>
                                  <w:r w:rsidRPr="00E01BCE">
                                    <w:t xml:space="preserve">Table </w:t>
                                  </w:r>
                                  <w:r w:rsidRPr="005A2B3D">
                                    <w:rPr>
                                      <w:i/>
                                      <w:iCs/>
                                    </w:rPr>
                                    <w:t>2.2 Summary of articles included in the systematic review</w:t>
                                  </w:r>
                                </w:p>
                                <w:p w14:paraId="79944859" w14:textId="77777777" w:rsidR="004D2DCA" w:rsidRDefault="004D2D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F6A5C" id="_x0000_t202" coordsize="21600,21600" o:spt="202" path="m,l,21600r21600,l21600,xe">
                      <v:stroke joinstyle="miter"/>
                      <v:path gradientshapeok="t" o:connecttype="rect"/>
                    </v:shapetype>
                    <v:shape id="Text Box 21" o:spid="_x0000_s1026" type="#_x0000_t202" style="position:absolute;left:0;text-align:left;margin-left:-10.2pt;margin-top:-38.05pt;width:334pt;height:3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" stroked="f">
                      <v:textbox>
                        <w:txbxContent>
                          <w:p w14:paraId="5600D911" w14:textId="77777777" w:rsidR="004D2DCA" w:rsidRPr="00E01BCE" w:rsidRDefault="004D2DCA" w:rsidP="00E01BCE">
                            <w:pPr>
                              <w:ind w:firstLine="0"/>
                            </w:pPr>
                            <w:r w:rsidRPr="00E01BCE">
                              <w:t xml:space="preserve">Table </w:t>
                            </w:r>
                            <w:r w:rsidRPr="005A2B3D">
                              <w:rPr>
                                <w:i/>
                                <w:iCs/>
                              </w:rPr>
                              <w:t>2.2 Summary of articles included in the systematic review</w:t>
                            </w:r>
                          </w:p>
                          <w:p w14:paraId="79944859" w14:textId="77777777" w:rsidR="004D2DCA" w:rsidRDefault="004D2DCA"/>
                        </w:txbxContent>
                      </v:textbox>
                    </v:shape>
                  </w:pict>
                </mc:Fallback>
              </mc:AlternateContent>
            </w:r>
            <w:r w:rsidR="00493986" w:rsidRPr="00493986">
              <w:rPr>
                <w:rFonts w:eastAsia="Times New Roman"/>
                <w:b/>
                <w:bCs/>
                <w:sz w:val="20"/>
                <w:szCs w:val="20"/>
              </w:rPr>
              <w:t>Study</w:t>
            </w:r>
          </w:p>
        </w:tc>
        <w:tc>
          <w:tcPr>
            <w:tcW w:w="1076" w:type="dxa"/>
            <w:tcBorders>
              <w:top w:val="single" w:sz="8" w:space="0" w:color="auto"/>
              <w:left w:val="nil"/>
              <w:bottom w:val="single" w:sz="8" w:space="0" w:color="auto"/>
              <w:right w:val="nil"/>
            </w:tcBorders>
            <w:shd w:val="clear" w:color="auto" w:fill="auto"/>
            <w:hideMark/>
          </w:tcPr>
          <w:p w14:paraId="09D0849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sz w:val="20"/>
                <w:szCs w:val="20"/>
              </w:rPr>
            </w:pPr>
            <w:r w:rsidRPr="00493986">
              <w:rPr>
                <w:rFonts w:eastAsia="Times New Roman"/>
                <w:b/>
                <w:bCs/>
                <w:sz w:val="20"/>
                <w:szCs w:val="20"/>
              </w:rPr>
              <w:t>Location</w:t>
            </w:r>
          </w:p>
        </w:tc>
        <w:tc>
          <w:tcPr>
            <w:tcW w:w="619" w:type="dxa"/>
            <w:tcBorders>
              <w:top w:val="single" w:sz="8" w:space="0" w:color="auto"/>
              <w:left w:val="nil"/>
              <w:bottom w:val="single" w:sz="8" w:space="0" w:color="auto"/>
              <w:right w:val="nil"/>
            </w:tcBorders>
            <w:shd w:val="clear" w:color="auto" w:fill="auto"/>
            <w:hideMark/>
          </w:tcPr>
          <w:p w14:paraId="1F7B1F0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sz w:val="20"/>
                <w:szCs w:val="20"/>
              </w:rPr>
            </w:pPr>
            <w:r w:rsidRPr="00493986">
              <w:rPr>
                <w:rFonts w:eastAsia="Times New Roman"/>
                <w:b/>
                <w:bCs/>
                <w:sz w:val="20"/>
                <w:szCs w:val="20"/>
              </w:rPr>
              <w:t>Focus</w:t>
            </w:r>
          </w:p>
        </w:tc>
        <w:tc>
          <w:tcPr>
            <w:tcW w:w="1943" w:type="dxa"/>
            <w:tcBorders>
              <w:top w:val="single" w:sz="8" w:space="0" w:color="auto"/>
              <w:left w:val="nil"/>
              <w:bottom w:val="single" w:sz="8" w:space="0" w:color="auto"/>
              <w:right w:val="nil"/>
            </w:tcBorders>
            <w:shd w:val="clear" w:color="auto" w:fill="auto"/>
            <w:hideMark/>
          </w:tcPr>
          <w:p w14:paraId="5162DDC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sz w:val="20"/>
                <w:szCs w:val="20"/>
              </w:rPr>
            </w:pPr>
            <w:r w:rsidRPr="00493986">
              <w:rPr>
                <w:rFonts w:eastAsia="Times New Roman"/>
                <w:b/>
                <w:bCs/>
                <w:sz w:val="20"/>
                <w:szCs w:val="20"/>
              </w:rPr>
              <w:t>Sample</w:t>
            </w:r>
          </w:p>
        </w:tc>
        <w:tc>
          <w:tcPr>
            <w:tcW w:w="475" w:type="dxa"/>
            <w:tcBorders>
              <w:top w:val="single" w:sz="8" w:space="0" w:color="auto"/>
              <w:left w:val="nil"/>
              <w:bottom w:val="single" w:sz="8" w:space="0" w:color="auto"/>
              <w:right w:val="nil"/>
            </w:tcBorders>
            <w:shd w:val="clear" w:color="auto" w:fill="auto"/>
            <w:hideMark/>
          </w:tcPr>
          <w:p w14:paraId="58E42ED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sz w:val="20"/>
                <w:szCs w:val="20"/>
              </w:rPr>
            </w:pPr>
            <w:r w:rsidRPr="00493986">
              <w:rPr>
                <w:rFonts w:eastAsia="Times New Roman"/>
                <w:b/>
                <w:bCs/>
                <w:sz w:val="20"/>
                <w:szCs w:val="20"/>
              </w:rPr>
              <w:t>N</w:t>
            </w:r>
          </w:p>
        </w:tc>
        <w:tc>
          <w:tcPr>
            <w:tcW w:w="2109" w:type="dxa"/>
            <w:tcBorders>
              <w:top w:val="single" w:sz="8" w:space="0" w:color="auto"/>
              <w:left w:val="nil"/>
              <w:bottom w:val="single" w:sz="8" w:space="0" w:color="auto"/>
              <w:right w:val="nil"/>
            </w:tcBorders>
            <w:shd w:val="clear" w:color="auto" w:fill="auto"/>
            <w:hideMark/>
          </w:tcPr>
          <w:p w14:paraId="44E66D8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sz w:val="20"/>
                <w:szCs w:val="20"/>
              </w:rPr>
            </w:pPr>
            <w:r w:rsidRPr="00493986">
              <w:rPr>
                <w:rFonts w:eastAsia="Times New Roman"/>
                <w:b/>
                <w:bCs/>
                <w:sz w:val="20"/>
                <w:szCs w:val="20"/>
              </w:rPr>
              <w:t>Term</w:t>
            </w:r>
          </w:p>
        </w:tc>
        <w:tc>
          <w:tcPr>
            <w:tcW w:w="1831" w:type="dxa"/>
            <w:tcBorders>
              <w:top w:val="single" w:sz="8" w:space="0" w:color="auto"/>
              <w:left w:val="nil"/>
              <w:bottom w:val="single" w:sz="8" w:space="0" w:color="auto"/>
              <w:right w:val="nil"/>
            </w:tcBorders>
            <w:shd w:val="clear" w:color="auto" w:fill="auto"/>
            <w:hideMark/>
          </w:tcPr>
          <w:p w14:paraId="570502C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sz w:val="20"/>
                <w:szCs w:val="20"/>
              </w:rPr>
            </w:pPr>
            <w:r w:rsidRPr="00493986">
              <w:rPr>
                <w:rFonts w:eastAsia="Times New Roman"/>
                <w:b/>
                <w:bCs/>
                <w:sz w:val="20"/>
                <w:szCs w:val="20"/>
              </w:rPr>
              <w:t>Design and methods</w:t>
            </w:r>
          </w:p>
        </w:tc>
        <w:tc>
          <w:tcPr>
            <w:tcW w:w="1442" w:type="dxa"/>
            <w:tcBorders>
              <w:top w:val="single" w:sz="8" w:space="0" w:color="auto"/>
              <w:left w:val="nil"/>
              <w:bottom w:val="single" w:sz="8" w:space="0" w:color="auto"/>
              <w:right w:val="nil"/>
            </w:tcBorders>
            <w:shd w:val="clear" w:color="auto" w:fill="auto"/>
            <w:hideMark/>
          </w:tcPr>
          <w:p w14:paraId="7648563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sz w:val="20"/>
                <w:szCs w:val="20"/>
              </w:rPr>
            </w:pPr>
            <w:r w:rsidRPr="00493986">
              <w:rPr>
                <w:rFonts w:eastAsia="Times New Roman"/>
                <w:b/>
                <w:bCs/>
                <w:sz w:val="20"/>
                <w:szCs w:val="20"/>
              </w:rPr>
              <w:t>Results</w:t>
            </w:r>
          </w:p>
        </w:tc>
      </w:tr>
      <w:tr w:rsidR="00493986" w:rsidRPr="00493986" w14:paraId="45AB8B13" w14:textId="77777777" w:rsidTr="00493986">
        <w:trPr>
          <w:trHeight w:val="1350"/>
        </w:trPr>
        <w:tc>
          <w:tcPr>
            <w:tcW w:w="1443" w:type="dxa"/>
            <w:vMerge w:val="restart"/>
            <w:tcBorders>
              <w:top w:val="nil"/>
              <w:left w:val="nil"/>
              <w:bottom w:val="single" w:sz="8" w:space="0" w:color="000000"/>
              <w:right w:val="nil"/>
            </w:tcBorders>
            <w:shd w:val="clear" w:color="auto" w:fill="auto"/>
            <w:hideMark/>
          </w:tcPr>
          <w:p w14:paraId="332226E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Ackerman et al., 2009</w:t>
            </w:r>
          </w:p>
        </w:tc>
        <w:tc>
          <w:tcPr>
            <w:tcW w:w="1076" w:type="dxa"/>
            <w:vMerge w:val="restart"/>
            <w:tcBorders>
              <w:top w:val="nil"/>
              <w:left w:val="nil"/>
              <w:bottom w:val="single" w:sz="8" w:space="0" w:color="000000"/>
              <w:right w:val="nil"/>
            </w:tcBorders>
            <w:shd w:val="clear" w:color="auto" w:fill="auto"/>
            <w:hideMark/>
          </w:tcPr>
          <w:p w14:paraId="403B1F0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vMerge w:val="restart"/>
            <w:tcBorders>
              <w:top w:val="nil"/>
              <w:left w:val="nil"/>
              <w:bottom w:val="single" w:sz="8" w:space="0" w:color="000000"/>
              <w:right w:val="nil"/>
            </w:tcBorders>
            <w:shd w:val="clear" w:color="auto" w:fill="auto"/>
            <w:hideMark/>
          </w:tcPr>
          <w:p w14:paraId="3721D80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w:t>
            </w:r>
          </w:p>
        </w:tc>
        <w:tc>
          <w:tcPr>
            <w:tcW w:w="1943" w:type="dxa"/>
            <w:vMerge w:val="restart"/>
            <w:tcBorders>
              <w:top w:val="nil"/>
              <w:left w:val="nil"/>
              <w:bottom w:val="single" w:sz="8" w:space="0" w:color="000000"/>
              <w:right w:val="nil"/>
            </w:tcBorders>
            <w:shd w:val="clear" w:color="auto" w:fill="auto"/>
            <w:hideMark/>
          </w:tcPr>
          <w:p w14:paraId="2868B2B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N=362; Student;Convenience sample</w:t>
            </w:r>
          </w:p>
        </w:tc>
        <w:tc>
          <w:tcPr>
            <w:tcW w:w="475" w:type="dxa"/>
            <w:vMerge w:val="restart"/>
            <w:tcBorders>
              <w:top w:val="nil"/>
              <w:left w:val="nil"/>
              <w:bottom w:val="single" w:sz="8" w:space="0" w:color="000000"/>
              <w:right w:val="nil"/>
            </w:tcBorders>
            <w:shd w:val="clear" w:color="auto" w:fill="auto"/>
            <w:hideMark/>
          </w:tcPr>
          <w:p w14:paraId="539D2F8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362</w:t>
            </w:r>
          </w:p>
        </w:tc>
        <w:tc>
          <w:tcPr>
            <w:tcW w:w="2109" w:type="dxa"/>
            <w:vMerge w:val="restart"/>
            <w:tcBorders>
              <w:top w:val="nil"/>
              <w:left w:val="nil"/>
              <w:bottom w:val="single" w:sz="8" w:space="0" w:color="000000"/>
              <w:right w:val="nil"/>
            </w:tcBorders>
            <w:shd w:val="clear" w:color="auto" w:fill="auto"/>
            <w:hideMark/>
          </w:tcPr>
          <w:p w14:paraId="50365E4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Physical/FD; physical abnormality</w:t>
            </w:r>
          </w:p>
        </w:tc>
        <w:tc>
          <w:tcPr>
            <w:tcW w:w="1831" w:type="dxa"/>
            <w:vMerge w:val="restart"/>
            <w:tcBorders>
              <w:top w:val="nil"/>
              <w:left w:val="nil"/>
              <w:bottom w:val="single" w:sz="8" w:space="0" w:color="000000"/>
              <w:right w:val="nil"/>
            </w:tcBorders>
            <w:shd w:val="clear" w:color="auto" w:fill="auto"/>
            <w:hideMark/>
          </w:tcPr>
          <w:p w14:paraId="50CCE2F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dot-probe task (S1) and error rate-Memory test (S2)</w:t>
            </w:r>
          </w:p>
        </w:tc>
        <w:tc>
          <w:tcPr>
            <w:tcW w:w="1442" w:type="dxa"/>
            <w:tcBorders>
              <w:top w:val="nil"/>
              <w:left w:val="nil"/>
              <w:bottom w:val="nil"/>
              <w:right w:val="nil"/>
            </w:tcBorders>
            <w:shd w:val="clear" w:color="auto" w:fill="auto"/>
            <w:hideMark/>
          </w:tcPr>
          <w:p w14:paraId="5F2C685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hold</w:t>
            </w:r>
            <w:r w:rsidR="00B32D9C">
              <w:rPr>
                <w:rFonts w:eastAsia="Times New Roman"/>
                <w:sz w:val="20"/>
                <w:szCs w:val="20"/>
              </w:rPr>
              <w:t>s</w:t>
            </w:r>
            <w:r w:rsidRPr="00493986">
              <w:rPr>
                <w:rFonts w:eastAsia="Times New Roman"/>
                <w:sz w:val="20"/>
                <w:szCs w:val="20"/>
              </w:rPr>
              <w:t xml:space="preserve"> disease-sensitive perceivers’ attention for longer, however</w:t>
            </w:r>
            <w:r w:rsidR="00B32D9C">
              <w:rPr>
                <w:rFonts w:eastAsia="Times New Roman"/>
                <w:sz w:val="20"/>
                <w:szCs w:val="20"/>
              </w:rPr>
              <w:t>,</w:t>
            </w:r>
            <w:r w:rsidRPr="00493986">
              <w:rPr>
                <w:rFonts w:eastAsia="Times New Roman"/>
                <w:sz w:val="20"/>
                <w:szCs w:val="20"/>
              </w:rPr>
              <w:t xml:space="preserve"> targets are not well remembered</w:t>
            </w:r>
          </w:p>
        </w:tc>
      </w:tr>
      <w:tr w:rsidR="00493986" w:rsidRPr="00493986" w14:paraId="7339ADF6" w14:textId="77777777" w:rsidTr="00493986">
        <w:trPr>
          <w:trHeight w:val="1060"/>
        </w:trPr>
        <w:tc>
          <w:tcPr>
            <w:tcW w:w="1443" w:type="dxa"/>
            <w:vMerge/>
            <w:tcBorders>
              <w:top w:val="nil"/>
              <w:left w:val="nil"/>
              <w:bottom w:val="single" w:sz="8" w:space="0" w:color="000000"/>
              <w:right w:val="nil"/>
            </w:tcBorders>
            <w:vAlign w:val="center"/>
            <w:hideMark/>
          </w:tcPr>
          <w:p w14:paraId="61033DF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546CA29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66A74D3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3B4AB55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3C1C7DF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2C1923A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5B799CF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6387FE7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*Longer attention is not associated with longer memory recall in the case of FD.</w:t>
            </w:r>
          </w:p>
        </w:tc>
      </w:tr>
      <w:tr w:rsidR="00493986" w:rsidRPr="00493986" w14:paraId="161A1377" w14:textId="77777777" w:rsidTr="00493986">
        <w:trPr>
          <w:trHeight w:val="1350"/>
        </w:trPr>
        <w:tc>
          <w:tcPr>
            <w:tcW w:w="1443" w:type="dxa"/>
            <w:vMerge w:val="restart"/>
            <w:tcBorders>
              <w:top w:val="nil"/>
              <w:left w:val="nil"/>
              <w:bottom w:val="single" w:sz="8" w:space="0" w:color="000000"/>
              <w:right w:val="nil"/>
            </w:tcBorders>
            <w:shd w:val="clear" w:color="auto" w:fill="auto"/>
            <w:hideMark/>
          </w:tcPr>
          <w:p w14:paraId="06D39FF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Blascovich et al., 2001</w:t>
            </w:r>
          </w:p>
        </w:tc>
        <w:tc>
          <w:tcPr>
            <w:tcW w:w="1076" w:type="dxa"/>
            <w:vMerge w:val="restart"/>
            <w:tcBorders>
              <w:top w:val="nil"/>
              <w:left w:val="nil"/>
              <w:bottom w:val="single" w:sz="8" w:space="0" w:color="000000"/>
              <w:right w:val="nil"/>
            </w:tcBorders>
            <w:shd w:val="clear" w:color="auto" w:fill="auto"/>
            <w:hideMark/>
          </w:tcPr>
          <w:p w14:paraId="7FABB7D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vMerge w:val="restart"/>
            <w:tcBorders>
              <w:top w:val="nil"/>
              <w:left w:val="nil"/>
              <w:bottom w:val="single" w:sz="8" w:space="0" w:color="000000"/>
              <w:right w:val="nil"/>
            </w:tcBorders>
            <w:shd w:val="clear" w:color="auto" w:fill="auto"/>
            <w:hideMark/>
          </w:tcPr>
          <w:p w14:paraId="79B8A46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 A</w:t>
            </w:r>
          </w:p>
        </w:tc>
        <w:tc>
          <w:tcPr>
            <w:tcW w:w="1943" w:type="dxa"/>
            <w:vMerge w:val="restart"/>
            <w:tcBorders>
              <w:top w:val="nil"/>
              <w:left w:val="nil"/>
              <w:bottom w:val="single" w:sz="8" w:space="0" w:color="000000"/>
              <w:right w:val="nil"/>
            </w:tcBorders>
            <w:shd w:val="clear" w:color="auto" w:fill="auto"/>
            <w:hideMark/>
          </w:tcPr>
          <w:p w14:paraId="3B87A91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N=76; Students; Convenience sample</w:t>
            </w:r>
          </w:p>
        </w:tc>
        <w:tc>
          <w:tcPr>
            <w:tcW w:w="475" w:type="dxa"/>
            <w:vMerge w:val="restart"/>
            <w:tcBorders>
              <w:top w:val="nil"/>
              <w:left w:val="nil"/>
              <w:bottom w:val="single" w:sz="8" w:space="0" w:color="000000"/>
              <w:right w:val="nil"/>
            </w:tcBorders>
            <w:shd w:val="clear" w:color="auto" w:fill="auto"/>
            <w:hideMark/>
          </w:tcPr>
          <w:p w14:paraId="5E6F58B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76</w:t>
            </w:r>
          </w:p>
        </w:tc>
        <w:tc>
          <w:tcPr>
            <w:tcW w:w="2109" w:type="dxa"/>
            <w:vMerge w:val="restart"/>
            <w:tcBorders>
              <w:top w:val="nil"/>
              <w:left w:val="nil"/>
              <w:bottom w:val="single" w:sz="8" w:space="0" w:color="000000"/>
              <w:right w:val="nil"/>
            </w:tcBorders>
            <w:shd w:val="clear" w:color="auto" w:fill="auto"/>
            <w:hideMark/>
          </w:tcPr>
          <w:p w14:paraId="70ABFBA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Facial/physical stigma; Facial birthmark</w:t>
            </w:r>
          </w:p>
        </w:tc>
        <w:tc>
          <w:tcPr>
            <w:tcW w:w="1831" w:type="dxa"/>
            <w:vMerge w:val="restart"/>
            <w:tcBorders>
              <w:top w:val="nil"/>
              <w:left w:val="nil"/>
              <w:bottom w:val="single" w:sz="8" w:space="0" w:color="000000"/>
              <w:right w:val="nil"/>
            </w:tcBorders>
            <w:shd w:val="clear" w:color="auto" w:fill="auto"/>
            <w:hideMark/>
          </w:tcPr>
          <w:p w14:paraId="10E27AA8" w14:textId="394EDEE0"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Psychophysiological measures, behavioural and Self-report ratings (s1 &amp; s2). </w:t>
            </w:r>
          </w:p>
        </w:tc>
        <w:tc>
          <w:tcPr>
            <w:tcW w:w="1442" w:type="dxa"/>
            <w:tcBorders>
              <w:top w:val="nil"/>
              <w:left w:val="nil"/>
              <w:bottom w:val="nil"/>
              <w:right w:val="nil"/>
            </w:tcBorders>
            <w:shd w:val="clear" w:color="auto" w:fill="auto"/>
            <w:hideMark/>
          </w:tcPr>
          <w:p w14:paraId="5B88470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*Participants show threat-like responses when interacting with FD (Cardiovascular reactivity)</w:t>
            </w:r>
          </w:p>
        </w:tc>
      </w:tr>
      <w:tr w:rsidR="00493986" w:rsidRPr="00493986" w14:paraId="4DF0CF75" w14:textId="77777777" w:rsidTr="00493986">
        <w:trPr>
          <w:trHeight w:val="2110"/>
        </w:trPr>
        <w:tc>
          <w:tcPr>
            <w:tcW w:w="1443" w:type="dxa"/>
            <w:vMerge/>
            <w:tcBorders>
              <w:top w:val="nil"/>
              <w:left w:val="nil"/>
              <w:bottom w:val="single" w:sz="8" w:space="0" w:color="000000"/>
              <w:right w:val="nil"/>
            </w:tcBorders>
            <w:vAlign w:val="center"/>
            <w:hideMark/>
          </w:tcPr>
          <w:p w14:paraId="016984F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481F9FB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003E5BF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7359D72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58A10D7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358EDCA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44B402F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nil"/>
              <w:right w:val="nil"/>
            </w:tcBorders>
            <w:shd w:val="clear" w:color="auto" w:fill="auto"/>
            <w:hideMark/>
          </w:tcPr>
          <w:p w14:paraId="48E32AE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*Self-report measures were mostly non-significant, but those interacting with a FD confederate rated their </w:t>
            </w:r>
            <w:r w:rsidRPr="00493986">
              <w:rPr>
                <w:rFonts w:eastAsia="Times New Roman"/>
                <w:sz w:val="20"/>
                <w:szCs w:val="20"/>
              </w:rPr>
              <w:lastRenderedPageBreak/>
              <w:t xml:space="preserve">partners' </w:t>
            </w:r>
            <w:r w:rsidR="00B32D9C">
              <w:rPr>
                <w:rFonts w:eastAsia="Times New Roman"/>
                <w:sz w:val="20"/>
                <w:szCs w:val="20"/>
              </w:rPr>
              <w:t>performance</w:t>
            </w:r>
            <w:r w:rsidRPr="00493986">
              <w:rPr>
                <w:rFonts w:eastAsia="Times New Roman"/>
                <w:sz w:val="20"/>
                <w:szCs w:val="20"/>
              </w:rPr>
              <w:t xml:space="preserve"> more positively than controls.</w:t>
            </w:r>
          </w:p>
        </w:tc>
      </w:tr>
      <w:tr w:rsidR="00493986" w:rsidRPr="00493986" w14:paraId="407895CB" w14:textId="77777777" w:rsidTr="00493986">
        <w:trPr>
          <w:trHeight w:val="920"/>
        </w:trPr>
        <w:tc>
          <w:tcPr>
            <w:tcW w:w="1443" w:type="dxa"/>
            <w:vMerge/>
            <w:tcBorders>
              <w:top w:val="nil"/>
              <w:left w:val="nil"/>
              <w:bottom w:val="single" w:sz="8" w:space="0" w:color="000000"/>
              <w:right w:val="nil"/>
            </w:tcBorders>
            <w:vAlign w:val="center"/>
            <w:hideMark/>
          </w:tcPr>
          <w:p w14:paraId="2A538D8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626A301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1EC3C25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5703513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3550252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5EAEA93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6D9E0DC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6383559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*Controls exhibited challenge pattern of cardiovascular reactivity.</w:t>
            </w:r>
          </w:p>
        </w:tc>
      </w:tr>
      <w:tr w:rsidR="00493986" w:rsidRPr="00493986" w14:paraId="0946D3AB" w14:textId="77777777" w:rsidTr="00493986">
        <w:trPr>
          <w:trHeight w:val="1580"/>
        </w:trPr>
        <w:tc>
          <w:tcPr>
            <w:tcW w:w="1443" w:type="dxa"/>
            <w:vMerge w:val="restart"/>
            <w:tcBorders>
              <w:top w:val="nil"/>
              <w:left w:val="nil"/>
              <w:bottom w:val="single" w:sz="8" w:space="0" w:color="000000"/>
              <w:right w:val="nil"/>
            </w:tcBorders>
            <w:shd w:val="clear" w:color="auto" w:fill="auto"/>
            <w:hideMark/>
          </w:tcPr>
          <w:p w14:paraId="6D176F3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Bodunde et al., 2016</w:t>
            </w:r>
          </w:p>
        </w:tc>
        <w:tc>
          <w:tcPr>
            <w:tcW w:w="1076" w:type="dxa"/>
            <w:vMerge w:val="restart"/>
            <w:tcBorders>
              <w:top w:val="nil"/>
              <w:left w:val="nil"/>
              <w:bottom w:val="single" w:sz="8" w:space="0" w:color="000000"/>
              <w:right w:val="nil"/>
            </w:tcBorders>
            <w:shd w:val="clear" w:color="auto" w:fill="auto"/>
            <w:hideMark/>
          </w:tcPr>
          <w:p w14:paraId="3711EB4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Nigeria</w:t>
            </w:r>
          </w:p>
        </w:tc>
        <w:tc>
          <w:tcPr>
            <w:tcW w:w="619" w:type="dxa"/>
            <w:vMerge w:val="restart"/>
            <w:tcBorders>
              <w:top w:val="nil"/>
              <w:left w:val="nil"/>
              <w:bottom w:val="single" w:sz="8" w:space="0" w:color="000000"/>
              <w:right w:val="nil"/>
            </w:tcBorders>
            <w:shd w:val="clear" w:color="auto" w:fill="auto"/>
            <w:hideMark/>
          </w:tcPr>
          <w:p w14:paraId="457C682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K, A</w:t>
            </w:r>
          </w:p>
        </w:tc>
        <w:tc>
          <w:tcPr>
            <w:tcW w:w="1943" w:type="dxa"/>
            <w:vMerge w:val="restart"/>
            <w:tcBorders>
              <w:top w:val="nil"/>
              <w:left w:val="nil"/>
              <w:bottom w:val="single" w:sz="8" w:space="0" w:color="000000"/>
              <w:right w:val="nil"/>
            </w:tcBorders>
            <w:shd w:val="clear" w:color="auto" w:fill="auto"/>
            <w:hideMark/>
          </w:tcPr>
          <w:p w14:paraId="50B453B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N=139; Public; Snowball sampling</w:t>
            </w:r>
          </w:p>
        </w:tc>
        <w:tc>
          <w:tcPr>
            <w:tcW w:w="475" w:type="dxa"/>
            <w:vMerge w:val="restart"/>
            <w:tcBorders>
              <w:top w:val="nil"/>
              <w:left w:val="nil"/>
              <w:bottom w:val="single" w:sz="8" w:space="0" w:color="000000"/>
              <w:right w:val="nil"/>
            </w:tcBorders>
            <w:shd w:val="clear" w:color="auto" w:fill="auto"/>
            <w:hideMark/>
          </w:tcPr>
          <w:p w14:paraId="30FC927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139</w:t>
            </w:r>
          </w:p>
        </w:tc>
        <w:tc>
          <w:tcPr>
            <w:tcW w:w="2109" w:type="dxa"/>
            <w:vMerge w:val="restart"/>
            <w:tcBorders>
              <w:top w:val="nil"/>
              <w:left w:val="nil"/>
              <w:bottom w:val="single" w:sz="8" w:space="0" w:color="000000"/>
              <w:right w:val="nil"/>
            </w:tcBorders>
            <w:shd w:val="clear" w:color="auto" w:fill="auto"/>
            <w:hideMark/>
          </w:tcPr>
          <w:p w14:paraId="648C745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Strabismus</w:t>
            </w:r>
          </w:p>
        </w:tc>
        <w:tc>
          <w:tcPr>
            <w:tcW w:w="1831" w:type="dxa"/>
            <w:vMerge w:val="restart"/>
            <w:tcBorders>
              <w:top w:val="nil"/>
              <w:left w:val="nil"/>
              <w:bottom w:val="single" w:sz="8" w:space="0" w:color="000000"/>
              <w:right w:val="nil"/>
            </w:tcBorders>
            <w:shd w:val="clear" w:color="auto" w:fill="auto"/>
            <w:hideMark/>
          </w:tcPr>
          <w:p w14:paraId="7B57160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qualitative descriptive; Focus groups </w:t>
            </w:r>
          </w:p>
        </w:tc>
        <w:tc>
          <w:tcPr>
            <w:tcW w:w="1442" w:type="dxa"/>
            <w:tcBorders>
              <w:top w:val="nil"/>
              <w:left w:val="nil"/>
              <w:bottom w:val="single" w:sz="8" w:space="0" w:color="auto"/>
              <w:right w:val="nil"/>
            </w:tcBorders>
            <w:shd w:val="clear" w:color="auto" w:fill="auto"/>
            <w:hideMark/>
          </w:tcPr>
          <w:p w14:paraId="56F4D2C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*Participants report poor knowledge of strabismus, which negatively affects perception and acceptance of this condition</w:t>
            </w:r>
          </w:p>
        </w:tc>
      </w:tr>
      <w:tr w:rsidR="00493986" w:rsidRPr="00493986" w14:paraId="230008BF" w14:textId="77777777" w:rsidTr="00493986">
        <w:trPr>
          <w:trHeight w:val="1550"/>
        </w:trPr>
        <w:tc>
          <w:tcPr>
            <w:tcW w:w="1443" w:type="dxa"/>
            <w:vMerge/>
            <w:tcBorders>
              <w:top w:val="nil"/>
              <w:left w:val="nil"/>
              <w:bottom w:val="single" w:sz="8" w:space="0" w:color="000000"/>
              <w:right w:val="nil"/>
            </w:tcBorders>
            <w:vAlign w:val="center"/>
            <w:hideMark/>
          </w:tcPr>
          <w:p w14:paraId="7D33038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291AA1D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7DC07D1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5C8AD09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5470FB6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0D69BAB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2C2CFAF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54A397B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*Accessing health care and treatment amongst individuals with strabismus is hindered by stigma towards the condition.</w:t>
            </w:r>
          </w:p>
        </w:tc>
      </w:tr>
      <w:tr w:rsidR="00493986" w:rsidRPr="00493986" w14:paraId="155F4DC8" w14:textId="77777777" w:rsidTr="00493986">
        <w:trPr>
          <w:trHeight w:val="1010"/>
        </w:trPr>
        <w:tc>
          <w:tcPr>
            <w:tcW w:w="1443" w:type="dxa"/>
            <w:tcBorders>
              <w:top w:val="nil"/>
              <w:left w:val="nil"/>
              <w:bottom w:val="single" w:sz="8" w:space="0" w:color="auto"/>
              <w:right w:val="nil"/>
            </w:tcBorders>
            <w:shd w:val="clear" w:color="auto" w:fill="auto"/>
            <w:hideMark/>
          </w:tcPr>
          <w:p w14:paraId="535C42E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Bogart &amp; Tickle-Degnen, 2015</w:t>
            </w:r>
          </w:p>
        </w:tc>
        <w:tc>
          <w:tcPr>
            <w:tcW w:w="1076" w:type="dxa"/>
            <w:tcBorders>
              <w:top w:val="nil"/>
              <w:left w:val="nil"/>
              <w:bottom w:val="single" w:sz="8" w:space="0" w:color="auto"/>
              <w:right w:val="nil"/>
            </w:tcBorders>
            <w:shd w:val="clear" w:color="auto" w:fill="auto"/>
            <w:hideMark/>
          </w:tcPr>
          <w:p w14:paraId="157E941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tcBorders>
              <w:top w:val="nil"/>
              <w:left w:val="nil"/>
              <w:bottom w:val="single" w:sz="8" w:space="0" w:color="auto"/>
              <w:right w:val="nil"/>
            </w:tcBorders>
            <w:shd w:val="clear" w:color="auto" w:fill="auto"/>
            <w:hideMark/>
          </w:tcPr>
          <w:p w14:paraId="34052FB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Int</w:t>
            </w:r>
          </w:p>
        </w:tc>
        <w:tc>
          <w:tcPr>
            <w:tcW w:w="1943" w:type="dxa"/>
            <w:tcBorders>
              <w:top w:val="nil"/>
              <w:left w:val="nil"/>
              <w:bottom w:val="single" w:sz="8" w:space="0" w:color="auto"/>
              <w:right w:val="nil"/>
            </w:tcBorders>
            <w:shd w:val="clear" w:color="auto" w:fill="auto"/>
            <w:hideMark/>
          </w:tcPr>
          <w:p w14:paraId="46038F9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N=110; Student; convenience sample</w:t>
            </w:r>
          </w:p>
        </w:tc>
        <w:tc>
          <w:tcPr>
            <w:tcW w:w="475" w:type="dxa"/>
            <w:tcBorders>
              <w:top w:val="nil"/>
              <w:left w:val="nil"/>
              <w:bottom w:val="single" w:sz="8" w:space="0" w:color="auto"/>
              <w:right w:val="nil"/>
            </w:tcBorders>
            <w:shd w:val="clear" w:color="auto" w:fill="auto"/>
            <w:hideMark/>
          </w:tcPr>
          <w:p w14:paraId="11A94C9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110</w:t>
            </w:r>
          </w:p>
        </w:tc>
        <w:tc>
          <w:tcPr>
            <w:tcW w:w="2109" w:type="dxa"/>
            <w:tcBorders>
              <w:top w:val="nil"/>
              <w:left w:val="nil"/>
              <w:bottom w:val="single" w:sz="8" w:space="0" w:color="auto"/>
              <w:right w:val="nil"/>
            </w:tcBorders>
            <w:shd w:val="clear" w:color="auto" w:fill="auto"/>
            <w:hideMark/>
          </w:tcPr>
          <w:p w14:paraId="26ECB69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difference/Facial paralysis</w:t>
            </w:r>
          </w:p>
        </w:tc>
        <w:tc>
          <w:tcPr>
            <w:tcW w:w="1831" w:type="dxa"/>
            <w:tcBorders>
              <w:top w:val="nil"/>
              <w:left w:val="nil"/>
              <w:bottom w:val="single" w:sz="8" w:space="0" w:color="auto"/>
              <w:right w:val="nil"/>
            </w:tcBorders>
            <w:shd w:val="clear" w:color="auto" w:fill="auto"/>
            <w:hideMark/>
          </w:tcPr>
          <w:p w14:paraId="6225A85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Rating scales on level of extraversion</w:t>
            </w:r>
          </w:p>
        </w:tc>
        <w:tc>
          <w:tcPr>
            <w:tcW w:w="1442" w:type="dxa"/>
            <w:tcBorders>
              <w:top w:val="nil"/>
              <w:left w:val="nil"/>
              <w:bottom w:val="single" w:sz="8" w:space="0" w:color="auto"/>
              <w:right w:val="nil"/>
            </w:tcBorders>
            <w:shd w:val="clear" w:color="auto" w:fill="auto"/>
            <w:hideMark/>
          </w:tcPr>
          <w:p w14:paraId="59B87B4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*Education and media strategies improve bias towards FD.</w:t>
            </w:r>
          </w:p>
        </w:tc>
      </w:tr>
      <w:tr w:rsidR="00493986" w:rsidRPr="00493986" w14:paraId="18E99D54" w14:textId="77777777" w:rsidTr="00493986">
        <w:trPr>
          <w:trHeight w:val="1760"/>
        </w:trPr>
        <w:tc>
          <w:tcPr>
            <w:tcW w:w="1443" w:type="dxa"/>
            <w:tcBorders>
              <w:top w:val="nil"/>
              <w:left w:val="nil"/>
              <w:bottom w:val="single" w:sz="8" w:space="0" w:color="auto"/>
              <w:right w:val="nil"/>
            </w:tcBorders>
            <w:shd w:val="clear" w:color="auto" w:fill="auto"/>
            <w:hideMark/>
          </w:tcPr>
          <w:p w14:paraId="0437C17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Bull &amp; Brooking, 1985</w:t>
            </w:r>
          </w:p>
        </w:tc>
        <w:tc>
          <w:tcPr>
            <w:tcW w:w="1076" w:type="dxa"/>
            <w:tcBorders>
              <w:top w:val="nil"/>
              <w:left w:val="nil"/>
              <w:bottom w:val="single" w:sz="8" w:space="0" w:color="auto"/>
              <w:right w:val="nil"/>
            </w:tcBorders>
            <w:shd w:val="clear" w:color="auto" w:fill="auto"/>
            <w:hideMark/>
          </w:tcPr>
          <w:p w14:paraId="6A056A2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tcBorders>
              <w:top w:val="nil"/>
              <w:left w:val="nil"/>
              <w:bottom w:val="single" w:sz="8" w:space="0" w:color="auto"/>
              <w:right w:val="nil"/>
            </w:tcBorders>
            <w:shd w:val="clear" w:color="auto" w:fill="auto"/>
            <w:hideMark/>
          </w:tcPr>
          <w:p w14:paraId="6CC5A93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tcBorders>
              <w:top w:val="nil"/>
              <w:left w:val="nil"/>
              <w:bottom w:val="single" w:sz="8" w:space="0" w:color="auto"/>
              <w:right w:val="nil"/>
            </w:tcBorders>
            <w:shd w:val="clear" w:color="auto" w:fill="auto"/>
            <w:hideMark/>
          </w:tcPr>
          <w:p w14:paraId="75FA71E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N=60; Student; convenience sample</w:t>
            </w:r>
          </w:p>
        </w:tc>
        <w:tc>
          <w:tcPr>
            <w:tcW w:w="475" w:type="dxa"/>
            <w:tcBorders>
              <w:top w:val="nil"/>
              <w:left w:val="nil"/>
              <w:bottom w:val="single" w:sz="8" w:space="0" w:color="auto"/>
              <w:right w:val="nil"/>
            </w:tcBorders>
            <w:shd w:val="clear" w:color="auto" w:fill="auto"/>
            <w:hideMark/>
          </w:tcPr>
          <w:p w14:paraId="23F0CF1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60</w:t>
            </w:r>
          </w:p>
        </w:tc>
        <w:tc>
          <w:tcPr>
            <w:tcW w:w="2109" w:type="dxa"/>
            <w:tcBorders>
              <w:top w:val="nil"/>
              <w:left w:val="nil"/>
              <w:bottom w:val="single" w:sz="8" w:space="0" w:color="auto"/>
              <w:right w:val="nil"/>
            </w:tcBorders>
            <w:shd w:val="clear" w:color="auto" w:fill="auto"/>
            <w:hideMark/>
          </w:tcPr>
          <w:p w14:paraId="684557E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deformity/disfigurement</w:t>
            </w:r>
          </w:p>
        </w:tc>
        <w:tc>
          <w:tcPr>
            <w:tcW w:w="1831" w:type="dxa"/>
            <w:tcBorders>
              <w:top w:val="nil"/>
              <w:left w:val="nil"/>
              <w:bottom w:val="single" w:sz="8" w:space="0" w:color="auto"/>
              <w:right w:val="nil"/>
            </w:tcBorders>
            <w:shd w:val="clear" w:color="auto" w:fill="auto"/>
            <w:hideMark/>
          </w:tcPr>
          <w:p w14:paraId="474B369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Ratings on target's personality traits</w:t>
            </w:r>
          </w:p>
        </w:tc>
        <w:tc>
          <w:tcPr>
            <w:tcW w:w="1442" w:type="dxa"/>
            <w:tcBorders>
              <w:top w:val="nil"/>
              <w:left w:val="nil"/>
              <w:bottom w:val="single" w:sz="8" w:space="0" w:color="auto"/>
              <w:right w:val="nil"/>
            </w:tcBorders>
            <w:shd w:val="clear" w:color="auto" w:fill="auto"/>
            <w:hideMark/>
          </w:tcPr>
          <w:p w14:paraId="2B7A966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influence ratings on attractiveness on males. However</w:t>
            </w:r>
            <w:r w:rsidR="00B32D9C">
              <w:rPr>
                <w:rFonts w:eastAsia="Times New Roman"/>
                <w:sz w:val="20"/>
                <w:szCs w:val="20"/>
              </w:rPr>
              <w:t>,</w:t>
            </w:r>
            <w:r w:rsidRPr="00493986">
              <w:rPr>
                <w:rFonts w:eastAsia="Times New Roman"/>
                <w:sz w:val="20"/>
                <w:szCs w:val="20"/>
              </w:rPr>
              <w:t xml:space="preserve"> when </w:t>
            </w:r>
            <w:r w:rsidR="00B32D9C">
              <w:rPr>
                <w:rFonts w:eastAsia="Times New Roman"/>
                <w:sz w:val="20"/>
                <w:szCs w:val="20"/>
              </w:rPr>
              <w:t>they</w:t>
            </w:r>
            <w:r w:rsidRPr="00493986">
              <w:rPr>
                <w:rFonts w:eastAsia="Times New Roman"/>
                <w:sz w:val="20"/>
                <w:szCs w:val="20"/>
              </w:rPr>
              <w:t xml:space="preserve"> w</w:t>
            </w:r>
            <w:r w:rsidR="00B32D9C">
              <w:rPr>
                <w:rFonts w:eastAsia="Times New Roman"/>
                <w:sz w:val="20"/>
                <w:szCs w:val="20"/>
              </w:rPr>
              <w:t>ere</w:t>
            </w:r>
            <w:r w:rsidRPr="00493986">
              <w:rPr>
                <w:rFonts w:eastAsia="Times New Roman"/>
                <w:sz w:val="20"/>
                <w:szCs w:val="20"/>
              </w:rPr>
              <w:t xml:space="preserve"> believed to married to an attractive female the male was rated to be more attractive. </w:t>
            </w:r>
          </w:p>
        </w:tc>
      </w:tr>
      <w:tr w:rsidR="00493986" w:rsidRPr="00493986" w14:paraId="716CAA05" w14:textId="77777777" w:rsidTr="00493986">
        <w:trPr>
          <w:trHeight w:val="1000"/>
        </w:trPr>
        <w:tc>
          <w:tcPr>
            <w:tcW w:w="1443" w:type="dxa"/>
            <w:vMerge w:val="restart"/>
            <w:tcBorders>
              <w:top w:val="nil"/>
              <w:left w:val="nil"/>
              <w:bottom w:val="single" w:sz="8" w:space="0" w:color="000000"/>
              <w:right w:val="nil"/>
            </w:tcBorders>
            <w:shd w:val="clear" w:color="auto" w:fill="auto"/>
            <w:hideMark/>
          </w:tcPr>
          <w:p w14:paraId="55456F2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Bull &amp; David, 1986</w:t>
            </w:r>
          </w:p>
        </w:tc>
        <w:tc>
          <w:tcPr>
            <w:tcW w:w="1076" w:type="dxa"/>
            <w:vMerge w:val="restart"/>
            <w:tcBorders>
              <w:top w:val="nil"/>
              <w:left w:val="nil"/>
              <w:bottom w:val="single" w:sz="8" w:space="0" w:color="000000"/>
              <w:right w:val="nil"/>
            </w:tcBorders>
            <w:shd w:val="clear" w:color="auto" w:fill="auto"/>
            <w:hideMark/>
          </w:tcPr>
          <w:p w14:paraId="63C67B5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UK/Nigeria</w:t>
            </w:r>
          </w:p>
        </w:tc>
        <w:tc>
          <w:tcPr>
            <w:tcW w:w="619" w:type="dxa"/>
            <w:vMerge w:val="restart"/>
            <w:tcBorders>
              <w:top w:val="nil"/>
              <w:left w:val="nil"/>
              <w:bottom w:val="single" w:sz="8" w:space="0" w:color="000000"/>
              <w:right w:val="nil"/>
            </w:tcBorders>
            <w:shd w:val="clear" w:color="auto" w:fill="auto"/>
            <w:hideMark/>
          </w:tcPr>
          <w:p w14:paraId="5075C33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vMerge w:val="restart"/>
            <w:tcBorders>
              <w:top w:val="nil"/>
              <w:left w:val="nil"/>
              <w:bottom w:val="single" w:sz="8" w:space="0" w:color="000000"/>
              <w:right w:val="nil"/>
            </w:tcBorders>
            <w:shd w:val="clear" w:color="auto" w:fill="auto"/>
            <w:hideMark/>
          </w:tcPr>
          <w:p w14:paraId="50CE16C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N=96; Service providers</w:t>
            </w:r>
          </w:p>
        </w:tc>
        <w:tc>
          <w:tcPr>
            <w:tcW w:w="475" w:type="dxa"/>
            <w:vMerge w:val="restart"/>
            <w:tcBorders>
              <w:top w:val="nil"/>
              <w:left w:val="nil"/>
              <w:bottom w:val="single" w:sz="8" w:space="0" w:color="000000"/>
              <w:right w:val="nil"/>
            </w:tcBorders>
            <w:shd w:val="clear" w:color="auto" w:fill="auto"/>
            <w:hideMark/>
          </w:tcPr>
          <w:p w14:paraId="0D4D94D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96</w:t>
            </w:r>
          </w:p>
        </w:tc>
        <w:tc>
          <w:tcPr>
            <w:tcW w:w="2109" w:type="dxa"/>
            <w:vMerge w:val="restart"/>
            <w:tcBorders>
              <w:top w:val="nil"/>
              <w:left w:val="nil"/>
              <w:bottom w:val="single" w:sz="8" w:space="0" w:color="000000"/>
              <w:right w:val="nil"/>
            </w:tcBorders>
            <w:shd w:val="clear" w:color="auto" w:fill="auto"/>
            <w:hideMark/>
          </w:tcPr>
          <w:p w14:paraId="745296F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disfigured/scared</w:t>
            </w:r>
          </w:p>
        </w:tc>
        <w:tc>
          <w:tcPr>
            <w:tcW w:w="1831" w:type="dxa"/>
            <w:vMerge w:val="restart"/>
            <w:tcBorders>
              <w:top w:val="nil"/>
              <w:left w:val="nil"/>
              <w:bottom w:val="single" w:sz="8" w:space="0" w:color="000000"/>
              <w:right w:val="nil"/>
            </w:tcBorders>
            <w:shd w:val="clear" w:color="auto" w:fill="auto"/>
            <w:hideMark/>
          </w:tcPr>
          <w:p w14:paraId="1F76BD2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Ratings on target's personality traits</w:t>
            </w:r>
          </w:p>
        </w:tc>
        <w:tc>
          <w:tcPr>
            <w:tcW w:w="1442" w:type="dxa"/>
            <w:tcBorders>
              <w:top w:val="nil"/>
              <w:left w:val="nil"/>
              <w:bottom w:val="nil"/>
              <w:right w:val="nil"/>
            </w:tcBorders>
            <w:shd w:val="clear" w:color="auto" w:fill="auto"/>
            <w:hideMark/>
          </w:tcPr>
          <w:p w14:paraId="2942596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*FD targets were rated as less confident, sociable, attractive and more dishonest. </w:t>
            </w:r>
          </w:p>
        </w:tc>
      </w:tr>
      <w:tr w:rsidR="00493986" w:rsidRPr="00493986" w14:paraId="0FA74D5C" w14:textId="77777777" w:rsidTr="00493986">
        <w:trPr>
          <w:trHeight w:val="1250"/>
        </w:trPr>
        <w:tc>
          <w:tcPr>
            <w:tcW w:w="1443" w:type="dxa"/>
            <w:vMerge/>
            <w:tcBorders>
              <w:top w:val="nil"/>
              <w:left w:val="nil"/>
              <w:bottom w:val="single" w:sz="8" w:space="0" w:color="000000"/>
              <w:right w:val="nil"/>
            </w:tcBorders>
            <w:vAlign w:val="center"/>
            <w:hideMark/>
          </w:tcPr>
          <w:p w14:paraId="70C3675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1360799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7725F2A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05DB6F4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4E48B2A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55FADC4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13E081C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nil"/>
              <w:right w:val="nil"/>
            </w:tcBorders>
            <w:shd w:val="clear" w:color="auto" w:fill="auto"/>
            <w:hideMark/>
          </w:tcPr>
          <w:p w14:paraId="26E08DA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*Nigerian participants rated faces as more sincere, attractive and less unfriendly than UK raters.</w:t>
            </w:r>
          </w:p>
        </w:tc>
      </w:tr>
      <w:tr w:rsidR="00493986" w:rsidRPr="00493986" w14:paraId="2415B223" w14:textId="77777777" w:rsidTr="00493986">
        <w:trPr>
          <w:trHeight w:val="1010"/>
        </w:trPr>
        <w:tc>
          <w:tcPr>
            <w:tcW w:w="1443" w:type="dxa"/>
            <w:vMerge/>
            <w:tcBorders>
              <w:top w:val="nil"/>
              <w:left w:val="nil"/>
              <w:bottom w:val="single" w:sz="8" w:space="0" w:color="000000"/>
              <w:right w:val="nil"/>
            </w:tcBorders>
            <w:vAlign w:val="center"/>
            <w:hideMark/>
          </w:tcPr>
          <w:p w14:paraId="204F886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2630CA4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38CD177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2F099B2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1E92E59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047F90D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2CE3D1D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3AF6AB4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*Black faces were rated more attractive than white faces by both white and black raters</w:t>
            </w:r>
          </w:p>
        </w:tc>
      </w:tr>
      <w:tr w:rsidR="00493986" w:rsidRPr="00493986" w14:paraId="1B8C3C39" w14:textId="77777777" w:rsidTr="00493986">
        <w:trPr>
          <w:trHeight w:val="2370"/>
        </w:trPr>
        <w:tc>
          <w:tcPr>
            <w:tcW w:w="1443" w:type="dxa"/>
            <w:vMerge w:val="restart"/>
            <w:tcBorders>
              <w:top w:val="nil"/>
              <w:left w:val="nil"/>
              <w:bottom w:val="single" w:sz="8" w:space="0" w:color="000000"/>
              <w:right w:val="nil"/>
            </w:tcBorders>
            <w:shd w:val="clear" w:color="auto" w:fill="auto"/>
            <w:hideMark/>
          </w:tcPr>
          <w:p w14:paraId="6F5FBF6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Burris et al., 2008</w:t>
            </w:r>
          </w:p>
        </w:tc>
        <w:tc>
          <w:tcPr>
            <w:tcW w:w="1076" w:type="dxa"/>
            <w:vMerge w:val="restart"/>
            <w:tcBorders>
              <w:top w:val="nil"/>
              <w:left w:val="nil"/>
              <w:bottom w:val="single" w:sz="8" w:space="0" w:color="000000"/>
              <w:right w:val="nil"/>
            </w:tcBorders>
            <w:shd w:val="clear" w:color="auto" w:fill="auto"/>
            <w:hideMark/>
          </w:tcPr>
          <w:p w14:paraId="473ED8B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nil"/>
              <w:left w:val="nil"/>
              <w:bottom w:val="single" w:sz="8" w:space="0" w:color="000000"/>
              <w:right w:val="nil"/>
            </w:tcBorders>
            <w:shd w:val="clear" w:color="auto" w:fill="auto"/>
            <w:hideMark/>
          </w:tcPr>
          <w:p w14:paraId="510BC4F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vMerge w:val="restart"/>
            <w:tcBorders>
              <w:top w:val="nil"/>
              <w:left w:val="nil"/>
              <w:bottom w:val="single" w:sz="8" w:space="0" w:color="000000"/>
              <w:right w:val="nil"/>
            </w:tcBorders>
            <w:shd w:val="clear" w:color="auto" w:fill="auto"/>
            <w:hideMark/>
          </w:tcPr>
          <w:p w14:paraId="4B8FCFD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N=179; Student; convenience sample</w:t>
            </w:r>
          </w:p>
        </w:tc>
        <w:tc>
          <w:tcPr>
            <w:tcW w:w="475" w:type="dxa"/>
            <w:vMerge w:val="restart"/>
            <w:tcBorders>
              <w:top w:val="nil"/>
              <w:left w:val="nil"/>
              <w:bottom w:val="single" w:sz="8" w:space="0" w:color="000000"/>
              <w:right w:val="nil"/>
            </w:tcBorders>
            <w:shd w:val="clear" w:color="auto" w:fill="auto"/>
            <w:hideMark/>
          </w:tcPr>
          <w:p w14:paraId="6725F12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179</w:t>
            </w:r>
          </w:p>
        </w:tc>
        <w:tc>
          <w:tcPr>
            <w:tcW w:w="2109" w:type="dxa"/>
            <w:vMerge w:val="restart"/>
            <w:tcBorders>
              <w:top w:val="nil"/>
              <w:left w:val="nil"/>
              <w:bottom w:val="single" w:sz="8" w:space="0" w:color="000000"/>
              <w:right w:val="nil"/>
            </w:tcBorders>
            <w:shd w:val="clear" w:color="auto" w:fill="auto"/>
            <w:hideMark/>
          </w:tcPr>
          <w:p w14:paraId="35A0606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scarring/disfigurement/ Deformity</w:t>
            </w:r>
          </w:p>
        </w:tc>
        <w:tc>
          <w:tcPr>
            <w:tcW w:w="1831" w:type="dxa"/>
            <w:vMerge w:val="restart"/>
            <w:tcBorders>
              <w:top w:val="nil"/>
              <w:left w:val="nil"/>
              <w:bottom w:val="single" w:sz="8" w:space="0" w:color="000000"/>
              <w:right w:val="nil"/>
            </w:tcBorders>
            <w:shd w:val="clear" w:color="auto" w:fill="auto"/>
            <w:hideMark/>
          </w:tcPr>
          <w:p w14:paraId="649EE1A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Perceived cause of disfigurement; ratings of attractiveness</w:t>
            </w:r>
          </w:p>
        </w:tc>
        <w:tc>
          <w:tcPr>
            <w:tcW w:w="1442" w:type="dxa"/>
            <w:tcBorders>
              <w:top w:val="nil"/>
              <w:left w:val="nil"/>
              <w:bottom w:val="single" w:sz="4" w:space="0" w:color="auto"/>
              <w:right w:val="nil"/>
            </w:tcBorders>
            <w:shd w:val="clear" w:color="auto" w:fill="auto"/>
            <w:hideMark/>
          </w:tcPr>
          <w:p w14:paraId="3E42964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*Higher ratings of attractiveness were given to scarred males but only for short-termed relationships. Men did not rate women differently in the presence or absence of scars.</w:t>
            </w:r>
          </w:p>
        </w:tc>
      </w:tr>
      <w:tr w:rsidR="00493986" w:rsidRPr="00493986" w14:paraId="1385A4BD" w14:textId="77777777" w:rsidTr="00493986">
        <w:trPr>
          <w:trHeight w:val="2020"/>
        </w:trPr>
        <w:tc>
          <w:tcPr>
            <w:tcW w:w="1443" w:type="dxa"/>
            <w:vMerge/>
            <w:tcBorders>
              <w:top w:val="nil"/>
              <w:left w:val="nil"/>
              <w:bottom w:val="single" w:sz="8" w:space="0" w:color="000000"/>
              <w:right w:val="nil"/>
            </w:tcBorders>
            <w:vAlign w:val="center"/>
            <w:hideMark/>
          </w:tcPr>
          <w:p w14:paraId="6DEF180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087A46D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55FBC49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36B2FBE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0B76953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5F47906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577BEAC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47EABDF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*The presence of scars in males might be associated with information (virility, risk-prone behaviour) about its male bearers that make them more attractive</w:t>
            </w:r>
          </w:p>
        </w:tc>
      </w:tr>
      <w:tr w:rsidR="00493986" w:rsidRPr="00493986" w14:paraId="38167F5F" w14:textId="77777777" w:rsidTr="00493986">
        <w:trPr>
          <w:trHeight w:val="3050"/>
        </w:trPr>
        <w:tc>
          <w:tcPr>
            <w:tcW w:w="1443" w:type="dxa"/>
            <w:tcBorders>
              <w:top w:val="nil"/>
              <w:left w:val="nil"/>
              <w:bottom w:val="single" w:sz="8" w:space="0" w:color="auto"/>
              <w:right w:val="nil"/>
            </w:tcBorders>
            <w:shd w:val="clear" w:color="auto" w:fill="auto"/>
            <w:hideMark/>
          </w:tcPr>
          <w:p w14:paraId="090DA68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Dijkter et al., 2000</w:t>
            </w:r>
          </w:p>
        </w:tc>
        <w:tc>
          <w:tcPr>
            <w:tcW w:w="1076" w:type="dxa"/>
            <w:tcBorders>
              <w:top w:val="nil"/>
              <w:left w:val="nil"/>
              <w:bottom w:val="single" w:sz="8" w:space="0" w:color="auto"/>
              <w:right w:val="nil"/>
            </w:tcBorders>
            <w:shd w:val="clear" w:color="auto" w:fill="auto"/>
            <w:hideMark/>
          </w:tcPr>
          <w:p w14:paraId="6BB94D0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NE</w:t>
            </w:r>
          </w:p>
        </w:tc>
        <w:tc>
          <w:tcPr>
            <w:tcW w:w="619" w:type="dxa"/>
            <w:tcBorders>
              <w:top w:val="nil"/>
              <w:left w:val="nil"/>
              <w:bottom w:val="single" w:sz="8" w:space="0" w:color="auto"/>
              <w:right w:val="nil"/>
            </w:tcBorders>
            <w:shd w:val="clear" w:color="auto" w:fill="auto"/>
            <w:hideMark/>
          </w:tcPr>
          <w:p w14:paraId="3ECDA95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tcBorders>
              <w:top w:val="nil"/>
              <w:left w:val="nil"/>
              <w:bottom w:val="single" w:sz="8" w:space="0" w:color="auto"/>
              <w:right w:val="nil"/>
            </w:tcBorders>
            <w:shd w:val="clear" w:color="auto" w:fill="auto"/>
            <w:hideMark/>
          </w:tcPr>
          <w:p w14:paraId="72E547E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N=242; Student; Convenience sample</w:t>
            </w:r>
          </w:p>
        </w:tc>
        <w:tc>
          <w:tcPr>
            <w:tcW w:w="475" w:type="dxa"/>
            <w:tcBorders>
              <w:top w:val="nil"/>
              <w:left w:val="nil"/>
              <w:bottom w:val="single" w:sz="8" w:space="0" w:color="auto"/>
              <w:right w:val="nil"/>
            </w:tcBorders>
            <w:shd w:val="clear" w:color="auto" w:fill="auto"/>
            <w:hideMark/>
          </w:tcPr>
          <w:p w14:paraId="6103C9E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242</w:t>
            </w:r>
          </w:p>
        </w:tc>
        <w:tc>
          <w:tcPr>
            <w:tcW w:w="2109" w:type="dxa"/>
            <w:tcBorders>
              <w:top w:val="nil"/>
              <w:left w:val="nil"/>
              <w:bottom w:val="single" w:sz="8" w:space="0" w:color="auto"/>
              <w:right w:val="nil"/>
            </w:tcBorders>
            <w:shd w:val="clear" w:color="auto" w:fill="auto"/>
            <w:hideMark/>
          </w:tcPr>
          <w:p w14:paraId="69654EE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Deviant Facial Appearance/abnormal </w:t>
            </w:r>
            <w:r w:rsidRPr="00493986">
              <w:rPr>
                <w:rFonts w:eastAsia="Times New Roman"/>
                <w:sz w:val="20"/>
                <w:szCs w:val="20"/>
              </w:rPr>
              <w:br/>
              <w:t xml:space="preserve">facial </w:t>
            </w:r>
            <w:r w:rsidRPr="00493986">
              <w:rPr>
                <w:rFonts w:eastAsia="Times New Roman"/>
                <w:sz w:val="20"/>
                <w:szCs w:val="20"/>
              </w:rPr>
              <w:br/>
              <w:t>features</w:t>
            </w:r>
          </w:p>
        </w:tc>
        <w:tc>
          <w:tcPr>
            <w:tcW w:w="1831" w:type="dxa"/>
            <w:tcBorders>
              <w:top w:val="nil"/>
              <w:left w:val="nil"/>
              <w:bottom w:val="single" w:sz="8" w:space="0" w:color="auto"/>
              <w:right w:val="nil"/>
            </w:tcBorders>
            <w:shd w:val="clear" w:color="auto" w:fill="auto"/>
            <w:hideMark/>
          </w:tcPr>
          <w:p w14:paraId="6E90BF4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ratings on personality traits and emotional expressions</w:t>
            </w:r>
          </w:p>
        </w:tc>
        <w:tc>
          <w:tcPr>
            <w:tcW w:w="1442" w:type="dxa"/>
            <w:tcBorders>
              <w:top w:val="nil"/>
              <w:left w:val="nil"/>
              <w:bottom w:val="single" w:sz="8" w:space="0" w:color="auto"/>
              <w:right w:val="nil"/>
            </w:tcBorders>
            <w:shd w:val="clear" w:color="auto" w:fill="auto"/>
            <w:hideMark/>
          </w:tcPr>
          <w:p w14:paraId="4207961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Regardless of emotional expressions of target stimuli, observers reporter more negative attitudes toward individuals with learning disabilities after exposure to faces with disfigurement than after exposure to non-FD faces.</w:t>
            </w:r>
          </w:p>
        </w:tc>
      </w:tr>
      <w:tr w:rsidR="00493986" w:rsidRPr="00493986" w14:paraId="2A8714A2" w14:textId="77777777" w:rsidTr="00493986">
        <w:trPr>
          <w:trHeight w:val="1510"/>
        </w:trPr>
        <w:tc>
          <w:tcPr>
            <w:tcW w:w="1443" w:type="dxa"/>
            <w:tcBorders>
              <w:top w:val="nil"/>
              <w:left w:val="nil"/>
              <w:bottom w:val="single" w:sz="8" w:space="0" w:color="auto"/>
              <w:right w:val="nil"/>
            </w:tcBorders>
            <w:shd w:val="clear" w:color="auto" w:fill="auto"/>
            <w:hideMark/>
          </w:tcPr>
          <w:p w14:paraId="5221392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Franks &amp; Goodrick-meech, 1997</w:t>
            </w:r>
          </w:p>
        </w:tc>
        <w:tc>
          <w:tcPr>
            <w:tcW w:w="1076" w:type="dxa"/>
            <w:tcBorders>
              <w:top w:val="nil"/>
              <w:left w:val="nil"/>
              <w:bottom w:val="single" w:sz="8" w:space="0" w:color="auto"/>
              <w:right w:val="nil"/>
            </w:tcBorders>
            <w:shd w:val="clear" w:color="auto" w:fill="auto"/>
            <w:hideMark/>
          </w:tcPr>
          <w:p w14:paraId="5F9963C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tcBorders>
              <w:top w:val="nil"/>
              <w:left w:val="nil"/>
              <w:bottom w:val="single" w:sz="8" w:space="0" w:color="auto"/>
              <w:right w:val="nil"/>
            </w:tcBorders>
            <w:shd w:val="clear" w:color="auto" w:fill="auto"/>
            <w:hideMark/>
          </w:tcPr>
          <w:p w14:paraId="1A94C8D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tcBorders>
              <w:top w:val="nil"/>
              <w:left w:val="nil"/>
              <w:bottom w:val="single" w:sz="8" w:space="0" w:color="auto"/>
              <w:right w:val="nil"/>
            </w:tcBorders>
            <w:shd w:val="clear" w:color="auto" w:fill="auto"/>
            <w:hideMark/>
          </w:tcPr>
          <w:p w14:paraId="58EAB9C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N=20; Public; Stratified sampling</w:t>
            </w:r>
          </w:p>
        </w:tc>
        <w:tc>
          <w:tcPr>
            <w:tcW w:w="475" w:type="dxa"/>
            <w:tcBorders>
              <w:top w:val="nil"/>
              <w:left w:val="nil"/>
              <w:bottom w:val="single" w:sz="8" w:space="0" w:color="auto"/>
              <w:right w:val="nil"/>
            </w:tcBorders>
            <w:shd w:val="clear" w:color="auto" w:fill="auto"/>
            <w:hideMark/>
          </w:tcPr>
          <w:p w14:paraId="3FE4D11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20</w:t>
            </w:r>
          </w:p>
        </w:tc>
        <w:tc>
          <w:tcPr>
            <w:tcW w:w="2109" w:type="dxa"/>
            <w:tcBorders>
              <w:top w:val="nil"/>
              <w:left w:val="nil"/>
              <w:bottom w:val="single" w:sz="8" w:space="0" w:color="auto"/>
              <w:right w:val="nil"/>
            </w:tcBorders>
            <w:shd w:val="clear" w:color="auto" w:fill="auto"/>
            <w:hideMark/>
          </w:tcPr>
          <w:p w14:paraId="48355C9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Scarred, facially disfigured, visible deformities, visible burns</w:t>
            </w:r>
          </w:p>
        </w:tc>
        <w:tc>
          <w:tcPr>
            <w:tcW w:w="1831" w:type="dxa"/>
            <w:tcBorders>
              <w:top w:val="nil"/>
              <w:left w:val="nil"/>
              <w:bottom w:val="single" w:sz="8" w:space="0" w:color="auto"/>
              <w:right w:val="nil"/>
            </w:tcBorders>
            <w:shd w:val="clear" w:color="auto" w:fill="auto"/>
            <w:hideMark/>
          </w:tcPr>
          <w:p w14:paraId="422E819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personality traits rating</w:t>
            </w:r>
          </w:p>
        </w:tc>
        <w:tc>
          <w:tcPr>
            <w:tcW w:w="1442" w:type="dxa"/>
            <w:tcBorders>
              <w:top w:val="nil"/>
              <w:left w:val="nil"/>
              <w:bottom w:val="single" w:sz="8" w:space="0" w:color="auto"/>
              <w:right w:val="nil"/>
            </w:tcBorders>
            <w:shd w:val="clear" w:color="auto" w:fill="auto"/>
            <w:hideMark/>
          </w:tcPr>
          <w:p w14:paraId="0D2DA10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adults considered less attractive, humorous and sociable</w:t>
            </w:r>
          </w:p>
        </w:tc>
      </w:tr>
      <w:tr w:rsidR="00493986" w:rsidRPr="00493986" w14:paraId="3E9193DF" w14:textId="77777777" w:rsidTr="00493986">
        <w:trPr>
          <w:trHeight w:val="1320"/>
        </w:trPr>
        <w:tc>
          <w:tcPr>
            <w:tcW w:w="1443" w:type="dxa"/>
            <w:vMerge w:val="restart"/>
            <w:tcBorders>
              <w:top w:val="nil"/>
              <w:left w:val="nil"/>
              <w:bottom w:val="single" w:sz="8" w:space="0" w:color="000000"/>
              <w:right w:val="nil"/>
            </w:tcBorders>
            <w:shd w:val="clear" w:color="auto" w:fill="auto"/>
            <w:hideMark/>
          </w:tcPr>
          <w:p w14:paraId="1B2F603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Gardiner et al., 2008</w:t>
            </w:r>
          </w:p>
        </w:tc>
        <w:tc>
          <w:tcPr>
            <w:tcW w:w="1076" w:type="dxa"/>
            <w:vMerge w:val="restart"/>
            <w:tcBorders>
              <w:top w:val="nil"/>
              <w:left w:val="nil"/>
              <w:bottom w:val="single" w:sz="8" w:space="0" w:color="000000"/>
              <w:right w:val="nil"/>
            </w:tcBorders>
            <w:shd w:val="clear" w:color="auto" w:fill="auto"/>
            <w:hideMark/>
          </w:tcPr>
          <w:p w14:paraId="038A33B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nil"/>
              <w:left w:val="nil"/>
              <w:bottom w:val="single" w:sz="8" w:space="0" w:color="000000"/>
              <w:right w:val="nil"/>
            </w:tcBorders>
            <w:shd w:val="clear" w:color="auto" w:fill="auto"/>
            <w:hideMark/>
          </w:tcPr>
          <w:p w14:paraId="67EF776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vMerge w:val="restart"/>
            <w:tcBorders>
              <w:top w:val="nil"/>
              <w:left w:val="nil"/>
              <w:bottom w:val="single" w:sz="8" w:space="0" w:color="000000"/>
              <w:right w:val="nil"/>
            </w:tcBorders>
            <w:shd w:val="clear" w:color="auto" w:fill="auto"/>
            <w:hideMark/>
          </w:tcPr>
          <w:p w14:paraId="68C4AEE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N=388; Public; Convenience sample</w:t>
            </w:r>
          </w:p>
        </w:tc>
        <w:tc>
          <w:tcPr>
            <w:tcW w:w="475" w:type="dxa"/>
            <w:vMerge w:val="restart"/>
            <w:tcBorders>
              <w:top w:val="nil"/>
              <w:left w:val="nil"/>
              <w:bottom w:val="single" w:sz="8" w:space="0" w:color="000000"/>
              <w:right w:val="nil"/>
            </w:tcBorders>
            <w:shd w:val="clear" w:color="auto" w:fill="auto"/>
            <w:hideMark/>
          </w:tcPr>
          <w:p w14:paraId="5C76401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388</w:t>
            </w:r>
          </w:p>
        </w:tc>
        <w:tc>
          <w:tcPr>
            <w:tcW w:w="2109" w:type="dxa"/>
            <w:vMerge w:val="restart"/>
            <w:tcBorders>
              <w:top w:val="nil"/>
              <w:left w:val="nil"/>
              <w:bottom w:val="single" w:sz="8" w:space="0" w:color="000000"/>
              <w:right w:val="nil"/>
            </w:tcBorders>
            <w:shd w:val="clear" w:color="auto" w:fill="auto"/>
            <w:hideMark/>
          </w:tcPr>
          <w:p w14:paraId="3F847A7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disfiguring facial lesions</w:t>
            </w:r>
          </w:p>
        </w:tc>
        <w:tc>
          <w:tcPr>
            <w:tcW w:w="1831" w:type="dxa"/>
            <w:vMerge w:val="restart"/>
            <w:tcBorders>
              <w:top w:val="nil"/>
              <w:left w:val="nil"/>
              <w:bottom w:val="single" w:sz="8" w:space="0" w:color="000000"/>
              <w:right w:val="nil"/>
            </w:tcBorders>
            <w:shd w:val="clear" w:color="auto" w:fill="auto"/>
            <w:hideMark/>
          </w:tcPr>
          <w:p w14:paraId="585BA44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Ranking of </w:t>
            </w:r>
            <w:r w:rsidR="00B32D9C">
              <w:rPr>
                <w:rFonts w:eastAsia="Times New Roman"/>
                <w:sz w:val="20"/>
                <w:szCs w:val="20"/>
              </w:rPr>
              <w:t xml:space="preserve">the </w:t>
            </w:r>
            <w:r w:rsidRPr="00493986">
              <w:rPr>
                <w:rFonts w:eastAsia="Times New Roman"/>
                <w:sz w:val="20"/>
                <w:szCs w:val="20"/>
              </w:rPr>
              <w:t>level of disfigurement and impact of FD on confederate</w:t>
            </w:r>
          </w:p>
        </w:tc>
        <w:tc>
          <w:tcPr>
            <w:tcW w:w="1442" w:type="dxa"/>
            <w:tcBorders>
              <w:top w:val="nil"/>
              <w:left w:val="nil"/>
              <w:bottom w:val="nil"/>
              <w:right w:val="nil"/>
            </w:tcBorders>
            <w:shd w:val="clear" w:color="auto" w:fill="auto"/>
            <w:hideMark/>
          </w:tcPr>
          <w:p w14:paraId="4EB9878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on young and female targets w</w:t>
            </w:r>
            <w:r w:rsidR="00B32D9C">
              <w:rPr>
                <w:rFonts w:eastAsia="Times New Roman"/>
                <w:sz w:val="20"/>
                <w:szCs w:val="20"/>
              </w:rPr>
              <w:t>as</w:t>
            </w:r>
            <w:r w:rsidRPr="00493986">
              <w:rPr>
                <w:rFonts w:eastAsia="Times New Roman"/>
                <w:sz w:val="20"/>
                <w:szCs w:val="20"/>
              </w:rPr>
              <w:t xml:space="preserve"> ranked as having a greater negative impact than on the older, male targets.</w:t>
            </w:r>
          </w:p>
        </w:tc>
      </w:tr>
      <w:tr w:rsidR="00493986" w:rsidRPr="00493986" w14:paraId="504C461E" w14:textId="77777777" w:rsidTr="00493986">
        <w:trPr>
          <w:trHeight w:val="1260"/>
        </w:trPr>
        <w:tc>
          <w:tcPr>
            <w:tcW w:w="1443" w:type="dxa"/>
            <w:vMerge/>
            <w:tcBorders>
              <w:top w:val="nil"/>
              <w:left w:val="nil"/>
              <w:bottom w:val="single" w:sz="8" w:space="0" w:color="000000"/>
              <w:right w:val="nil"/>
            </w:tcBorders>
            <w:vAlign w:val="center"/>
            <w:hideMark/>
          </w:tcPr>
          <w:p w14:paraId="71E2AA9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1FB6BE1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40A664F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4A7C734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235F6E4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1F17049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5119054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47EC538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*FD located in central facial features were ranked as </w:t>
            </w:r>
            <w:r w:rsidR="00B32D9C">
              <w:rPr>
                <w:rFonts w:eastAsia="Times New Roman"/>
                <w:sz w:val="20"/>
                <w:szCs w:val="20"/>
              </w:rPr>
              <w:t xml:space="preserve">the </w:t>
            </w:r>
            <w:r w:rsidRPr="00493986">
              <w:rPr>
                <w:rFonts w:eastAsia="Times New Roman"/>
                <w:sz w:val="20"/>
                <w:szCs w:val="20"/>
              </w:rPr>
              <w:t>cause of more negative impact than peripheral lesions.</w:t>
            </w:r>
          </w:p>
        </w:tc>
      </w:tr>
      <w:tr w:rsidR="00493986" w:rsidRPr="00493986" w14:paraId="275FD1FF" w14:textId="77777777" w:rsidTr="00493986">
        <w:trPr>
          <w:trHeight w:val="1510"/>
        </w:trPr>
        <w:tc>
          <w:tcPr>
            <w:tcW w:w="1443" w:type="dxa"/>
            <w:tcBorders>
              <w:top w:val="nil"/>
              <w:left w:val="nil"/>
              <w:bottom w:val="single" w:sz="8" w:space="0" w:color="auto"/>
              <w:right w:val="nil"/>
            </w:tcBorders>
            <w:shd w:val="clear" w:color="auto" w:fill="auto"/>
            <w:hideMark/>
          </w:tcPr>
          <w:p w14:paraId="192AC6F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Godoy et al., 2011a</w:t>
            </w:r>
          </w:p>
        </w:tc>
        <w:tc>
          <w:tcPr>
            <w:tcW w:w="1076" w:type="dxa"/>
            <w:tcBorders>
              <w:top w:val="nil"/>
              <w:left w:val="nil"/>
              <w:bottom w:val="single" w:sz="8" w:space="0" w:color="auto"/>
              <w:right w:val="nil"/>
            </w:tcBorders>
            <w:shd w:val="clear" w:color="auto" w:fill="auto"/>
            <w:hideMark/>
          </w:tcPr>
          <w:p w14:paraId="191FB1F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tcBorders>
              <w:top w:val="nil"/>
              <w:left w:val="nil"/>
              <w:bottom w:val="single" w:sz="8" w:space="0" w:color="auto"/>
              <w:right w:val="nil"/>
            </w:tcBorders>
            <w:shd w:val="clear" w:color="auto" w:fill="auto"/>
            <w:hideMark/>
          </w:tcPr>
          <w:p w14:paraId="6FFA5DF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w:t>
            </w:r>
          </w:p>
        </w:tc>
        <w:tc>
          <w:tcPr>
            <w:tcW w:w="1943" w:type="dxa"/>
            <w:tcBorders>
              <w:top w:val="nil"/>
              <w:left w:val="nil"/>
              <w:bottom w:val="single" w:sz="8" w:space="0" w:color="auto"/>
              <w:right w:val="nil"/>
            </w:tcBorders>
            <w:shd w:val="clear" w:color="auto" w:fill="auto"/>
            <w:hideMark/>
          </w:tcPr>
          <w:p w14:paraId="72F2B5E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N=60; Public; Simple random sampling</w:t>
            </w:r>
          </w:p>
        </w:tc>
        <w:tc>
          <w:tcPr>
            <w:tcW w:w="475" w:type="dxa"/>
            <w:tcBorders>
              <w:top w:val="nil"/>
              <w:left w:val="nil"/>
              <w:bottom w:val="single" w:sz="8" w:space="0" w:color="auto"/>
              <w:right w:val="nil"/>
            </w:tcBorders>
            <w:shd w:val="clear" w:color="auto" w:fill="auto"/>
            <w:hideMark/>
          </w:tcPr>
          <w:p w14:paraId="6439202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60</w:t>
            </w:r>
          </w:p>
        </w:tc>
        <w:tc>
          <w:tcPr>
            <w:tcW w:w="2109" w:type="dxa"/>
            <w:tcBorders>
              <w:top w:val="nil"/>
              <w:left w:val="nil"/>
              <w:bottom w:val="single" w:sz="8" w:space="0" w:color="auto"/>
              <w:right w:val="nil"/>
            </w:tcBorders>
            <w:shd w:val="clear" w:color="auto" w:fill="auto"/>
            <w:hideMark/>
          </w:tcPr>
          <w:p w14:paraId="7E9466A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Facial deformity/abnormalities </w:t>
            </w:r>
          </w:p>
        </w:tc>
        <w:tc>
          <w:tcPr>
            <w:tcW w:w="1831" w:type="dxa"/>
            <w:tcBorders>
              <w:top w:val="nil"/>
              <w:left w:val="nil"/>
              <w:bottom w:val="single" w:sz="8" w:space="0" w:color="auto"/>
              <w:right w:val="nil"/>
            </w:tcBorders>
            <w:shd w:val="clear" w:color="auto" w:fill="auto"/>
            <w:hideMark/>
          </w:tcPr>
          <w:p w14:paraId="1E328AE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Visual fixations-eye tracker</w:t>
            </w:r>
          </w:p>
        </w:tc>
        <w:tc>
          <w:tcPr>
            <w:tcW w:w="1442" w:type="dxa"/>
            <w:tcBorders>
              <w:top w:val="nil"/>
              <w:left w:val="nil"/>
              <w:bottom w:val="single" w:sz="8" w:space="0" w:color="auto"/>
              <w:right w:val="nil"/>
            </w:tcBorders>
            <w:shd w:val="clear" w:color="auto" w:fill="auto"/>
            <w:hideMark/>
          </w:tcPr>
          <w:p w14:paraId="14088EE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*Disfigurement in the face is distracting to the casual observer, however, surgical procedure normalizes perceptual pattern.</w:t>
            </w:r>
          </w:p>
        </w:tc>
      </w:tr>
      <w:tr w:rsidR="00493986" w:rsidRPr="00493986" w14:paraId="4C2E1D80" w14:textId="77777777" w:rsidTr="00493986">
        <w:trPr>
          <w:trHeight w:val="1110"/>
        </w:trPr>
        <w:tc>
          <w:tcPr>
            <w:tcW w:w="1443" w:type="dxa"/>
            <w:vMerge w:val="restart"/>
            <w:tcBorders>
              <w:top w:val="nil"/>
              <w:left w:val="nil"/>
              <w:bottom w:val="single" w:sz="8" w:space="0" w:color="000000"/>
              <w:right w:val="nil"/>
            </w:tcBorders>
            <w:shd w:val="clear" w:color="auto" w:fill="auto"/>
            <w:hideMark/>
          </w:tcPr>
          <w:p w14:paraId="2207EA7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Godoy et al., 2011b</w:t>
            </w:r>
          </w:p>
        </w:tc>
        <w:tc>
          <w:tcPr>
            <w:tcW w:w="1076" w:type="dxa"/>
            <w:vMerge w:val="restart"/>
            <w:tcBorders>
              <w:top w:val="nil"/>
              <w:left w:val="nil"/>
              <w:bottom w:val="single" w:sz="8" w:space="0" w:color="000000"/>
              <w:right w:val="nil"/>
            </w:tcBorders>
            <w:shd w:val="clear" w:color="auto" w:fill="auto"/>
            <w:hideMark/>
          </w:tcPr>
          <w:p w14:paraId="24B9E3D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vMerge w:val="restart"/>
            <w:tcBorders>
              <w:top w:val="nil"/>
              <w:left w:val="nil"/>
              <w:bottom w:val="single" w:sz="8" w:space="0" w:color="000000"/>
              <w:right w:val="nil"/>
            </w:tcBorders>
            <w:shd w:val="clear" w:color="auto" w:fill="auto"/>
            <w:hideMark/>
          </w:tcPr>
          <w:p w14:paraId="0A66937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vMerge w:val="restart"/>
            <w:tcBorders>
              <w:top w:val="nil"/>
              <w:left w:val="nil"/>
              <w:bottom w:val="single" w:sz="8" w:space="0" w:color="000000"/>
              <w:right w:val="nil"/>
            </w:tcBorders>
            <w:shd w:val="clear" w:color="auto" w:fill="auto"/>
            <w:hideMark/>
          </w:tcPr>
          <w:p w14:paraId="1C32EB7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N=45; Public; Simple random sampling</w:t>
            </w:r>
          </w:p>
        </w:tc>
        <w:tc>
          <w:tcPr>
            <w:tcW w:w="475" w:type="dxa"/>
            <w:vMerge w:val="restart"/>
            <w:tcBorders>
              <w:top w:val="nil"/>
              <w:left w:val="nil"/>
              <w:bottom w:val="single" w:sz="8" w:space="0" w:color="000000"/>
              <w:right w:val="nil"/>
            </w:tcBorders>
            <w:shd w:val="clear" w:color="auto" w:fill="auto"/>
            <w:hideMark/>
          </w:tcPr>
          <w:p w14:paraId="6880A59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45</w:t>
            </w:r>
          </w:p>
        </w:tc>
        <w:tc>
          <w:tcPr>
            <w:tcW w:w="2109" w:type="dxa"/>
            <w:vMerge w:val="restart"/>
            <w:tcBorders>
              <w:top w:val="nil"/>
              <w:left w:val="nil"/>
              <w:bottom w:val="single" w:sz="8" w:space="0" w:color="000000"/>
              <w:right w:val="nil"/>
            </w:tcBorders>
            <w:shd w:val="clear" w:color="auto" w:fill="auto"/>
            <w:hideMark/>
          </w:tcPr>
          <w:p w14:paraId="2A5CD4B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deformities</w:t>
            </w:r>
          </w:p>
        </w:tc>
        <w:tc>
          <w:tcPr>
            <w:tcW w:w="1831" w:type="dxa"/>
            <w:vMerge w:val="restart"/>
            <w:tcBorders>
              <w:top w:val="nil"/>
              <w:left w:val="nil"/>
              <w:bottom w:val="single" w:sz="8" w:space="0" w:color="000000"/>
              <w:right w:val="nil"/>
            </w:tcBorders>
            <w:shd w:val="clear" w:color="auto" w:fill="auto"/>
            <w:hideMark/>
          </w:tcPr>
          <w:p w14:paraId="465941E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Likert scale on attractiveness, how disfiguring, how bothered, and how important they considered repair.</w:t>
            </w:r>
          </w:p>
        </w:tc>
        <w:tc>
          <w:tcPr>
            <w:tcW w:w="1442" w:type="dxa"/>
            <w:tcBorders>
              <w:top w:val="nil"/>
              <w:left w:val="nil"/>
              <w:bottom w:val="nil"/>
              <w:right w:val="nil"/>
            </w:tcBorders>
            <w:shd w:val="clear" w:color="auto" w:fill="auto"/>
            <w:hideMark/>
          </w:tcPr>
          <w:p w14:paraId="69430BF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*Lower ratings of attractiveness correlated with lesions of large size, regardless of location.</w:t>
            </w:r>
          </w:p>
        </w:tc>
      </w:tr>
      <w:tr w:rsidR="00493986" w:rsidRPr="00493986" w14:paraId="6E55F3AA" w14:textId="77777777" w:rsidTr="00493986">
        <w:trPr>
          <w:trHeight w:val="1010"/>
        </w:trPr>
        <w:tc>
          <w:tcPr>
            <w:tcW w:w="1443" w:type="dxa"/>
            <w:vMerge/>
            <w:tcBorders>
              <w:top w:val="nil"/>
              <w:left w:val="nil"/>
              <w:bottom w:val="single" w:sz="8" w:space="0" w:color="000000"/>
              <w:right w:val="nil"/>
            </w:tcBorders>
            <w:vAlign w:val="center"/>
            <w:hideMark/>
          </w:tcPr>
          <w:p w14:paraId="202EA87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3902C05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3998B56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3273D8F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2156ECB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1EC528A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0CB4D97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1107ABC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*All large and small central lesions were rated as important to repair by participants.</w:t>
            </w:r>
          </w:p>
        </w:tc>
      </w:tr>
      <w:tr w:rsidR="00493986" w:rsidRPr="00493986" w14:paraId="26C22C8B" w14:textId="77777777" w:rsidTr="00493986">
        <w:trPr>
          <w:trHeight w:val="750"/>
        </w:trPr>
        <w:tc>
          <w:tcPr>
            <w:tcW w:w="1443" w:type="dxa"/>
            <w:vMerge w:val="restart"/>
            <w:tcBorders>
              <w:top w:val="nil"/>
              <w:left w:val="nil"/>
              <w:bottom w:val="single" w:sz="8" w:space="0" w:color="000000"/>
              <w:right w:val="nil"/>
            </w:tcBorders>
            <w:shd w:val="clear" w:color="auto" w:fill="auto"/>
            <w:hideMark/>
          </w:tcPr>
          <w:p w14:paraId="7271C30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Grandfield et al., 2005</w:t>
            </w:r>
          </w:p>
        </w:tc>
        <w:tc>
          <w:tcPr>
            <w:tcW w:w="1076" w:type="dxa"/>
            <w:vMerge w:val="restart"/>
            <w:tcBorders>
              <w:top w:val="nil"/>
              <w:left w:val="nil"/>
              <w:bottom w:val="single" w:sz="8" w:space="0" w:color="000000"/>
              <w:right w:val="nil"/>
            </w:tcBorders>
            <w:shd w:val="clear" w:color="auto" w:fill="auto"/>
            <w:hideMark/>
          </w:tcPr>
          <w:p w14:paraId="1154EB7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nil"/>
              <w:left w:val="nil"/>
              <w:bottom w:val="single" w:sz="8" w:space="0" w:color="000000"/>
              <w:right w:val="nil"/>
            </w:tcBorders>
            <w:shd w:val="clear" w:color="auto" w:fill="auto"/>
            <w:hideMark/>
          </w:tcPr>
          <w:p w14:paraId="01DB20E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 CER</w:t>
            </w:r>
          </w:p>
        </w:tc>
        <w:tc>
          <w:tcPr>
            <w:tcW w:w="1943" w:type="dxa"/>
            <w:vMerge w:val="restart"/>
            <w:tcBorders>
              <w:top w:val="nil"/>
              <w:left w:val="nil"/>
              <w:bottom w:val="single" w:sz="8" w:space="0" w:color="000000"/>
              <w:right w:val="nil"/>
            </w:tcBorders>
            <w:shd w:val="clear" w:color="auto" w:fill="auto"/>
            <w:hideMark/>
          </w:tcPr>
          <w:p w14:paraId="4E8A3FD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N=64; Student and non-student; Convenience sample</w:t>
            </w:r>
          </w:p>
        </w:tc>
        <w:tc>
          <w:tcPr>
            <w:tcW w:w="475" w:type="dxa"/>
            <w:vMerge w:val="restart"/>
            <w:tcBorders>
              <w:top w:val="nil"/>
              <w:left w:val="nil"/>
              <w:bottom w:val="single" w:sz="8" w:space="0" w:color="000000"/>
              <w:right w:val="nil"/>
            </w:tcBorders>
            <w:shd w:val="clear" w:color="auto" w:fill="auto"/>
            <w:hideMark/>
          </w:tcPr>
          <w:p w14:paraId="28C019F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64</w:t>
            </w:r>
          </w:p>
        </w:tc>
        <w:tc>
          <w:tcPr>
            <w:tcW w:w="2109" w:type="dxa"/>
            <w:vMerge w:val="restart"/>
            <w:tcBorders>
              <w:top w:val="nil"/>
              <w:left w:val="nil"/>
              <w:bottom w:val="single" w:sz="8" w:space="0" w:color="000000"/>
              <w:right w:val="nil"/>
            </w:tcBorders>
            <w:shd w:val="clear" w:color="auto" w:fill="auto"/>
            <w:hideMark/>
          </w:tcPr>
          <w:p w14:paraId="6CB0D0B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w:t>
            </w:r>
          </w:p>
        </w:tc>
        <w:tc>
          <w:tcPr>
            <w:tcW w:w="1831" w:type="dxa"/>
            <w:vMerge w:val="restart"/>
            <w:tcBorders>
              <w:top w:val="nil"/>
              <w:left w:val="nil"/>
              <w:bottom w:val="single" w:sz="8" w:space="0" w:color="000000"/>
              <w:right w:val="nil"/>
            </w:tcBorders>
            <w:shd w:val="clear" w:color="auto" w:fill="auto"/>
            <w:hideMark/>
          </w:tcPr>
          <w:p w14:paraId="5643572A" w14:textId="21C8F86A"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RT (IAT) </w:t>
            </w:r>
            <w:r w:rsidR="00907447" w:rsidRPr="00493986">
              <w:rPr>
                <w:rFonts w:eastAsia="Times New Roman"/>
                <w:sz w:val="20"/>
                <w:szCs w:val="20"/>
              </w:rPr>
              <w:t>and ratings</w:t>
            </w:r>
            <w:r w:rsidRPr="00493986">
              <w:rPr>
                <w:rFonts w:eastAsia="Times New Roman"/>
                <w:sz w:val="20"/>
                <w:szCs w:val="20"/>
              </w:rPr>
              <w:t xml:space="preserve"> on preferences</w:t>
            </w:r>
          </w:p>
        </w:tc>
        <w:tc>
          <w:tcPr>
            <w:tcW w:w="1442" w:type="dxa"/>
            <w:tcBorders>
              <w:top w:val="nil"/>
              <w:left w:val="nil"/>
              <w:bottom w:val="nil"/>
              <w:right w:val="nil"/>
            </w:tcBorders>
            <w:shd w:val="clear" w:color="auto" w:fill="auto"/>
            <w:hideMark/>
          </w:tcPr>
          <w:p w14:paraId="7073D51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*Participants showed </w:t>
            </w:r>
            <w:r w:rsidR="00B32D9C">
              <w:rPr>
                <w:rFonts w:eastAsia="Times New Roman"/>
                <w:sz w:val="20"/>
                <w:szCs w:val="20"/>
              </w:rPr>
              <w:t xml:space="preserve">an </w:t>
            </w:r>
            <w:r w:rsidRPr="00493986">
              <w:rPr>
                <w:rFonts w:eastAsia="Times New Roman"/>
                <w:sz w:val="20"/>
                <w:szCs w:val="20"/>
              </w:rPr>
              <w:t>implicit preference for faces without FD</w:t>
            </w:r>
          </w:p>
        </w:tc>
      </w:tr>
      <w:tr w:rsidR="00493986" w:rsidRPr="00493986" w14:paraId="2CD231AF" w14:textId="77777777" w:rsidTr="00493986">
        <w:trPr>
          <w:trHeight w:val="750"/>
        </w:trPr>
        <w:tc>
          <w:tcPr>
            <w:tcW w:w="1443" w:type="dxa"/>
            <w:vMerge/>
            <w:tcBorders>
              <w:top w:val="nil"/>
              <w:left w:val="nil"/>
              <w:bottom w:val="single" w:sz="8" w:space="0" w:color="000000"/>
              <w:right w:val="nil"/>
            </w:tcBorders>
            <w:vAlign w:val="center"/>
            <w:hideMark/>
          </w:tcPr>
          <w:p w14:paraId="0233A70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129BFC9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0536953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1A070D5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1B986CF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41994B2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30E5B21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nil"/>
              <w:right w:val="nil"/>
            </w:tcBorders>
            <w:shd w:val="clear" w:color="auto" w:fill="auto"/>
            <w:hideMark/>
          </w:tcPr>
          <w:p w14:paraId="76EE3E1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*No preference was observed on explicit ratings.</w:t>
            </w:r>
          </w:p>
        </w:tc>
      </w:tr>
      <w:tr w:rsidR="00493986" w:rsidRPr="00493986" w14:paraId="7E7320C4" w14:textId="77777777" w:rsidTr="00493986">
        <w:trPr>
          <w:trHeight w:val="1010"/>
        </w:trPr>
        <w:tc>
          <w:tcPr>
            <w:tcW w:w="1443" w:type="dxa"/>
            <w:vMerge/>
            <w:tcBorders>
              <w:top w:val="nil"/>
              <w:left w:val="nil"/>
              <w:bottom w:val="single" w:sz="8" w:space="0" w:color="000000"/>
              <w:right w:val="nil"/>
            </w:tcBorders>
            <w:vAlign w:val="center"/>
            <w:hideMark/>
          </w:tcPr>
          <w:p w14:paraId="16C8DB5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32929CF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3D9CE18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46851FE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7C24F62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3103C98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7956083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74871D1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*Knowing someone with a skin condition was associated with longer RT on the IAT.</w:t>
            </w:r>
          </w:p>
        </w:tc>
      </w:tr>
      <w:tr w:rsidR="00493986" w:rsidRPr="00493986" w14:paraId="7BDA5805" w14:textId="77777777" w:rsidTr="00493986">
        <w:trPr>
          <w:trHeight w:val="1000"/>
        </w:trPr>
        <w:tc>
          <w:tcPr>
            <w:tcW w:w="1443" w:type="dxa"/>
            <w:vMerge w:val="restart"/>
            <w:tcBorders>
              <w:top w:val="nil"/>
              <w:left w:val="nil"/>
              <w:bottom w:val="single" w:sz="8" w:space="0" w:color="000000"/>
              <w:right w:val="nil"/>
            </w:tcBorders>
            <w:shd w:val="clear" w:color="auto" w:fill="auto"/>
            <w:hideMark/>
          </w:tcPr>
          <w:p w14:paraId="21BCE85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Halioua et al., 2011</w:t>
            </w:r>
          </w:p>
        </w:tc>
        <w:tc>
          <w:tcPr>
            <w:tcW w:w="1076" w:type="dxa"/>
            <w:vMerge w:val="restart"/>
            <w:tcBorders>
              <w:top w:val="nil"/>
              <w:left w:val="nil"/>
              <w:bottom w:val="single" w:sz="8" w:space="0" w:color="000000"/>
              <w:right w:val="nil"/>
            </w:tcBorders>
            <w:shd w:val="clear" w:color="auto" w:fill="auto"/>
            <w:hideMark/>
          </w:tcPr>
          <w:p w14:paraId="6729B25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vMerge w:val="restart"/>
            <w:tcBorders>
              <w:top w:val="nil"/>
              <w:left w:val="nil"/>
              <w:bottom w:val="single" w:sz="8" w:space="0" w:color="000000"/>
              <w:right w:val="nil"/>
            </w:tcBorders>
            <w:shd w:val="clear" w:color="auto" w:fill="auto"/>
            <w:hideMark/>
          </w:tcPr>
          <w:p w14:paraId="45AC571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 CER</w:t>
            </w:r>
          </w:p>
        </w:tc>
        <w:tc>
          <w:tcPr>
            <w:tcW w:w="1943" w:type="dxa"/>
            <w:vMerge w:val="restart"/>
            <w:tcBorders>
              <w:top w:val="nil"/>
              <w:left w:val="nil"/>
              <w:bottom w:val="single" w:sz="8" w:space="0" w:color="000000"/>
              <w:right w:val="nil"/>
            </w:tcBorders>
            <w:shd w:val="clear" w:color="auto" w:fill="auto"/>
            <w:hideMark/>
          </w:tcPr>
          <w:p w14:paraId="7F95641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N=33; Student; Convenience sample</w:t>
            </w:r>
          </w:p>
        </w:tc>
        <w:tc>
          <w:tcPr>
            <w:tcW w:w="475" w:type="dxa"/>
            <w:vMerge w:val="restart"/>
            <w:tcBorders>
              <w:top w:val="nil"/>
              <w:left w:val="nil"/>
              <w:bottom w:val="single" w:sz="8" w:space="0" w:color="000000"/>
              <w:right w:val="nil"/>
            </w:tcBorders>
            <w:shd w:val="clear" w:color="auto" w:fill="auto"/>
            <w:hideMark/>
          </w:tcPr>
          <w:p w14:paraId="212CDD2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33</w:t>
            </w:r>
          </w:p>
        </w:tc>
        <w:tc>
          <w:tcPr>
            <w:tcW w:w="2109" w:type="dxa"/>
            <w:vMerge w:val="restart"/>
            <w:tcBorders>
              <w:top w:val="nil"/>
              <w:left w:val="nil"/>
              <w:bottom w:val="single" w:sz="8" w:space="0" w:color="000000"/>
              <w:right w:val="nil"/>
            </w:tcBorders>
            <w:shd w:val="clear" w:color="auto" w:fill="auto"/>
            <w:hideMark/>
          </w:tcPr>
          <w:p w14:paraId="512D207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FD/deformities</w:t>
            </w:r>
          </w:p>
        </w:tc>
        <w:tc>
          <w:tcPr>
            <w:tcW w:w="1831" w:type="dxa"/>
            <w:vMerge w:val="restart"/>
            <w:tcBorders>
              <w:top w:val="nil"/>
              <w:left w:val="nil"/>
              <w:bottom w:val="single" w:sz="8" w:space="0" w:color="000000"/>
              <w:right w:val="nil"/>
            </w:tcBorders>
            <w:shd w:val="clear" w:color="auto" w:fill="auto"/>
            <w:hideMark/>
          </w:tcPr>
          <w:p w14:paraId="4B438CB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Visual fixations-eye tracker, Ratings on personality traits</w:t>
            </w:r>
          </w:p>
        </w:tc>
        <w:tc>
          <w:tcPr>
            <w:tcW w:w="1442" w:type="dxa"/>
            <w:tcBorders>
              <w:top w:val="nil"/>
              <w:left w:val="nil"/>
              <w:bottom w:val="nil"/>
              <w:right w:val="nil"/>
            </w:tcBorders>
            <w:shd w:val="clear" w:color="auto" w:fill="auto"/>
            <w:hideMark/>
          </w:tcPr>
          <w:p w14:paraId="797AECC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*Longer gaze on participants with FD correlated with greater perceptions of capability</w:t>
            </w:r>
          </w:p>
        </w:tc>
      </w:tr>
      <w:tr w:rsidR="00493986" w:rsidRPr="00493986" w14:paraId="7AA68C43" w14:textId="77777777" w:rsidTr="00493986">
        <w:trPr>
          <w:trHeight w:val="760"/>
        </w:trPr>
        <w:tc>
          <w:tcPr>
            <w:tcW w:w="1443" w:type="dxa"/>
            <w:vMerge/>
            <w:tcBorders>
              <w:top w:val="nil"/>
              <w:left w:val="nil"/>
              <w:bottom w:val="single" w:sz="8" w:space="0" w:color="000000"/>
              <w:right w:val="nil"/>
            </w:tcBorders>
            <w:vAlign w:val="center"/>
            <w:hideMark/>
          </w:tcPr>
          <w:p w14:paraId="026FADD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116C7B2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09BD588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3FFAA10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0CFFEC1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5111462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1EBD6CE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6406F9B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*People have less positive perceptions of people with FD. </w:t>
            </w:r>
          </w:p>
        </w:tc>
      </w:tr>
      <w:tr w:rsidR="00493986" w:rsidRPr="00493986" w14:paraId="7BB43B00" w14:textId="77777777" w:rsidTr="00493986">
        <w:trPr>
          <w:trHeight w:val="750"/>
        </w:trPr>
        <w:tc>
          <w:tcPr>
            <w:tcW w:w="1443" w:type="dxa"/>
            <w:vMerge w:val="restart"/>
            <w:tcBorders>
              <w:top w:val="nil"/>
              <w:left w:val="nil"/>
              <w:bottom w:val="single" w:sz="8" w:space="0" w:color="000000"/>
              <w:right w:val="nil"/>
            </w:tcBorders>
            <w:shd w:val="clear" w:color="auto" w:fill="auto"/>
            <w:hideMark/>
          </w:tcPr>
          <w:p w14:paraId="625FDBA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Houston &amp; Bull, 1994</w:t>
            </w:r>
          </w:p>
        </w:tc>
        <w:tc>
          <w:tcPr>
            <w:tcW w:w="1076" w:type="dxa"/>
            <w:vMerge w:val="restart"/>
            <w:tcBorders>
              <w:top w:val="nil"/>
              <w:left w:val="nil"/>
              <w:bottom w:val="single" w:sz="8" w:space="0" w:color="000000"/>
              <w:right w:val="nil"/>
            </w:tcBorders>
            <w:shd w:val="clear" w:color="auto" w:fill="auto"/>
            <w:hideMark/>
          </w:tcPr>
          <w:p w14:paraId="127B671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nil"/>
              <w:left w:val="nil"/>
              <w:bottom w:val="single" w:sz="8" w:space="0" w:color="000000"/>
              <w:right w:val="nil"/>
            </w:tcBorders>
            <w:shd w:val="clear" w:color="auto" w:fill="auto"/>
            <w:hideMark/>
          </w:tcPr>
          <w:p w14:paraId="232DF49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w:t>
            </w:r>
          </w:p>
        </w:tc>
        <w:tc>
          <w:tcPr>
            <w:tcW w:w="1943" w:type="dxa"/>
            <w:vMerge w:val="restart"/>
            <w:tcBorders>
              <w:top w:val="nil"/>
              <w:left w:val="nil"/>
              <w:bottom w:val="single" w:sz="8" w:space="0" w:color="000000"/>
              <w:right w:val="nil"/>
            </w:tcBorders>
            <w:shd w:val="clear" w:color="auto" w:fill="auto"/>
            <w:hideMark/>
          </w:tcPr>
          <w:p w14:paraId="350DBAB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N=162; Public; Simple random Sampling</w:t>
            </w:r>
          </w:p>
        </w:tc>
        <w:tc>
          <w:tcPr>
            <w:tcW w:w="475" w:type="dxa"/>
            <w:vMerge w:val="restart"/>
            <w:tcBorders>
              <w:top w:val="nil"/>
              <w:left w:val="nil"/>
              <w:bottom w:val="single" w:sz="8" w:space="0" w:color="000000"/>
              <w:right w:val="nil"/>
            </w:tcBorders>
            <w:shd w:val="clear" w:color="auto" w:fill="auto"/>
            <w:hideMark/>
          </w:tcPr>
          <w:p w14:paraId="6AC0171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162</w:t>
            </w:r>
          </w:p>
        </w:tc>
        <w:tc>
          <w:tcPr>
            <w:tcW w:w="2109" w:type="dxa"/>
            <w:vMerge w:val="restart"/>
            <w:tcBorders>
              <w:top w:val="nil"/>
              <w:left w:val="nil"/>
              <w:bottom w:val="single" w:sz="8" w:space="0" w:color="000000"/>
              <w:right w:val="nil"/>
            </w:tcBorders>
            <w:shd w:val="clear" w:color="auto" w:fill="auto"/>
            <w:hideMark/>
          </w:tcPr>
          <w:p w14:paraId="664240F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FD/deformed</w:t>
            </w:r>
          </w:p>
        </w:tc>
        <w:tc>
          <w:tcPr>
            <w:tcW w:w="1831" w:type="dxa"/>
            <w:vMerge w:val="restart"/>
            <w:tcBorders>
              <w:top w:val="nil"/>
              <w:left w:val="nil"/>
              <w:bottom w:val="single" w:sz="8" w:space="0" w:color="000000"/>
              <w:right w:val="nil"/>
            </w:tcBorders>
            <w:shd w:val="clear" w:color="auto" w:fill="auto"/>
            <w:hideMark/>
          </w:tcPr>
          <w:p w14:paraId="16C42B3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Observations of overt behaviour</w:t>
            </w:r>
          </w:p>
        </w:tc>
        <w:tc>
          <w:tcPr>
            <w:tcW w:w="1442" w:type="dxa"/>
            <w:tcBorders>
              <w:top w:val="nil"/>
              <w:left w:val="nil"/>
              <w:bottom w:val="nil"/>
              <w:right w:val="nil"/>
            </w:tcBorders>
            <w:shd w:val="clear" w:color="auto" w:fill="auto"/>
            <w:hideMark/>
          </w:tcPr>
          <w:p w14:paraId="7EBB8A4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*Travellers significantly avoid sitting next to a confederate with FD</w:t>
            </w:r>
          </w:p>
        </w:tc>
      </w:tr>
      <w:tr w:rsidR="00493986" w:rsidRPr="00493986" w14:paraId="2888713A" w14:textId="77777777" w:rsidTr="00493986">
        <w:trPr>
          <w:trHeight w:val="1510"/>
        </w:trPr>
        <w:tc>
          <w:tcPr>
            <w:tcW w:w="1443" w:type="dxa"/>
            <w:vMerge/>
            <w:tcBorders>
              <w:top w:val="nil"/>
              <w:left w:val="nil"/>
              <w:bottom w:val="single" w:sz="8" w:space="0" w:color="000000"/>
              <w:right w:val="nil"/>
            </w:tcBorders>
            <w:vAlign w:val="center"/>
            <w:hideMark/>
          </w:tcPr>
          <w:p w14:paraId="4C48693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10F8F9F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3A9B095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68C1614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5DBE06D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5E1906F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012E5AE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6A610EF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*Permanent forms of disfigurement (port-wine stain) had a stronger effect on interpersonal distance than did bruises/cuts.</w:t>
            </w:r>
          </w:p>
        </w:tc>
      </w:tr>
      <w:tr w:rsidR="00493986" w:rsidRPr="00493986" w14:paraId="4D872183" w14:textId="77777777" w:rsidTr="00493986">
        <w:trPr>
          <w:trHeight w:val="1360"/>
        </w:trPr>
        <w:tc>
          <w:tcPr>
            <w:tcW w:w="1443" w:type="dxa"/>
            <w:vMerge w:val="restart"/>
            <w:tcBorders>
              <w:top w:val="nil"/>
              <w:left w:val="nil"/>
              <w:bottom w:val="single" w:sz="8" w:space="0" w:color="000000"/>
              <w:right w:val="nil"/>
            </w:tcBorders>
            <w:shd w:val="clear" w:color="auto" w:fill="auto"/>
            <w:hideMark/>
          </w:tcPr>
          <w:p w14:paraId="156C8C4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Hughes et al., 2009</w:t>
            </w:r>
          </w:p>
        </w:tc>
        <w:tc>
          <w:tcPr>
            <w:tcW w:w="1076" w:type="dxa"/>
            <w:vMerge w:val="restart"/>
            <w:tcBorders>
              <w:top w:val="nil"/>
              <w:left w:val="nil"/>
              <w:bottom w:val="single" w:sz="8" w:space="0" w:color="000000"/>
              <w:right w:val="nil"/>
            </w:tcBorders>
            <w:shd w:val="clear" w:color="auto" w:fill="auto"/>
            <w:hideMark/>
          </w:tcPr>
          <w:p w14:paraId="004F0B5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UK/Sout East Asian background</w:t>
            </w:r>
          </w:p>
        </w:tc>
        <w:tc>
          <w:tcPr>
            <w:tcW w:w="619" w:type="dxa"/>
            <w:vMerge w:val="restart"/>
            <w:tcBorders>
              <w:top w:val="nil"/>
              <w:left w:val="nil"/>
              <w:bottom w:val="single" w:sz="8" w:space="0" w:color="000000"/>
              <w:right w:val="nil"/>
            </w:tcBorders>
            <w:shd w:val="clear" w:color="auto" w:fill="auto"/>
            <w:hideMark/>
          </w:tcPr>
          <w:p w14:paraId="7373BAC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vMerge w:val="restart"/>
            <w:tcBorders>
              <w:top w:val="nil"/>
              <w:left w:val="nil"/>
              <w:bottom w:val="single" w:sz="8" w:space="0" w:color="000000"/>
              <w:right w:val="nil"/>
            </w:tcBorders>
            <w:shd w:val="clear" w:color="auto" w:fill="auto"/>
            <w:hideMark/>
          </w:tcPr>
          <w:p w14:paraId="39D0ABB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N=69; Public; Purposive sampling</w:t>
            </w:r>
          </w:p>
        </w:tc>
        <w:tc>
          <w:tcPr>
            <w:tcW w:w="475" w:type="dxa"/>
            <w:vMerge w:val="restart"/>
            <w:tcBorders>
              <w:top w:val="nil"/>
              <w:left w:val="nil"/>
              <w:bottom w:val="single" w:sz="8" w:space="0" w:color="000000"/>
              <w:right w:val="nil"/>
            </w:tcBorders>
            <w:shd w:val="clear" w:color="auto" w:fill="auto"/>
            <w:hideMark/>
          </w:tcPr>
          <w:p w14:paraId="1558BB3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69</w:t>
            </w:r>
          </w:p>
        </w:tc>
        <w:tc>
          <w:tcPr>
            <w:tcW w:w="2109" w:type="dxa"/>
            <w:vMerge w:val="restart"/>
            <w:tcBorders>
              <w:top w:val="nil"/>
              <w:left w:val="nil"/>
              <w:bottom w:val="single" w:sz="8" w:space="0" w:color="000000"/>
              <w:right w:val="nil"/>
            </w:tcBorders>
            <w:shd w:val="clear" w:color="auto" w:fill="auto"/>
            <w:hideMark/>
          </w:tcPr>
          <w:p w14:paraId="0811F84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w:t>
            </w:r>
          </w:p>
        </w:tc>
        <w:tc>
          <w:tcPr>
            <w:tcW w:w="1831" w:type="dxa"/>
            <w:vMerge w:val="restart"/>
            <w:tcBorders>
              <w:top w:val="nil"/>
              <w:left w:val="nil"/>
              <w:bottom w:val="single" w:sz="8" w:space="0" w:color="000000"/>
              <w:right w:val="nil"/>
            </w:tcBorders>
            <w:shd w:val="clear" w:color="auto" w:fill="auto"/>
            <w:hideMark/>
          </w:tcPr>
          <w:p w14:paraId="346DAAF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qualitative; Focus groups</w:t>
            </w:r>
          </w:p>
        </w:tc>
        <w:tc>
          <w:tcPr>
            <w:tcW w:w="1442" w:type="dxa"/>
            <w:tcBorders>
              <w:top w:val="nil"/>
              <w:left w:val="nil"/>
              <w:bottom w:val="single" w:sz="8" w:space="0" w:color="auto"/>
              <w:right w:val="nil"/>
            </w:tcBorders>
            <w:shd w:val="clear" w:color="auto" w:fill="auto"/>
            <w:hideMark/>
          </w:tcPr>
          <w:p w14:paraId="6E444E9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*Individuals with FD more likely to be negatively evaluated than non-FD by South East Asian participants. </w:t>
            </w:r>
          </w:p>
        </w:tc>
      </w:tr>
      <w:tr w:rsidR="00493986" w:rsidRPr="00493986" w14:paraId="677A6207" w14:textId="77777777" w:rsidTr="00493986">
        <w:trPr>
          <w:trHeight w:val="2000"/>
        </w:trPr>
        <w:tc>
          <w:tcPr>
            <w:tcW w:w="1443" w:type="dxa"/>
            <w:vMerge/>
            <w:tcBorders>
              <w:top w:val="nil"/>
              <w:left w:val="nil"/>
              <w:bottom w:val="single" w:sz="8" w:space="0" w:color="000000"/>
              <w:right w:val="nil"/>
            </w:tcBorders>
            <w:vAlign w:val="center"/>
            <w:hideMark/>
          </w:tcPr>
          <w:p w14:paraId="541D7CC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0A489E2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1EE74EE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2ACAB18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3D08ADE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1104636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7066B3F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2F122DF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would restrict participation and development within the community due to stigma. FD in women would hinder their dating and marriage prospects.</w:t>
            </w:r>
          </w:p>
        </w:tc>
      </w:tr>
      <w:tr w:rsidR="00493986" w:rsidRPr="00493986" w14:paraId="4AF2EDB4" w14:textId="77777777" w:rsidTr="00493986">
        <w:trPr>
          <w:trHeight w:val="1740"/>
        </w:trPr>
        <w:tc>
          <w:tcPr>
            <w:tcW w:w="1443" w:type="dxa"/>
            <w:tcBorders>
              <w:top w:val="nil"/>
              <w:left w:val="nil"/>
              <w:bottom w:val="single" w:sz="8" w:space="0" w:color="auto"/>
              <w:right w:val="nil"/>
            </w:tcBorders>
            <w:shd w:val="clear" w:color="auto" w:fill="auto"/>
            <w:hideMark/>
          </w:tcPr>
          <w:p w14:paraId="5D0F85B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Isawumi et al., 2014</w:t>
            </w:r>
          </w:p>
        </w:tc>
        <w:tc>
          <w:tcPr>
            <w:tcW w:w="1076" w:type="dxa"/>
            <w:tcBorders>
              <w:top w:val="nil"/>
              <w:left w:val="nil"/>
              <w:bottom w:val="single" w:sz="8" w:space="0" w:color="auto"/>
              <w:right w:val="nil"/>
            </w:tcBorders>
            <w:shd w:val="clear" w:color="auto" w:fill="auto"/>
            <w:hideMark/>
          </w:tcPr>
          <w:p w14:paraId="3789181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Nigeria</w:t>
            </w:r>
          </w:p>
        </w:tc>
        <w:tc>
          <w:tcPr>
            <w:tcW w:w="619" w:type="dxa"/>
            <w:tcBorders>
              <w:top w:val="nil"/>
              <w:left w:val="nil"/>
              <w:bottom w:val="single" w:sz="8" w:space="0" w:color="auto"/>
              <w:right w:val="nil"/>
            </w:tcBorders>
            <w:shd w:val="clear" w:color="auto" w:fill="auto"/>
            <w:hideMark/>
          </w:tcPr>
          <w:p w14:paraId="216E120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K</w:t>
            </w:r>
          </w:p>
        </w:tc>
        <w:tc>
          <w:tcPr>
            <w:tcW w:w="1943" w:type="dxa"/>
            <w:tcBorders>
              <w:top w:val="nil"/>
              <w:left w:val="nil"/>
              <w:bottom w:val="single" w:sz="8" w:space="0" w:color="auto"/>
              <w:right w:val="nil"/>
            </w:tcBorders>
            <w:shd w:val="clear" w:color="auto" w:fill="auto"/>
            <w:hideMark/>
          </w:tcPr>
          <w:p w14:paraId="16B78BE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N=405; Public; Consecutive sampling</w:t>
            </w:r>
          </w:p>
        </w:tc>
        <w:tc>
          <w:tcPr>
            <w:tcW w:w="475" w:type="dxa"/>
            <w:tcBorders>
              <w:top w:val="nil"/>
              <w:left w:val="nil"/>
              <w:bottom w:val="single" w:sz="8" w:space="0" w:color="auto"/>
              <w:right w:val="nil"/>
            </w:tcBorders>
            <w:shd w:val="clear" w:color="auto" w:fill="auto"/>
            <w:hideMark/>
          </w:tcPr>
          <w:p w14:paraId="1A7F47E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405</w:t>
            </w:r>
          </w:p>
        </w:tc>
        <w:tc>
          <w:tcPr>
            <w:tcW w:w="2109" w:type="dxa"/>
            <w:tcBorders>
              <w:top w:val="nil"/>
              <w:left w:val="nil"/>
              <w:bottom w:val="single" w:sz="8" w:space="0" w:color="auto"/>
              <w:right w:val="nil"/>
            </w:tcBorders>
            <w:shd w:val="clear" w:color="auto" w:fill="auto"/>
            <w:hideMark/>
          </w:tcPr>
          <w:p w14:paraId="1FF6561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Strabismus, poor cosmetic appearance</w:t>
            </w:r>
          </w:p>
        </w:tc>
        <w:tc>
          <w:tcPr>
            <w:tcW w:w="1831" w:type="dxa"/>
            <w:tcBorders>
              <w:top w:val="nil"/>
              <w:left w:val="nil"/>
              <w:bottom w:val="single" w:sz="8" w:space="0" w:color="auto"/>
              <w:right w:val="nil"/>
            </w:tcBorders>
            <w:shd w:val="clear" w:color="auto" w:fill="auto"/>
            <w:hideMark/>
          </w:tcPr>
          <w:p w14:paraId="48517CC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Face to face interviews with </w:t>
            </w:r>
            <w:r w:rsidR="00B32D9C">
              <w:rPr>
                <w:rFonts w:eastAsia="Times New Roman"/>
                <w:sz w:val="20"/>
                <w:szCs w:val="20"/>
              </w:rPr>
              <w:t xml:space="preserve">a </w:t>
            </w:r>
            <w:r w:rsidRPr="00493986">
              <w:rPr>
                <w:rFonts w:eastAsia="Times New Roman"/>
                <w:sz w:val="20"/>
                <w:szCs w:val="20"/>
              </w:rPr>
              <w:t>structured questionnaire</w:t>
            </w:r>
          </w:p>
        </w:tc>
        <w:tc>
          <w:tcPr>
            <w:tcW w:w="1442" w:type="dxa"/>
            <w:tcBorders>
              <w:top w:val="nil"/>
              <w:left w:val="nil"/>
              <w:bottom w:val="single" w:sz="8" w:space="0" w:color="auto"/>
              <w:right w:val="nil"/>
            </w:tcBorders>
            <w:shd w:val="clear" w:color="auto" w:fill="auto"/>
            <w:hideMark/>
          </w:tcPr>
          <w:p w14:paraId="792CE8F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*There were poor levels of awareness of causes, effects</w:t>
            </w:r>
            <w:r w:rsidR="00B32D9C">
              <w:rPr>
                <w:rFonts w:eastAsia="Times New Roman"/>
                <w:sz w:val="20"/>
                <w:szCs w:val="20"/>
              </w:rPr>
              <w:t>,</w:t>
            </w:r>
            <w:r w:rsidRPr="00493986">
              <w:rPr>
                <w:rFonts w:eastAsia="Times New Roman"/>
                <w:sz w:val="20"/>
                <w:szCs w:val="20"/>
              </w:rPr>
              <w:t xml:space="preserve"> and treatment of strabismus in this population.</w:t>
            </w:r>
          </w:p>
        </w:tc>
      </w:tr>
      <w:tr w:rsidR="00493986" w:rsidRPr="00493986" w14:paraId="2C739263" w14:textId="77777777" w:rsidTr="00493986">
        <w:trPr>
          <w:trHeight w:val="1260"/>
        </w:trPr>
        <w:tc>
          <w:tcPr>
            <w:tcW w:w="1443" w:type="dxa"/>
            <w:tcBorders>
              <w:top w:val="nil"/>
              <w:left w:val="nil"/>
              <w:bottom w:val="single" w:sz="8" w:space="0" w:color="auto"/>
              <w:right w:val="nil"/>
            </w:tcBorders>
            <w:shd w:val="clear" w:color="auto" w:fill="auto"/>
            <w:hideMark/>
          </w:tcPr>
          <w:p w14:paraId="6495EA6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Ishii et al., 2009</w:t>
            </w:r>
          </w:p>
        </w:tc>
        <w:tc>
          <w:tcPr>
            <w:tcW w:w="1076" w:type="dxa"/>
            <w:tcBorders>
              <w:top w:val="nil"/>
              <w:left w:val="nil"/>
              <w:bottom w:val="single" w:sz="8" w:space="0" w:color="auto"/>
              <w:right w:val="nil"/>
            </w:tcBorders>
            <w:shd w:val="clear" w:color="auto" w:fill="auto"/>
            <w:hideMark/>
          </w:tcPr>
          <w:p w14:paraId="664F683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tcBorders>
              <w:top w:val="nil"/>
              <w:left w:val="nil"/>
              <w:bottom w:val="single" w:sz="8" w:space="0" w:color="auto"/>
              <w:right w:val="nil"/>
            </w:tcBorders>
            <w:shd w:val="clear" w:color="auto" w:fill="auto"/>
            <w:hideMark/>
          </w:tcPr>
          <w:p w14:paraId="0F5DA8D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w:t>
            </w:r>
          </w:p>
        </w:tc>
        <w:tc>
          <w:tcPr>
            <w:tcW w:w="1943" w:type="dxa"/>
            <w:tcBorders>
              <w:top w:val="nil"/>
              <w:left w:val="nil"/>
              <w:bottom w:val="single" w:sz="8" w:space="0" w:color="auto"/>
              <w:right w:val="nil"/>
            </w:tcBorders>
            <w:shd w:val="clear" w:color="auto" w:fill="auto"/>
            <w:hideMark/>
          </w:tcPr>
          <w:p w14:paraId="17226BE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N=8</w:t>
            </w:r>
          </w:p>
        </w:tc>
        <w:tc>
          <w:tcPr>
            <w:tcW w:w="475" w:type="dxa"/>
            <w:tcBorders>
              <w:top w:val="nil"/>
              <w:left w:val="nil"/>
              <w:bottom w:val="single" w:sz="8" w:space="0" w:color="auto"/>
              <w:right w:val="nil"/>
            </w:tcBorders>
            <w:shd w:val="clear" w:color="auto" w:fill="auto"/>
            <w:hideMark/>
          </w:tcPr>
          <w:p w14:paraId="1E91B70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8</w:t>
            </w:r>
          </w:p>
        </w:tc>
        <w:tc>
          <w:tcPr>
            <w:tcW w:w="2109" w:type="dxa"/>
            <w:tcBorders>
              <w:top w:val="nil"/>
              <w:left w:val="nil"/>
              <w:bottom w:val="single" w:sz="8" w:space="0" w:color="auto"/>
              <w:right w:val="nil"/>
            </w:tcBorders>
            <w:shd w:val="clear" w:color="auto" w:fill="auto"/>
            <w:hideMark/>
          </w:tcPr>
          <w:p w14:paraId="5726B5D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deformities, abnormal</w:t>
            </w:r>
          </w:p>
        </w:tc>
        <w:tc>
          <w:tcPr>
            <w:tcW w:w="1831" w:type="dxa"/>
            <w:tcBorders>
              <w:top w:val="nil"/>
              <w:left w:val="nil"/>
              <w:bottom w:val="single" w:sz="8" w:space="0" w:color="auto"/>
              <w:right w:val="nil"/>
            </w:tcBorders>
            <w:shd w:val="clear" w:color="auto" w:fill="auto"/>
            <w:hideMark/>
          </w:tcPr>
          <w:p w14:paraId="031C064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Visual fixation (eye tracking)</w:t>
            </w:r>
          </w:p>
        </w:tc>
        <w:tc>
          <w:tcPr>
            <w:tcW w:w="1442" w:type="dxa"/>
            <w:tcBorders>
              <w:top w:val="nil"/>
              <w:left w:val="nil"/>
              <w:bottom w:val="single" w:sz="8" w:space="0" w:color="auto"/>
              <w:right w:val="nil"/>
            </w:tcBorders>
            <w:shd w:val="clear" w:color="auto" w:fill="auto"/>
            <w:hideMark/>
          </w:tcPr>
          <w:p w14:paraId="652A8D1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*Observer gaze patterns to focus on peripheral disfigurement</w:t>
            </w:r>
          </w:p>
        </w:tc>
      </w:tr>
      <w:tr w:rsidR="00493986" w:rsidRPr="00493986" w14:paraId="18C635D9" w14:textId="77777777" w:rsidTr="00493986">
        <w:trPr>
          <w:trHeight w:val="2010"/>
        </w:trPr>
        <w:tc>
          <w:tcPr>
            <w:tcW w:w="1443" w:type="dxa"/>
            <w:tcBorders>
              <w:top w:val="nil"/>
              <w:left w:val="nil"/>
              <w:bottom w:val="single" w:sz="8" w:space="0" w:color="auto"/>
              <w:right w:val="nil"/>
            </w:tcBorders>
            <w:shd w:val="clear" w:color="auto" w:fill="auto"/>
            <w:hideMark/>
          </w:tcPr>
          <w:p w14:paraId="68C3A11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Kerr et al., 1985</w:t>
            </w:r>
          </w:p>
        </w:tc>
        <w:tc>
          <w:tcPr>
            <w:tcW w:w="1076" w:type="dxa"/>
            <w:tcBorders>
              <w:top w:val="nil"/>
              <w:left w:val="nil"/>
              <w:bottom w:val="single" w:sz="8" w:space="0" w:color="auto"/>
              <w:right w:val="nil"/>
            </w:tcBorders>
            <w:shd w:val="clear" w:color="auto" w:fill="auto"/>
            <w:hideMark/>
          </w:tcPr>
          <w:p w14:paraId="3407503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 &amp; USA</w:t>
            </w:r>
          </w:p>
        </w:tc>
        <w:tc>
          <w:tcPr>
            <w:tcW w:w="619" w:type="dxa"/>
            <w:tcBorders>
              <w:top w:val="nil"/>
              <w:left w:val="nil"/>
              <w:bottom w:val="single" w:sz="8" w:space="0" w:color="auto"/>
              <w:right w:val="nil"/>
            </w:tcBorders>
            <w:shd w:val="clear" w:color="auto" w:fill="auto"/>
            <w:hideMark/>
          </w:tcPr>
          <w:p w14:paraId="179C05B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 S</w:t>
            </w:r>
          </w:p>
        </w:tc>
        <w:tc>
          <w:tcPr>
            <w:tcW w:w="1943" w:type="dxa"/>
            <w:tcBorders>
              <w:top w:val="nil"/>
              <w:left w:val="nil"/>
              <w:bottom w:val="single" w:sz="8" w:space="0" w:color="auto"/>
              <w:right w:val="nil"/>
            </w:tcBorders>
            <w:shd w:val="clear" w:color="auto" w:fill="auto"/>
            <w:hideMark/>
          </w:tcPr>
          <w:p w14:paraId="579369B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N=282; Students; Convenience sample</w:t>
            </w:r>
          </w:p>
        </w:tc>
        <w:tc>
          <w:tcPr>
            <w:tcW w:w="475" w:type="dxa"/>
            <w:tcBorders>
              <w:top w:val="nil"/>
              <w:left w:val="nil"/>
              <w:bottom w:val="single" w:sz="8" w:space="0" w:color="auto"/>
              <w:right w:val="nil"/>
            </w:tcBorders>
            <w:shd w:val="clear" w:color="auto" w:fill="auto"/>
            <w:hideMark/>
          </w:tcPr>
          <w:p w14:paraId="4D4B421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282</w:t>
            </w:r>
          </w:p>
        </w:tc>
        <w:tc>
          <w:tcPr>
            <w:tcW w:w="2109" w:type="dxa"/>
            <w:tcBorders>
              <w:top w:val="nil"/>
              <w:left w:val="nil"/>
              <w:bottom w:val="single" w:sz="8" w:space="0" w:color="auto"/>
              <w:right w:val="nil"/>
            </w:tcBorders>
            <w:shd w:val="clear" w:color="auto" w:fill="auto"/>
            <w:hideMark/>
          </w:tcPr>
          <w:p w14:paraId="5B34019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FD/facially disfigured</w:t>
            </w:r>
          </w:p>
        </w:tc>
        <w:tc>
          <w:tcPr>
            <w:tcW w:w="1831" w:type="dxa"/>
            <w:tcBorders>
              <w:top w:val="nil"/>
              <w:left w:val="nil"/>
              <w:bottom w:val="single" w:sz="8" w:space="0" w:color="auto"/>
              <w:right w:val="nil"/>
            </w:tcBorders>
            <w:shd w:val="clear" w:color="auto" w:fill="auto"/>
            <w:hideMark/>
          </w:tcPr>
          <w:p w14:paraId="752DDA6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personality traits ratings, penalty recommendations</w:t>
            </w:r>
          </w:p>
        </w:tc>
        <w:tc>
          <w:tcPr>
            <w:tcW w:w="1442" w:type="dxa"/>
            <w:tcBorders>
              <w:top w:val="nil"/>
              <w:left w:val="nil"/>
              <w:bottom w:val="single" w:sz="8" w:space="0" w:color="auto"/>
              <w:right w:val="nil"/>
            </w:tcBorders>
            <w:shd w:val="clear" w:color="auto" w:fill="auto"/>
            <w:hideMark/>
          </w:tcPr>
          <w:p w14:paraId="7B2014A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*When the defendant was both unattractive and had a FD was more likely to be convicted</w:t>
            </w:r>
          </w:p>
        </w:tc>
      </w:tr>
      <w:tr w:rsidR="00493986" w:rsidRPr="00493986" w14:paraId="4DA3043F" w14:textId="77777777" w:rsidTr="00493986">
        <w:trPr>
          <w:trHeight w:val="870"/>
        </w:trPr>
        <w:tc>
          <w:tcPr>
            <w:tcW w:w="1443" w:type="dxa"/>
            <w:vMerge w:val="restart"/>
            <w:tcBorders>
              <w:top w:val="nil"/>
              <w:left w:val="nil"/>
              <w:bottom w:val="single" w:sz="8" w:space="0" w:color="000000"/>
              <w:right w:val="nil"/>
            </w:tcBorders>
            <w:shd w:val="clear" w:color="auto" w:fill="auto"/>
            <w:hideMark/>
          </w:tcPr>
          <w:p w14:paraId="070C893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Kleck &amp; Strenta, 1985</w:t>
            </w:r>
          </w:p>
        </w:tc>
        <w:tc>
          <w:tcPr>
            <w:tcW w:w="1076" w:type="dxa"/>
            <w:vMerge w:val="restart"/>
            <w:tcBorders>
              <w:top w:val="nil"/>
              <w:left w:val="nil"/>
              <w:bottom w:val="single" w:sz="8" w:space="0" w:color="000000"/>
              <w:right w:val="nil"/>
            </w:tcBorders>
            <w:shd w:val="clear" w:color="auto" w:fill="auto"/>
            <w:hideMark/>
          </w:tcPr>
          <w:p w14:paraId="06F801F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vMerge w:val="restart"/>
            <w:tcBorders>
              <w:top w:val="nil"/>
              <w:left w:val="nil"/>
              <w:bottom w:val="single" w:sz="8" w:space="0" w:color="000000"/>
              <w:right w:val="nil"/>
            </w:tcBorders>
            <w:shd w:val="clear" w:color="auto" w:fill="auto"/>
            <w:hideMark/>
          </w:tcPr>
          <w:p w14:paraId="736FCFB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w:t>
            </w:r>
          </w:p>
        </w:tc>
        <w:tc>
          <w:tcPr>
            <w:tcW w:w="1943" w:type="dxa"/>
            <w:vMerge w:val="restart"/>
            <w:tcBorders>
              <w:top w:val="nil"/>
              <w:left w:val="nil"/>
              <w:bottom w:val="single" w:sz="8" w:space="0" w:color="000000"/>
              <w:right w:val="nil"/>
            </w:tcBorders>
            <w:shd w:val="clear" w:color="auto" w:fill="auto"/>
            <w:hideMark/>
          </w:tcPr>
          <w:p w14:paraId="2380BD2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N=48; Students; Convenience sample</w:t>
            </w:r>
          </w:p>
        </w:tc>
        <w:tc>
          <w:tcPr>
            <w:tcW w:w="475" w:type="dxa"/>
            <w:vMerge w:val="restart"/>
            <w:tcBorders>
              <w:top w:val="nil"/>
              <w:left w:val="nil"/>
              <w:bottom w:val="single" w:sz="8" w:space="0" w:color="000000"/>
              <w:right w:val="nil"/>
            </w:tcBorders>
            <w:shd w:val="clear" w:color="auto" w:fill="auto"/>
            <w:hideMark/>
          </w:tcPr>
          <w:p w14:paraId="1CE47B6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48</w:t>
            </w:r>
          </w:p>
        </w:tc>
        <w:tc>
          <w:tcPr>
            <w:tcW w:w="2109" w:type="dxa"/>
            <w:vMerge w:val="restart"/>
            <w:tcBorders>
              <w:top w:val="nil"/>
              <w:left w:val="nil"/>
              <w:bottom w:val="single" w:sz="8" w:space="0" w:color="000000"/>
              <w:right w:val="nil"/>
            </w:tcBorders>
            <w:shd w:val="clear" w:color="auto" w:fill="auto"/>
            <w:hideMark/>
          </w:tcPr>
          <w:p w14:paraId="045FAF5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FD/facially disfigured</w:t>
            </w:r>
          </w:p>
        </w:tc>
        <w:tc>
          <w:tcPr>
            <w:tcW w:w="1831" w:type="dxa"/>
            <w:vMerge w:val="restart"/>
            <w:tcBorders>
              <w:top w:val="nil"/>
              <w:left w:val="nil"/>
              <w:bottom w:val="single" w:sz="8" w:space="0" w:color="000000"/>
              <w:right w:val="nil"/>
            </w:tcBorders>
            <w:shd w:val="clear" w:color="auto" w:fill="auto"/>
            <w:hideMark/>
          </w:tcPr>
          <w:p w14:paraId="65D531B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Emotional responses (skin resistance) and ratings of severity and impact on social life</w:t>
            </w:r>
          </w:p>
        </w:tc>
        <w:tc>
          <w:tcPr>
            <w:tcW w:w="1442" w:type="dxa"/>
            <w:tcBorders>
              <w:top w:val="nil"/>
              <w:left w:val="nil"/>
              <w:bottom w:val="nil"/>
              <w:right w:val="nil"/>
            </w:tcBorders>
            <w:shd w:val="clear" w:color="auto" w:fill="auto"/>
            <w:hideMark/>
          </w:tcPr>
          <w:p w14:paraId="3EE0B59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*No gender differences when seeing pictures of themselves with a FD</w:t>
            </w:r>
          </w:p>
        </w:tc>
      </w:tr>
      <w:tr w:rsidR="00493986" w:rsidRPr="00493986" w14:paraId="25B15737" w14:textId="77777777" w:rsidTr="00493986">
        <w:trPr>
          <w:trHeight w:val="1080"/>
        </w:trPr>
        <w:tc>
          <w:tcPr>
            <w:tcW w:w="1443" w:type="dxa"/>
            <w:vMerge/>
            <w:tcBorders>
              <w:top w:val="nil"/>
              <w:left w:val="nil"/>
              <w:bottom w:val="single" w:sz="8" w:space="0" w:color="000000"/>
              <w:right w:val="nil"/>
            </w:tcBorders>
            <w:vAlign w:val="center"/>
            <w:hideMark/>
          </w:tcPr>
          <w:p w14:paraId="01E6CD0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0E54BE8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641EA00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05EE32F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1E26025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333406C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6DF4542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nil"/>
              <w:right w:val="nil"/>
            </w:tcBorders>
            <w:shd w:val="clear" w:color="auto" w:fill="auto"/>
            <w:hideMark/>
          </w:tcPr>
          <w:p w14:paraId="514D834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*Both sexes reported similar and negative emotional responses to disfigured others. </w:t>
            </w:r>
          </w:p>
        </w:tc>
      </w:tr>
      <w:tr w:rsidR="00493986" w:rsidRPr="00493986" w14:paraId="26456604" w14:textId="77777777" w:rsidTr="00493986">
        <w:trPr>
          <w:trHeight w:val="2270"/>
        </w:trPr>
        <w:tc>
          <w:tcPr>
            <w:tcW w:w="1443" w:type="dxa"/>
            <w:vMerge/>
            <w:tcBorders>
              <w:top w:val="nil"/>
              <w:left w:val="nil"/>
              <w:bottom w:val="single" w:sz="8" w:space="0" w:color="000000"/>
              <w:right w:val="nil"/>
            </w:tcBorders>
            <w:vAlign w:val="center"/>
            <w:hideMark/>
          </w:tcPr>
          <w:p w14:paraId="1F6BA37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7F6AAE7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3AB4322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2DF5902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40A7538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6E3B259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6E1E3F1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19672D6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*Verbal reports of their arousal levels when seeing themselves with FD was significantly more negative in females who used terms such as disgust, distress</w:t>
            </w:r>
            <w:r w:rsidR="00B32D9C">
              <w:rPr>
                <w:rFonts w:eastAsia="Times New Roman"/>
                <w:sz w:val="20"/>
                <w:szCs w:val="20"/>
              </w:rPr>
              <w:t>,</w:t>
            </w:r>
            <w:r w:rsidRPr="00493986">
              <w:rPr>
                <w:rFonts w:eastAsia="Times New Roman"/>
                <w:sz w:val="20"/>
                <w:szCs w:val="20"/>
              </w:rPr>
              <w:t xml:space="preserve"> and fright</w:t>
            </w:r>
          </w:p>
        </w:tc>
      </w:tr>
      <w:tr w:rsidR="00493986" w:rsidRPr="00493986" w14:paraId="7B1E680A" w14:textId="77777777" w:rsidTr="00493986">
        <w:trPr>
          <w:trHeight w:val="1980"/>
        </w:trPr>
        <w:tc>
          <w:tcPr>
            <w:tcW w:w="1443" w:type="dxa"/>
            <w:vMerge w:val="restart"/>
            <w:tcBorders>
              <w:top w:val="nil"/>
              <w:left w:val="nil"/>
              <w:bottom w:val="single" w:sz="8" w:space="0" w:color="000000"/>
              <w:right w:val="nil"/>
            </w:tcBorders>
            <w:shd w:val="clear" w:color="auto" w:fill="auto"/>
            <w:hideMark/>
          </w:tcPr>
          <w:p w14:paraId="4F6777A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Kouznetsova et al., 2012</w:t>
            </w:r>
          </w:p>
        </w:tc>
        <w:tc>
          <w:tcPr>
            <w:tcW w:w="1076" w:type="dxa"/>
            <w:vMerge w:val="restart"/>
            <w:tcBorders>
              <w:top w:val="nil"/>
              <w:left w:val="nil"/>
              <w:bottom w:val="single" w:sz="8" w:space="0" w:color="000000"/>
              <w:right w:val="nil"/>
            </w:tcBorders>
            <w:shd w:val="clear" w:color="auto" w:fill="auto"/>
            <w:hideMark/>
          </w:tcPr>
          <w:p w14:paraId="4F651C9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AUS</w:t>
            </w:r>
          </w:p>
        </w:tc>
        <w:tc>
          <w:tcPr>
            <w:tcW w:w="619" w:type="dxa"/>
            <w:vMerge w:val="restart"/>
            <w:tcBorders>
              <w:top w:val="nil"/>
              <w:left w:val="nil"/>
              <w:bottom w:val="single" w:sz="8" w:space="0" w:color="000000"/>
              <w:right w:val="nil"/>
            </w:tcBorders>
            <w:shd w:val="clear" w:color="auto" w:fill="auto"/>
            <w:hideMark/>
          </w:tcPr>
          <w:p w14:paraId="750713D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r w:rsidR="00B32D9C">
              <w:rPr>
                <w:rFonts w:eastAsia="Times New Roman"/>
                <w:sz w:val="20"/>
                <w:szCs w:val="20"/>
              </w:rPr>
              <w:t xml:space="preserve"> </w:t>
            </w:r>
            <w:r w:rsidRPr="00493986">
              <w:rPr>
                <w:rFonts w:eastAsia="Times New Roman"/>
                <w:sz w:val="20"/>
                <w:szCs w:val="20"/>
              </w:rPr>
              <w:t>S</w:t>
            </w:r>
          </w:p>
        </w:tc>
        <w:tc>
          <w:tcPr>
            <w:tcW w:w="1943" w:type="dxa"/>
            <w:vMerge w:val="restart"/>
            <w:tcBorders>
              <w:top w:val="nil"/>
              <w:left w:val="nil"/>
              <w:bottom w:val="single" w:sz="8" w:space="0" w:color="000000"/>
              <w:right w:val="nil"/>
            </w:tcBorders>
            <w:shd w:val="clear" w:color="auto" w:fill="auto"/>
            <w:hideMark/>
          </w:tcPr>
          <w:p w14:paraId="2B91EFE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N=140; Students; Conveniece sample</w:t>
            </w:r>
          </w:p>
        </w:tc>
        <w:tc>
          <w:tcPr>
            <w:tcW w:w="475" w:type="dxa"/>
            <w:vMerge w:val="restart"/>
            <w:tcBorders>
              <w:top w:val="nil"/>
              <w:left w:val="nil"/>
              <w:bottom w:val="single" w:sz="8" w:space="0" w:color="000000"/>
              <w:right w:val="nil"/>
            </w:tcBorders>
            <w:shd w:val="clear" w:color="auto" w:fill="auto"/>
            <w:hideMark/>
          </w:tcPr>
          <w:p w14:paraId="18AD836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140</w:t>
            </w:r>
          </w:p>
        </w:tc>
        <w:tc>
          <w:tcPr>
            <w:tcW w:w="2109" w:type="dxa"/>
            <w:vMerge w:val="restart"/>
            <w:tcBorders>
              <w:top w:val="nil"/>
              <w:left w:val="nil"/>
              <w:bottom w:val="single" w:sz="8" w:space="0" w:color="000000"/>
              <w:right w:val="nil"/>
            </w:tcBorders>
            <w:shd w:val="clear" w:color="auto" w:fill="auto"/>
            <w:hideMark/>
          </w:tcPr>
          <w:p w14:paraId="5396E46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Facial abnormalities, facial deformity, </w:t>
            </w:r>
          </w:p>
        </w:tc>
        <w:tc>
          <w:tcPr>
            <w:tcW w:w="1831" w:type="dxa"/>
            <w:vMerge w:val="restart"/>
            <w:tcBorders>
              <w:top w:val="nil"/>
              <w:left w:val="nil"/>
              <w:bottom w:val="single" w:sz="8" w:space="0" w:color="000000"/>
              <w:right w:val="nil"/>
            </w:tcBorders>
            <w:shd w:val="clear" w:color="auto" w:fill="auto"/>
            <w:hideMark/>
          </w:tcPr>
          <w:p w14:paraId="5EC42E8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Contagiousness scale, intended avoidant behaviour, Visibility of disease</w:t>
            </w:r>
          </w:p>
        </w:tc>
        <w:tc>
          <w:tcPr>
            <w:tcW w:w="1442" w:type="dxa"/>
            <w:tcBorders>
              <w:top w:val="nil"/>
              <w:left w:val="nil"/>
              <w:bottom w:val="nil"/>
              <w:right w:val="nil"/>
            </w:tcBorders>
            <w:shd w:val="clear" w:color="auto" w:fill="auto"/>
            <w:hideMark/>
          </w:tcPr>
          <w:p w14:paraId="273A1AA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*Participants showed a tendency to avoid individuals with disease signs, especially if displayed upon the face. </w:t>
            </w:r>
          </w:p>
        </w:tc>
      </w:tr>
      <w:tr w:rsidR="00493986" w:rsidRPr="00493986" w14:paraId="07C5D07F" w14:textId="77777777" w:rsidTr="00493986">
        <w:trPr>
          <w:trHeight w:val="1815"/>
        </w:trPr>
        <w:tc>
          <w:tcPr>
            <w:tcW w:w="1443" w:type="dxa"/>
            <w:vMerge/>
            <w:tcBorders>
              <w:top w:val="nil"/>
              <w:left w:val="nil"/>
              <w:bottom w:val="single" w:sz="8" w:space="0" w:color="000000"/>
              <w:right w:val="nil"/>
            </w:tcBorders>
            <w:vAlign w:val="center"/>
            <w:hideMark/>
          </w:tcPr>
          <w:p w14:paraId="588A37E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498E6A1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778996E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746FEB5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04A57D4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5BC481B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1CB1DAD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6E2475B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*Facially displayed disease signs, even if known to be non-contagious will likely result in observer's avoidance</w:t>
            </w:r>
          </w:p>
        </w:tc>
      </w:tr>
      <w:tr w:rsidR="00493986" w:rsidRPr="00493986" w14:paraId="503E1CB2" w14:textId="77777777" w:rsidTr="00493986">
        <w:trPr>
          <w:trHeight w:val="2250"/>
        </w:trPr>
        <w:tc>
          <w:tcPr>
            <w:tcW w:w="1443" w:type="dxa"/>
            <w:vMerge w:val="restart"/>
            <w:tcBorders>
              <w:top w:val="nil"/>
              <w:left w:val="nil"/>
              <w:bottom w:val="single" w:sz="8" w:space="0" w:color="000000"/>
              <w:right w:val="nil"/>
            </w:tcBorders>
            <w:shd w:val="clear" w:color="auto" w:fill="auto"/>
            <w:hideMark/>
          </w:tcPr>
          <w:p w14:paraId="4ADC3CE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Madera, 2016</w:t>
            </w:r>
          </w:p>
        </w:tc>
        <w:tc>
          <w:tcPr>
            <w:tcW w:w="1076" w:type="dxa"/>
            <w:vMerge w:val="restart"/>
            <w:tcBorders>
              <w:top w:val="nil"/>
              <w:left w:val="nil"/>
              <w:bottom w:val="single" w:sz="8" w:space="0" w:color="000000"/>
              <w:right w:val="nil"/>
            </w:tcBorders>
            <w:shd w:val="clear" w:color="auto" w:fill="auto"/>
            <w:hideMark/>
          </w:tcPr>
          <w:p w14:paraId="7E1A310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vMerge w:val="restart"/>
            <w:tcBorders>
              <w:top w:val="nil"/>
              <w:left w:val="nil"/>
              <w:bottom w:val="single" w:sz="8" w:space="0" w:color="000000"/>
              <w:right w:val="nil"/>
            </w:tcBorders>
            <w:shd w:val="clear" w:color="auto" w:fill="auto"/>
            <w:hideMark/>
          </w:tcPr>
          <w:p w14:paraId="4DD8C19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w:t>
            </w:r>
          </w:p>
        </w:tc>
        <w:tc>
          <w:tcPr>
            <w:tcW w:w="1943" w:type="dxa"/>
            <w:vMerge w:val="restart"/>
            <w:tcBorders>
              <w:top w:val="nil"/>
              <w:left w:val="nil"/>
              <w:bottom w:val="single" w:sz="8" w:space="0" w:color="000000"/>
              <w:right w:val="nil"/>
            </w:tcBorders>
            <w:shd w:val="clear" w:color="auto" w:fill="auto"/>
            <w:hideMark/>
          </w:tcPr>
          <w:p w14:paraId="0F86F60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Student</w:t>
            </w:r>
          </w:p>
        </w:tc>
        <w:tc>
          <w:tcPr>
            <w:tcW w:w="475" w:type="dxa"/>
            <w:vMerge w:val="restart"/>
            <w:tcBorders>
              <w:top w:val="nil"/>
              <w:left w:val="nil"/>
              <w:bottom w:val="single" w:sz="8" w:space="0" w:color="000000"/>
              <w:right w:val="nil"/>
            </w:tcBorders>
            <w:shd w:val="clear" w:color="auto" w:fill="auto"/>
            <w:hideMark/>
          </w:tcPr>
          <w:p w14:paraId="4798306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46</w:t>
            </w:r>
          </w:p>
        </w:tc>
        <w:tc>
          <w:tcPr>
            <w:tcW w:w="2109" w:type="dxa"/>
            <w:vMerge w:val="restart"/>
            <w:tcBorders>
              <w:top w:val="nil"/>
              <w:left w:val="nil"/>
              <w:bottom w:val="single" w:sz="8" w:space="0" w:color="000000"/>
              <w:right w:val="nil"/>
            </w:tcBorders>
            <w:shd w:val="clear" w:color="auto" w:fill="auto"/>
            <w:hideMark/>
          </w:tcPr>
          <w:p w14:paraId="3486719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stigma, FD</w:t>
            </w:r>
          </w:p>
        </w:tc>
        <w:tc>
          <w:tcPr>
            <w:tcW w:w="1831" w:type="dxa"/>
            <w:vMerge w:val="restart"/>
            <w:tcBorders>
              <w:top w:val="nil"/>
              <w:left w:val="nil"/>
              <w:bottom w:val="single" w:sz="8" w:space="0" w:color="000000"/>
              <w:right w:val="nil"/>
            </w:tcBorders>
            <w:shd w:val="clear" w:color="auto" w:fill="auto"/>
            <w:hideMark/>
          </w:tcPr>
          <w:p w14:paraId="24C02C8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Negative affect Scale (Watson et al., 1988), Negative behaviour Scale and Interviewers behaviour scale (Avery, et al., 2009), applicant's rating of interviewer behaviour</w:t>
            </w:r>
          </w:p>
        </w:tc>
        <w:tc>
          <w:tcPr>
            <w:tcW w:w="1442" w:type="dxa"/>
            <w:tcBorders>
              <w:top w:val="single" w:sz="8" w:space="0" w:color="auto"/>
              <w:left w:val="nil"/>
              <w:bottom w:val="single" w:sz="4" w:space="0" w:color="auto"/>
              <w:right w:val="nil"/>
            </w:tcBorders>
            <w:shd w:val="clear" w:color="auto" w:fill="auto"/>
            <w:hideMark/>
          </w:tcPr>
          <w:p w14:paraId="7B7846B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*Participants showed significantly more negative affect and negative behaviour towards confederate with FD. </w:t>
            </w:r>
          </w:p>
        </w:tc>
      </w:tr>
      <w:tr w:rsidR="00493986" w:rsidRPr="00493986" w14:paraId="53861324" w14:textId="77777777" w:rsidTr="00493986">
        <w:trPr>
          <w:trHeight w:val="2520"/>
        </w:trPr>
        <w:tc>
          <w:tcPr>
            <w:tcW w:w="1443" w:type="dxa"/>
            <w:vMerge/>
            <w:tcBorders>
              <w:top w:val="nil"/>
              <w:left w:val="nil"/>
              <w:bottom w:val="single" w:sz="8" w:space="0" w:color="000000"/>
              <w:right w:val="nil"/>
            </w:tcBorders>
            <w:vAlign w:val="center"/>
            <w:hideMark/>
          </w:tcPr>
          <w:p w14:paraId="79DFAB4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14BBDCF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06183BC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6ABB2C6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29A3016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6D787BD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4232E6C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single" w:sz="4" w:space="0" w:color="auto"/>
              <w:left w:val="nil"/>
              <w:bottom w:val="single" w:sz="8" w:space="0" w:color="auto"/>
              <w:right w:val="nil"/>
            </w:tcBorders>
            <w:shd w:val="clear" w:color="auto" w:fill="auto"/>
            <w:hideMark/>
          </w:tcPr>
          <w:p w14:paraId="35CB4E4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*Confederate with FD rated the interviewers as displaying more negative behaviours</w:t>
            </w:r>
          </w:p>
        </w:tc>
      </w:tr>
      <w:tr w:rsidR="00493986" w:rsidRPr="00493986" w14:paraId="4DCBE5E2" w14:textId="77777777" w:rsidTr="00493986">
        <w:trPr>
          <w:trHeight w:val="2590"/>
        </w:trPr>
        <w:tc>
          <w:tcPr>
            <w:tcW w:w="1443" w:type="dxa"/>
            <w:vMerge w:val="restart"/>
            <w:tcBorders>
              <w:top w:val="nil"/>
              <w:left w:val="nil"/>
              <w:bottom w:val="single" w:sz="8" w:space="0" w:color="000000"/>
              <w:right w:val="nil"/>
            </w:tcBorders>
            <w:shd w:val="clear" w:color="auto" w:fill="auto"/>
            <w:hideMark/>
          </w:tcPr>
          <w:p w14:paraId="59992BC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Madera &amp; Hebl, 2012</w:t>
            </w:r>
          </w:p>
        </w:tc>
        <w:tc>
          <w:tcPr>
            <w:tcW w:w="1076" w:type="dxa"/>
            <w:vMerge w:val="restart"/>
            <w:tcBorders>
              <w:top w:val="nil"/>
              <w:left w:val="nil"/>
              <w:bottom w:val="single" w:sz="8" w:space="0" w:color="000000"/>
              <w:right w:val="nil"/>
            </w:tcBorders>
            <w:shd w:val="clear" w:color="auto" w:fill="auto"/>
            <w:hideMark/>
          </w:tcPr>
          <w:p w14:paraId="6430AFF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vMerge w:val="restart"/>
            <w:tcBorders>
              <w:top w:val="nil"/>
              <w:left w:val="nil"/>
              <w:bottom w:val="single" w:sz="8" w:space="0" w:color="000000"/>
              <w:right w:val="nil"/>
            </w:tcBorders>
            <w:shd w:val="clear" w:color="auto" w:fill="auto"/>
            <w:hideMark/>
          </w:tcPr>
          <w:p w14:paraId="3ADB14D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 A</w:t>
            </w:r>
          </w:p>
        </w:tc>
        <w:tc>
          <w:tcPr>
            <w:tcW w:w="1943" w:type="dxa"/>
            <w:vMerge w:val="restart"/>
            <w:tcBorders>
              <w:top w:val="nil"/>
              <w:left w:val="nil"/>
              <w:bottom w:val="single" w:sz="8" w:space="0" w:color="000000"/>
              <w:right w:val="nil"/>
            </w:tcBorders>
            <w:shd w:val="clear" w:color="auto" w:fill="auto"/>
            <w:hideMark/>
          </w:tcPr>
          <w:p w14:paraId="01BC010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N=209; Students (S1) and Managers (S2); Convenience Sample</w:t>
            </w:r>
          </w:p>
        </w:tc>
        <w:tc>
          <w:tcPr>
            <w:tcW w:w="475" w:type="dxa"/>
            <w:vMerge w:val="restart"/>
            <w:tcBorders>
              <w:top w:val="nil"/>
              <w:left w:val="nil"/>
              <w:bottom w:val="single" w:sz="8" w:space="0" w:color="000000"/>
              <w:right w:val="nil"/>
            </w:tcBorders>
            <w:shd w:val="clear" w:color="auto" w:fill="auto"/>
            <w:hideMark/>
          </w:tcPr>
          <w:p w14:paraId="247F6F5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209</w:t>
            </w:r>
          </w:p>
        </w:tc>
        <w:tc>
          <w:tcPr>
            <w:tcW w:w="2109" w:type="dxa"/>
            <w:vMerge w:val="restart"/>
            <w:tcBorders>
              <w:top w:val="nil"/>
              <w:left w:val="nil"/>
              <w:bottom w:val="single" w:sz="8" w:space="0" w:color="000000"/>
              <w:right w:val="nil"/>
            </w:tcBorders>
            <w:shd w:val="clear" w:color="auto" w:fill="auto"/>
            <w:hideMark/>
          </w:tcPr>
          <w:p w14:paraId="47DF064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stigma, facially stigmatised</w:t>
            </w:r>
          </w:p>
        </w:tc>
        <w:tc>
          <w:tcPr>
            <w:tcW w:w="1831" w:type="dxa"/>
            <w:vMerge w:val="restart"/>
            <w:tcBorders>
              <w:top w:val="nil"/>
              <w:left w:val="nil"/>
              <w:bottom w:val="single" w:sz="8" w:space="0" w:color="000000"/>
              <w:right w:val="nil"/>
            </w:tcBorders>
            <w:shd w:val="clear" w:color="auto" w:fill="auto"/>
            <w:hideMark/>
          </w:tcPr>
          <w:p w14:paraId="52004F3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Visual fixation (Eye tracking; S1 only), self-regulatory depletion (colour-Stroop test), memory recall, applicant ratings</w:t>
            </w:r>
          </w:p>
        </w:tc>
        <w:tc>
          <w:tcPr>
            <w:tcW w:w="1442" w:type="dxa"/>
            <w:tcBorders>
              <w:top w:val="nil"/>
              <w:left w:val="nil"/>
              <w:bottom w:val="nil"/>
              <w:right w:val="nil"/>
            </w:tcBorders>
            <w:shd w:val="clear" w:color="auto" w:fill="auto"/>
            <w:hideMark/>
          </w:tcPr>
          <w:p w14:paraId="70ECF6F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 FD had lower ratings and participants visually attended more to their cheek. FD negatively affected the memory recall of interview facts. More self-regulatory resources were depleted when participants </w:t>
            </w:r>
            <w:r w:rsidRPr="00493986">
              <w:rPr>
                <w:rFonts w:eastAsia="Times New Roman"/>
                <w:sz w:val="20"/>
                <w:szCs w:val="20"/>
              </w:rPr>
              <w:lastRenderedPageBreak/>
              <w:t>were evaluating FD.</w:t>
            </w:r>
          </w:p>
        </w:tc>
      </w:tr>
      <w:tr w:rsidR="00493986" w:rsidRPr="00493986" w14:paraId="7711B693" w14:textId="77777777" w:rsidTr="00493986">
        <w:trPr>
          <w:trHeight w:val="1510"/>
        </w:trPr>
        <w:tc>
          <w:tcPr>
            <w:tcW w:w="1443" w:type="dxa"/>
            <w:vMerge/>
            <w:tcBorders>
              <w:top w:val="nil"/>
              <w:left w:val="nil"/>
              <w:bottom w:val="single" w:sz="8" w:space="0" w:color="000000"/>
              <w:right w:val="nil"/>
            </w:tcBorders>
            <w:vAlign w:val="center"/>
            <w:hideMark/>
          </w:tcPr>
          <w:p w14:paraId="223EDBC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60814DF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5B99925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2D8FEC9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0575618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032A989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142C7C9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09B4C5B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*Managers interviewing stigmatised applicant had poorer ratings, lower memory recall and depleted more self-regulatory resources.</w:t>
            </w:r>
          </w:p>
        </w:tc>
      </w:tr>
      <w:tr w:rsidR="00493986" w:rsidRPr="00493986" w14:paraId="6FCA003C" w14:textId="77777777" w:rsidTr="00493986">
        <w:trPr>
          <w:trHeight w:val="2355"/>
        </w:trPr>
        <w:tc>
          <w:tcPr>
            <w:tcW w:w="1443" w:type="dxa"/>
            <w:tcBorders>
              <w:top w:val="nil"/>
              <w:left w:val="nil"/>
              <w:bottom w:val="single" w:sz="8" w:space="0" w:color="auto"/>
              <w:right w:val="nil"/>
            </w:tcBorders>
            <w:shd w:val="clear" w:color="auto" w:fill="auto"/>
            <w:hideMark/>
          </w:tcPr>
          <w:p w14:paraId="7D960EF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Meyer-Marcotty &amp;  Stellzig-Eisenhauer, 2009</w:t>
            </w:r>
          </w:p>
        </w:tc>
        <w:tc>
          <w:tcPr>
            <w:tcW w:w="1076" w:type="dxa"/>
            <w:tcBorders>
              <w:top w:val="nil"/>
              <w:left w:val="nil"/>
              <w:bottom w:val="single" w:sz="8" w:space="0" w:color="auto"/>
              <w:right w:val="nil"/>
            </w:tcBorders>
            <w:shd w:val="clear" w:color="auto" w:fill="auto"/>
            <w:hideMark/>
          </w:tcPr>
          <w:p w14:paraId="00C9641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Germany</w:t>
            </w:r>
          </w:p>
        </w:tc>
        <w:tc>
          <w:tcPr>
            <w:tcW w:w="619" w:type="dxa"/>
            <w:tcBorders>
              <w:top w:val="nil"/>
              <w:left w:val="nil"/>
              <w:bottom w:val="single" w:sz="8" w:space="0" w:color="auto"/>
              <w:right w:val="nil"/>
            </w:tcBorders>
            <w:shd w:val="clear" w:color="auto" w:fill="auto"/>
            <w:hideMark/>
          </w:tcPr>
          <w:p w14:paraId="4912778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tcBorders>
              <w:top w:val="nil"/>
              <w:left w:val="nil"/>
              <w:bottom w:val="single" w:sz="8" w:space="0" w:color="auto"/>
              <w:right w:val="nil"/>
            </w:tcBorders>
            <w:shd w:val="clear" w:color="auto" w:fill="auto"/>
            <w:hideMark/>
          </w:tcPr>
          <w:p w14:paraId="6480BC2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N=35; Public/Service providers (n=20); Purposive sampling</w:t>
            </w:r>
          </w:p>
        </w:tc>
        <w:tc>
          <w:tcPr>
            <w:tcW w:w="475" w:type="dxa"/>
            <w:tcBorders>
              <w:top w:val="nil"/>
              <w:left w:val="nil"/>
              <w:bottom w:val="single" w:sz="8" w:space="0" w:color="auto"/>
              <w:right w:val="nil"/>
            </w:tcBorders>
            <w:shd w:val="clear" w:color="auto" w:fill="auto"/>
            <w:hideMark/>
          </w:tcPr>
          <w:p w14:paraId="39BF135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35</w:t>
            </w:r>
          </w:p>
        </w:tc>
        <w:tc>
          <w:tcPr>
            <w:tcW w:w="2109" w:type="dxa"/>
            <w:tcBorders>
              <w:top w:val="nil"/>
              <w:left w:val="nil"/>
              <w:bottom w:val="single" w:sz="8" w:space="0" w:color="auto"/>
              <w:right w:val="nil"/>
            </w:tcBorders>
            <w:shd w:val="clear" w:color="auto" w:fill="auto"/>
            <w:hideMark/>
          </w:tcPr>
          <w:p w14:paraId="72569F8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deviation, adults with CLP</w:t>
            </w:r>
          </w:p>
        </w:tc>
        <w:tc>
          <w:tcPr>
            <w:tcW w:w="1831" w:type="dxa"/>
            <w:tcBorders>
              <w:top w:val="nil"/>
              <w:left w:val="nil"/>
              <w:bottom w:val="single" w:sz="8" w:space="0" w:color="auto"/>
              <w:right w:val="nil"/>
            </w:tcBorders>
            <w:shd w:val="clear" w:color="auto" w:fill="auto"/>
            <w:hideMark/>
          </w:tcPr>
          <w:p w14:paraId="0033594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Ratings on facial attractiveness, symmetry, dissatisfaction and the need or desire for correction </w:t>
            </w:r>
          </w:p>
        </w:tc>
        <w:tc>
          <w:tcPr>
            <w:tcW w:w="1442" w:type="dxa"/>
            <w:tcBorders>
              <w:top w:val="nil"/>
              <w:left w:val="nil"/>
              <w:bottom w:val="single" w:sz="8" w:space="0" w:color="auto"/>
              <w:right w:val="nil"/>
            </w:tcBorders>
            <w:shd w:val="clear" w:color="auto" w:fill="auto"/>
            <w:hideMark/>
          </w:tcPr>
          <w:p w14:paraId="4CF50B9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*Middle part of </w:t>
            </w:r>
            <w:r w:rsidR="00B32D9C">
              <w:rPr>
                <w:rFonts w:eastAsia="Times New Roman"/>
                <w:sz w:val="20"/>
                <w:szCs w:val="20"/>
              </w:rPr>
              <w:t xml:space="preserve">the </w:t>
            </w:r>
            <w:r w:rsidRPr="00493986">
              <w:rPr>
                <w:rFonts w:eastAsia="Times New Roman"/>
                <w:sz w:val="20"/>
                <w:szCs w:val="20"/>
              </w:rPr>
              <w:t xml:space="preserve">face was associated with </w:t>
            </w:r>
            <w:r w:rsidR="00B32D9C">
              <w:rPr>
                <w:rFonts w:eastAsia="Times New Roman"/>
                <w:sz w:val="20"/>
                <w:szCs w:val="20"/>
              </w:rPr>
              <w:t xml:space="preserve">the </w:t>
            </w:r>
            <w:r w:rsidRPr="00493986">
              <w:rPr>
                <w:rFonts w:eastAsia="Times New Roman"/>
                <w:sz w:val="20"/>
                <w:szCs w:val="20"/>
              </w:rPr>
              <w:t xml:space="preserve">largest degree of asymmetry; experts and public reported </w:t>
            </w:r>
            <w:r w:rsidR="00B32D9C">
              <w:rPr>
                <w:rFonts w:eastAsia="Times New Roman"/>
                <w:sz w:val="20"/>
                <w:szCs w:val="20"/>
              </w:rPr>
              <w:t xml:space="preserve">the </w:t>
            </w:r>
            <w:r w:rsidRPr="00493986">
              <w:rPr>
                <w:rFonts w:eastAsia="Times New Roman"/>
                <w:sz w:val="20"/>
                <w:szCs w:val="20"/>
              </w:rPr>
              <w:t xml:space="preserve">greater need </w:t>
            </w:r>
            <w:r w:rsidR="00B32D9C">
              <w:rPr>
                <w:rFonts w:eastAsia="Times New Roman"/>
                <w:sz w:val="20"/>
                <w:szCs w:val="20"/>
              </w:rPr>
              <w:t>for</w:t>
            </w:r>
            <w:r w:rsidRPr="00493986">
              <w:rPr>
                <w:rFonts w:eastAsia="Times New Roman"/>
                <w:sz w:val="20"/>
                <w:szCs w:val="20"/>
              </w:rPr>
              <w:t xml:space="preserve"> correction for disfigurement in this area.</w:t>
            </w:r>
          </w:p>
        </w:tc>
      </w:tr>
      <w:tr w:rsidR="00493986" w:rsidRPr="00493986" w14:paraId="23CC305B" w14:textId="77777777" w:rsidTr="00493986">
        <w:trPr>
          <w:trHeight w:val="2060"/>
        </w:trPr>
        <w:tc>
          <w:tcPr>
            <w:tcW w:w="1443" w:type="dxa"/>
            <w:tcBorders>
              <w:top w:val="nil"/>
              <w:left w:val="nil"/>
              <w:bottom w:val="single" w:sz="8" w:space="0" w:color="auto"/>
              <w:right w:val="nil"/>
            </w:tcBorders>
            <w:shd w:val="clear" w:color="auto" w:fill="auto"/>
            <w:hideMark/>
          </w:tcPr>
          <w:p w14:paraId="3377F35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Mojon-Azzi et al., 2008</w:t>
            </w:r>
          </w:p>
        </w:tc>
        <w:tc>
          <w:tcPr>
            <w:tcW w:w="1076" w:type="dxa"/>
            <w:tcBorders>
              <w:top w:val="nil"/>
              <w:left w:val="nil"/>
              <w:bottom w:val="single" w:sz="8" w:space="0" w:color="auto"/>
              <w:right w:val="nil"/>
            </w:tcBorders>
            <w:shd w:val="clear" w:color="auto" w:fill="auto"/>
            <w:hideMark/>
          </w:tcPr>
          <w:p w14:paraId="1BBFEA1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CH</w:t>
            </w:r>
          </w:p>
        </w:tc>
        <w:tc>
          <w:tcPr>
            <w:tcW w:w="619" w:type="dxa"/>
            <w:tcBorders>
              <w:top w:val="nil"/>
              <w:left w:val="nil"/>
              <w:bottom w:val="single" w:sz="8" w:space="0" w:color="auto"/>
              <w:right w:val="nil"/>
            </w:tcBorders>
            <w:shd w:val="clear" w:color="auto" w:fill="auto"/>
            <w:hideMark/>
          </w:tcPr>
          <w:p w14:paraId="2C851E4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 S</w:t>
            </w:r>
          </w:p>
        </w:tc>
        <w:tc>
          <w:tcPr>
            <w:tcW w:w="1943" w:type="dxa"/>
            <w:tcBorders>
              <w:top w:val="nil"/>
              <w:left w:val="nil"/>
              <w:bottom w:val="single" w:sz="8" w:space="0" w:color="auto"/>
              <w:right w:val="nil"/>
            </w:tcBorders>
            <w:shd w:val="clear" w:color="auto" w:fill="auto"/>
            <w:hideMark/>
          </w:tcPr>
          <w:p w14:paraId="09E71EB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N=40; Service providers; purposive sampling</w:t>
            </w:r>
          </w:p>
        </w:tc>
        <w:tc>
          <w:tcPr>
            <w:tcW w:w="475" w:type="dxa"/>
            <w:tcBorders>
              <w:top w:val="nil"/>
              <w:left w:val="nil"/>
              <w:bottom w:val="single" w:sz="8" w:space="0" w:color="auto"/>
              <w:right w:val="nil"/>
            </w:tcBorders>
            <w:shd w:val="clear" w:color="auto" w:fill="auto"/>
            <w:hideMark/>
          </w:tcPr>
          <w:p w14:paraId="0291868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40</w:t>
            </w:r>
          </w:p>
        </w:tc>
        <w:tc>
          <w:tcPr>
            <w:tcW w:w="2109" w:type="dxa"/>
            <w:tcBorders>
              <w:top w:val="nil"/>
              <w:left w:val="nil"/>
              <w:bottom w:val="single" w:sz="8" w:space="0" w:color="auto"/>
              <w:right w:val="nil"/>
            </w:tcBorders>
            <w:shd w:val="clear" w:color="auto" w:fill="auto"/>
            <w:hideMark/>
          </w:tcPr>
          <w:p w14:paraId="23E1D5A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abnormal face, craniofacial anomaly, facial deformities</w:t>
            </w:r>
          </w:p>
        </w:tc>
        <w:tc>
          <w:tcPr>
            <w:tcW w:w="1831" w:type="dxa"/>
            <w:tcBorders>
              <w:top w:val="nil"/>
              <w:left w:val="nil"/>
              <w:bottom w:val="single" w:sz="8" w:space="0" w:color="auto"/>
              <w:right w:val="nil"/>
            </w:tcBorders>
            <w:shd w:val="clear" w:color="auto" w:fill="auto"/>
            <w:hideMark/>
          </w:tcPr>
          <w:p w14:paraId="29CE833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Questionnaire assessing </w:t>
            </w:r>
            <w:r w:rsidR="00B32D9C">
              <w:rPr>
                <w:rFonts w:eastAsia="Times New Roman"/>
                <w:sz w:val="20"/>
                <w:szCs w:val="20"/>
              </w:rPr>
              <w:t xml:space="preserve">the </w:t>
            </w:r>
            <w:r w:rsidRPr="00493986">
              <w:rPr>
                <w:rFonts w:eastAsia="Times New Roman"/>
                <w:sz w:val="20"/>
                <w:szCs w:val="20"/>
              </w:rPr>
              <w:t xml:space="preserve">ability to find </w:t>
            </w:r>
            <w:r w:rsidR="00B32D9C">
              <w:rPr>
                <w:rFonts w:eastAsia="Times New Roman"/>
                <w:sz w:val="20"/>
                <w:szCs w:val="20"/>
              </w:rPr>
              <w:t xml:space="preserve">a </w:t>
            </w:r>
            <w:r w:rsidRPr="00493986">
              <w:rPr>
                <w:rFonts w:eastAsia="Times New Roman"/>
                <w:sz w:val="20"/>
                <w:szCs w:val="20"/>
              </w:rPr>
              <w:t>partner</w:t>
            </w:r>
          </w:p>
        </w:tc>
        <w:tc>
          <w:tcPr>
            <w:tcW w:w="1442" w:type="dxa"/>
            <w:tcBorders>
              <w:top w:val="nil"/>
              <w:left w:val="nil"/>
              <w:bottom w:val="single" w:sz="8" w:space="0" w:color="auto"/>
              <w:right w:val="nil"/>
            </w:tcBorders>
            <w:shd w:val="clear" w:color="auto" w:fill="auto"/>
            <w:hideMark/>
          </w:tcPr>
          <w:p w14:paraId="728CEF7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*Acne, missing tooth and strabismus as barriers to find</w:t>
            </w:r>
            <w:r w:rsidR="00B32D9C">
              <w:rPr>
                <w:rFonts w:eastAsia="Times New Roman"/>
                <w:sz w:val="20"/>
                <w:szCs w:val="20"/>
              </w:rPr>
              <w:t>ing</w:t>
            </w:r>
            <w:r w:rsidRPr="00493986">
              <w:rPr>
                <w:rFonts w:eastAsia="Times New Roman"/>
                <w:sz w:val="20"/>
                <w:szCs w:val="20"/>
              </w:rPr>
              <w:t xml:space="preserve"> a partner. </w:t>
            </w:r>
          </w:p>
        </w:tc>
      </w:tr>
      <w:tr w:rsidR="00493986" w:rsidRPr="00493986" w14:paraId="1BFC4603" w14:textId="77777777" w:rsidTr="00493986">
        <w:trPr>
          <w:trHeight w:val="1890"/>
        </w:trPr>
        <w:tc>
          <w:tcPr>
            <w:tcW w:w="1443" w:type="dxa"/>
            <w:tcBorders>
              <w:top w:val="nil"/>
              <w:left w:val="nil"/>
              <w:bottom w:val="single" w:sz="8" w:space="0" w:color="auto"/>
              <w:right w:val="nil"/>
            </w:tcBorders>
            <w:shd w:val="clear" w:color="auto" w:fill="auto"/>
            <w:hideMark/>
          </w:tcPr>
          <w:p w14:paraId="6B67D17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Mojon-Azzi &amp; Mojon, 2007</w:t>
            </w:r>
          </w:p>
        </w:tc>
        <w:tc>
          <w:tcPr>
            <w:tcW w:w="1076" w:type="dxa"/>
            <w:tcBorders>
              <w:top w:val="nil"/>
              <w:left w:val="nil"/>
              <w:bottom w:val="single" w:sz="8" w:space="0" w:color="auto"/>
              <w:right w:val="nil"/>
            </w:tcBorders>
            <w:shd w:val="clear" w:color="auto" w:fill="auto"/>
            <w:hideMark/>
          </w:tcPr>
          <w:p w14:paraId="08DBF49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CH</w:t>
            </w:r>
          </w:p>
        </w:tc>
        <w:tc>
          <w:tcPr>
            <w:tcW w:w="619" w:type="dxa"/>
            <w:tcBorders>
              <w:top w:val="nil"/>
              <w:left w:val="nil"/>
              <w:bottom w:val="single" w:sz="8" w:space="0" w:color="auto"/>
              <w:right w:val="nil"/>
            </w:tcBorders>
            <w:shd w:val="clear" w:color="auto" w:fill="auto"/>
            <w:hideMark/>
          </w:tcPr>
          <w:p w14:paraId="7941F77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w:t>
            </w:r>
          </w:p>
        </w:tc>
        <w:tc>
          <w:tcPr>
            <w:tcW w:w="1943" w:type="dxa"/>
            <w:tcBorders>
              <w:top w:val="nil"/>
              <w:left w:val="nil"/>
              <w:bottom w:val="single" w:sz="8" w:space="0" w:color="auto"/>
              <w:right w:val="nil"/>
            </w:tcBorders>
            <w:shd w:val="clear" w:color="auto" w:fill="auto"/>
            <w:hideMark/>
          </w:tcPr>
          <w:p w14:paraId="72BFE1E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N=20; Service providers; Simple random sampling</w:t>
            </w:r>
          </w:p>
        </w:tc>
        <w:tc>
          <w:tcPr>
            <w:tcW w:w="475" w:type="dxa"/>
            <w:tcBorders>
              <w:top w:val="nil"/>
              <w:left w:val="nil"/>
              <w:bottom w:val="single" w:sz="8" w:space="0" w:color="auto"/>
              <w:right w:val="nil"/>
            </w:tcBorders>
            <w:shd w:val="clear" w:color="auto" w:fill="auto"/>
            <w:hideMark/>
          </w:tcPr>
          <w:p w14:paraId="4649579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20</w:t>
            </w:r>
          </w:p>
        </w:tc>
        <w:tc>
          <w:tcPr>
            <w:tcW w:w="2109" w:type="dxa"/>
            <w:tcBorders>
              <w:top w:val="nil"/>
              <w:left w:val="nil"/>
              <w:bottom w:val="single" w:sz="8" w:space="0" w:color="auto"/>
              <w:right w:val="nil"/>
            </w:tcBorders>
            <w:shd w:val="clear" w:color="auto" w:fill="auto"/>
            <w:hideMark/>
          </w:tcPr>
          <w:p w14:paraId="06B145F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FD/abnormal facial appearance</w:t>
            </w:r>
          </w:p>
        </w:tc>
        <w:tc>
          <w:tcPr>
            <w:tcW w:w="1831" w:type="dxa"/>
            <w:tcBorders>
              <w:top w:val="nil"/>
              <w:left w:val="nil"/>
              <w:bottom w:val="single" w:sz="8" w:space="0" w:color="auto"/>
              <w:right w:val="nil"/>
            </w:tcBorders>
            <w:shd w:val="clear" w:color="auto" w:fill="auto"/>
            <w:hideMark/>
          </w:tcPr>
          <w:p w14:paraId="59D705D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Questionnaire assessing employability </w:t>
            </w:r>
          </w:p>
        </w:tc>
        <w:tc>
          <w:tcPr>
            <w:tcW w:w="1442" w:type="dxa"/>
            <w:tcBorders>
              <w:top w:val="nil"/>
              <w:left w:val="nil"/>
              <w:bottom w:val="single" w:sz="8" w:space="0" w:color="auto"/>
              <w:right w:val="nil"/>
            </w:tcBorders>
            <w:shd w:val="clear" w:color="auto" w:fill="auto"/>
            <w:hideMark/>
          </w:tcPr>
          <w:p w14:paraId="290766B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*Acne and strabismus has a negative impact on </w:t>
            </w:r>
            <w:r w:rsidR="00B32D9C">
              <w:rPr>
                <w:rFonts w:eastAsia="Times New Roman"/>
                <w:sz w:val="20"/>
                <w:szCs w:val="20"/>
              </w:rPr>
              <w:t xml:space="preserve">the </w:t>
            </w:r>
            <w:r w:rsidRPr="00493986">
              <w:rPr>
                <w:rFonts w:eastAsia="Times New Roman"/>
                <w:sz w:val="20"/>
                <w:szCs w:val="20"/>
              </w:rPr>
              <w:t>overall judgement of potential employers</w:t>
            </w:r>
          </w:p>
        </w:tc>
      </w:tr>
      <w:tr w:rsidR="00493986" w:rsidRPr="00493986" w14:paraId="0BB8F21E" w14:textId="77777777" w:rsidTr="00493986">
        <w:trPr>
          <w:trHeight w:val="1440"/>
        </w:trPr>
        <w:tc>
          <w:tcPr>
            <w:tcW w:w="1443" w:type="dxa"/>
            <w:vMerge w:val="restart"/>
            <w:tcBorders>
              <w:top w:val="nil"/>
              <w:left w:val="nil"/>
              <w:bottom w:val="single" w:sz="8" w:space="0" w:color="000000"/>
              <w:right w:val="nil"/>
            </w:tcBorders>
            <w:shd w:val="clear" w:color="auto" w:fill="auto"/>
            <w:hideMark/>
          </w:tcPr>
          <w:p w14:paraId="3816982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Moolenburgh et al., 2008</w:t>
            </w:r>
          </w:p>
        </w:tc>
        <w:tc>
          <w:tcPr>
            <w:tcW w:w="1076" w:type="dxa"/>
            <w:vMerge w:val="restart"/>
            <w:tcBorders>
              <w:top w:val="nil"/>
              <w:left w:val="nil"/>
              <w:bottom w:val="single" w:sz="8" w:space="0" w:color="000000"/>
              <w:right w:val="nil"/>
            </w:tcBorders>
            <w:shd w:val="clear" w:color="auto" w:fill="auto"/>
            <w:hideMark/>
          </w:tcPr>
          <w:p w14:paraId="55D84A2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NE</w:t>
            </w:r>
          </w:p>
        </w:tc>
        <w:tc>
          <w:tcPr>
            <w:tcW w:w="619" w:type="dxa"/>
            <w:vMerge w:val="restart"/>
            <w:tcBorders>
              <w:top w:val="nil"/>
              <w:left w:val="nil"/>
              <w:bottom w:val="single" w:sz="8" w:space="0" w:color="000000"/>
              <w:right w:val="nil"/>
            </w:tcBorders>
            <w:shd w:val="clear" w:color="auto" w:fill="auto"/>
            <w:hideMark/>
          </w:tcPr>
          <w:p w14:paraId="65A11A7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vMerge w:val="restart"/>
            <w:tcBorders>
              <w:top w:val="nil"/>
              <w:left w:val="nil"/>
              <w:bottom w:val="single" w:sz="8" w:space="0" w:color="000000"/>
              <w:right w:val="nil"/>
            </w:tcBorders>
            <w:shd w:val="clear" w:color="auto" w:fill="auto"/>
            <w:hideMark/>
          </w:tcPr>
          <w:p w14:paraId="7081742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vMerge w:val="restart"/>
            <w:tcBorders>
              <w:top w:val="nil"/>
              <w:left w:val="nil"/>
              <w:bottom w:val="single" w:sz="8" w:space="0" w:color="000000"/>
              <w:right w:val="nil"/>
            </w:tcBorders>
            <w:shd w:val="clear" w:color="auto" w:fill="auto"/>
            <w:hideMark/>
          </w:tcPr>
          <w:p w14:paraId="315251C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20</w:t>
            </w:r>
          </w:p>
        </w:tc>
        <w:tc>
          <w:tcPr>
            <w:tcW w:w="2109" w:type="dxa"/>
            <w:vMerge w:val="restart"/>
            <w:tcBorders>
              <w:top w:val="nil"/>
              <w:left w:val="nil"/>
              <w:bottom w:val="single" w:sz="8" w:space="0" w:color="000000"/>
              <w:right w:val="nil"/>
            </w:tcBorders>
            <w:shd w:val="clear" w:color="auto" w:fill="auto"/>
            <w:hideMark/>
          </w:tcPr>
          <w:p w14:paraId="3E1886D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deformities, facial abnormality</w:t>
            </w:r>
          </w:p>
        </w:tc>
        <w:tc>
          <w:tcPr>
            <w:tcW w:w="1831" w:type="dxa"/>
            <w:vMerge w:val="restart"/>
            <w:tcBorders>
              <w:top w:val="nil"/>
              <w:left w:val="nil"/>
              <w:bottom w:val="single" w:sz="8" w:space="0" w:color="000000"/>
              <w:right w:val="nil"/>
            </w:tcBorders>
            <w:shd w:val="clear" w:color="auto" w:fill="auto"/>
            <w:hideMark/>
          </w:tcPr>
          <w:p w14:paraId="4DF941B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Assessment on appearance (normal-abnormal), attractiveness, most striking feature. </w:t>
            </w:r>
          </w:p>
        </w:tc>
        <w:tc>
          <w:tcPr>
            <w:tcW w:w="1442" w:type="dxa"/>
            <w:tcBorders>
              <w:top w:val="nil"/>
              <w:left w:val="nil"/>
              <w:bottom w:val="nil"/>
              <w:right w:val="nil"/>
            </w:tcBorders>
            <w:shd w:val="clear" w:color="auto" w:fill="auto"/>
            <w:hideMark/>
          </w:tcPr>
          <w:p w14:paraId="6E59F27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*Patients (after nasal reconstruction) were perceived significantly less attractive and more abnormal than controls.</w:t>
            </w:r>
          </w:p>
        </w:tc>
      </w:tr>
      <w:tr w:rsidR="00493986" w:rsidRPr="00493986" w14:paraId="3246BF83" w14:textId="77777777" w:rsidTr="00493986">
        <w:trPr>
          <w:trHeight w:val="1360"/>
        </w:trPr>
        <w:tc>
          <w:tcPr>
            <w:tcW w:w="1443" w:type="dxa"/>
            <w:vMerge/>
            <w:tcBorders>
              <w:top w:val="nil"/>
              <w:left w:val="nil"/>
              <w:bottom w:val="single" w:sz="8" w:space="0" w:color="000000"/>
              <w:right w:val="nil"/>
            </w:tcBorders>
            <w:vAlign w:val="center"/>
            <w:hideMark/>
          </w:tcPr>
          <w:p w14:paraId="512D25A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4C0AD08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55EDFEB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2650A29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7E7B6AD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5FBE224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1C35E0E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5A02A37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*Prior knowledge had a significant positive effect on mean facial attractiveness and abnormality scores.</w:t>
            </w:r>
          </w:p>
        </w:tc>
      </w:tr>
      <w:tr w:rsidR="00493986" w:rsidRPr="00493986" w14:paraId="3B8CCCEB" w14:textId="77777777" w:rsidTr="00493986">
        <w:trPr>
          <w:trHeight w:val="820"/>
        </w:trPr>
        <w:tc>
          <w:tcPr>
            <w:tcW w:w="1443" w:type="dxa"/>
            <w:vMerge w:val="restart"/>
            <w:tcBorders>
              <w:top w:val="nil"/>
              <w:left w:val="nil"/>
              <w:bottom w:val="single" w:sz="8" w:space="0" w:color="000000"/>
              <w:right w:val="nil"/>
            </w:tcBorders>
            <w:shd w:val="clear" w:color="auto" w:fill="auto"/>
            <w:hideMark/>
          </w:tcPr>
          <w:p w14:paraId="5F2DDAE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Oginni et al., 2010</w:t>
            </w:r>
          </w:p>
        </w:tc>
        <w:tc>
          <w:tcPr>
            <w:tcW w:w="1076" w:type="dxa"/>
            <w:vMerge w:val="restart"/>
            <w:tcBorders>
              <w:top w:val="nil"/>
              <w:left w:val="nil"/>
              <w:bottom w:val="single" w:sz="8" w:space="0" w:color="000000"/>
              <w:right w:val="nil"/>
            </w:tcBorders>
            <w:shd w:val="clear" w:color="auto" w:fill="auto"/>
            <w:hideMark/>
          </w:tcPr>
          <w:p w14:paraId="7D33D9B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Nigeria</w:t>
            </w:r>
          </w:p>
        </w:tc>
        <w:tc>
          <w:tcPr>
            <w:tcW w:w="619" w:type="dxa"/>
            <w:vMerge w:val="restart"/>
            <w:tcBorders>
              <w:top w:val="nil"/>
              <w:left w:val="nil"/>
              <w:bottom w:val="single" w:sz="8" w:space="0" w:color="000000"/>
              <w:right w:val="nil"/>
            </w:tcBorders>
            <w:shd w:val="clear" w:color="auto" w:fill="auto"/>
            <w:hideMark/>
          </w:tcPr>
          <w:p w14:paraId="4933F66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K</w:t>
            </w:r>
          </w:p>
        </w:tc>
        <w:tc>
          <w:tcPr>
            <w:tcW w:w="1943" w:type="dxa"/>
            <w:vMerge w:val="restart"/>
            <w:tcBorders>
              <w:top w:val="nil"/>
              <w:left w:val="nil"/>
              <w:bottom w:val="single" w:sz="8" w:space="0" w:color="000000"/>
              <w:right w:val="nil"/>
            </w:tcBorders>
            <w:shd w:val="clear" w:color="auto" w:fill="auto"/>
            <w:hideMark/>
          </w:tcPr>
          <w:p w14:paraId="697FCA5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vMerge w:val="restart"/>
            <w:tcBorders>
              <w:top w:val="nil"/>
              <w:left w:val="nil"/>
              <w:bottom w:val="single" w:sz="8" w:space="0" w:color="000000"/>
              <w:right w:val="nil"/>
            </w:tcBorders>
            <w:shd w:val="clear" w:color="auto" w:fill="auto"/>
            <w:hideMark/>
          </w:tcPr>
          <w:p w14:paraId="66835DE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650</w:t>
            </w:r>
          </w:p>
        </w:tc>
        <w:tc>
          <w:tcPr>
            <w:tcW w:w="2109" w:type="dxa"/>
            <w:vMerge w:val="restart"/>
            <w:tcBorders>
              <w:top w:val="nil"/>
              <w:left w:val="nil"/>
              <w:bottom w:val="single" w:sz="8" w:space="0" w:color="000000"/>
              <w:right w:val="nil"/>
            </w:tcBorders>
            <w:shd w:val="clear" w:color="auto" w:fill="auto"/>
            <w:hideMark/>
          </w:tcPr>
          <w:p w14:paraId="58B6340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Orofacial clefts</w:t>
            </w:r>
          </w:p>
        </w:tc>
        <w:tc>
          <w:tcPr>
            <w:tcW w:w="1831" w:type="dxa"/>
            <w:vMerge w:val="restart"/>
            <w:tcBorders>
              <w:top w:val="nil"/>
              <w:left w:val="nil"/>
              <w:bottom w:val="single" w:sz="8" w:space="0" w:color="000000"/>
              <w:right w:val="nil"/>
            </w:tcBorders>
            <w:shd w:val="clear" w:color="auto" w:fill="auto"/>
            <w:hideMark/>
          </w:tcPr>
          <w:p w14:paraId="60F67A2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Structured questionnaire</w:t>
            </w:r>
          </w:p>
        </w:tc>
        <w:tc>
          <w:tcPr>
            <w:tcW w:w="1442" w:type="dxa"/>
            <w:tcBorders>
              <w:top w:val="nil"/>
              <w:left w:val="nil"/>
              <w:bottom w:val="nil"/>
              <w:right w:val="nil"/>
            </w:tcBorders>
            <w:shd w:val="clear" w:color="auto" w:fill="auto"/>
            <w:hideMark/>
          </w:tcPr>
          <w:p w14:paraId="6AB84DC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*75% had seen an individual with an orofacial cleft.</w:t>
            </w:r>
          </w:p>
        </w:tc>
      </w:tr>
      <w:tr w:rsidR="00493986" w:rsidRPr="00493986" w14:paraId="394A0567" w14:textId="77777777" w:rsidTr="00493986">
        <w:trPr>
          <w:trHeight w:val="1310"/>
        </w:trPr>
        <w:tc>
          <w:tcPr>
            <w:tcW w:w="1443" w:type="dxa"/>
            <w:vMerge/>
            <w:tcBorders>
              <w:top w:val="nil"/>
              <w:left w:val="nil"/>
              <w:bottom w:val="single" w:sz="8" w:space="0" w:color="000000"/>
              <w:right w:val="nil"/>
            </w:tcBorders>
            <w:vAlign w:val="center"/>
            <w:hideMark/>
          </w:tcPr>
          <w:p w14:paraId="239E365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0797F28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6B3F60E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7976866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530E94F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71751A6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3482990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nil"/>
              <w:right w:val="nil"/>
            </w:tcBorders>
            <w:shd w:val="clear" w:color="auto" w:fill="auto"/>
            <w:hideMark/>
          </w:tcPr>
          <w:p w14:paraId="1134FFE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*40% knew about corrective surgery for CLP and only 22% would recommend a visit to the hospital. </w:t>
            </w:r>
          </w:p>
        </w:tc>
      </w:tr>
      <w:tr w:rsidR="00493986" w:rsidRPr="00493986" w14:paraId="183BF7F0" w14:textId="77777777" w:rsidTr="00493986">
        <w:trPr>
          <w:trHeight w:val="1600"/>
        </w:trPr>
        <w:tc>
          <w:tcPr>
            <w:tcW w:w="1443" w:type="dxa"/>
            <w:vMerge/>
            <w:tcBorders>
              <w:top w:val="nil"/>
              <w:left w:val="nil"/>
              <w:bottom w:val="single" w:sz="8" w:space="0" w:color="000000"/>
              <w:right w:val="nil"/>
            </w:tcBorders>
            <w:vAlign w:val="center"/>
            <w:hideMark/>
          </w:tcPr>
          <w:p w14:paraId="67BE1B0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031EE65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5378079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3EC870E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2AA0CD4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75EFD17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0C43B6A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1CC3A27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*Higher educational attainment was associated with reported medical causative factors and accuracy in possible treatment options.</w:t>
            </w:r>
          </w:p>
        </w:tc>
      </w:tr>
      <w:tr w:rsidR="00493986" w:rsidRPr="00493986" w14:paraId="66D38C46" w14:textId="77777777" w:rsidTr="00493986">
        <w:trPr>
          <w:trHeight w:val="1790"/>
        </w:trPr>
        <w:tc>
          <w:tcPr>
            <w:tcW w:w="1443" w:type="dxa"/>
            <w:vMerge w:val="restart"/>
            <w:tcBorders>
              <w:top w:val="nil"/>
              <w:left w:val="nil"/>
              <w:bottom w:val="single" w:sz="8" w:space="0" w:color="000000"/>
              <w:right w:val="nil"/>
            </w:tcBorders>
            <w:shd w:val="clear" w:color="auto" w:fill="auto"/>
            <w:hideMark/>
          </w:tcPr>
          <w:p w14:paraId="4FA363B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Owotade et al., 2014</w:t>
            </w:r>
          </w:p>
        </w:tc>
        <w:tc>
          <w:tcPr>
            <w:tcW w:w="1076" w:type="dxa"/>
            <w:vMerge w:val="restart"/>
            <w:tcBorders>
              <w:top w:val="nil"/>
              <w:left w:val="nil"/>
              <w:bottom w:val="single" w:sz="8" w:space="0" w:color="000000"/>
              <w:right w:val="nil"/>
            </w:tcBorders>
            <w:shd w:val="clear" w:color="auto" w:fill="auto"/>
            <w:hideMark/>
          </w:tcPr>
          <w:p w14:paraId="4A353FC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Nigeria</w:t>
            </w:r>
          </w:p>
        </w:tc>
        <w:tc>
          <w:tcPr>
            <w:tcW w:w="619" w:type="dxa"/>
            <w:vMerge w:val="restart"/>
            <w:tcBorders>
              <w:top w:val="nil"/>
              <w:left w:val="nil"/>
              <w:bottom w:val="single" w:sz="8" w:space="0" w:color="000000"/>
              <w:right w:val="nil"/>
            </w:tcBorders>
            <w:shd w:val="clear" w:color="auto" w:fill="auto"/>
            <w:hideMark/>
          </w:tcPr>
          <w:p w14:paraId="77DD203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K</w:t>
            </w:r>
          </w:p>
        </w:tc>
        <w:tc>
          <w:tcPr>
            <w:tcW w:w="1943" w:type="dxa"/>
            <w:vMerge w:val="restart"/>
            <w:tcBorders>
              <w:top w:val="nil"/>
              <w:left w:val="nil"/>
              <w:bottom w:val="single" w:sz="8" w:space="0" w:color="000000"/>
              <w:right w:val="nil"/>
            </w:tcBorders>
            <w:shd w:val="clear" w:color="auto" w:fill="auto"/>
            <w:hideMark/>
          </w:tcPr>
          <w:p w14:paraId="7928E2A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Service users</w:t>
            </w:r>
          </w:p>
        </w:tc>
        <w:tc>
          <w:tcPr>
            <w:tcW w:w="475" w:type="dxa"/>
            <w:vMerge w:val="restart"/>
            <w:tcBorders>
              <w:top w:val="nil"/>
              <w:left w:val="nil"/>
              <w:bottom w:val="single" w:sz="8" w:space="0" w:color="000000"/>
              <w:right w:val="nil"/>
            </w:tcBorders>
            <w:shd w:val="clear" w:color="auto" w:fill="auto"/>
            <w:hideMark/>
          </w:tcPr>
          <w:p w14:paraId="308BD50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200</w:t>
            </w:r>
          </w:p>
        </w:tc>
        <w:tc>
          <w:tcPr>
            <w:tcW w:w="2109" w:type="dxa"/>
            <w:vMerge w:val="restart"/>
            <w:tcBorders>
              <w:top w:val="nil"/>
              <w:left w:val="nil"/>
              <w:bottom w:val="single" w:sz="8" w:space="0" w:color="000000"/>
              <w:right w:val="nil"/>
            </w:tcBorders>
            <w:shd w:val="clear" w:color="auto" w:fill="auto"/>
            <w:hideMark/>
          </w:tcPr>
          <w:p w14:paraId="7F78DFA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Congenitally deformed</w:t>
            </w:r>
          </w:p>
        </w:tc>
        <w:tc>
          <w:tcPr>
            <w:tcW w:w="1831" w:type="dxa"/>
            <w:vMerge w:val="restart"/>
            <w:tcBorders>
              <w:top w:val="nil"/>
              <w:left w:val="nil"/>
              <w:bottom w:val="single" w:sz="8" w:space="0" w:color="000000"/>
              <w:right w:val="nil"/>
            </w:tcBorders>
            <w:shd w:val="clear" w:color="auto" w:fill="auto"/>
            <w:hideMark/>
          </w:tcPr>
          <w:p w14:paraId="5B28457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Attitude, knowledge</w:t>
            </w:r>
            <w:r w:rsidR="00B32D9C">
              <w:rPr>
                <w:rFonts w:eastAsia="Times New Roman"/>
                <w:sz w:val="20"/>
                <w:szCs w:val="20"/>
              </w:rPr>
              <w:t>,</w:t>
            </w:r>
            <w:r w:rsidRPr="00493986">
              <w:rPr>
                <w:rFonts w:eastAsia="Times New Roman"/>
                <w:sz w:val="20"/>
                <w:szCs w:val="20"/>
              </w:rPr>
              <w:t xml:space="preserve"> and level of awareness about causes and treatment </w:t>
            </w:r>
          </w:p>
        </w:tc>
        <w:tc>
          <w:tcPr>
            <w:tcW w:w="1442" w:type="dxa"/>
            <w:tcBorders>
              <w:top w:val="nil"/>
              <w:left w:val="nil"/>
              <w:bottom w:val="nil"/>
              <w:right w:val="nil"/>
            </w:tcBorders>
            <w:shd w:val="clear" w:color="auto" w:fill="auto"/>
            <w:hideMark/>
          </w:tcPr>
          <w:p w14:paraId="32FE74C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w:t>
            </w:r>
            <w:r w:rsidR="00B32D9C">
              <w:rPr>
                <w:rFonts w:eastAsia="Times New Roman"/>
                <w:sz w:val="20"/>
                <w:szCs w:val="20"/>
              </w:rPr>
              <w:t>50%</w:t>
            </w:r>
            <w:r w:rsidRPr="00493986">
              <w:rPr>
                <w:rFonts w:eastAsia="Times New Roman"/>
                <w:sz w:val="20"/>
                <w:szCs w:val="20"/>
              </w:rPr>
              <w:t xml:space="preserve"> reported having seen or heard about CLP. Of those with knowledge of CLP, only 19.8% correctly identified cleft as </w:t>
            </w:r>
            <w:r w:rsidR="00B32D9C">
              <w:rPr>
                <w:rFonts w:eastAsia="Times New Roman"/>
                <w:sz w:val="20"/>
                <w:szCs w:val="20"/>
              </w:rPr>
              <w:t xml:space="preserve">a </w:t>
            </w:r>
            <w:r w:rsidRPr="00493986">
              <w:rPr>
                <w:rFonts w:eastAsia="Times New Roman"/>
                <w:sz w:val="20"/>
                <w:szCs w:val="20"/>
              </w:rPr>
              <w:t xml:space="preserve">defect of </w:t>
            </w:r>
            <w:r w:rsidR="00B32D9C">
              <w:rPr>
                <w:rFonts w:eastAsia="Times New Roman"/>
                <w:sz w:val="20"/>
                <w:szCs w:val="20"/>
              </w:rPr>
              <w:t>t</w:t>
            </w:r>
            <w:r w:rsidRPr="00493986">
              <w:rPr>
                <w:rFonts w:eastAsia="Times New Roman"/>
                <w:sz w:val="20"/>
                <w:szCs w:val="20"/>
              </w:rPr>
              <w:t>he lips.</w:t>
            </w:r>
          </w:p>
        </w:tc>
      </w:tr>
      <w:tr w:rsidR="00493986" w:rsidRPr="00493986" w14:paraId="6485A2E7" w14:textId="77777777" w:rsidTr="00493986">
        <w:trPr>
          <w:trHeight w:val="760"/>
        </w:trPr>
        <w:tc>
          <w:tcPr>
            <w:tcW w:w="1443" w:type="dxa"/>
            <w:vMerge/>
            <w:tcBorders>
              <w:top w:val="nil"/>
              <w:left w:val="nil"/>
              <w:bottom w:val="single" w:sz="8" w:space="0" w:color="000000"/>
              <w:right w:val="nil"/>
            </w:tcBorders>
            <w:vAlign w:val="center"/>
            <w:hideMark/>
          </w:tcPr>
          <w:p w14:paraId="5CB9554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4D09B50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0872896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2D0E600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1B85DE8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79B7BF6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1936E01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6940583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*Only 19.8% had adequate knowledge about CLP</w:t>
            </w:r>
          </w:p>
        </w:tc>
      </w:tr>
      <w:tr w:rsidR="00493986" w:rsidRPr="00493986" w14:paraId="5771C1B8" w14:textId="77777777" w:rsidTr="00493986">
        <w:trPr>
          <w:trHeight w:val="750"/>
        </w:trPr>
        <w:tc>
          <w:tcPr>
            <w:tcW w:w="1443" w:type="dxa"/>
            <w:vMerge w:val="restart"/>
            <w:tcBorders>
              <w:top w:val="nil"/>
              <w:left w:val="nil"/>
              <w:bottom w:val="single" w:sz="8" w:space="0" w:color="000000"/>
              <w:right w:val="nil"/>
            </w:tcBorders>
            <w:shd w:val="clear" w:color="auto" w:fill="auto"/>
            <w:hideMark/>
          </w:tcPr>
          <w:p w14:paraId="75C75F1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Pausch et al., 2016</w:t>
            </w:r>
          </w:p>
        </w:tc>
        <w:tc>
          <w:tcPr>
            <w:tcW w:w="1076" w:type="dxa"/>
            <w:vMerge w:val="restart"/>
            <w:tcBorders>
              <w:top w:val="nil"/>
              <w:left w:val="nil"/>
              <w:bottom w:val="single" w:sz="8" w:space="0" w:color="000000"/>
              <w:right w:val="nil"/>
            </w:tcBorders>
            <w:shd w:val="clear" w:color="auto" w:fill="auto"/>
            <w:hideMark/>
          </w:tcPr>
          <w:p w14:paraId="7C97FA2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Germany</w:t>
            </w:r>
          </w:p>
        </w:tc>
        <w:tc>
          <w:tcPr>
            <w:tcW w:w="619" w:type="dxa"/>
            <w:vMerge w:val="restart"/>
            <w:tcBorders>
              <w:top w:val="nil"/>
              <w:left w:val="nil"/>
              <w:bottom w:val="single" w:sz="8" w:space="0" w:color="000000"/>
              <w:right w:val="nil"/>
            </w:tcBorders>
            <w:shd w:val="clear" w:color="auto" w:fill="auto"/>
            <w:hideMark/>
          </w:tcPr>
          <w:p w14:paraId="6D6398B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w:t>
            </w:r>
          </w:p>
        </w:tc>
        <w:tc>
          <w:tcPr>
            <w:tcW w:w="1943" w:type="dxa"/>
            <w:vMerge w:val="restart"/>
            <w:tcBorders>
              <w:top w:val="nil"/>
              <w:left w:val="nil"/>
              <w:bottom w:val="single" w:sz="8" w:space="0" w:color="000000"/>
              <w:right w:val="nil"/>
            </w:tcBorders>
            <w:shd w:val="clear" w:color="auto" w:fill="auto"/>
            <w:hideMark/>
          </w:tcPr>
          <w:p w14:paraId="20E7288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vMerge w:val="restart"/>
            <w:tcBorders>
              <w:top w:val="nil"/>
              <w:left w:val="nil"/>
              <w:bottom w:val="single" w:sz="8" w:space="0" w:color="000000"/>
              <w:right w:val="nil"/>
            </w:tcBorders>
            <w:shd w:val="clear" w:color="auto" w:fill="auto"/>
            <w:hideMark/>
          </w:tcPr>
          <w:p w14:paraId="5F0BBBB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273</w:t>
            </w:r>
          </w:p>
        </w:tc>
        <w:tc>
          <w:tcPr>
            <w:tcW w:w="2109" w:type="dxa"/>
            <w:vMerge w:val="restart"/>
            <w:tcBorders>
              <w:top w:val="nil"/>
              <w:left w:val="nil"/>
              <w:bottom w:val="single" w:sz="8" w:space="0" w:color="000000"/>
              <w:right w:val="nil"/>
            </w:tcBorders>
            <w:shd w:val="clear" w:color="auto" w:fill="auto"/>
            <w:hideMark/>
          </w:tcPr>
          <w:p w14:paraId="602CECB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Cleft patients/ craniofacial anomalies </w:t>
            </w:r>
          </w:p>
        </w:tc>
        <w:tc>
          <w:tcPr>
            <w:tcW w:w="1831" w:type="dxa"/>
            <w:vMerge w:val="restart"/>
            <w:tcBorders>
              <w:top w:val="nil"/>
              <w:left w:val="nil"/>
              <w:bottom w:val="single" w:sz="8" w:space="0" w:color="000000"/>
              <w:right w:val="nil"/>
            </w:tcBorders>
            <w:shd w:val="clear" w:color="auto" w:fill="auto"/>
            <w:hideMark/>
          </w:tcPr>
          <w:p w14:paraId="3681F9C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Social distance Questionnaire</w:t>
            </w:r>
          </w:p>
        </w:tc>
        <w:tc>
          <w:tcPr>
            <w:tcW w:w="1442" w:type="dxa"/>
            <w:tcBorders>
              <w:top w:val="nil"/>
              <w:left w:val="nil"/>
              <w:bottom w:val="nil"/>
              <w:right w:val="nil"/>
            </w:tcBorders>
            <w:shd w:val="clear" w:color="auto" w:fill="auto"/>
            <w:hideMark/>
          </w:tcPr>
          <w:p w14:paraId="3358243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*Social distance has decreased in the last 40 years</w:t>
            </w:r>
          </w:p>
        </w:tc>
      </w:tr>
      <w:tr w:rsidR="00493986" w:rsidRPr="00493986" w14:paraId="5B464067" w14:textId="77777777" w:rsidTr="00493986">
        <w:trPr>
          <w:trHeight w:val="760"/>
        </w:trPr>
        <w:tc>
          <w:tcPr>
            <w:tcW w:w="1443" w:type="dxa"/>
            <w:vMerge/>
            <w:tcBorders>
              <w:top w:val="nil"/>
              <w:left w:val="nil"/>
              <w:bottom w:val="single" w:sz="8" w:space="0" w:color="000000"/>
              <w:right w:val="nil"/>
            </w:tcBorders>
            <w:vAlign w:val="center"/>
            <w:hideMark/>
          </w:tcPr>
          <w:p w14:paraId="4221A01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1F07499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759E879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5DC450A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4F56AAF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4AE9F4E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0C65826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2D48C1F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Professional background and gender ha</w:t>
            </w:r>
            <w:r w:rsidR="00B32D9C">
              <w:rPr>
                <w:rFonts w:eastAsia="Times New Roman"/>
                <w:sz w:val="20"/>
                <w:szCs w:val="20"/>
              </w:rPr>
              <w:t>ve</w:t>
            </w:r>
            <w:r w:rsidRPr="00493986">
              <w:rPr>
                <w:rFonts w:eastAsia="Times New Roman"/>
                <w:sz w:val="20"/>
                <w:szCs w:val="20"/>
              </w:rPr>
              <w:t xml:space="preserve"> an effect on </w:t>
            </w:r>
            <w:r w:rsidR="00B32D9C">
              <w:rPr>
                <w:rFonts w:eastAsia="Times New Roman"/>
                <w:sz w:val="20"/>
                <w:szCs w:val="20"/>
              </w:rPr>
              <w:t xml:space="preserve">the </w:t>
            </w:r>
            <w:r w:rsidRPr="00493986">
              <w:rPr>
                <w:rFonts w:eastAsia="Times New Roman"/>
                <w:sz w:val="20"/>
                <w:szCs w:val="20"/>
              </w:rPr>
              <w:t>public's attitutes</w:t>
            </w:r>
          </w:p>
        </w:tc>
      </w:tr>
      <w:tr w:rsidR="00493986" w:rsidRPr="00493986" w14:paraId="0C0AC90D" w14:textId="77777777" w:rsidTr="00493986">
        <w:trPr>
          <w:trHeight w:val="1000"/>
        </w:trPr>
        <w:tc>
          <w:tcPr>
            <w:tcW w:w="1443" w:type="dxa"/>
            <w:vMerge w:val="restart"/>
            <w:tcBorders>
              <w:top w:val="nil"/>
              <w:left w:val="nil"/>
              <w:bottom w:val="single" w:sz="8" w:space="0" w:color="000000"/>
              <w:right w:val="nil"/>
            </w:tcBorders>
            <w:shd w:val="clear" w:color="auto" w:fill="auto"/>
            <w:hideMark/>
          </w:tcPr>
          <w:p w14:paraId="31218C2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Pausch et al., 2012</w:t>
            </w:r>
          </w:p>
        </w:tc>
        <w:tc>
          <w:tcPr>
            <w:tcW w:w="1076" w:type="dxa"/>
            <w:vMerge w:val="restart"/>
            <w:tcBorders>
              <w:top w:val="nil"/>
              <w:left w:val="nil"/>
              <w:bottom w:val="single" w:sz="8" w:space="0" w:color="000000"/>
              <w:right w:val="nil"/>
            </w:tcBorders>
            <w:shd w:val="clear" w:color="auto" w:fill="auto"/>
            <w:hideMark/>
          </w:tcPr>
          <w:p w14:paraId="6F0B959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Germany</w:t>
            </w:r>
          </w:p>
        </w:tc>
        <w:tc>
          <w:tcPr>
            <w:tcW w:w="619" w:type="dxa"/>
            <w:vMerge w:val="restart"/>
            <w:tcBorders>
              <w:top w:val="nil"/>
              <w:left w:val="nil"/>
              <w:bottom w:val="single" w:sz="8" w:space="0" w:color="000000"/>
              <w:right w:val="nil"/>
            </w:tcBorders>
            <w:shd w:val="clear" w:color="auto" w:fill="auto"/>
            <w:hideMark/>
          </w:tcPr>
          <w:p w14:paraId="2A772D6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K, A</w:t>
            </w:r>
          </w:p>
        </w:tc>
        <w:tc>
          <w:tcPr>
            <w:tcW w:w="1943" w:type="dxa"/>
            <w:vMerge w:val="restart"/>
            <w:tcBorders>
              <w:top w:val="nil"/>
              <w:left w:val="nil"/>
              <w:bottom w:val="single" w:sz="8" w:space="0" w:color="000000"/>
              <w:right w:val="nil"/>
            </w:tcBorders>
            <w:shd w:val="clear" w:color="auto" w:fill="auto"/>
            <w:hideMark/>
          </w:tcPr>
          <w:p w14:paraId="3916B1C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Student</w:t>
            </w:r>
          </w:p>
        </w:tc>
        <w:tc>
          <w:tcPr>
            <w:tcW w:w="475" w:type="dxa"/>
            <w:vMerge w:val="restart"/>
            <w:tcBorders>
              <w:top w:val="nil"/>
              <w:left w:val="nil"/>
              <w:bottom w:val="single" w:sz="8" w:space="0" w:color="000000"/>
              <w:right w:val="nil"/>
            </w:tcBorders>
            <w:shd w:val="clear" w:color="auto" w:fill="auto"/>
            <w:hideMark/>
          </w:tcPr>
          <w:p w14:paraId="36AFBAF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261</w:t>
            </w:r>
          </w:p>
        </w:tc>
        <w:tc>
          <w:tcPr>
            <w:tcW w:w="2109" w:type="dxa"/>
            <w:vMerge w:val="restart"/>
            <w:tcBorders>
              <w:top w:val="nil"/>
              <w:left w:val="nil"/>
              <w:bottom w:val="single" w:sz="8" w:space="0" w:color="000000"/>
              <w:right w:val="nil"/>
            </w:tcBorders>
            <w:shd w:val="clear" w:color="auto" w:fill="auto"/>
            <w:hideMark/>
          </w:tcPr>
          <w:p w14:paraId="0EA4B07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Oral cleft deformity</w:t>
            </w:r>
          </w:p>
        </w:tc>
        <w:tc>
          <w:tcPr>
            <w:tcW w:w="1831" w:type="dxa"/>
            <w:vMerge w:val="restart"/>
            <w:tcBorders>
              <w:top w:val="nil"/>
              <w:left w:val="nil"/>
              <w:bottom w:val="single" w:sz="8" w:space="0" w:color="000000"/>
              <w:right w:val="nil"/>
            </w:tcBorders>
            <w:shd w:val="clear" w:color="auto" w:fill="auto"/>
            <w:hideMark/>
          </w:tcPr>
          <w:p w14:paraId="5F1255B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Terminology used for the deformity by non-cleft subjects</w:t>
            </w:r>
          </w:p>
        </w:tc>
        <w:tc>
          <w:tcPr>
            <w:tcW w:w="1442" w:type="dxa"/>
            <w:tcBorders>
              <w:top w:val="nil"/>
              <w:left w:val="nil"/>
              <w:bottom w:val="nil"/>
              <w:right w:val="nil"/>
            </w:tcBorders>
            <w:shd w:val="clear" w:color="auto" w:fill="auto"/>
            <w:hideMark/>
          </w:tcPr>
          <w:p w14:paraId="5D6F25D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*57.1% of participants used animal terms to label oral cleft disfigurement.</w:t>
            </w:r>
          </w:p>
        </w:tc>
      </w:tr>
      <w:tr w:rsidR="00493986" w:rsidRPr="00493986" w14:paraId="60A09040" w14:textId="77777777" w:rsidTr="00493986">
        <w:trPr>
          <w:trHeight w:val="760"/>
        </w:trPr>
        <w:tc>
          <w:tcPr>
            <w:tcW w:w="1443" w:type="dxa"/>
            <w:vMerge/>
            <w:tcBorders>
              <w:top w:val="nil"/>
              <w:left w:val="nil"/>
              <w:bottom w:val="single" w:sz="8" w:space="0" w:color="000000"/>
              <w:right w:val="nil"/>
            </w:tcBorders>
            <w:vAlign w:val="center"/>
            <w:hideMark/>
          </w:tcPr>
          <w:p w14:paraId="14CFB07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7EB0CC2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5F94934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61E259D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439E5C0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2D3D9C9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2FAC0B3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7638159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*Medical background individually reduced the use of animal terms </w:t>
            </w:r>
          </w:p>
        </w:tc>
      </w:tr>
      <w:tr w:rsidR="00493986" w:rsidRPr="00493986" w14:paraId="2144E573" w14:textId="77777777" w:rsidTr="00493986">
        <w:trPr>
          <w:trHeight w:val="1870"/>
        </w:trPr>
        <w:tc>
          <w:tcPr>
            <w:tcW w:w="1443" w:type="dxa"/>
            <w:tcBorders>
              <w:top w:val="nil"/>
              <w:left w:val="nil"/>
              <w:bottom w:val="single" w:sz="8" w:space="0" w:color="auto"/>
              <w:right w:val="nil"/>
            </w:tcBorders>
            <w:shd w:val="clear" w:color="auto" w:fill="auto"/>
            <w:hideMark/>
          </w:tcPr>
          <w:p w14:paraId="0ACADE2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Rankin &amp; Borah, 2003</w:t>
            </w:r>
          </w:p>
        </w:tc>
        <w:tc>
          <w:tcPr>
            <w:tcW w:w="1076" w:type="dxa"/>
            <w:tcBorders>
              <w:top w:val="nil"/>
              <w:left w:val="nil"/>
              <w:bottom w:val="single" w:sz="8" w:space="0" w:color="auto"/>
              <w:right w:val="nil"/>
            </w:tcBorders>
            <w:shd w:val="clear" w:color="auto" w:fill="auto"/>
            <w:hideMark/>
          </w:tcPr>
          <w:p w14:paraId="23B9AED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tcBorders>
              <w:top w:val="nil"/>
              <w:left w:val="nil"/>
              <w:bottom w:val="single" w:sz="8" w:space="0" w:color="auto"/>
              <w:right w:val="nil"/>
            </w:tcBorders>
            <w:shd w:val="clear" w:color="auto" w:fill="auto"/>
            <w:hideMark/>
          </w:tcPr>
          <w:p w14:paraId="2575A08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tcBorders>
              <w:top w:val="nil"/>
              <w:left w:val="nil"/>
              <w:bottom w:val="single" w:sz="8" w:space="0" w:color="auto"/>
              <w:right w:val="nil"/>
            </w:tcBorders>
            <w:shd w:val="clear" w:color="auto" w:fill="auto"/>
            <w:hideMark/>
          </w:tcPr>
          <w:p w14:paraId="2C9B87B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tcBorders>
              <w:top w:val="nil"/>
              <w:left w:val="nil"/>
              <w:bottom w:val="single" w:sz="8" w:space="0" w:color="auto"/>
              <w:right w:val="nil"/>
            </w:tcBorders>
            <w:shd w:val="clear" w:color="auto" w:fill="auto"/>
            <w:hideMark/>
          </w:tcPr>
          <w:p w14:paraId="65B29EA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210</w:t>
            </w:r>
          </w:p>
        </w:tc>
        <w:tc>
          <w:tcPr>
            <w:tcW w:w="2109" w:type="dxa"/>
            <w:tcBorders>
              <w:top w:val="nil"/>
              <w:left w:val="nil"/>
              <w:bottom w:val="single" w:sz="8" w:space="0" w:color="auto"/>
              <w:right w:val="nil"/>
            </w:tcBorders>
            <w:shd w:val="clear" w:color="auto" w:fill="auto"/>
            <w:hideMark/>
          </w:tcPr>
          <w:p w14:paraId="107D030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w:t>
            </w:r>
          </w:p>
        </w:tc>
        <w:tc>
          <w:tcPr>
            <w:tcW w:w="1831" w:type="dxa"/>
            <w:tcBorders>
              <w:top w:val="nil"/>
              <w:left w:val="nil"/>
              <w:bottom w:val="single" w:sz="8" w:space="0" w:color="auto"/>
              <w:right w:val="nil"/>
            </w:tcBorders>
            <w:shd w:val="clear" w:color="auto" w:fill="auto"/>
            <w:hideMark/>
          </w:tcPr>
          <w:p w14:paraId="26E8CF6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Rating scales on social functioning</w:t>
            </w:r>
          </w:p>
        </w:tc>
        <w:tc>
          <w:tcPr>
            <w:tcW w:w="1442" w:type="dxa"/>
            <w:tcBorders>
              <w:top w:val="nil"/>
              <w:left w:val="nil"/>
              <w:bottom w:val="single" w:sz="8" w:space="0" w:color="auto"/>
              <w:right w:val="nil"/>
            </w:tcBorders>
            <w:shd w:val="clear" w:color="auto" w:fill="auto"/>
            <w:hideMark/>
          </w:tcPr>
          <w:p w14:paraId="4C6A337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*FD has a significant negative effect on perceptions of social functionality, including employability, </w:t>
            </w:r>
            <w:r w:rsidRPr="00493986">
              <w:rPr>
                <w:rFonts w:eastAsia="Times New Roman"/>
                <w:sz w:val="20"/>
                <w:szCs w:val="20"/>
              </w:rPr>
              <w:lastRenderedPageBreak/>
              <w:t>honesty, and trustworthiness.</w:t>
            </w:r>
          </w:p>
        </w:tc>
      </w:tr>
      <w:tr w:rsidR="00493986" w:rsidRPr="00493986" w14:paraId="07148FDD" w14:textId="77777777" w:rsidTr="00493986">
        <w:trPr>
          <w:trHeight w:val="750"/>
        </w:trPr>
        <w:tc>
          <w:tcPr>
            <w:tcW w:w="1443" w:type="dxa"/>
            <w:vMerge w:val="restart"/>
            <w:tcBorders>
              <w:top w:val="nil"/>
              <w:left w:val="nil"/>
              <w:bottom w:val="single" w:sz="8" w:space="0" w:color="000000"/>
              <w:right w:val="nil"/>
            </w:tcBorders>
            <w:shd w:val="clear" w:color="auto" w:fill="auto"/>
            <w:hideMark/>
          </w:tcPr>
          <w:p w14:paraId="6B232D5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Rinnerthaler et al., 2006</w:t>
            </w:r>
          </w:p>
        </w:tc>
        <w:tc>
          <w:tcPr>
            <w:tcW w:w="1076" w:type="dxa"/>
            <w:vMerge w:val="restart"/>
            <w:tcBorders>
              <w:top w:val="nil"/>
              <w:left w:val="nil"/>
              <w:bottom w:val="single" w:sz="8" w:space="0" w:color="000000"/>
              <w:right w:val="nil"/>
            </w:tcBorders>
            <w:shd w:val="clear" w:color="auto" w:fill="auto"/>
            <w:hideMark/>
          </w:tcPr>
          <w:p w14:paraId="3F9038A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Austria</w:t>
            </w:r>
          </w:p>
        </w:tc>
        <w:tc>
          <w:tcPr>
            <w:tcW w:w="619" w:type="dxa"/>
            <w:vMerge w:val="restart"/>
            <w:tcBorders>
              <w:top w:val="nil"/>
              <w:left w:val="nil"/>
              <w:bottom w:val="single" w:sz="8" w:space="0" w:color="000000"/>
              <w:right w:val="nil"/>
            </w:tcBorders>
            <w:shd w:val="clear" w:color="auto" w:fill="auto"/>
            <w:hideMark/>
          </w:tcPr>
          <w:p w14:paraId="1ADA3FD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vMerge w:val="restart"/>
            <w:tcBorders>
              <w:top w:val="nil"/>
              <w:left w:val="nil"/>
              <w:bottom w:val="single" w:sz="8" w:space="0" w:color="000000"/>
              <w:right w:val="nil"/>
            </w:tcBorders>
            <w:shd w:val="clear" w:color="auto" w:fill="auto"/>
            <w:hideMark/>
          </w:tcPr>
          <w:p w14:paraId="41D0583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Student</w:t>
            </w:r>
          </w:p>
        </w:tc>
        <w:tc>
          <w:tcPr>
            <w:tcW w:w="475" w:type="dxa"/>
            <w:vMerge w:val="restart"/>
            <w:tcBorders>
              <w:top w:val="nil"/>
              <w:left w:val="nil"/>
              <w:bottom w:val="single" w:sz="8" w:space="0" w:color="000000"/>
              <w:right w:val="nil"/>
            </w:tcBorders>
            <w:shd w:val="clear" w:color="auto" w:fill="auto"/>
            <w:hideMark/>
          </w:tcPr>
          <w:p w14:paraId="70D56E3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80</w:t>
            </w:r>
          </w:p>
        </w:tc>
        <w:tc>
          <w:tcPr>
            <w:tcW w:w="2109" w:type="dxa"/>
            <w:vMerge w:val="restart"/>
            <w:tcBorders>
              <w:top w:val="nil"/>
              <w:left w:val="nil"/>
              <w:bottom w:val="single" w:sz="8" w:space="0" w:color="000000"/>
              <w:right w:val="nil"/>
            </w:tcBorders>
            <w:shd w:val="clear" w:color="auto" w:fill="auto"/>
            <w:hideMark/>
          </w:tcPr>
          <w:p w14:paraId="46F29A0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Cranial and cervical dystonia(CCD)</w:t>
            </w:r>
          </w:p>
        </w:tc>
        <w:tc>
          <w:tcPr>
            <w:tcW w:w="1831" w:type="dxa"/>
            <w:vMerge w:val="restart"/>
            <w:tcBorders>
              <w:top w:val="nil"/>
              <w:left w:val="nil"/>
              <w:bottom w:val="single" w:sz="8" w:space="0" w:color="000000"/>
              <w:right w:val="nil"/>
            </w:tcBorders>
            <w:shd w:val="clear" w:color="auto" w:fill="auto"/>
            <w:hideMark/>
          </w:tcPr>
          <w:p w14:paraId="640B312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Rating scales on social functioning Ratings on target's personality traits</w:t>
            </w:r>
          </w:p>
        </w:tc>
        <w:tc>
          <w:tcPr>
            <w:tcW w:w="1442" w:type="dxa"/>
            <w:tcBorders>
              <w:top w:val="nil"/>
              <w:left w:val="nil"/>
              <w:bottom w:val="nil"/>
              <w:right w:val="nil"/>
            </w:tcBorders>
            <w:shd w:val="clear" w:color="auto" w:fill="auto"/>
            <w:hideMark/>
          </w:tcPr>
          <w:p w14:paraId="1C6919E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*CCD patients are subject to prejudice and enacted stigmatization.</w:t>
            </w:r>
          </w:p>
        </w:tc>
      </w:tr>
      <w:tr w:rsidR="00493986" w:rsidRPr="00493986" w14:paraId="6D13435F" w14:textId="77777777" w:rsidTr="00493986">
        <w:trPr>
          <w:trHeight w:val="1260"/>
        </w:trPr>
        <w:tc>
          <w:tcPr>
            <w:tcW w:w="1443" w:type="dxa"/>
            <w:vMerge/>
            <w:tcBorders>
              <w:top w:val="nil"/>
              <w:left w:val="nil"/>
              <w:bottom w:val="single" w:sz="8" w:space="0" w:color="000000"/>
              <w:right w:val="nil"/>
            </w:tcBorders>
            <w:vAlign w:val="center"/>
            <w:hideMark/>
          </w:tcPr>
          <w:p w14:paraId="3ADFC0F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34F9A51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683FE88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76C9711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29037F1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062EFD4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53B8676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64640B5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*CCD patients rated as less likeable, less trustworthy, less self-confident, more odd and different</w:t>
            </w:r>
          </w:p>
        </w:tc>
      </w:tr>
      <w:tr w:rsidR="00493986" w:rsidRPr="00493986" w14:paraId="1CF48DF8" w14:textId="77777777" w:rsidTr="00493986">
        <w:trPr>
          <w:trHeight w:val="1260"/>
        </w:trPr>
        <w:tc>
          <w:tcPr>
            <w:tcW w:w="1443" w:type="dxa"/>
            <w:tcBorders>
              <w:top w:val="nil"/>
              <w:left w:val="nil"/>
              <w:bottom w:val="nil"/>
              <w:right w:val="nil"/>
            </w:tcBorders>
            <w:shd w:val="clear" w:color="auto" w:fill="auto"/>
            <w:hideMark/>
          </w:tcPr>
          <w:p w14:paraId="170C73A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Roberts et al., 2016</w:t>
            </w:r>
          </w:p>
        </w:tc>
        <w:tc>
          <w:tcPr>
            <w:tcW w:w="1076" w:type="dxa"/>
            <w:tcBorders>
              <w:top w:val="nil"/>
              <w:left w:val="nil"/>
              <w:bottom w:val="nil"/>
              <w:right w:val="nil"/>
            </w:tcBorders>
            <w:shd w:val="clear" w:color="auto" w:fill="auto"/>
            <w:hideMark/>
          </w:tcPr>
          <w:p w14:paraId="53BD5C9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tcBorders>
              <w:top w:val="nil"/>
              <w:left w:val="nil"/>
              <w:bottom w:val="nil"/>
              <w:right w:val="nil"/>
            </w:tcBorders>
            <w:shd w:val="clear" w:color="auto" w:fill="auto"/>
            <w:hideMark/>
          </w:tcPr>
          <w:p w14:paraId="2295793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w:t>
            </w:r>
          </w:p>
        </w:tc>
        <w:tc>
          <w:tcPr>
            <w:tcW w:w="1943" w:type="dxa"/>
            <w:tcBorders>
              <w:top w:val="nil"/>
              <w:left w:val="nil"/>
              <w:bottom w:val="nil"/>
              <w:right w:val="nil"/>
            </w:tcBorders>
            <w:shd w:val="clear" w:color="auto" w:fill="auto"/>
            <w:hideMark/>
          </w:tcPr>
          <w:p w14:paraId="5B58694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Student &amp; Non-Student</w:t>
            </w:r>
          </w:p>
        </w:tc>
        <w:tc>
          <w:tcPr>
            <w:tcW w:w="475" w:type="dxa"/>
            <w:tcBorders>
              <w:top w:val="nil"/>
              <w:left w:val="nil"/>
              <w:bottom w:val="nil"/>
              <w:right w:val="nil"/>
            </w:tcBorders>
            <w:shd w:val="clear" w:color="auto" w:fill="auto"/>
            <w:hideMark/>
          </w:tcPr>
          <w:p w14:paraId="69CBC65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143</w:t>
            </w:r>
          </w:p>
        </w:tc>
        <w:tc>
          <w:tcPr>
            <w:tcW w:w="2109" w:type="dxa"/>
            <w:tcBorders>
              <w:top w:val="nil"/>
              <w:left w:val="nil"/>
              <w:bottom w:val="nil"/>
              <w:right w:val="nil"/>
            </w:tcBorders>
            <w:shd w:val="clear" w:color="auto" w:fill="auto"/>
            <w:hideMark/>
          </w:tcPr>
          <w:p w14:paraId="498614D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Visible difference</w:t>
            </w:r>
          </w:p>
        </w:tc>
        <w:tc>
          <w:tcPr>
            <w:tcW w:w="1831" w:type="dxa"/>
            <w:tcBorders>
              <w:top w:val="nil"/>
              <w:left w:val="nil"/>
              <w:bottom w:val="nil"/>
              <w:right w:val="nil"/>
            </w:tcBorders>
            <w:shd w:val="clear" w:color="auto" w:fill="auto"/>
            <w:hideMark/>
          </w:tcPr>
          <w:p w14:paraId="37DA25E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IAT</w:t>
            </w:r>
          </w:p>
        </w:tc>
        <w:tc>
          <w:tcPr>
            <w:tcW w:w="1442" w:type="dxa"/>
            <w:tcBorders>
              <w:top w:val="nil"/>
              <w:left w:val="nil"/>
              <w:bottom w:val="single" w:sz="4" w:space="0" w:color="auto"/>
              <w:right w:val="nil"/>
            </w:tcBorders>
            <w:shd w:val="clear" w:color="auto" w:fill="auto"/>
            <w:hideMark/>
          </w:tcPr>
          <w:p w14:paraId="46ED697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Reaction times were not significantly different when associating FD with positive or negative semantic stimuli</w:t>
            </w:r>
          </w:p>
        </w:tc>
      </w:tr>
      <w:tr w:rsidR="00493986" w:rsidRPr="00493986" w14:paraId="28811BA9" w14:textId="77777777" w:rsidTr="00493986">
        <w:trPr>
          <w:trHeight w:val="1250"/>
        </w:trPr>
        <w:tc>
          <w:tcPr>
            <w:tcW w:w="1443" w:type="dxa"/>
            <w:vMerge w:val="restart"/>
            <w:tcBorders>
              <w:top w:val="single" w:sz="8" w:space="0" w:color="auto"/>
              <w:left w:val="nil"/>
              <w:bottom w:val="single" w:sz="8" w:space="0" w:color="000000"/>
              <w:right w:val="nil"/>
            </w:tcBorders>
            <w:shd w:val="clear" w:color="auto" w:fill="auto"/>
            <w:hideMark/>
          </w:tcPr>
          <w:p w14:paraId="6CF7275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Roberts &amp; Gierasch, 2013</w:t>
            </w:r>
          </w:p>
        </w:tc>
        <w:tc>
          <w:tcPr>
            <w:tcW w:w="1076" w:type="dxa"/>
            <w:vMerge w:val="restart"/>
            <w:tcBorders>
              <w:top w:val="single" w:sz="8" w:space="0" w:color="auto"/>
              <w:left w:val="nil"/>
              <w:bottom w:val="single" w:sz="8" w:space="0" w:color="000000"/>
              <w:right w:val="nil"/>
            </w:tcBorders>
            <w:shd w:val="clear" w:color="auto" w:fill="auto"/>
            <w:hideMark/>
          </w:tcPr>
          <w:p w14:paraId="60AD93B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AUS</w:t>
            </w:r>
          </w:p>
        </w:tc>
        <w:tc>
          <w:tcPr>
            <w:tcW w:w="619" w:type="dxa"/>
            <w:vMerge w:val="restart"/>
            <w:tcBorders>
              <w:top w:val="single" w:sz="8" w:space="0" w:color="auto"/>
              <w:left w:val="nil"/>
              <w:bottom w:val="single" w:sz="8" w:space="0" w:color="000000"/>
              <w:right w:val="nil"/>
            </w:tcBorders>
            <w:shd w:val="clear" w:color="auto" w:fill="auto"/>
            <w:hideMark/>
          </w:tcPr>
          <w:p w14:paraId="7E09B72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w:t>
            </w:r>
          </w:p>
        </w:tc>
        <w:tc>
          <w:tcPr>
            <w:tcW w:w="1943" w:type="dxa"/>
            <w:vMerge w:val="restart"/>
            <w:tcBorders>
              <w:top w:val="single" w:sz="8" w:space="0" w:color="auto"/>
              <w:left w:val="nil"/>
              <w:bottom w:val="single" w:sz="8" w:space="0" w:color="000000"/>
              <w:right w:val="nil"/>
            </w:tcBorders>
            <w:shd w:val="clear" w:color="auto" w:fill="auto"/>
            <w:hideMark/>
          </w:tcPr>
          <w:p w14:paraId="55C4A99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vMerge w:val="restart"/>
            <w:tcBorders>
              <w:top w:val="single" w:sz="8" w:space="0" w:color="auto"/>
              <w:left w:val="nil"/>
              <w:bottom w:val="single" w:sz="8" w:space="0" w:color="000000"/>
              <w:right w:val="nil"/>
            </w:tcBorders>
            <w:shd w:val="clear" w:color="auto" w:fill="auto"/>
            <w:hideMark/>
          </w:tcPr>
          <w:p w14:paraId="74ABC07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408</w:t>
            </w:r>
          </w:p>
        </w:tc>
        <w:tc>
          <w:tcPr>
            <w:tcW w:w="2109" w:type="dxa"/>
            <w:vMerge w:val="restart"/>
            <w:tcBorders>
              <w:top w:val="single" w:sz="8" w:space="0" w:color="auto"/>
              <w:left w:val="nil"/>
              <w:bottom w:val="single" w:sz="8" w:space="0" w:color="000000"/>
              <w:right w:val="nil"/>
            </w:tcBorders>
            <w:shd w:val="clear" w:color="auto" w:fill="auto"/>
            <w:hideMark/>
          </w:tcPr>
          <w:p w14:paraId="7C03FD5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difference/visible difference/ craniofacial disifigurement</w:t>
            </w:r>
          </w:p>
        </w:tc>
        <w:tc>
          <w:tcPr>
            <w:tcW w:w="1831" w:type="dxa"/>
            <w:vMerge w:val="restart"/>
            <w:tcBorders>
              <w:top w:val="single" w:sz="8" w:space="0" w:color="auto"/>
              <w:left w:val="nil"/>
              <w:bottom w:val="single" w:sz="8" w:space="0" w:color="000000"/>
              <w:right w:val="nil"/>
            </w:tcBorders>
            <w:shd w:val="clear" w:color="auto" w:fill="auto"/>
            <w:hideMark/>
          </w:tcPr>
          <w:p w14:paraId="401B81C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Observations of overt behaviour</w:t>
            </w:r>
          </w:p>
        </w:tc>
        <w:tc>
          <w:tcPr>
            <w:tcW w:w="1442" w:type="dxa"/>
            <w:tcBorders>
              <w:top w:val="nil"/>
              <w:left w:val="nil"/>
              <w:bottom w:val="nil"/>
              <w:right w:val="nil"/>
            </w:tcBorders>
            <w:shd w:val="clear" w:color="auto" w:fill="auto"/>
            <w:hideMark/>
          </w:tcPr>
          <w:p w14:paraId="7A4E4A3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*Pedestrians stood no further away from the confederate with FD than </w:t>
            </w:r>
            <w:r w:rsidRPr="00493986">
              <w:rPr>
                <w:rFonts w:eastAsia="Times New Roman"/>
                <w:sz w:val="20"/>
                <w:szCs w:val="20"/>
              </w:rPr>
              <w:lastRenderedPageBreak/>
              <w:t>from the non-FD confederate</w:t>
            </w:r>
          </w:p>
        </w:tc>
      </w:tr>
      <w:tr w:rsidR="00493986" w:rsidRPr="00493986" w14:paraId="539EEE79" w14:textId="77777777" w:rsidTr="00493986">
        <w:trPr>
          <w:trHeight w:val="760"/>
        </w:trPr>
        <w:tc>
          <w:tcPr>
            <w:tcW w:w="1443" w:type="dxa"/>
            <w:vMerge/>
            <w:tcBorders>
              <w:top w:val="single" w:sz="8" w:space="0" w:color="auto"/>
              <w:left w:val="nil"/>
              <w:bottom w:val="single" w:sz="8" w:space="0" w:color="000000"/>
              <w:right w:val="nil"/>
            </w:tcBorders>
            <w:vAlign w:val="center"/>
            <w:hideMark/>
          </w:tcPr>
          <w:p w14:paraId="7C0EDE8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single" w:sz="8" w:space="0" w:color="auto"/>
              <w:left w:val="nil"/>
              <w:bottom w:val="single" w:sz="8" w:space="0" w:color="000000"/>
              <w:right w:val="nil"/>
            </w:tcBorders>
            <w:vAlign w:val="center"/>
            <w:hideMark/>
          </w:tcPr>
          <w:p w14:paraId="617D0EA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single" w:sz="8" w:space="0" w:color="auto"/>
              <w:left w:val="nil"/>
              <w:bottom w:val="single" w:sz="8" w:space="0" w:color="000000"/>
              <w:right w:val="nil"/>
            </w:tcBorders>
            <w:vAlign w:val="center"/>
            <w:hideMark/>
          </w:tcPr>
          <w:p w14:paraId="15A9176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single" w:sz="8" w:space="0" w:color="auto"/>
              <w:left w:val="nil"/>
              <w:bottom w:val="single" w:sz="8" w:space="0" w:color="000000"/>
              <w:right w:val="nil"/>
            </w:tcBorders>
            <w:vAlign w:val="center"/>
            <w:hideMark/>
          </w:tcPr>
          <w:p w14:paraId="12F4B83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single" w:sz="8" w:space="0" w:color="auto"/>
              <w:left w:val="nil"/>
              <w:bottom w:val="single" w:sz="8" w:space="0" w:color="000000"/>
              <w:right w:val="nil"/>
            </w:tcBorders>
            <w:vAlign w:val="center"/>
            <w:hideMark/>
          </w:tcPr>
          <w:p w14:paraId="514C0D5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single" w:sz="8" w:space="0" w:color="auto"/>
              <w:left w:val="nil"/>
              <w:bottom w:val="single" w:sz="8" w:space="0" w:color="000000"/>
              <w:right w:val="nil"/>
            </w:tcBorders>
            <w:vAlign w:val="center"/>
            <w:hideMark/>
          </w:tcPr>
          <w:p w14:paraId="6DA8AA0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single" w:sz="8" w:space="0" w:color="auto"/>
              <w:left w:val="nil"/>
              <w:bottom w:val="single" w:sz="8" w:space="0" w:color="000000"/>
              <w:right w:val="nil"/>
            </w:tcBorders>
            <w:vAlign w:val="center"/>
            <w:hideMark/>
          </w:tcPr>
          <w:p w14:paraId="7A8EDBA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558E6AA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*Results failed to replicate Rumsey, Bull</w:t>
            </w:r>
            <w:r w:rsidR="00B32D9C">
              <w:rPr>
                <w:rFonts w:eastAsia="Times New Roman"/>
                <w:sz w:val="20"/>
                <w:szCs w:val="20"/>
              </w:rPr>
              <w:t>,</w:t>
            </w:r>
            <w:r w:rsidRPr="00493986">
              <w:rPr>
                <w:rFonts w:eastAsia="Times New Roman"/>
                <w:sz w:val="20"/>
                <w:szCs w:val="20"/>
              </w:rPr>
              <w:t xml:space="preserve"> and Gahagan (1982)</w:t>
            </w:r>
          </w:p>
        </w:tc>
      </w:tr>
      <w:tr w:rsidR="00493986" w:rsidRPr="00493986" w14:paraId="43DFA638" w14:textId="77777777" w:rsidTr="00493986">
        <w:trPr>
          <w:trHeight w:val="1000"/>
        </w:trPr>
        <w:tc>
          <w:tcPr>
            <w:tcW w:w="1443" w:type="dxa"/>
            <w:vMerge w:val="restart"/>
            <w:tcBorders>
              <w:top w:val="nil"/>
              <w:left w:val="nil"/>
              <w:bottom w:val="nil"/>
              <w:right w:val="nil"/>
            </w:tcBorders>
            <w:shd w:val="clear" w:color="auto" w:fill="auto"/>
            <w:hideMark/>
          </w:tcPr>
          <w:p w14:paraId="132F755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Rumsey, Bull and Gahagan, 1982</w:t>
            </w:r>
          </w:p>
        </w:tc>
        <w:tc>
          <w:tcPr>
            <w:tcW w:w="1076" w:type="dxa"/>
            <w:vMerge w:val="restart"/>
            <w:tcBorders>
              <w:top w:val="nil"/>
              <w:left w:val="nil"/>
              <w:bottom w:val="nil"/>
              <w:right w:val="nil"/>
            </w:tcBorders>
            <w:shd w:val="clear" w:color="auto" w:fill="auto"/>
            <w:hideMark/>
          </w:tcPr>
          <w:p w14:paraId="1EB48AB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nil"/>
              <w:left w:val="nil"/>
              <w:bottom w:val="nil"/>
              <w:right w:val="nil"/>
            </w:tcBorders>
            <w:shd w:val="clear" w:color="auto" w:fill="auto"/>
            <w:hideMark/>
          </w:tcPr>
          <w:p w14:paraId="0F39F2E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w:t>
            </w:r>
          </w:p>
        </w:tc>
        <w:tc>
          <w:tcPr>
            <w:tcW w:w="1943" w:type="dxa"/>
            <w:vMerge w:val="restart"/>
            <w:tcBorders>
              <w:top w:val="nil"/>
              <w:left w:val="nil"/>
              <w:bottom w:val="nil"/>
              <w:right w:val="nil"/>
            </w:tcBorders>
            <w:shd w:val="clear" w:color="auto" w:fill="auto"/>
            <w:hideMark/>
          </w:tcPr>
          <w:p w14:paraId="3D288E1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vMerge w:val="restart"/>
            <w:tcBorders>
              <w:top w:val="nil"/>
              <w:left w:val="nil"/>
              <w:bottom w:val="nil"/>
              <w:right w:val="nil"/>
            </w:tcBorders>
            <w:shd w:val="clear" w:color="auto" w:fill="auto"/>
            <w:hideMark/>
          </w:tcPr>
          <w:p w14:paraId="57E0D49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450</w:t>
            </w:r>
          </w:p>
        </w:tc>
        <w:tc>
          <w:tcPr>
            <w:tcW w:w="2109" w:type="dxa"/>
            <w:vMerge w:val="restart"/>
            <w:tcBorders>
              <w:top w:val="nil"/>
              <w:left w:val="nil"/>
              <w:bottom w:val="nil"/>
              <w:right w:val="nil"/>
            </w:tcBorders>
            <w:shd w:val="clear" w:color="auto" w:fill="auto"/>
            <w:hideMark/>
          </w:tcPr>
          <w:p w14:paraId="6748677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Disfigurement, facially disfigured</w:t>
            </w:r>
          </w:p>
        </w:tc>
        <w:tc>
          <w:tcPr>
            <w:tcW w:w="1831" w:type="dxa"/>
            <w:vMerge w:val="restart"/>
            <w:tcBorders>
              <w:top w:val="nil"/>
              <w:left w:val="nil"/>
              <w:bottom w:val="nil"/>
              <w:right w:val="nil"/>
            </w:tcBorders>
            <w:shd w:val="clear" w:color="auto" w:fill="auto"/>
            <w:hideMark/>
          </w:tcPr>
          <w:p w14:paraId="5FB62C6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Observations of overt behaviour</w:t>
            </w:r>
          </w:p>
        </w:tc>
        <w:tc>
          <w:tcPr>
            <w:tcW w:w="1442" w:type="dxa"/>
            <w:tcBorders>
              <w:top w:val="nil"/>
              <w:left w:val="nil"/>
              <w:bottom w:val="nil"/>
              <w:right w:val="nil"/>
            </w:tcBorders>
            <w:shd w:val="clear" w:color="auto" w:fill="auto"/>
            <w:hideMark/>
          </w:tcPr>
          <w:p w14:paraId="6AD3368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Participants stood further away from the confederate with FD as oppose</w:t>
            </w:r>
            <w:r w:rsidR="00B32D9C">
              <w:rPr>
                <w:rFonts w:eastAsia="Times New Roman"/>
                <w:sz w:val="20"/>
                <w:szCs w:val="20"/>
              </w:rPr>
              <w:t>d</w:t>
            </w:r>
            <w:r w:rsidRPr="00493986">
              <w:rPr>
                <w:rFonts w:eastAsia="Times New Roman"/>
                <w:sz w:val="20"/>
                <w:szCs w:val="20"/>
              </w:rPr>
              <w:t xml:space="preserve"> to control</w:t>
            </w:r>
          </w:p>
        </w:tc>
      </w:tr>
      <w:tr w:rsidR="00493986" w:rsidRPr="00493986" w14:paraId="4A910C75" w14:textId="77777777" w:rsidTr="00493986">
        <w:trPr>
          <w:trHeight w:val="2010"/>
        </w:trPr>
        <w:tc>
          <w:tcPr>
            <w:tcW w:w="1443" w:type="dxa"/>
            <w:vMerge/>
            <w:tcBorders>
              <w:top w:val="nil"/>
              <w:left w:val="nil"/>
              <w:bottom w:val="nil"/>
              <w:right w:val="nil"/>
            </w:tcBorders>
            <w:vAlign w:val="center"/>
            <w:hideMark/>
          </w:tcPr>
          <w:p w14:paraId="75F88FC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nil"/>
              <w:right w:val="nil"/>
            </w:tcBorders>
            <w:vAlign w:val="center"/>
            <w:hideMark/>
          </w:tcPr>
          <w:p w14:paraId="5BB0B28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nil"/>
              <w:right w:val="nil"/>
            </w:tcBorders>
            <w:vAlign w:val="center"/>
            <w:hideMark/>
          </w:tcPr>
          <w:p w14:paraId="24BE2BA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nil"/>
              <w:right w:val="nil"/>
            </w:tcBorders>
            <w:vAlign w:val="center"/>
            <w:hideMark/>
          </w:tcPr>
          <w:p w14:paraId="2E9E79F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nil"/>
              <w:right w:val="nil"/>
            </w:tcBorders>
            <w:vAlign w:val="center"/>
            <w:hideMark/>
          </w:tcPr>
          <w:p w14:paraId="10BADF9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nil"/>
              <w:right w:val="nil"/>
            </w:tcBorders>
            <w:vAlign w:val="center"/>
            <w:hideMark/>
          </w:tcPr>
          <w:p w14:paraId="6C1F6C6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nil"/>
              <w:right w:val="nil"/>
            </w:tcBorders>
            <w:vAlign w:val="center"/>
            <w:hideMark/>
          </w:tcPr>
          <w:p w14:paraId="0C8F9EF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7CD3207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*Pedestrians stand further away from permanent disfiguring conditions (e.g.</w:t>
            </w:r>
            <w:r w:rsidR="008471FC">
              <w:rPr>
                <w:rFonts w:eastAsia="Times New Roman"/>
                <w:sz w:val="20"/>
                <w:szCs w:val="20"/>
              </w:rPr>
              <w:t xml:space="preserve">, </w:t>
            </w:r>
            <w:r w:rsidRPr="00493986">
              <w:rPr>
                <w:rFonts w:eastAsia="Times New Roman"/>
                <w:sz w:val="20"/>
                <w:szCs w:val="20"/>
              </w:rPr>
              <w:t>Port wine stain) than from temporary disfiguring conditions such as bruises</w:t>
            </w:r>
          </w:p>
        </w:tc>
      </w:tr>
      <w:tr w:rsidR="00493986" w:rsidRPr="00493986" w14:paraId="3DBB596C" w14:textId="77777777" w:rsidTr="00493986">
        <w:trPr>
          <w:trHeight w:val="2800"/>
        </w:trPr>
        <w:tc>
          <w:tcPr>
            <w:tcW w:w="1443" w:type="dxa"/>
            <w:tcBorders>
              <w:top w:val="nil"/>
              <w:left w:val="nil"/>
              <w:bottom w:val="nil"/>
              <w:right w:val="nil"/>
            </w:tcBorders>
            <w:shd w:val="clear" w:color="auto" w:fill="auto"/>
            <w:hideMark/>
          </w:tcPr>
          <w:p w14:paraId="3997CA5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Ryan et al., 2012</w:t>
            </w:r>
          </w:p>
        </w:tc>
        <w:tc>
          <w:tcPr>
            <w:tcW w:w="1076" w:type="dxa"/>
            <w:tcBorders>
              <w:top w:val="nil"/>
              <w:left w:val="nil"/>
              <w:bottom w:val="nil"/>
              <w:right w:val="nil"/>
            </w:tcBorders>
            <w:shd w:val="clear" w:color="auto" w:fill="auto"/>
            <w:hideMark/>
          </w:tcPr>
          <w:p w14:paraId="0F39F2F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AUS</w:t>
            </w:r>
          </w:p>
        </w:tc>
        <w:tc>
          <w:tcPr>
            <w:tcW w:w="619" w:type="dxa"/>
            <w:tcBorders>
              <w:top w:val="nil"/>
              <w:left w:val="nil"/>
              <w:bottom w:val="nil"/>
              <w:right w:val="nil"/>
            </w:tcBorders>
            <w:shd w:val="clear" w:color="auto" w:fill="auto"/>
            <w:hideMark/>
          </w:tcPr>
          <w:p w14:paraId="3D2A267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 S</w:t>
            </w:r>
          </w:p>
        </w:tc>
        <w:tc>
          <w:tcPr>
            <w:tcW w:w="1943" w:type="dxa"/>
            <w:tcBorders>
              <w:top w:val="nil"/>
              <w:left w:val="nil"/>
              <w:bottom w:val="nil"/>
              <w:right w:val="nil"/>
            </w:tcBorders>
            <w:shd w:val="clear" w:color="auto" w:fill="auto"/>
            <w:hideMark/>
          </w:tcPr>
          <w:p w14:paraId="1512D3C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Student</w:t>
            </w:r>
          </w:p>
        </w:tc>
        <w:tc>
          <w:tcPr>
            <w:tcW w:w="475" w:type="dxa"/>
            <w:tcBorders>
              <w:top w:val="nil"/>
              <w:left w:val="nil"/>
              <w:bottom w:val="nil"/>
              <w:right w:val="nil"/>
            </w:tcBorders>
            <w:shd w:val="clear" w:color="auto" w:fill="auto"/>
            <w:hideMark/>
          </w:tcPr>
          <w:p w14:paraId="0E52B79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98</w:t>
            </w:r>
          </w:p>
        </w:tc>
        <w:tc>
          <w:tcPr>
            <w:tcW w:w="2109" w:type="dxa"/>
            <w:tcBorders>
              <w:top w:val="nil"/>
              <w:left w:val="nil"/>
              <w:bottom w:val="nil"/>
              <w:right w:val="nil"/>
            </w:tcBorders>
            <w:shd w:val="clear" w:color="auto" w:fill="auto"/>
            <w:hideMark/>
          </w:tcPr>
          <w:p w14:paraId="16599D8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w:t>
            </w:r>
          </w:p>
        </w:tc>
        <w:tc>
          <w:tcPr>
            <w:tcW w:w="1831" w:type="dxa"/>
            <w:tcBorders>
              <w:top w:val="nil"/>
              <w:left w:val="nil"/>
              <w:bottom w:val="nil"/>
              <w:right w:val="nil"/>
            </w:tcBorders>
            <w:shd w:val="clear" w:color="auto" w:fill="auto"/>
            <w:hideMark/>
          </w:tcPr>
          <w:p w14:paraId="06FC378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Observed Behaviour (disgust), self-report measures healthy, contagion, fatal and disgust</w:t>
            </w:r>
          </w:p>
        </w:tc>
        <w:tc>
          <w:tcPr>
            <w:tcW w:w="1442" w:type="dxa"/>
            <w:tcBorders>
              <w:top w:val="nil"/>
              <w:left w:val="nil"/>
              <w:bottom w:val="nil"/>
              <w:right w:val="nil"/>
            </w:tcBorders>
            <w:shd w:val="clear" w:color="auto" w:fill="auto"/>
            <w:hideMark/>
          </w:tcPr>
          <w:p w14:paraId="14EC065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perceived as a sign of disease that triggered a disgust and contamination response</w:t>
            </w:r>
          </w:p>
        </w:tc>
      </w:tr>
      <w:tr w:rsidR="00493986" w:rsidRPr="00493986" w14:paraId="3002D9BC" w14:textId="77777777" w:rsidTr="00493986">
        <w:trPr>
          <w:trHeight w:val="1000"/>
        </w:trPr>
        <w:tc>
          <w:tcPr>
            <w:tcW w:w="1443" w:type="dxa"/>
            <w:vMerge w:val="restart"/>
            <w:tcBorders>
              <w:top w:val="single" w:sz="8" w:space="0" w:color="auto"/>
              <w:left w:val="nil"/>
              <w:bottom w:val="single" w:sz="8" w:space="0" w:color="000000"/>
              <w:right w:val="nil"/>
            </w:tcBorders>
            <w:shd w:val="clear" w:color="auto" w:fill="auto"/>
            <w:hideMark/>
          </w:tcPr>
          <w:p w14:paraId="576251B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Shanmugarajah et al., 2012</w:t>
            </w:r>
          </w:p>
        </w:tc>
        <w:tc>
          <w:tcPr>
            <w:tcW w:w="1076" w:type="dxa"/>
            <w:vMerge w:val="restart"/>
            <w:tcBorders>
              <w:top w:val="single" w:sz="8" w:space="0" w:color="auto"/>
              <w:left w:val="nil"/>
              <w:bottom w:val="single" w:sz="8" w:space="0" w:color="000000"/>
              <w:right w:val="nil"/>
            </w:tcBorders>
            <w:shd w:val="clear" w:color="auto" w:fill="auto"/>
            <w:hideMark/>
          </w:tcPr>
          <w:p w14:paraId="71E585E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single" w:sz="8" w:space="0" w:color="auto"/>
              <w:left w:val="nil"/>
              <w:bottom w:val="single" w:sz="8" w:space="0" w:color="000000"/>
              <w:right w:val="nil"/>
            </w:tcBorders>
            <w:shd w:val="clear" w:color="auto" w:fill="auto"/>
            <w:hideMark/>
          </w:tcPr>
          <w:p w14:paraId="0D4F30D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vMerge w:val="restart"/>
            <w:tcBorders>
              <w:top w:val="single" w:sz="8" w:space="0" w:color="auto"/>
              <w:left w:val="nil"/>
              <w:bottom w:val="single" w:sz="8" w:space="0" w:color="000000"/>
              <w:right w:val="nil"/>
            </w:tcBorders>
            <w:shd w:val="clear" w:color="auto" w:fill="auto"/>
            <w:hideMark/>
          </w:tcPr>
          <w:p w14:paraId="3211388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Student</w:t>
            </w:r>
          </w:p>
        </w:tc>
        <w:tc>
          <w:tcPr>
            <w:tcW w:w="475" w:type="dxa"/>
            <w:vMerge w:val="restart"/>
            <w:tcBorders>
              <w:top w:val="single" w:sz="8" w:space="0" w:color="auto"/>
              <w:left w:val="nil"/>
              <w:bottom w:val="single" w:sz="8" w:space="0" w:color="000000"/>
              <w:right w:val="nil"/>
            </w:tcBorders>
            <w:shd w:val="clear" w:color="auto" w:fill="auto"/>
            <w:hideMark/>
          </w:tcPr>
          <w:p w14:paraId="59B1F15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132</w:t>
            </w:r>
          </w:p>
        </w:tc>
        <w:tc>
          <w:tcPr>
            <w:tcW w:w="2109" w:type="dxa"/>
            <w:vMerge w:val="restart"/>
            <w:tcBorders>
              <w:top w:val="single" w:sz="8" w:space="0" w:color="auto"/>
              <w:left w:val="nil"/>
              <w:bottom w:val="single" w:sz="8" w:space="0" w:color="000000"/>
              <w:right w:val="nil"/>
            </w:tcBorders>
            <w:shd w:val="clear" w:color="auto" w:fill="auto"/>
            <w:hideMark/>
          </w:tcPr>
          <w:p w14:paraId="1A83E10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w:t>
            </w:r>
          </w:p>
        </w:tc>
        <w:tc>
          <w:tcPr>
            <w:tcW w:w="1831" w:type="dxa"/>
            <w:vMerge w:val="restart"/>
            <w:tcBorders>
              <w:top w:val="single" w:sz="8" w:space="0" w:color="auto"/>
              <w:left w:val="nil"/>
              <w:bottom w:val="single" w:sz="8" w:space="0" w:color="000000"/>
              <w:right w:val="nil"/>
            </w:tcBorders>
            <w:shd w:val="clear" w:color="auto" w:fill="auto"/>
            <w:hideMark/>
          </w:tcPr>
          <w:p w14:paraId="505CCE9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severity questionnaire, reported disgust (Level of disgust elicited by each image), DS-R</w:t>
            </w:r>
          </w:p>
        </w:tc>
        <w:tc>
          <w:tcPr>
            <w:tcW w:w="1442" w:type="dxa"/>
            <w:tcBorders>
              <w:top w:val="single" w:sz="8" w:space="0" w:color="auto"/>
              <w:left w:val="nil"/>
              <w:bottom w:val="nil"/>
              <w:right w:val="nil"/>
            </w:tcBorders>
            <w:shd w:val="clear" w:color="auto" w:fill="auto"/>
            <w:hideMark/>
          </w:tcPr>
          <w:p w14:paraId="136F4DA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*As the severity of FD increases, there is a greater level of disgust elicited in the observer</w:t>
            </w:r>
          </w:p>
        </w:tc>
      </w:tr>
      <w:tr w:rsidR="00493986" w:rsidRPr="00493986" w14:paraId="28511E95" w14:textId="77777777" w:rsidTr="00493986">
        <w:trPr>
          <w:trHeight w:val="1010"/>
        </w:trPr>
        <w:tc>
          <w:tcPr>
            <w:tcW w:w="1443" w:type="dxa"/>
            <w:vMerge/>
            <w:tcBorders>
              <w:top w:val="single" w:sz="8" w:space="0" w:color="auto"/>
              <w:left w:val="nil"/>
              <w:bottom w:val="single" w:sz="8" w:space="0" w:color="000000"/>
              <w:right w:val="nil"/>
            </w:tcBorders>
            <w:vAlign w:val="center"/>
            <w:hideMark/>
          </w:tcPr>
          <w:p w14:paraId="7867C18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single" w:sz="8" w:space="0" w:color="auto"/>
              <w:left w:val="nil"/>
              <w:bottom w:val="single" w:sz="8" w:space="0" w:color="000000"/>
              <w:right w:val="nil"/>
            </w:tcBorders>
            <w:vAlign w:val="center"/>
            <w:hideMark/>
          </w:tcPr>
          <w:p w14:paraId="3F778B9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single" w:sz="8" w:space="0" w:color="auto"/>
              <w:left w:val="nil"/>
              <w:bottom w:val="single" w:sz="8" w:space="0" w:color="000000"/>
              <w:right w:val="nil"/>
            </w:tcBorders>
            <w:vAlign w:val="center"/>
            <w:hideMark/>
          </w:tcPr>
          <w:p w14:paraId="6833FBB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single" w:sz="8" w:space="0" w:color="auto"/>
              <w:left w:val="nil"/>
              <w:bottom w:val="single" w:sz="8" w:space="0" w:color="000000"/>
              <w:right w:val="nil"/>
            </w:tcBorders>
            <w:vAlign w:val="center"/>
            <w:hideMark/>
          </w:tcPr>
          <w:p w14:paraId="2D4DB5F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single" w:sz="8" w:space="0" w:color="auto"/>
              <w:left w:val="nil"/>
              <w:bottom w:val="single" w:sz="8" w:space="0" w:color="000000"/>
              <w:right w:val="nil"/>
            </w:tcBorders>
            <w:vAlign w:val="center"/>
            <w:hideMark/>
          </w:tcPr>
          <w:p w14:paraId="1949931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single" w:sz="8" w:space="0" w:color="auto"/>
              <w:left w:val="nil"/>
              <w:bottom w:val="single" w:sz="8" w:space="0" w:color="000000"/>
              <w:right w:val="nil"/>
            </w:tcBorders>
            <w:vAlign w:val="center"/>
            <w:hideMark/>
          </w:tcPr>
          <w:p w14:paraId="369C266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single" w:sz="8" w:space="0" w:color="auto"/>
              <w:left w:val="nil"/>
              <w:bottom w:val="single" w:sz="8" w:space="0" w:color="000000"/>
              <w:right w:val="nil"/>
            </w:tcBorders>
            <w:vAlign w:val="center"/>
            <w:hideMark/>
          </w:tcPr>
          <w:p w14:paraId="1F7A29D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2CA3F09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*Increased disgust was related to higher levels of reported disgust when viewing FD stimuli</w:t>
            </w:r>
          </w:p>
        </w:tc>
      </w:tr>
      <w:tr w:rsidR="00493986" w:rsidRPr="00493986" w14:paraId="68F47C63" w14:textId="77777777" w:rsidTr="00493986">
        <w:trPr>
          <w:trHeight w:val="1260"/>
        </w:trPr>
        <w:tc>
          <w:tcPr>
            <w:tcW w:w="1443" w:type="dxa"/>
            <w:tcBorders>
              <w:top w:val="nil"/>
              <w:left w:val="nil"/>
              <w:bottom w:val="single" w:sz="8" w:space="0" w:color="auto"/>
              <w:right w:val="nil"/>
            </w:tcBorders>
            <w:shd w:val="clear" w:color="auto" w:fill="auto"/>
            <w:hideMark/>
          </w:tcPr>
          <w:p w14:paraId="4B0EF22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Shaw, 1981</w:t>
            </w:r>
          </w:p>
        </w:tc>
        <w:tc>
          <w:tcPr>
            <w:tcW w:w="1076" w:type="dxa"/>
            <w:tcBorders>
              <w:top w:val="nil"/>
              <w:left w:val="nil"/>
              <w:bottom w:val="single" w:sz="8" w:space="0" w:color="auto"/>
              <w:right w:val="nil"/>
            </w:tcBorders>
            <w:shd w:val="clear" w:color="auto" w:fill="auto"/>
            <w:hideMark/>
          </w:tcPr>
          <w:p w14:paraId="176D7D1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tcBorders>
              <w:top w:val="nil"/>
              <w:left w:val="nil"/>
              <w:bottom w:val="single" w:sz="8" w:space="0" w:color="auto"/>
              <w:right w:val="nil"/>
            </w:tcBorders>
            <w:shd w:val="clear" w:color="auto" w:fill="auto"/>
            <w:hideMark/>
          </w:tcPr>
          <w:p w14:paraId="5E64C5E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r w:rsidR="00B32D9C">
              <w:rPr>
                <w:rFonts w:eastAsia="Times New Roman"/>
                <w:sz w:val="20"/>
                <w:szCs w:val="20"/>
              </w:rPr>
              <w:t xml:space="preserve"> </w:t>
            </w:r>
            <w:r w:rsidRPr="00493986">
              <w:rPr>
                <w:rFonts w:eastAsia="Times New Roman"/>
                <w:sz w:val="20"/>
                <w:szCs w:val="20"/>
              </w:rPr>
              <w:t>K</w:t>
            </w:r>
          </w:p>
        </w:tc>
        <w:tc>
          <w:tcPr>
            <w:tcW w:w="1943" w:type="dxa"/>
            <w:tcBorders>
              <w:top w:val="nil"/>
              <w:left w:val="nil"/>
              <w:bottom w:val="single" w:sz="8" w:space="0" w:color="auto"/>
              <w:right w:val="nil"/>
            </w:tcBorders>
            <w:shd w:val="clear" w:color="auto" w:fill="auto"/>
            <w:hideMark/>
          </w:tcPr>
          <w:p w14:paraId="5B0913F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tcBorders>
              <w:top w:val="nil"/>
              <w:left w:val="nil"/>
              <w:bottom w:val="single" w:sz="8" w:space="0" w:color="auto"/>
              <w:right w:val="nil"/>
            </w:tcBorders>
            <w:shd w:val="clear" w:color="auto" w:fill="auto"/>
            <w:hideMark/>
          </w:tcPr>
          <w:p w14:paraId="0650F8C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200</w:t>
            </w:r>
          </w:p>
        </w:tc>
        <w:tc>
          <w:tcPr>
            <w:tcW w:w="2109" w:type="dxa"/>
            <w:tcBorders>
              <w:top w:val="nil"/>
              <w:left w:val="nil"/>
              <w:bottom w:val="single" w:sz="8" w:space="0" w:color="auto"/>
              <w:right w:val="nil"/>
            </w:tcBorders>
            <w:shd w:val="clear" w:color="auto" w:fill="auto"/>
            <w:hideMark/>
          </w:tcPr>
          <w:p w14:paraId="6B63B2C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Deformity</w:t>
            </w:r>
          </w:p>
        </w:tc>
        <w:tc>
          <w:tcPr>
            <w:tcW w:w="1831" w:type="dxa"/>
            <w:tcBorders>
              <w:top w:val="nil"/>
              <w:left w:val="nil"/>
              <w:bottom w:val="single" w:sz="8" w:space="0" w:color="auto"/>
              <w:right w:val="nil"/>
            </w:tcBorders>
            <w:shd w:val="clear" w:color="auto" w:fill="auto"/>
            <w:hideMark/>
          </w:tcPr>
          <w:p w14:paraId="6ACEF5C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Semi-structured interviews</w:t>
            </w:r>
          </w:p>
        </w:tc>
        <w:tc>
          <w:tcPr>
            <w:tcW w:w="1442" w:type="dxa"/>
            <w:tcBorders>
              <w:top w:val="nil"/>
              <w:left w:val="nil"/>
              <w:bottom w:val="single" w:sz="8" w:space="0" w:color="auto"/>
              <w:right w:val="nil"/>
            </w:tcBorders>
            <w:shd w:val="clear" w:color="auto" w:fill="auto"/>
            <w:hideMark/>
          </w:tcPr>
          <w:p w14:paraId="20B8B49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*Attitudes to FD appear to arise from psychological instincts and cultural pressures</w:t>
            </w:r>
          </w:p>
        </w:tc>
      </w:tr>
      <w:tr w:rsidR="00493986" w:rsidRPr="00493986" w14:paraId="4496D1DA" w14:textId="77777777" w:rsidTr="00493986">
        <w:trPr>
          <w:trHeight w:val="2510"/>
        </w:trPr>
        <w:tc>
          <w:tcPr>
            <w:tcW w:w="1443" w:type="dxa"/>
            <w:tcBorders>
              <w:top w:val="nil"/>
              <w:left w:val="nil"/>
              <w:bottom w:val="single" w:sz="8" w:space="0" w:color="auto"/>
              <w:right w:val="nil"/>
            </w:tcBorders>
            <w:shd w:val="clear" w:color="auto" w:fill="auto"/>
            <w:hideMark/>
          </w:tcPr>
          <w:p w14:paraId="0654CE0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Shaw et al., 1980</w:t>
            </w:r>
          </w:p>
        </w:tc>
        <w:tc>
          <w:tcPr>
            <w:tcW w:w="1076" w:type="dxa"/>
            <w:tcBorders>
              <w:top w:val="nil"/>
              <w:left w:val="nil"/>
              <w:bottom w:val="single" w:sz="8" w:space="0" w:color="auto"/>
              <w:right w:val="nil"/>
            </w:tcBorders>
            <w:shd w:val="clear" w:color="auto" w:fill="auto"/>
            <w:hideMark/>
          </w:tcPr>
          <w:p w14:paraId="7E70201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tcBorders>
              <w:top w:val="nil"/>
              <w:left w:val="nil"/>
              <w:bottom w:val="single" w:sz="8" w:space="0" w:color="auto"/>
              <w:right w:val="nil"/>
            </w:tcBorders>
            <w:shd w:val="clear" w:color="auto" w:fill="auto"/>
            <w:hideMark/>
          </w:tcPr>
          <w:p w14:paraId="2E8B9B0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w:t>
            </w:r>
          </w:p>
        </w:tc>
        <w:tc>
          <w:tcPr>
            <w:tcW w:w="1943" w:type="dxa"/>
            <w:tcBorders>
              <w:top w:val="nil"/>
              <w:left w:val="nil"/>
              <w:bottom w:val="single" w:sz="8" w:space="0" w:color="auto"/>
              <w:right w:val="nil"/>
            </w:tcBorders>
            <w:shd w:val="clear" w:color="auto" w:fill="auto"/>
            <w:hideMark/>
          </w:tcPr>
          <w:p w14:paraId="3CC7F7E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tcBorders>
              <w:top w:val="nil"/>
              <w:left w:val="nil"/>
              <w:bottom w:val="single" w:sz="8" w:space="0" w:color="auto"/>
              <w:right w:val="nil"/>
            </w:tcBorders>
            <w:shd w:val="clear" w:color="auto" w:fill="auto"/>
            <w:hideMark/>
          </w:tcPr>
          <w:p w14:paraId="5E7DF28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7200</w:t>
            </w:r>
          </w:p>
        </w:tc>
        <w:tc>
          <w:tcPr>
            <w:tcW w:w="2109" w:type="dxa"/>
            <w:tcBorders>
              <w:top w:val="nil"/>
              <w:left w:val="nil"/>
              <w:bottom w:val="single" w:sz="8" w:space="0" w:color="auto"/>
              <w:right w:val="nil"/>
            </w:tcBorders>
            <w:shd w:val="clear" w:color="auto" w:fill="auto"/>
            <w:hideMark/>
          </w:tcPr>
          <w:p w14:paraId="20CE9CF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deformity</w:t>
            </w:r>
          </w:p>
        </w:tc>
        <w:tc>
          <w:tcPr>
            <w:tcW w:w="1831" w:type="dxa"/>
            <w:tcBorders>
              <w:top w:val="nil"/>
              <w:left w:val="nil"/>
              <w:bottom w:val="single" w:sz="8" w:space="0" w:color="auto"/>
              <w:right w:val="nil"/>
            </w:tcBorders>
            <w:shd w:val="clear" w:color="auto" w:fill="auto"/>
            <w:hideMark/>
          </w:tcPr>
          <w:p w14:paraId="316924E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Overt behaviour; Responses to petitions (Evasion, polite refusal, signing)</w:t>
            </w:r>
          </w:p>
        </w:tc>
        <w:tc>
          <w:tcPr>
            <w:tcW w:w="1442" w:type="dxa"/>
            <w:tcBorders>
              <w:top w:val="nil"/>
              <w:left w:val="nil"/>
              <w:bottom w:val="single" w:sz="8" w:space="0" w:color="auto"/>
              <w:right w:val="nil"/>
            </w:tcBorders>
            <w:shd w:val="clear" w:color="auto" w:fill="auto"/>
            <w:hideMark/>
          </w:tcPr>
          <w:p w14:paraId="29B94B9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*No significant differences in the number of evasions experienced by FD and non-FD confederates</w:t>
            </w:r>
          </w:p>
        </w:tc>
      </w:tr>
      <w:tr w:rsidR="00493986" w:rsidRPr="00493986" w14:paraId="2EE80606" w14:textId="77777777" w:rsidTr="00493986">
        <w:trPr>
          <w:trHeight w:val="2010"/>
        </w:trPr>
        <w:tc>
          <w:tcPr>
            <w:tcW w:w="1443" w:type="dxa"/>
            <w:tcBorders>
              <w:top w:val="nil"/>
              <w:left w:val="nil"/>
              <w:bottom w:val="single" w:sz="8" w:space="0" w:color="auto"/>
              <w:right w:val="nil"/>
            </w:tcBorders>
            <w:shd w:val="clear" w:color="auto" w:fill="auto"/>
            <w:hideMark/>
          </w:tcPr>
          <w:p w14:paraId="68FD6FC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Stevenage &amp; McKay, 1999</w:t>
            </w:r>
          </w:p>
        </w:tc>
        <w:tc>
          <w:tcPr>
            <w:tcW w:w="1076" w:type="dxa"/>
            <w:tcBorders>
              <w:top w:val="nil"/>
              <w:left w:val="nil"/>
              <w:bottom w:val="single" w:sz="8" w:space="0" w:color="auto"/>
              <w:right w:val="nil"/>
            </w:tcBorders>
            <w:shd w:val="clear" w:color="auto" w:fill="auto"/>
            <w:hideMark/>
          </w:tcPr>
          <w:p w14:paraId="5DB658D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tcBorders>
              <w:top w:val="nil"/>
              <w:left w:val="nil"/>
              <w:bottom w:val="single" w:sz="8" w:space="0" w:color="auto"/>
              <w:right w:val="nil"/>
            </w:tcBorders>
            <w:shd w:val="clear" w:color="auto" w:fill="auto"/>
            <w:hideMark/>
          </w:tcPr>
          <w:p w14:paraId="377A523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 A</w:t>
            </w:r>
          </w:p>
        </w:tc>
        <w:tc>
          <w:tcPr>
            <w:tcW w:w="1943" w:type="dxa"/>
            <w:tcBorders>
              <w:top w:val="nil"/>
              <w:left w:val="nil"/>
              <w:bottom w:val="single" w:sz="8" w:space="0" w:color="auto"/>
              <w:right w:val="nil"/>
            </w:tcBorders>
            <w:shd w:val="clear" w:color="auto" w:fill="auto"/>
            <w:hideMark/>
          </w:tcPr>
          <w:p w14:paraId="6AB117B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Mixed</w:t>
            </w:r>
          </w:p>
        </w:tc>
        <w:tc>
          <w:tcPr>
            <w:tcW w:w="475" w:type="dxa"/>
            <w:tcBorders>
              <w:top w:val="nil"/>
              <w:left w:val="nil"/>
              <w:bottom w:val="single" w:sz="8" w:space="0" w:color="auto"/>
              <w:right w:val="nil"/>
            </w:tcBorders>
            <w:shd w:val="clear" w:color="auto" w:fill="auto"/>
            <w:hideMark/>
          </w:tcPr>
          <w:p w14:paraId="26E6C9F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106</w:t>
            </w:r>
          </w:p>
        </w:tc>
        <w:tc>
          <w:tcPr>
            <w:tcW w:w="2109" w:type="dxa"/>
            <w:tcBorders>
              <w:top w:val="nil"/>
              <w:left w:val="nil"/>
              <w:bottom w:val="single" w:sz="8" w:space="0" w:color="auto"/>
              <w:right w:val="nil"/>
            </w:tcBorders>
            <w:shd w:val="clear" w:color="auto" w:fill="auto"/>
            <w:hideMark/>
          </w:tcPr>
          <w:p w14:paraId="7EDF4C2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disability, FD</w:t>
            </w:r>
          </w:p>
        </w:tc>
        <w:tc>
          <w:tcPr>
            <w:tcW w:w="1831" w:type="dxa"/>
            <w:tcBorders>
              <w:top w:val="nil"/>
              <w:left w:val="nil"/>
              <w:bottom w:val="single" w:sz="8" w:space="0" w:color="auto"/>
              <w:right w:val="nil"/>
            </w:tcBorders>
            <w:shd w:val="clear" w:color="auto" w:fill="auto"/>
            <w:hideMark/>
          </w:tcPr>
          <w:p w14:paraId="5778F67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Perceptions of personal qualities, perception of job skills and job recruitment decision </w:t>
            </w:r>
          </w:p>
        </w:tc>
        <w:tc>
          <w:tcPr>
            <w:tcW w:w="1442" w:type="dxa"/>
            <w:tcBorders>
              <w:top w:val="nil"/>
              <w:left w:val="nil"/>
              <w:bottom w:val="single" w:sz="8" w:space="0" w:color="auto"/>
              <w:right w:val="nil"/>
            </w:tcBorders>
            <w:shd w:val="clear" w:color="auto" w:fill="auto"/>
            <w:hideMark/>
          </w:tcPr>
          <w:p w14:paraId="56950B8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individuals obtained lower ratings on personal qualities and job skills compared with wheelchair users and control.</w:t>
            </w:r>
          </w:p>
        </w:tc>
      </w:tr>
      <w:tr w:rsidR="00493986" w:rsidRPr="00493986" w14:paraId="0D9D7614" w14:textId="77777777" w:rsidTr="00493986">
        <w:trPr>
          <w:trHeight w:val="1000"/>
        </w:trPr>
        <w:tc>
          <w:tcPr>
            <w:tcW w:w="1443" w:type="dxa"/>
            <w:vMerge w:val="restart"/>
            <w:tcBorders>
              <w:top w:val="nil"/>
              <w:left w:val="nil"/>
              <w:bottom w:val="single" w:sz="8" w:space="0" w:color="000000"/>
              <w:right w:val="nil"/>
            </w:tcBorders>
            <w:shd w:val="clear" w:color="auto" w:fill="auto"/>
            <w:hideMark/>
          </w:tcPr>
          <w:p w14:paraId="163BCEB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Stevenage &amp; Furness, 2008</w:t>
            </w:r>
          </w:p>
        </w:tc>
        <w:tc>
          <w:tcPr>
            <w:tcW w:w="1076" w:type="dxa"/>
            <w:vMerge w:val="restart"/>
            <w:tcBorders>
              <w:top w:val="nil"/>
              <w:left w:val="nil"/>
              <w:bottom w:val="single" w:sz="8" w:space="0" w:color="000000"/>
              <w:right w:val="nil"/>
            </w:tcBorders>
            <w:shd w:val="clear" w:color="auto" w:fill="auto"/>
            <w:hideMark/>
          </w:tcPr>
          <w:p w14:paraId="0F757D8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nil"/>
              <w:left w:val="nil"/>
              <w:bottom w:val="single" w:sz="8" w:space="0" w:color="000000"/>
              <w:right w:val="nil"/>
            </w:tcBorders>
            <w:shd w:val="clear" w:color="auto" w:fill="auto"/>
            <w:hideMark/>
          </w:tcPr>
          <w:p w14:paraId="295E398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 CER</w:t>
            </w:r>
          </w:p>
        </w:tc>
        <w:tc>
          <w:tcPr>
            <w:tcW w:w="1943" w:type="dxa"/>
            <w:vMerge w:val="restart"/>
            <w:tcBorders>
              <w:top w:val="nil"/>
              <w:left w:val="nil"/>
              <w:bottom w:val="single" w:sz="8" w:space="0" w:color="000000"/>
              <w:right w:val="nil"/>
            </w:tcBorders>
            <w:shd w:val="clear" w:color="auto" w:fill="auto"/>
            <w:hideMark/>
          </w:tcPr>
          <w:p w14:paraId="1ED0D4F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Student</w:t>
            </w:r>
          </w:p>
        </w:tc>
        <w:tc>
          <w:tcPr>
            <w:tcW w:w="475" w:type="dxa"/>
            <w:vMerge w:val="restart"/>
            <w:tcBorders>
              <w:top w:val="nil"/>
              <w:left w:val="nil"/>
              <w:bottom w:val="single" w:sz="8" w:space="0" w:color="000000"/>
              <w:right w:val="nil"/>
            </w:tcBorders>
            <w:shd w:val="clear" w:color="auto" w:fill="auto"/>
            <w:hideMark/>
          </w:tcPr>
          <w:p w14:paraId="4C85FB8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102</w:t>
            </w:r>
          </w:p>
        </w:tc>
        <w:tc>
          <w:tcPr>
            <w:tcW w:w="2109" w:type="dxa"/>
            <w:vMerge w:val="restart"/>
            <w:tcBorders>
              <w:top w:val="nil"/>
              <w:left w:val="nil"/>
              <w:bottom w:val="single" w:sz="8" w:space="0" w:color="000000"/>
              <w:right w:val="nil"/>
            </w:tcBorders>
            <w:shd w:val="clear" w:color="auto" w:fill="auto"/>
            <w:hideMark/>
          </w:tcPr>
          <w:p w14:paraId="4B0FBCB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w:t>
            </w:r>
          </w:p>
        </w:tc>
        <w:tc>
          <w:tcPr>
            <w:tcW w:w="1831" w:type="dxa"/>
            <w:vMerge w:val="restart"/>
            <w:tcBorders>
              <w:top w:val="nil"/>
              <w:left w:val="nil"/>
              <w:bottom w:val="single" w:sz="8" w:space="0" w:color="000000"/>
              <w:right w:val="nil"/>
            </w:tcBorders>
            <w:shd w:val="clear" w:color="auto" w:fill="auto"/>
            <w:hideMark/>
          </w:tcPr>
          <w:p w14:paraId="35C8962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 Cross-sectional; Conversational recall and personality ratings</w:t>
            </w:r>
          </w:p>
        </w:tc>
        <w:tc>
          <w:tcPr>
            <w:tcW w:w="1442" w:type="dxa"/>
            <w:tcBorders>
              <w:top w:val="nil"/>
              <w:left w:val="nil"/>
              <w:bottom w:val="nil"/>
              <w:right w:val="nil"/>
            </w:tcBorders>
            <w:shd w:val="clear" w:color="auto" w:fill="auto"/>
            <w:hideMark/>
          </w:tcPr>
          <w:p w14:paraId="6B35E4F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*Conversational recall was significantly lower when the speaker had a visible FD</w:t>
            </w:r>
          </w:p>
        </w:tc>
      </w:tr>
      <w:tr w:rsidR="00493986" w:rsidRPr="00493986" w14:paraId="26F76D70" w14:textId="77777777" w:rsidTr="00493986">
        <w:trPr>
          <w:trHeight w:val="760"/>
        </w:trPr>
        <w:tc>
          <w:tcPr>
            <w:tcW w:w="1443" w:type="dxa"/>
            <w:vMerge/>
            <w:tcBorders>
              <w:top w:val="nil"/>
              <w:left w:val="nil"/>
              <w:bottom w:val="single" w:sz="8" w:space="0" w:color="000000"/>
              <w:right w:val="nil"/>
            </w:tcBorders>
            <w:vAlign w:val="center"/>
            <w:hideMark/>
          </w:tcPr>
          <w:p w14:paraId="6CC7A67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424A353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33E76C5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50345A1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0371E4D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436447C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7922379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30BB92B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*Ratings of personality traits were unaffected by the presence of FD</w:t>
            </w:r>
          </w:p>
        </w:tc>
      </w:tr>
      <w:tr w:rsidR="00493986" w:rsidRPr="00493986" w14:paraId="37C66FFA" w14:textId="77777777" w:rsidTr="00493986">
        <w:trPr>
          <w:trHeight w:val="1935"/>
        </w:trPr>
        <w:tc>
          <w:tcPr>
            <w:tcW w:w="1443" w:type="dxa"/>
            <w:vMerge w:val="restart"/>
            <w:tcBorders>
              <w:top w:val="nil"/>
              <w:left w:val="nil"/>
              <w:bottom w:val="single" w:sz="8" w:space="0" w:color="000000"/>
              <w:right w:val="nil"/>
            </w:tcBorders>
            <w:shd w:val="clear" w:color="auto" w:fill="auto"/>
            <w:hideMark/>
          </w:tcPr>
          <w:p w14:paraId="7D2E330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Stone &amp; Potton, 2017</w:t>
            </w:r>
          </w:p>
        </w:tc>
        <w:tc>
          <w:tcPr>
            <w:tcW w:w="1076" w:type="dxa"/>
            <w:vMerge w:val="restart"/>
            <w:tcBorders>
              <w:top w:val="nil"/>
              <w:left w:val="nil"/>
              <w:bottom w:val="single" w:sz="8" w:space="0" w:color="000000"/>
              <w:right w:val="nil"/>
            </w:tcBorders>
            <w:shd w:val="clear" w:color="auto" w:fill="auto"/>
            <w:hideMark/>
          </w:tcPr>
          <w:p w14:paraId="7069AA5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nil"/>
              <w:left w:val="nil"/>
              <w:bottom w:val="single" w:sz="8" w:space="0" w:color="000000"/>
              <w:right w:val="nil"/>
            </w:tcBorders>
            <w:shd w:val="clear" w:color="auto" w:fill="auto"/>
            <w:hideMark/>
          </w:tcPr>
          <w:p w14:paraId="20B8374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w:t>
            </w:r>
          </w:p>
        </w:tc>
        <w:tc>
          <w:tcPr>
            <w:tcW w:w="1943" w:type="dxa"/>
            <w:vMerge w:val="restart"/>
            <w:tcBorders>
              <w:top w:val="nil"/>
              <w:left w:val="nil"/>
              <w:bottom w:val="single" w:sz="8" w:space="0" w:color="000000"/>
              <w:right w:val="nil"/>
            </w:tcBorders>
            <w:shd w:val="clear" w:color="auto" w:fill="auto"/>
            <w:hideMark/>
          </w:tcPr>
          <w:p w14:paraId="562E564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Students</w:t>
            </w:r>
          </w:p>
        </w:tc>
        <w:tc>
          <w:tcPr>
            <w:tcW w:w="475" w:type="dxa"/>
            <w:vMerge w:val="restart"/>
            <w:tcBorders>
              <w:top w:val="nil"/>
              <w:left w:val="nil"/>
              <w:bottom w:val="single" w:sz="8" w:space="0" w:color="000000"/>
              <w:right w:val="nil"/>
            </w:tcBorders>
            <w:shd w:val="clear" w:color="auto" w:fill="auto"/>
            <w:hideMark/>
          </w:tcPr>
          <w:p w14:paraId="4AB071F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29</w:t>
            </w:r>
          </w:p>
        </w:tc>
        <w:tc>
          <w:tcPr>
            <w:tcW w:w="2109" w:type="dxa"/>
            <w:vMerge w:val="restart"/>
            <w:tcBorders>
              <w:top w:val="nil"/>
              <w:left w:val="nil"/>
              <w:bottom w:val="single" w:sz="8" w:space="0" w:color="000000"/>
              <w:right w:val="nil"/>
            </w:tcBorders>
            <w:shd w:val="clear" w:color="auto" w:fill="auto"/>
            <w:hideMark/>
          </w:tcPr>
          <w:p w14:paraId="6E1166A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w:t>
            </w:r>
          </w:p>
        </w:tc>
        <w:tc>
          <w:tcPr>
            <w:tcW w:w="1831" w:type="dxa"/>
            <w:vMerge w:val="restart"/>
            <w:tcBorders>
              <w:top w:val="nil"/>
              <w:left w:val="nil"/>
              <w:bottom w:val="single" w:sz="8" w:space="0" w:color="000000"/>
              <w:right w:val="nil"/>
            </w:tcBorders>
            <w:shd w:val="clear" w:color="auto" w:fill="auto"/>
            <w:hideMark/>
          </w:tcPr>
          <w:p w14:paraId="2C9BDE8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Visual attention (eye tracking), reported emotion and DS-R (predisposition)</w:t>
            </w:r>
          </w:p>
        </w:tc>
        <w:tc>
          <w:tcPr>
            <w:tcW w:w="1442" w:type="dxa"/>
            <w:tcBorders>
              <w:top w:val="nil"/>
              <w:left w:val="nil"/>
              <w:bottom w:val="nil"/>
              <w:right w:val="nil"/>
            </w:tcBorders>
            <w:shd w:val="clear" w:color="auto" w:fill="auto"/>
            <w:hideMark/>
          </w:tcPr>
          <w:p w14:paraId="72B57E9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Lesions in the internal expressive features of the face invoked stronger negative emotions than in the forehead.</w:t>
            </w:r>
          </w:p>
        </w:tc>
      </w:tr>
      <w:tr w:rsidR="00493986" w:rsidRPr="00493986" w14:paraId="22FA672C" w14:textId="77777777" w:rsidTr="00493986">
        <w:trPr>
          <w:trHeight w:val="1605"/>
        </w:trPr>
        <w:tc>
          <w:tcPr>
            <w:tcW w:w="1443" w:type="dxa"/>
            <w:vMerge/>
            <w:tcBorders>
              <w:top w:val="nil"/>
              <w:left w:val="nil"/>
              <w:bottom w:val="single" w:sz="8" w:space="0" w:color="000000"/>
              <w:right w:val="nil"/>
            </w:tcBorders>
            <w:vAlign w:val="center"/>
            <w:hideMark/>
          </w:tcPr>
          <w:p w14:paraId="52C28CE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0CA3836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77F412C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6982384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43B52A7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182C20E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6FF724C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nil"/>
              <w:right w:val="nil"/>
            </w:tcBorders>
            <w:shd w:val="clear" w:color="auto" w:fill="auto"/>
            <w:hideMark/>
          </w:tcPr>
          <w:p w14:paraId="774B68A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Visual attention to the area of disfigurement was associated with surprise and negative emotions.</w:t>
            </w:r>
          </w:p>
        </w:tc>
      </w:tr>
      <w:tr w:rsidR="00493986" w:rsidRPr="00493986" w14:paraId="607A9703" w14:textId="77777777" w:rsidTr="00493986">
        <w:trPr>
          <w:trHeight w:val="1485"/>
        </w:trPr>
        <w:tc>
          <w:tcPr>
            <w:tcW w:w="1443" w:type="dxa"/>
            <w:vMerge/>
            <w:tcBorders>
              <w:top w:val="nil"/>
              <w:left w:val="nil"/>
              <w:bottom w:val="single" w:sz="8" w:space="0" w:color="000000"/>
              <w:right w:val="nil"/>
            </w:tcBorders>
            <w:vAlign w:val="center"/>
            <w:hideMark/>
          </w:tcPr>
          <w:p w14:paraId="7B54C5B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7E33042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06334F5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7978A51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246211F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6157E39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03C397F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nil"/>
              <w:right w:val="nil"/>
            </w:tcBorders>
            <w:shd w:val="clear" w:color="auto" w:fill="auto"/>
            <w:hideMark/>
          </w:tcPr>
          <w:p w14:paraId="01A98C5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DS was associated with greater visual attention to the disfigurement and negative emotions</w:t>
            </w:r>
          </w:p>
        </w:tc>
      </w:tr>
      <w:tr w:rsidR="00493986" w:rsidRPr="00493986" w14:paraId="1E2F8C13" w14:textId="77777777" w:rsidTr="00493986">
        <w:trPr>
          <w:trHeight w:val="750"/>
        </w:trPr>
        <w:tc>
          <w:tcPr>
            <w:tcW w:w="1443" w:type="dxa"/>
            <w:vMerge w:val="restart"/>
            <w:tcBorders>
              <w:top w:val="nil"/>
              <w:left w:val="nil"/>
              <w:bottom w:val="single" w:sz="8" w:space="0" w:color="000000"/>
              <w:right w:val="nil"/>
            </w:tcBorders>
            <w:shd w:val="clear" w:color="auto" w:fill="auto"/>
            <w:hideMark/>
          </w:tcPr>
          <w:p w14:paraId="5A00360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Stone &amp; Potton, 2014</w:t>
            </w:r>
          </w:p>
        </w:tc>
        <w:tc>
          <w:tcPr>
            <w:tcW w:w="1076" w:type="dxa"/>
            <w:vMerge w:val="restart"/>
            <w:tcBorders>
              <w:top w:val="nil"/>
              <w:left w:val="nil"/>
              <w:bottom w:val="single" w:sz="8" w:space="0" w:color="000000"/>
              <w:right w:val="nil"/>
            </w:tcBorders>
            <w:shd w:val="clear" w:color="auto" w:fill="auto"/>
            <w:hideMark/>
          </w:tcPr>
          <w:p w14:paraId="55251A4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nil"/>
              <w:left w:val="nil"/>
              <w:bottom w:val="single" w:sz="8" w:space="0" w:color="000000"/>
              <w:right w:val="nil"/>
            </w:tcBorders>
            <w:shd w:val="clear" w:color="auto" w:fill="auto"/>
            <w:hideMark/>
          </w:tcPr>
          <w:p w14:paraId="0B6E2C6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 CER</w:t>
            </w:r>
          </w:p>
        </w:tc>
        <w:tc>
          <w:tcPr>
            <w:tcW w:w="1943" w:type="dxa"/>
            <w:vMerge w:val="restart"/>
            <w:tcBorders>
              <w:top w:val="nil"/>
              <w:left w:val="nil"/>
              <w:bottom w:val="single" w:sz="8" w:space="0" w:color="000000"/>
              <w:right w:val="nil"/>
            </w:tcBorders>
            <w:shd w:val="clear" w:color="auto" w:fill="auto"/>
            <w:hideMark/>
          </w:tcPr>
          <w:p w14:paraId="1CAA22A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Mixed</w:t>
            </w:r>
          </w:p>
        </w:tc>
        <w:tc>
          <w:tcPr>
            <w:tcW w:w="475" w:type="dxa"/>
            <w:vMerge w:val="restart"/>
            <w:tcBorders>
              <w:top w:val="nil"/>
              <w:left w:val="nil"/>
              <w:bottom w:val="single" w:sz="8" w:space="0" w:color="000000"/>
              <w:right w:val="nil"/>
            </w:tcBorders>
            <w:shd w:val="clear" w:color="auto" w:fill="auto"/>
            <w:hideMark/>
          </w:tcPr>
          <w:p w14:paraId="45FFC26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228</w:t>
            </w:r>
          </w:p>
        </w:tc>
        <w:tc>
          <w:tcPr>
            <w:tcW w:w="2109" w:type="dxa"/>
            <w:vMerge w:val="restart"/>
            <w:tcBorders>
              <w:top w:val="nil"/>
              <w:left w:val="nil"/>
              <w:bottom w:val="single" w:sz="8" w:space="0" w:color="000000"/>
              <w:right w:val="nil"/>
            </w:tcBorders>
            <w:shd w:val="clear" w:color="auto" w:fill="auto"/>
            <w:hideMark/>
          </w:tcPr>
          <w:p w14:paraId="7FD18E3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FD/disfigured faces</w:t>
            </w:r>
          </w:p>
        </w:tc>
        <w:tc>
          <w:tcPr>
            <w:tcW w:w="1831" w:type="dxa"/>
            <w:vMerge w:val="restart"/>
            <w:tcBorders>
              <w:top w:val="nil"/>
              <w:left w:val="nil"/>
              <w:bottom w:val="single" w:sz="8" w:space="0" w:color="000000"/>
              <w:right w:val="nil"/>
            </w:tcBorders>
            <w:shd w:val="clear" w:color="auto" w:fill="auto"/>
            <w:hideMark/>
          </w:tcPr>
          <w:p w14:paraId="2549683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Emotions of which participants were asked to report their subjective experience. </w:t>
            </w:r>
          </w:p>
        </w:tc>
        <w:tc>
          <w:tcPr>
            <w:tcW w:w="1442" w:type="dxa"/>
            <w:tcBorders>
              <w:top w:val="nil"/>
              <w:left w:val="nil"/>
              <w:bottom w:val="nil"/>
              <w:right w:val="nil"/>
            </w:tcBorders>
            <w:shd w:val="clear" w:color="auto" w:fill="auto"/>
            <w:hideMark/>
          </w:tcPr>
          <w:p w14:paraId="0C2FBB4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*Sorrow and Curiosity subscales were invoked more strongly by FD</w:t>
            </w:r>
          </w:p>
        </w:tc>
      </w:tr>
      <w:tr w:rsidR="00493986" w:rsidRPr="00493986" w14:paraId="096B0942" w14:textId="77777777" w:rsidTr="00493986">
        <w:trPr>
          <w:trHeight w:val="1250"/>
        </w:trPr>
        <w:tc>
          <w:tcPr>
            <w:tcW w:w="1443" w:type="dxa"/>
            <w:vMerge/>
            <w:tcBorders>
              <w:top w:val="nil"/>
              <w:left w:val="nil"/>
              <w:bottom w:val="single" w:sz="8" w:space="0" w:color="000000"/>
              <w:right w:val="nil"/>
            </w:tcBorders>
            <w:vAlign w:val="center"/>
            <w:hideMark/>
          </w:tcPr>
          <w:p w14:paraId="211D781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0295C7C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471CFB1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3DD8D81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42E64F6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18802D7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085CA69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nil"/>
              <w:right w:val="nil"/>
            </w:tcBorders>
            <w:shd w:val="clear" w:color="auto" w:fill="auto"/>
            <w:hideMark/>
          </w:tcPr>
          <w:p w14:paraId="656FB47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*No difference between FD and non-FD in terms of reported positive emotions </w:t>
            </w:r>
            <w:r w:rsidRPr="00493986">
              <w:rPr>
                <w:rFonts w:eastAsia="Times New Roman"/>
                <w:sz w:val="20"/>
                <w:szCs w:val="20"/>
              </w:rPr>
              <w:lastRenderedPageBreak/>
              <w:t>(Social desirability)</w:t>
            </w:r>
          </w:p>
        </w:tc>
      </w:tr>
      <w:tr w:rsidR="00493986" w:rsidRPr="00493986" w14:paraId="6AEBF517" w14:textId="77777777" w:rsidTr="00493986">
        <w:trPr>
          <w:trHeight w:val="1510"/>
        </w:trPr>
        <w:tc>
          <w:tcPr>
            <w:tcW w:w="1443" w:type="dxa"/>
            <w:vMerge/>
            <w:tcBorders>
              <w:top w:val="nil"/>
              <w:left w:val="nil"/>
              <w:bottom w:val="single" w:sz="8" w:space="0" w:color="000000"/>
              <w:right w:val="nil"/>
            </w:tcBorders>
            <w:vAlign w:val="center"/>
            <w:hideMark/>
          </w:tcPr>
          <w:p w14:paraId="6A4EDC2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6E60A05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0BF3A06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1C5CE92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336877C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49C89AA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2FE21F2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10D2329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*More perceived anonymity associated with lower reported positive emotions, higher negative emotions</w:t>
            </w:r>
            <w:r w:rsidR="00B32D9C">
              <w:rPr>
                <w:rFonts w:eastAsia="Times New Roman"/>
                <w:sz w:val="20"/>
                <w:szCs w:val="20"/>
              </w:rPr>
              <w:t>,</w:t>
            </w:r>
            <w:r w:rsidRPr="00493986">
              <w:rPr>
                <w:rFonts w:eastAsia="Times New Roman"/>
                <w:sz w:val="20"/>
                <w:szCs w:val="20"/>
              </w:rPr>
              <w:t xml:space="preserve"> and higher sorrow emotions</w:t>
            </w:r>
          </w:p>
        </w:tc>
      </w:tr>
      <w:tr w:rsidR="00493986" w:rsidRPr="00493986" w14:paraId="04546975" w14:textId="77777777" w:rsidTr="00493986">
        <w:trPr>
          <w:trHeight w:val="1000"/>
        </w:trPr>
        <w:tc>
          <w:tcPr>
            <w:tcW w:w="1443" w:type="dxa"/>
            <w:vMerge w:val="restart"/>
            <w:tcBorders>
              <w:top w:val="nil"/>
              <w:left w:val="nil"/>
              <w:bottom w:val="single" w:sz="8" w:space="0" w:color="000000"/>
              <w:right w:val="nil"/>
            </w:tcBorders>
            <w:shd w:val="clear" w:color="auto" w:fill="auto"/>
            <w:hideMark/>
          </w:tcPr>
          <w:p w14:paraId="7926679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Stone &amp; Wright, 2012</w:t>
            </w:r>
          </w:p>
        </w:tc>
        <w:tc>
          <w:tcPr>
            <w:tcW w:w="1076" w:type="dxa"/>
            <w:vMerge w:val="restart"/>
            <w:tcBorders>
              <w:top w:val="nil"/>
              <w:left w:val="nil"/>
              <w:bottom w:val="single" w:sz="8" w:space="0" w:color="000000"/>
              <w:right w:val="nil"/>
            </w:tcBorders>
            <w:shd w:val="clear" w:color="auto" w:fill="auto"/>
            <w:hideMark/>
          </w:tcPr>
          <w:p w14:paraId="51601B6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nil"/>
              <w:left w:val="nil"/>
              <w:bottom w:val="single" w:sz="8" w:space="0" w:color="000000"/>
              <w:right w:val="nil"/>
            </w:tcBorders>
            <w:shd w:val="clear" w:color="auto" w:fill="auto"/>
            <w:hideMark/>
          </w:tcPr>
          <w:p w14:paraId="6F078C9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 CER</w:t>
            </w:r>
          </w:p>
        </w:tc>
        <w:tc>
          <w:tcPr>
            <w:tcW w:w="1943" w:type="dxa"/>
            <w:vMerge w:val="restart"/>
            <w:tcBorders>
              <w:top w:val="nil"/>
              <w:left w:val="nil"/>
              <w:bottom w:val="single" w:sz="8" w:space="0" w:color="000000"/>
              <w:right w:val="nil"/>
            </w:tcBorders>
            <w:shd w:val="clear" w:color="auto" w:fill="auto"/>
            <w:hideMark/>
          </w:tcPr>
          <w:p w14:paraId="0FA95EB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Student</w:t>
            </w:r>
          </w:p>
        </w:tc>
        <w:tc>
          <w:tcPr>
            <w:tcW w:w="475" w:type="dxa"/>
            <w:vMerge w:val="restart"/>
            <w:tcBorders>
              <w:top w:val="nil"/>
              <w:left w:val="nil"/>
              <w:bottom w:val="single" w:sz="8" w:space="0" w:color="000000"/>
              <w:right w:val="nil"/>
            </w:tcBorders>
            <w:shd w:val="clear" w:color="auto" w:fill="auto"/>
            <w:hideMark/>
          </w:tcPr>
          <w:p w14:paraId="6FA34EA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127</w:t>
            </w:r>
          </w:p>
        </w:tc>
        <w:tc>
          <w:tcPr>
            <w:tcW w:w="2109" w:type="dxa"/>
            <w:vMerge w:val="restart"/>
            <w:tcBorders>
              <w:top w:val="nil"/>
              <w:left w:val="nil"/>
              <w:bottom w:val="single" w:sz="8" w:space="0" w:color="000000"/>
              <w:right w:val="nil"/>
            </w:tcBorders>
            <w:shd w:val="clear" w:color="auto" w:fill="auto"/>
            <w:hideMark/>
          </w:tcPr>
          <w:p w14:paraId="670D0AA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FD/disfigured faces</w:t>
            </w:r>
          </w:p>
        </w:tc>
        <w:tc>
          <w:tcPr>
            <w:tcW w:w="1831" w:type="dxa"/>
            <w:vMerge w:val="restart"/>
            <w:tcBorders>
              <w:top w:val="nil"/>
              <w:left w:val="nil"/>
              <w:bottom w:val="single" w:sz="8" w:space="0" w:color="000000"/>
              <w:right w:val="nil"/>
            </w:tcBorders>
            <w:shd w:val="clear" w:color="auto" w:fill="auto"/>
            <w:hideMark/>
          </w:tcPr>
          <w:p w14:paraId="7A5F56B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Evaluating ratings on work competence, social potency, emotional strength, warmth. IAT</w:t>
            </w:r>
          </w:p>
        </w:tc>
        <w:tc>
          <w:tcPr>
            <w:tcW w:w="1442" w:type="dxa"/>
            <w:tcBorders>
              <w:top w:val="nil"/>
              <w:left w:val="nil"/>
              <w:bottom w:val="nil"/>
              <w:right w:val="nil"/>
            </w:tcBorders>
            <w:shd w:val="clear" w:color="auto" w:fill="auto"/>
            <w:hideMark/>
          </w:tcPr>
          <w:p w14:paraId="368E18A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Neutral or negative evaluation of FD compared to controls and wheelchair users</w:t>
            </w:r>
          </w:p>
        </w:tc>
      </w:tr>
      <w:tr w:rsidR="00493986" w:rsidRPr="00493986" w14:paraId="767701FF" w14:textId="77777777" w:rsidTr="00493986">
        <w:trPr>
          <w:trHeight w:val="1010"/>
        </w:trPr>
        <w:tc>
          <w:tcPr>
            <w:tcW w:w="1443" w:type="dxa"/>
            <w:vMerge/>
            <w:tcBorders>
              <w:top w:val="nil"/>
              <w:left w:val="nil"/>
              <w:bottom w:val="single" w:sz="8" w:space="0" w:color="000000"/>
              <w:right w:val="nil"/>
            </w:tcBorders>
            <w:vAlign w:val="center"/>
            <w:hideMark/>
          </w:tcPr>
          <w:p w14:paraId="355E561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7F1A819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36EB06C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7170CB1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0F2C7C1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38A22C1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40825A1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63C778E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*More negative implicit attitude was shown for FD than for wheelchair users.</w:t>
            </w:r>
          </w:p>
        </w:tc>
      </w:tr>
      <w:tr w:rsidR="00493986" w:rsidRPr="00493986" w14:paraId="75D63053" w14:textId="77777777" w:rsidTr="00493986">
        <w:trPr>
          <w:trHeight w:val="2010"/>
        </w:trPr>
        <w:tc>
          <w:tcPr>
            <w:tcW w:w="1443" w:type="dxa"/>
            <w:tcBorders>
              <w:top w:val="nil"/>
              <w:left w:val="nil"/>
              <w:bottom w:val="single" w:sz="8" w:space="0" w:color="auto"/>
              <w:right w:val="nil"/>
            </w:tcBorders>
            <w:shd w:val="clear" w:color="auto" w:fill="auto"/>
            <w:hideMark/>
          </w:tcPr>
          <w:p w14:paraId="4E94950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Stone &amp; Wright, 2013</w:t>
            </w:r>
          </w:p>
        </w:tc>
        <w:tc>
          <w:tcPr>
            <w:tcW w:w="1076" w:type="dxa"/>
            <w:tcBorders>
              <w:top w:val="nil"/>
              <w:left w:val="nil"/>
              <w:bottom w:val="single" w:sz="8" w:space="0" w:color="auto"/>
              <w:right w:val="nil"/>
            </w:tcBorders>
            <w:shd w:val="clear" w:color="auto" w:fill="auto"/>
            <w:hideMark/>
          </w:tcPr>
          <w:p w14:paraId="35266EC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tcBorders>
              <w:top w:val="nil"/>
              <w:left w:val="nil"/>
              <w:bottom w:val="single" w:sz="8" w:space="0" w:color="auto"/>
              <w:right w:val="nil"/>
            </w:tcBorders>
            <w:shd w:val="clear" w:color="auto" w:fill="auto"/>
            <w:hideMark/>
          </w:tcPr>
          <w:p w14:paraId="1E74D9C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w:t>
            </w:r>
          </w:p>
        </w:tc>
        <w:tc>
          <w:tcPr>
            <w:tcW w:w="1943" w:type="dxa"/>
            <w:tcBorders>
              <w:top w:val="nil"/>
              <w:left w:val="nil"/>
              <w:bottom w:val="single" w:sz="8" w:space="0" w:color="auto"/>
              <w:right w:val="nil"/>
            </w:tcBorders>
            <w:shd w:val="clear" w:color="auto" w:fill="auto"/>
            <w:hideMark/>
          </w:tcPr>
          <w:p w14:paraId="03D483F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Companies hiring staff</w:t>
            </w:r>
          </w:p>
        </w:tc>
        <w:tc>
          <w:tcPr>
            <w:tcW w:w="475" w:type="dxa"/>
            <w:tcBorders>
              <w:top w:val="nil"/>
              <w:left w:val="nil"/>
              <w:bottom w:val="single" w:sz="8" w:space="0" w:color="auto"/>
              <w:right w:val="nil"/>
            </w:tcBorders>
            <w:shd w:val="clear" w:color="auto" w:fill="auto"/>
            <w:hideMark/>
          </w:tcPr>
          <w:p w14:paraId="0AD6485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144</w:t>
            </w:r>
          </w:p>
        </w:tc>
        <w:tc>
          <w:tcPr>
            <w:tcW w:w="2109" w:type="dxa"/>
            <w:tcBorders>
              <w:top w:val="nil"/>
              <w:left w:val="nil"/>
              <w:bottom w:val="single" w:sz="8" w:space="0" w:color="auto"/>
              <w:right w:val="nil"/>
            </w:tcBorders>
            <w:shd w:val="clear" w:color="auto" w:fill="auto"/>
            <w:hideMark/>
          </w:tcPr>
          <w:p w14:paraId="59A1BCE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w:t>
            </w:r>
          </w:p>
        </w:tc>
        <w:tc>
          <w:tcPr>
            <w:tcW w:w="1831" w:type="dxa"/>
            <w:tcBorders>
              <w:top w:val="nil"/>
              <w:left w:val="nil"/>
              <w:bottom w:val="single" w:sz="8" w:space="0" w:color="auto"/>
              <w:right w:val="nil"/>
            </w:tcBorders>
            <w:shd w:val="clear" w:color="auto" w:fill="auto"/>
            <w:hideMark/>
          </w:tcPr>
          <w:p w14:paraId="2CD96D9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Response received from the employer or recruitment agency</w:t>
            </w:r>
          </w:p>
        </w:tc>
        <w:tc>
          <w:tcPr>
            <w:tcW w:w="1442" w:type="dxa"/>
            <w:tcBorders>
              <w:top w:val="nil"/>
              <w:left w:val="nil"/>
              <w:bottom w:val="single" w:sz="8" w:space="0" w:color="auto"/>
              <w:right w:val="nil"/>
            </w:tcBorders>
            <w:shd w:val="clear" w:color="auto" w:fill="auto"/>
            <w:hideMark/>
          </w:tcPr>
          <w:p w14:paraId="2C4F35F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 treated less favourably than controls when the post included high levels of customer contact. No difference found when the job entitled low contact with customers</w:t>
            </w:r>
          </w:p>
        </w:tc>
      </w:tr>
      <w:tr w:rsidR="00493986" w:rsidRPr="00493986" w14:paraId="0BA819D0" w14:textId="77777777" w:rsidTr="00493986">
        <w:trPr>
          <w:trHeight w:val="1750"/>
        </w:trPr>
        <w:tc>
          <w:tcPr>
            <w:tcW w:w="1443" w:type="dxa"/>
            <w:vMerge w:val="restart"/>
            <w:tcBorders>
              <w:top w:val="nil"/>
              <w:left w:val="nil"/>
              <w:bottom w:val="single" w:sz="8" w:space="0" w:color="000000"/>
              <w:right w:val="nil"/>
            </w:tcBorders>
            <w:shd w:val="clear" w:color="auto" w:fill="auto"/>
            <w:hideMark/>
          </w:tcPr>
          <w:p w14:paraId="3508DA1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Tartaglia et al., 2005</w:t>
            </w:r>
          </w:p>
        </w:tc>
        <w:tc>
          <w:tcPr>
            <w:tcW w:w="1076" w:type="dxa"/>
            <w:vMerge w:val="restart"/>
            <w:tcBorders>
              <w:top w:val="nil"/>
              <w:left w:val="nil"/>
              <w:bottom w:val="single" w:sz="8" w:space="0" w:color="000000"/>
              <w:right w:val="nil"/>
            </w:tcBorders>
            <w:shd w:val="clear" w:color="auto" w:fill="auto"/>
            <w:hideMark/>
          </w:tcPr>
          <w:p w14:paraId="2FA25FA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vMerge w:val="restart"/>
            <w:tcBorders>
              <w:top w:val="nil"/>
              <w:left w:val="nil"/>
              <w:bottom w:val="single" w:sz="8" w:space="0" w:color="000000"/>
              <w:right w:val="nil"/>
            </w:tcBorders>
            <w:shd w:val="clear" w:color="auto" w:fill="auto"/>
            <w:hideMark/>
          </w:tcPr>
          <w:p w14:paraId="033D046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S</w:t>
            </w:r>
          </w:p>
        </w:tc>
        <w:tc>
          <w:tcPr>
            <w:tcW w:w="1943" w:type="dxa"/>
            <w:vMerge w:val="restart"/>
            <w:tcBorders>
              <w:top w:val="nil"/>
              <w:left w:val="nil"/>
              <w:bottom w:val="single" w:sz="8" w:space="0" w:color="000000"/>
              <w:right w:val="nil"/>
            </w:tcBorders>
            <w:shd w:val="clear" w:color="auto" w:fill="auto"/>
            <w:hideMark/>
          </w:tcPr>
          <w:p w14:paraId="56DDCE3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Existing data:  EEOC charge data (Alegations on FD discrimination)</w:t>
            </w:r>
          </w:p>
        </w:tc>
        <w:tc>
          <w:tcPr>
            <w:tcW w:w="475" w:type="dxa"/>
            <w:vMerge w:val="restart"/>
            <w:tcBorders>
              <w:top w:val="nil"/>
              <w:left w:val="nil"/>
              <w:bottom w:val="single" w:sz="8" w:space="0" w:color="000000"/>
              <w:right w:val="nil"/>
            </w:tcBorders>
            <w:shd w:val="clear" w:color="auto" w:fill="auto"/>
            <w:hideMark/>
          </w:tcPr>
          <w:p w14:paraId="163DBB3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751</w:t>
            </w:r>
          </w:p>
        </w:tc>
        <w:tc>
          <w:tcPr>
            <w:tcW w:w="2109" w:type="dxa"/>
            <w:vMerge w:val="restart"/>
            <w:tcBorders>
              <w:top w:val="nil"/>
              <w:left w:val="nil"/>
              <w:bottom w:val="single" w:sz="8" w:space="0" w:color="000000"/>
              <w:right w:val="nil"/>
            </w:tcBorders>
            <w:shd w:val="clear" w:color="auto" w:fill="auto"/>
            <w:hideMark/>
          </w:tcPr>
          <w:p w14:paraId="5943777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w:t>
            </w:r>
          </w:p>
        </w:tc>
        <w:tc>
          <w:tcPr>
            <w:tcW w:w="1831" w:type="dxa"/>
            <w:vMerge w:val="restart"/>
            <w:tcBorders>
              <w:top w:val="nil"/>
              <w:left w:val="nil"/>
              <w:bottom w:val="single" w:sz="8" w:space="0" w:color="000000"/>
              <w:right w:val="nil"/>
            </w:tcBorders>
            <w:shd w:val="clear" w:color="auto" w:fill="auto"/>
            <w:hideMark/>
          </w:tcPr>
          <w:p w14:paraId="0C4B8F5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Work-related Discrimination cases and outcomes of resolutions</w:t>
            </w:r>
          </w:p>
        </w:tc>
        <w:tc>
          <w:tcPr>
            <w:tcW w:w="1442" w:type="dxa"/>
            <w:tcBorders>
              <w:top w:val="nil"/>
              <w:left w:val="nil"/>
              <w:bottom w:val="nil"/>
              <w:right w:val="nil"/>
            </w:tcBorders>
            <w:shd w:val="clear" w:color="auto" w:fill="auto"/>
            <w:hideMark/>
          </w:tcPr>
          <w:p w14:paraId="49C7A8E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Compared with peers with missing limbs, FD of female gender between 30-39 years old are more likely to encounter discrimination in the workplace.</w:t>
            </w:r>
          </w:p>
        </w:tc>
      </w:tr>
      <w:tr w:rsidR="00493986" w:rsidRPr="00493986" w14:paraId="50DB17D8" w14:textId="77777777" w:rsidTr="00493986">
        <w:trPr>
          <w:trHeight w:val="1500"/>
        </w:trPr>
        <w:tc>
          <w:tcPr>
            <w:tcW w:w="1443" w:type="dxa"/>
            <w:vMerge/>
            <w:tcBorders>
              <w:top w:val="nil"/>
              <w:left w:val="nil"/>
              <w:bottom w:val="single" w:sz="8" w:space="0" w:color="000000"/>
              <w:right w:val="nil"/>
            </w:tcBorders>
            <w:vAlign w:val="center"/>
            <w:hideMark/>
          </w:tcPr>
          <w:p w14:paraId="4AF2FD4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66EA856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4E0C6B4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4D7C58B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36650B4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5D6D5FC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47FF503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nil"/>
              <w:right w:val="nil"/>
            </w:tcBorders>
            <w:shd w:val="clear" w:color="auto" w:fill="auto"/>
            <w:hideMark/>
          </w:tcPr>
          <w:p w14:paraId="28B55DC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Allegations from individuals with FD are more likely to happen with mid-size employers from retail or service industries</w:t>
            </w:r>
          </w:p>
        </w:tc>
      </w:tr>
      <w:tr w:rsidR="00493986" w:rsidRPr="00493986" w14:paraId="49B8F4EA" w14:textId="77777777" w:rsidTr="00493986">
        <w:trPr>
          <w:trHeight w:val="1510"/>
        </w:trPr>
        <w:tc>
          <w:tcPr>
            <w:tcW w:w="1443" w:type="dxa"/>
            <w:vMerge/>
            <w:tcBorders>
              <w:top w:val="nil"/>
              <w:left w:val="nil"/>
              <w:bottom w:val="single" w:sz="8" w:space="0" w:color="000000"/>
              <w:right w:val="nil"/>
            </w:tcBorders>
            <w:vAlign w:val="center"/>
            <w:hideMark/>
          </w:tcPr>
          <w:p w14:paraId="002EAC0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198AA4B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76DD08D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18A8456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0A7C2A4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586E00A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0F1B652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290541C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Allegations from individuals with FD are less likely to have merit resolutions than those brought by their peers with missing limbs</w:t>
            </w:r>
          </w:p>
        </w:tc>
      </w:tr>
      <w:tr w:rsidR="00493986" w:rsidRPr="00493986" w14:paraId="568C4B49" w14:textId="77777777" w:rsidTr="00493986">
        <w:trPr>
          <w:trHeight w:val="1340"/>
        </w:trPr>
        <w:tc>
          <w:tcPr>
            <w:tcW w:w="1443" w:type="dxa"/>
            <w:vMerge w:val="restart"/>
            <w:tcBorders>
              <w:top w:val="nil"/>
              <w:left w:val="single" w:sz="8" w:space="0" w:color="auto"/>
              <w:bottom w:val="single" w:sz="8" w:space="0" w:color="000000"/>
              <w:right w:val="nil"/>
            </w:tcBorders>
            <w:shd w:val="clear" w:color="auto" w:fill="auto"/>
            <w:hideMark/>
          </w:tcPr>
          <w:p w14:paraId="5798806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Timms, 2013</w:t>
            </w:r>
          </w:p>
        </w:tc>
        <w:tc>
          <w:tcPr>
            <w:tcW w:w="1076" w:type="dxa"/>
            <w:vMerge w:val="restart"/>
            <w:tcBorders>
              <w:top w:val="nil"/>
              <w:left w:val="nil"/>
              <w:bottom w:val="single" w:sz="8" w:space="0" w:color="000000"/>
              <w:right w:val="nil"/>
            </w:tcBorders>
            <w:shd w:val="clear" w:color="auto" w:fill="auto"/>
            <w:hideMark/>
          </w:tcPr>
          <w:p w14:paraId="1082257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UK</w:t>
            </w:r>
          </w:p>
        </w:tc>
        <w:tc>
          <w:tcPr>
            <w:tcW w:w="619" w:type="dxa"/>
            <w:vMerge w:val="restart"/>
            <w:tcBorders>
              <w:top w:val="nil"/>
              <w:left w:val="nil"/>
              <w:bottom w:val="single" w:sz="8" w:space="0" w:color="000000"/>
              <w:right w:val="nil"/>
            </w:tcBorders>
            <w:shd w:val="clear" w:color="auto" w:fill="auto"/>
            <w:hideMark/>
          </w:tcPr>
          <w:p w14:paraId="6BE4155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A</w:t>
            </w:r>
          </w:p>
        </w:tc>
        <w:tc>
          <w:tcPr>
            <w:tcW w:w="1943" w:type="dxa"/>
            <w:vMerge w:val="restart"/>
            <w:tcBorders>
              <w:top w:val="nil"/>
              <w:left w:val="nil"/>
              <w:bottom w:val="single" w:sz="8" w:space="0" w:color="000000"/>
              <w:right w:val="nil"/>
            </w:tcBorders>
            <w:shd w:val="clear" w:color="auto" w:fill="auto"/>
            <w:hideMark/>
          </w:tcPr>
          <w:p w14:paraId="281416B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vMerge w:val="restart"/>
            <w:tcBorders>
              <w:top w:val="nil"/>
              <w:left w:val="nil"/>
              <w:bottom w:val="single" w:sz="8" w:space="0" w:color="000000"/>
              <w:right w:val="nil"/>
            </w:tcBorders>
            <w:shd w:val="clear" w:color="auto" w:fill="auto"/>
            <w:hideMark/>
          </w:tcPr>
          <w:p w14:paraId="25B7DEB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143</w:t>
            </w:r>
          </w:p>
        </w:tc>
        <w:tc>
          <w:tcPr>
            <w:tcW w:w="2109" w:type="dxa"/>
            <w:vMerge w:val="restart"/>
            <w:tcBorders>
              <w:top w:val="nil"/>
              <w:left w:val="nil"/>
              <w:bottom w:val="single" w:sz="8" w:space="0" w:color="000000"/>
              <w:right w:val="nil"/>
            </w:tcBorders>
            <w:shd w:val="clear" w:color="auto" w:fill="auto"/>
            <w:hideMark/>
          </w:tcPr>
          <w:p w14:paraId="19E7FED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lesions, moderate acne</w:t>
            </w:r>
          </w:p>
        </w:tc>
        <w:tc>
          <w:tcPr>
            <w:tcW w:w="1831" w:type="dxa"/>
            <w:vMerge w:val="restart"/>
            <w:tcBorders>
              <w:top w:val="nil"/>
              <w:left w:val="nil"/>
              <w:bottom w:val="single" w:sz="8" w:space="0" w:color="000000"/>
              <w:right w:val="nil"/>
            </w:tcBorders>
            <w:shd w:val="clear" w:color="auto" w:fill="auto"/>
            <w:hideMark/>
          </w:tcPr>
          <w:p w14:paraId="7427D78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Estimate of age and personality factor ratings</w:t>
            </w:r>
          </w:p>
        </w:tc>
        <w:tc>
          <w:tcPr>
            <w:tcW w:w="1442" w:type="dxa"/>
            <w:tcBorders>
              <w:top w:val="nil"/>
              <w:left w:val="nil"/>
              <w:bottom w:val="nil"/>
              <w:right w:val="nil"/>
            </w:tcBorders>
            <w:shd w:val="clear" w:color="auto" w:fill="auto"/>
            <w:hideMark/>
          </w:tcPr>
          <w:p w14:paraId="3783CE4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*People of all ages judge those with moderate acne more negatively compared to those with clear skin. </w:t>
            </w:r>
          </w:p>
        </w:tc>
      </w:tr>
      <w:tr w:rsidR="00493986" w:rsidRPr="00493986" w14:paraId="076067FF" w14:textId="77777777" w:rsidTr="00493986">
        <w:trPr>
          <w:trHeight w:val="860"/>
        </w:trPr>
        <w:tc>
          <w:tcPr>
            <w:tcW w:w="1443" w:type="dxa"/>
            <w:vMerge/>
            <w:tcBorders>
              <w:top w:val="nil"/>
              <w:left w:val="single" w:sz="8" w:space="0" w:color="auto"/>
              <w:bottom w:val="single" w:sz="8" w:space="0" w:color="000000"/>
              <w:right w:val="nil"/>
            </w:tcBorders>
            <w:vAlign w:val="center"/>
            <w:hideMark/>
          </w:tcPr>
          <w:p w14:paraId="5F3107C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770482C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031B226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4303B62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006F4C1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48C5C92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66C2674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4B012E7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*People with acne are estimated to be younger and less mature</w:t>
            </w:r>
          </w:p>
        </w:tc>
      </w:tr>
      <w:tr w:rsidR="00493986" w:rsidRPr="00493986" w14:paraId="2F3633BF" w14:textId="77777777" w:rsidTr="00493986">
        <w:trPr>
          <w:trHeight w:val="500"/>
        </w:trPr>
        <w:tc>
          <w:tcPr>
            <w:tcW w:w="1443" w:type="dxa"/>
            <w:vMerge w:val="restart"/>
            <w:tcBorders>
              <w:top w:val="nil"/>
              <w:left w:val="nil"/>
              <w:bottom w:val="single" w:sz="8" w:space="0" w:color="000000"/>
              <w:right w:val="nil"/>
            </w:tcBorders>
            <w:shd w:val="clear" w:color="auto" w:fill="auto"/>
            <w:hideMark/>
          </w:tcPr>
          <w:p w14:paraId="1882502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Van Schijndel et al., 2015</w:t>
            </w:r>
          </w:p>
        </w:tc>
        <w:tc>
          <w:tcPr>
            <w:tcW w:w="1076" w:type="dxa"/>
            <w:vMerge w:val="restart"/>
            <w:tcBorders>
              <w:top w:val="nil"/>
              <w:left w:val="nil"/>
              <w:bottom w:val="single" w:sz="8" w:space="0" w:color="000000"/>
              <w:right w:val="nil"/>
            </w:tcBorders>
            <w:shd w:val="clear" w:color="auto" w:fill="auto"/>
            <w:hideMark/>
          </w:tcPr>
          <w:p w14:paraId="5A4A53B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NE &amp; CH</w:t>
            </w:r>
          </w:p>
        </w:tc>
        <w:tc>
          <w:tcPr>
            <w:tcW w:w="619" w:type="dxa"/>
            <w:vMerge w:val="restart"/>
            <w:tcBorders>
              <w:top w:val="nil"/>
              <w:left w:val="nil"/>
              <w:bottom w:val="single" w:sz="8" w:space="0" w:color="000000"/>
              <w:right w:val="nil"/>
            </w:tcBorders>
            <w:shd w:val="clear" w:color="auto" w:fill="auto"/>
            <w:hideMark/>
          </w:tcPr>
          <w:p w14:paraId="707B7CD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 A</w:t>
            </w:r>
          </w:p>
        </w:tc>
        <w:tc>
          <w:tcPr>
            <w:tcW w:w="1943" w:type="dxa"/>
            <w:vMerge w:val="restart"/>
            <w:tcBorders>
              <w:top w:val="nil"/>
              <w:left w:val="nil"/>
              <w:bottom w:val="single" w:sz="8" w:space="0" w:color="000000"/>
              <w:right w:val="nil"/>
            </w:tcBorders>
            <w:shd w:val="clear" w:color="auto" w:fill="auto"/>
            <w:hideMark/>
          </w:tcPr>
          <w:p w14:paraId="4C71DFC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vMerge w:val="restart"/>
            <w:tcBorders>
              <w:top w:val="nil"/>
              <w:left w:val="nil"/>
              <w:bottom w:val="single" w:sz="8" w:space="0" w:color="000000"/>
              <w:right w:val="nil"/>
            </w:tcBorders>
            <w:shd w:val="clear" w:color="auto" w:fill="auto"/>
            <w:hideMark/>
          </w:tcPr>
          <w:p w14:paraId="47A2F02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40</w:t>
            </w:r>
          </w:p>
        </w:tc>
        <w:tc>
          <w:tcPr>
            <w:tcW w:w="2109" w:type="dxa"/>
            <w:vMerge w:val="restart"/>
            <w:tcBorders>
              <w:top w:val="nil"/>
              <w:left w:val="nil"/>
              <w:bottom w:val="single" w:sz="8" w:space="0" w:color="000000"/>
              <w:right w:val="nil"/>
            </w:tcBorders>
            <w:shd w:val="clear" w:color="auto" w:fill="auto"/>
            <w:hideMark/>
          </w:tcPr>
          <w:p w14:paraId="50E48CC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Facial deformity</w:t>
            </w:r>
          </w:p>
        </w:tc>
        <w:tc>
          <w:tcPr>
            <w:tcW w:w="1831" w:type="dxa"/>
            <w:vMerge w:val="restart"/>
            <w:tcBorders>
              <w:top w:val="nil"/>
              <w:left w:val="nil"/>
              <w:bottom w:val="single" w:sz="8" w:space="0" w:color="000000"/>
              <w:right w:val="nil"/>
            </w:tcBorders>
            <w:shd w:val="clear" w:color="auto" w:fill="auto"/>
            <w:hideMark/>
          </w:tcPr>
          <w:p w14:paraId="6AF931AA"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Visual attention (eye tracking) and personality ratings (VAS scales) </w:t>
            </w:r>
          </w:p>
        </w:tc>
        <w:tc>
          <w:tcPr>
            <w:tcW w:w="1442" w:type="dxa"/>
            <w:tcBorders>
              <w:top w:val="nil"/>
              <w:left w:val="nil"/>
              <w:bottom w:val="nil"/>
              <w:right w:val="nil"/>
            </w:tcBorders>
            <w:shd w:val="clear" w:color="auto" w:fill="auto"/>
            <w:hideMark/>
          </w:tcPr>
          <w:p w14:paraId="74F32743"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*Cleft lip is the major attention-drawing factor</w:t>
            </w:r>
          </w:p>
        </w:tc>
      </w:tr>
      <w:tr w:rsidR="00493986" w:rsidRPr="00493986" w14:paraId="0F5BBBF0" w14:textId="77777777" w:rsidTr="00493986">
        <w:trPr>
          <w:trHeight w:val="1260"/>
        </w:trPr>
        <w:tc>
          <w:tcPr>
            <w:tcW w:w="1443" w:type="dxa"/>
            <w:vMerge/>
            <w:tcBorders>
              <w:top w:val="nil"/>
              <w:left w:val="nil"/>
              <w:bottom w:val="single" w:sz="8" w:space="0" w:color="000000"/>
              <w:right w:val="nil"/>
            </w:tcBorders>
            <w:vAlign w:val="center"/>
            <w:hideMark/>
          </w:tcPr>
          <w:p w14:paraId="4D6BEA5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400A2881"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60C0C45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5E39118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4E622C4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274A720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6E0500C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50FCDA9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*Personality attributes of cleft lip patients were not assessed more negatively compared with non-FD controls</w:t>
            </w:r>
          </w:p>
        </w:tc>
      </w:tr>
      <w:tr w:rsidR="00493986" w:rsidRPr="00493986" w14:paraId="2DC460FC" w14:textId="77777777" w:rsidTr="00493986">
        <w:trPr>
          <w:trHeight w:val="1110"/>
        </w:trPr>
        <w:tc>
          <w:tcPr>
            <w:tcW w:w="1443" w:type="dxa"/>
            <w:vMerge w:val="restart"/>
            <w:tcBorders>
              <w:top w:val="nil"/>
              <w:left w:val="nil"/>
              <w:bottom w:val="single" w:sz="8" w:space="0" w:color="000000"/>
              <w:right w:val="nil"/>
            </w:tcBorders>
            <w:shd w:val="clear" w:color="auto" w:fill="auto"/>
            <w:hideMark/>
          </w:tcPr>
          <w:p w14:paraId="4D45A62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lastRenderedPageBreak/>
              <w:t>Van Schijndel et al., 2015</w:t>
            </w:r>
          </w:p>
        </w:tc>
        <w:tc>
          <w:tcPr>
            <w:tcW w:w="1076" w:type="dxa"/>
            <w:vMerge w:val="restart"/>
            <w:tcBorders>
              <w:top w:val="nil"/>
              <w:left w:val="nil"/>
              <w:bottom w:val="single" w:sz="8" w:space="0" w:color="000000"/>
              <w:right w:val="nil"/>
            </w:tcBorders>
            <w:shd w:val="clear" w:color="auto" w:fill="auto"/>
            <w:hideMark/>
          </w:tcPr>
          <w:p w14:paraId="0404EAD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CH</w:t>
            </w:r>
          </w:p>
        </w:tc>
        <w:tc>
          <w:tcPr>
            <w:tcW w:w="619" w:type="dxa"/>
            <w:vMerge w:val="restart"/>
            <w:tcBorders>
              <w:top w:val="nil"/>
              <w:left w:val="nil"/>
              <w:bottom w:val="single" w:sz="8" w:space="0" w:color="000000"/>
              <w:right w:val="nil"/>
            </w:tcBorders>
            <w:shd w:val="clear" w:color="auto" w:fill="auto"/>
            <w:hideMark/>
          </w:tcPr>
          <w:p w14:paraId="4BB1C91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 A</w:t>
            </w:r>
          </w:p>
        </w:tc>
        <w:tc>
          <w:tcPr>
            <w:tcW w:w="1943" w:type="dxa"/>
            <w:vMerge w:val="restart"/>
            <w:tcBorders>
              <w:top w:val="nil"/>
              <w:left w:val="nil"/>
              <w:bottom w:val="single" w:sz="8" w:space="0" w:color="000000"/>
              <w:right w:val="nil"/>
            </w:tcBorders>
            <w:shd w:val="clear" w:color="auto" w:fill="auto"/>
            <w:hideMark/>
          </w:tcPr>
          <w:p w14:paraId="7E7C5DC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vMerge w:val="restart"/>
            <w:tcBorders>
              <w:top w:val="nil"/>
              <w:left w:val="nil"/>
              <w:bottom w:val="single" w:sz="8" w:space="0" w:color="000000"/>
              <w:right w:val="nil"/>
            </w:tcBorders>
            <w:shd w:val="clear" w:color="auto" w:fill="auto"/>
            <w:hideMark/>
          </w:tcPr>
          <w:p w14:paraId="0426A71D"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40</w:t>
            </w:r>
          </w:p>
        </w:tc>
        <w:tc>
          <w:tcPr>
            <w:tcW w:w="2109" w:type="dxa"/>
            <w:vMerge w:val="restart"/>
            <w:tcBorders>
              <w:top w:val="nil"/>
              <w:left w:val="nil"/>
              <w:bottom w:val="single" w:sz="8" w:space="0" w:color="000000"/>
              <w:right w:val="nil"/>
            </w:tcBorders>
            <w:shd w:val="clear" w:color="auto" w:fill="auto"/>
            <w:hideMark/>
          </w:tcPr>
          <w:p w14:paraId="59E5B4E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Nasal deformity</w:t>
            </w:r>
          </w:p>
        </w:tc>
        <w:tc>
          <w:tcPr>
            <w:tcW w:w="1831" w:type="dxa"/>
            <w:vMerge w:val="restart"/>
            <w:tcBorders>
              <w:top w:val="nil"/>
              <w:left w:val="nil"/>
              <w:bottom w:val="single" w:sz="8" w:space="0" w:color="000000"/>
              <w:right w:val="nil"/>
            </w:tcBorders>
            <w:shd w:val="clear" w:color="auto" w:fill="auto"/>
            <w:hideMark/>
          </w:tcPr>
          <w:p w14:paraId="5C5A4362"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Cross-sectional; Visual attention (eye tracking) and personality ratings (VAS scales) </w:t>
            </w:r>
          </w:p>
        </w:tc>
        <w:tc>
          <w:tcPr>
            <w:tcW w:w="1442" w:type="dxa"/>
            <w:tcBorders>
              <w:top w:val="nil"/>
              <w:left w:val="nil"/>
              <w:bottom w:val="nil"/>
              <w:right w:val="nil"/>
            </w:tcBorders>
            <w:shd w:val="clear" w:color="auto" w:fill="auto"/>
            <w:hideMark/>
          </w:tcPr>
          <w:p w14:paraId="0DD7E04B"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Disfigurement to the nose receive</w:t>
            </w:r>
            <w:r w:rsidR="00B32D9C">
              <w:rPr>
                <w:rFonts w:eastAsia="Times New Roman"/>
                <w:sz w:val="20"/>
                <w:szCs w:val="20"/>
              </w:rPr>
              <w:t>s</w:t>
            </w:r>
            <w:r w:rsidRPr="00493986">
              <w:rPr>
                <w:rFonts w:eastAsia="Times New Roman"/>
                <w:sz w:val="20"/>
                <w:szCs w:val="20"/>
              </w:rPr>
              <w:t xml:space="preserve"> more visual attention than digitally corrected noses.</w:t>
            </w:r>
          </w:p>
        </w:tc>
      </w:tr>
      <w:tr w:rsidR="00493986" w:rsidRPr="00493986" w14:paraId="2FEAEA2C" w14:textId="77777777" w:rsidTr="00493986">
        <w:trPr>
          <w:trHeight w:val="1010"/>
        </w:trPr>
        <w:tc>
          <w:tcPr>
            <w:tcW w:w="1443" w:type="dxa"/>
            <w:vMerge/>
            <w:tcBorders>
              <w:top w:val="nil"/>
              <w:left w:val="nil"/>
              <w:bottom w:val="single" w:sz="8" w:space="0" w:color="000000"/>
              <w:right w:val="nil"/>
            </w:tcBorders>
            <w:vAlign w:val="center"/>
            <w:hideMark/>
          </w:tcPr>
          <w:p w14:paraId="61C95ED0"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076" w:type="dxa"/>
            <w:vMerge/>
            <w:tcBorders>
              <w:top w:val="nil"/>
              <w:left w:val="nil"/>
              <w:bottom w:val="single" w:sz="8" w:space="0" w:color="000000"/>
              <w:right w:val="nil"/>
            </w:tcBorders>
            <w:vAlign w:val="center"/>
            <w:hideMark/>
          </w:tcPr>
          <w:p w14:paraId="05474568"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619" w:type="dxa"/>
            <w:vMerge/>
            <w:tcBorders>
              <w:top w:val="nil"/>
              <w:left w:val="nil"/>
              <w:bottom w:val="single" w:sz="8" w:space="0" w:color="000000"/>
              <w:right w:val="nil"/>
            </w:tcBorders>
            <w:vAlign w:val="center"/>
            <w:hideMark/>
          </w:tcPr>
          <w:p w14:paraId="1A3E5337"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943" w:type="dxa"/>
            <w:vMerge/>
            <w:tcBorders>
              <w:top w:val="nil"/>
              <w:left w:val="nil"/>
              <w:bottom w:val="single" w:sz="8" w:space="0" w:color="000000"/>
              <w:right w:val="nil"/>
            </w:tcBorders>
            <w:vAlign w:val="center"/>
            <w:hideMark/>
          </w:tcPr>
          <w:p w14:paraId="640B33C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475" w:type="dxa"/>
            <w:vMerge/>
            <w:tcBorders>
              <w:top w:val="nil"/>
              <w:left w:val="nil"/>
              <w:bottom w:val="single" w:sz="8" w:space="0" w:color="000000"/>
              <w:right w:val="nil"/>
            </w:tcBorders>
            <w:vAlign w:val="center"/>
            <w:hideMark/>
          </w:tcPr>
          <w:p w14:paraId="1CCF42F9"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2109" w:type="dxa"/>
            <w:vMerge/>
            <w:tcBorders>
              <w:top w:val="nil"/>
              <w:left w:val="nil"/>
              <w:bottom w:val="single" w:sz="8" w:space="0" w:color="000000"/>
              <w:right w:val="nil"/>
            </w:tcBorders>
            <w:vAlign w:val="center"/>
            <w:hideMark/>
          </w:tcPr>
          <w:p w14:paraId="56491BD4"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831" w:type="dxa"/>
            <w:vMerge/>
            <w:tcBorders>
              <w:top w:val="nil"/>
              <w:left w:val="nil"/>
              <w:bottom w:val="single" w:sz="8" w:space="0" w:color="000000"/>
              <w:right w:val="nil"/>
            </w:tcBorders>
            <w:vAlign w:val="center"/>
            <w:hideMark/>
          </w:tcPr>
          <w:p w14:paraId="4DBD77E5"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sz w:val="20"/>
                <w:szCs w:val="20"/>
              </w:rPr>
            </w:pPr>
          </w:p>
        </w:tc>
        <w:tc>
          <w:tcPr>
            <w:tcW w:w="1442" w:type="dxa"/>
            <w:tcBorders>
              <w:top w:val="nil"/>
              <w:left w:val="nil"/>
              <w:bottom w:val="single" w:sz="8" w:space="0" w:color="auto"/>
              <w:right w:val="nil"/>
            </w:tcBorders>
            <w:shd w:val="clear" w:color="auto" w:fill="auto"/>
            <w:hideMark/>
          </w:tcPr>
          <w:p w14:paraId="78AD6AE6"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Disfigurement to the nose is associated with </w:t>
            </w:r>
            <w:r w:rsidR="00B32D9C">
              <w:rPr>
                <w:rFonts w:eastAsia="Times New Roman"/>
                <w:sz w:val="20"/>
                <w:szCs w:val="20"/>
              </w:rPr>
              <w:t xml:space="preserve">a </w:t>
            </w:r>
            <w:r w:rsidRPr="00493986">
              <w:rPr>
                <w:rFonts w:eastAsia="Times New Roman"/>
                <w:sz w:val="20"/>
                <w:szCs w:val="20"/>
              </w:rPr>
              <w:t>more negative rating of personality traits.</w:t>
            </w:r>
          </w:p>
        </w:tc>
      </w:tr>
      <w:tr w:rsidR="00493986" w:rsidRPr="00493986" w14:paraId="16E04A70" w14:textId="77777777" w:rsidTr="00493986">
        <w:trPr>
          <w:trHeight w:val="3000"/>
        </w:trPr>
        <w:tc>
          <w:tcPr>
            <w:tcW w:w="1443" w:type="dxa"/>
            <w:tcBorders>
              <w:top w:val="nil"/>
              <w:left w:val="nil"/>
              <w:bottom w:val="single" w:sz="4" w:space="0" w:color="auto"/>
              <w:right w:val="nil"/>
            </w:tcBorders>
            <w:shd w:val="clear" w:color="auto" w:fill="auto"/>
            <w:hideMark/>
          </w:tcPr>
          <w:p w14:paraId="6226741F" w14:textId="75C4F68F" w:rsidR="00493986" w:rsidRPr="00493986" w:rsidRDefault="00D02823"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Pr>
                <w:rFonts w:eastAsia="Times New Roman"/>
                <w:noProof/>
                <w:sz w:val="20"/>
                <w:szCs w:val="20"/>
                <w:lang w:val="es-CO" w:eastAsia="es-CO"/>
              </w:rPr>
              <mc:AlternateContent>
                <mc:Choice Requires="wps">
                  <w:drawing>
                    <wp:anchor distT="0" distB="0" distL="114300" distR="114300" simplePos="0" relativeHeight="251662336" behindDoc="0" locked="0" layoutInCell="1" allowOverlap="1" wp14:anchorId="71302183" wp14:editId="07E4F62E">
                      <wp:simplePos x="0" y="0"/>
                      <wp:positionH relativeFrom="column">
                        <wp:posOffset>975360</wp:posOffset>
                      </wp:positionH>
                      <wp:positionV relativeFrom="paragraph">
                        <wp:posOffset>3150870</wp:posOffset>
                      </wp:positionV>
                      <wp:extent cx="6781800" cy="533400"/>
                      <wp:effectExtent l="0" t="3175" r="0" b="0"/>
                      <wp:wrapNone/>
                      <wp:docPr id="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A778E" w14:textId="77777777" w:rsidR="004D2DCA" w:rsidRDefault="004D2DCA" w:rsidP="001656F2">
                                  <w:pPr>
                                    <w:spacing w:after="0" w:line="240" w:lineRule="auto"/>
                                    <w:ind w:firstLine="0"/>
                                    <w:rPr>
                                      <w:vertAlign w:val="superscript"/>
                                    </w:rPr>
                                  </w:pPr>
                                  <w:r w:rsidRPr="001656F2">
                                    <w:rPr>
                                      <w:vertAlign w:val="superscript"/>
                                    </w:rPr>
                                    <w:t>*Knowledge/beliefs about disfiguring condition (K), attitudes (A), Cognitive and emotional responses (CER), Stigma (S), Intervention (Int)</w:t>
                                  </w:r>
                                </w:p>
                                <w:p w14:paraId="238946C6" w14:textId="77777777" w:rsidR="004D2DCA" w:rsidRPr="001656F2" w:rsidRDefault="004D2DCA" w:rsidP="001656F2">
                                  <w:pPr>
                                    <w:spacing w:after="0" w:line="240" w:lineRule="auto"/>
                                    <w:ind w:firstLine="0"/>
                                    <w:rPr>
                                      <w:vertAlign w:val="superscript"/>
                                    </w:rPr>
                                  </w:pPr>
                                  <w:r>
                                    <w:rPr>
                                      <w:vertAlign w:val="superscript"/>
                                    </w:rPr>
                                    <w:t>*Note: NE = The Netherlands/</w:t>
                                  </w:r>
                                  <w:r w:rsidRPr="001656F2">
                                    <w:rPr>
                                      <w:vertAlign w:val="superscript"/>
                                    </w:rPr>
                                    <w:t>CH =Switzerland</w:t>
                                  </w:r>
                                  <w:r>
                                    <w:rPr>
                                      <w:vertAlign w:val="superscript"/>
                                    </w:rPr>
                                    <w:t>/</w:t>
                                  </w:r>
                                  <w:r w:rsidRPr="001656F2">
                                    <w:rPr>
                                      <w:vertAlign w:val="superscript"/>
                                    </w:rPr>
                                    <w:t>USA = United States of America</w:t>
                                  </w:r>
                                  <w:r>
                                    <w:rPr>
                                      <w:vertAlign w:val="superscript"/>
                                    </w:rPr>
                                    <w:t xml:space="preserve">/UK = United </w:t>
                                  </w:r>
                                  <w:r w:rsidRPr="001656F2">
                                    <w:rPr>
                                      <w:vertAlign w:val="superscript"/>
                                    </w:rPr>
                                    <w:t>Kingdom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02183" id="Text Box 22" o:spid="_x0000_s1027" type="#_x0000_t202" style="position:absolute;left:0;text-align:left;margin-left:76.8pt;margin-top:248.1pt;width:534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0zhQIAABg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" stroked="f">
                      <v:textbox>
                        <w:txbxContent>
                          <w:p w14:paraId="03BA778E" w14:textId="77777777" w:rsidR="004D2DCA" w:rsidRDefault="004D2DCA" w:rsidP="001656F2">
                            <w:pPr>
                              <w:spacing w:after="0" w:line="240" w:lineRule="auto"/>
                              <w:ind w:firstLine="0"/>
                              <w:rPr>
                                <w:vertAlign w:val="superscript"/>
                              </w:rPr>
                            </w:pPr>
                            <w:r w:rsidRPr="001656F2">
                              <w:rPr>
                                <w:vertAlign w:val="superscript"/>
                              </w:rPr>
                              <w:t>*Knowledge/beliefs about disfiguring condition (K), attitudes (A), Cognitive and emotional responses (CER), Stigma (S), Intervention (Int)</w:t>
                            </w:r>
                          </w:p>
                          <w:p w14:paraId="238946C6" w14:textId="77777777" w:rsidR="004D2DCA" w:rsidRPr="001656F2" w:rsidRDefault="004D2DCA" w:rsidP="001656F2">
                            <w:pPr>
                              <w:spacing w:after="0" w:line="240" w:lineRule="auto"/>
                              <w:ind w:firstLine="0"/>
                              <w:rPr>
                                <w:vertAlign w:val="superscript"/>
                              </w:rPr>
                            </w:pPr>
                            <w:r>
                              <w:rPr>
                                <w:vertAlign w:val="superscript"/>
                              </w:rPr>
                              <w:t>*Note: NE = The Netherlands/</w:t>
                            </w:r>
                            <w:r w:rsidRPr="001656F2">
                              <w:rPr>
                                <w:vertAlign w:val="superscript"/>
                              </w:rPr>
                              <w:t>CH =Switzerland</w:t>
                            </w:r>
                            <w:r>
                              <w:rPr>
                                <w:vertAlign w:val="superscript"/>
                              </w:rPr>
                              <w:t>/</w:t>
                            </w:r>
                            <w:r w:rsidRPr="001656F2">
                              <w:rPr>
                                <w:vertAlign w:val="superscript"/>
                              </w:rPr>
                              <w:t>USA = United States of America</w:t>
                            </w:r>
                            <w:r>
                              <w:rPr>
                                <w:vertAlign w:val="superscript"/>
                              </w:rPr>
                              <w:t xml:space="preserve">/UK = United </w:t>
                            </w:r>
                            <w:r w:rsidRPr="001656F2">
                              <w:rPr>
                                <w:vertAlign w:val="superscript"/>
                              </w:rPr>
                              <w:t>Kingdom</w:t>
                            </w:r>
                          </w:p>
                        </w:txbxContent>
                      </v:textbox>
                    </v:shape>
                  </w:pict>
                </mc:Fallback>
              </mc:AlternateContent>
            </w:r>
            <w:r w:rsidR="00493986" w:rsidRPr="00493986">
              <w:rPr>
                <w:rFonts w:eastAsia="Times New Roman"/>
                <w:sz w:val="20"/>
                <w:szCs w:val="20"/>
              </w:rPr>
              <w:t>Jamrozik et al., 2017</w:t>
            </w:r>
          </w:p>
        </w:tc>
        <w:tc>
          <w:tcPr>
            <w:tcW w:w="1076" w:type="dxa"/>
            <w:tcBorders>
              <w:top w:val="nil"/>
              <w:left w:val="nil"/>
              <w:bottom w:val="single" w:sz="4" w:space="0" w:color="auto"/>
              <w:right w:val="nil"/>
            </w:tcBorders>
            <w:shd w:val="clear" w:color="auto" w:fill="auto"/>
            <w:hideMark/>
          </w:tcPr>
          <w:p w14:paraId="7841B6C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USA</w:t>
            </w:r>
          </w:p>
        </w:tc>
        <w:tc>
          <w:tcPr>
            <w:tcW w:w="619" w:type="dxa"/>
            <w:tcBorders>
              <w:top w:val="nil"/>
              <w:left w:val="nil"/>
              <w:bottom w:val="single" w:sz="4" w:space="0" w:color="auto"/>
              <w:right w:val="nil"/>
            </w:tcBorders>
            <w:shd w:val="clear" w:color="auto" w:fill="auto"/>
            <w:hideMark/>
          </w:tcPr>
          <w:p w14:paraId="0C0EEC1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CER, A</w:t>
            </w:r>
          </w:p>
        </w:tc>
        <w:tc>
          <w:tcPr>
            <w:tcW w:w="1943" w:type="dxa"/>
            <w:tcBorders>
              <w:top w:val="nil"/>
              <w:left w:val="nil"/>
              <w:bottom w:val="single" w:sz="4" w:space="0" w:color="auto"/>
              <w:right w:val="nil"/>
            </w:tcBorders>
            <w:shd w:val="clear" w:color="auto" w:fill="auto"/>
            <w:hideMark/>
          </w:tcPr>
          <w:p w14:paraId="3384979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Public</w:t>
            </w:r>
          </w:p>
        </w:tc>
        <w:tc>
          <w:tcPr>
            <w:tcW w:w="475" w:type="dxa"/>
            <w:tcBorders>
              <w:top w:val="nil"/>
              <w:left w:val="nil"/>
              <w:bottom w:val="single" w:sz="4" w:space="0" w:color="auto"/>
              <w:right w:val="nil"/>
            </w:tcBorders>
            <w:shd w:val="clear" w:color="auto" w:fill="auto"/>
            <w:hideMark/>
          </w:tcPr>
          <w:p w14:paraId="00B9004F"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145</w:t>
            </w:r>
          </w:p>
        </w:tc>
        <w:tc>
          <w:tcPr>
            <w:tcW w:w="2109" w:type="dxa"/>
            <w:tcBorders>
              <w:top w:val="nil"/>
              <w:left w:val="nil"/>
              <w:bottom w:val="single" w:sz="4" w:space="0" w:color="auto"/>
              <w:right w:val="nil"/>
            </w:tcBorders>
            <w:shd w:val="clear" w:color="auto" w:fill="auto"/>
            <w:hideMark/>
          </w:tcPr>
          <w:p w14:paraId="544D98D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FD</w:t>
            </w:r>
          </w:p>
        </w:tc>
        <w:tc>
          <w:tcPr>
            <w:tcW w:w="1831" w:type="dxa"/>
            <w:tcBorders>
              <w:top w:val="nil"/>
              <w:left w:val="nil"/>
              <w:bottom w:val="single" w:sz="4" w:space="0" w:color="auto"/>
              <w:right w:val="nil"/>
            </w:tcBorders>
            <w:shd w:val="clear" w:color="auto" w:fill="auto"/>
            <w:hideMark/>
          </w:tcPr>
          <w:p w14:paraId="3FEE18AC"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Cross-sectional. The Self-Assessment Manikin (SAM; Bradley &amp; Lang, 1994)</w:t>
            </w:r>
          </w:p>
        </w:tc>
        <w:tc>
          <w:tcPr>
            <w:tcW w:w="1442" w:type="dxa"/>
            <w:tcBorders>
              <w:top w:val="nil"/>
              <w:left w:val="nil"/>
              <w:bottom w:val="single" w:sz="4" w:space="0" w:color="auto"/>
              <w:right w:val="nil"/>
            </w:tcBorders>
            <w:shd w:val="clear" w:color="auto" w:fill="auto"/>
            <w:hideMark/>
          </w:tcPr>
          <w:p w14:paraId="2C35613E" w14:textId="77777777" w:rsidR="00493986" w:rsidRPr="00493986" w:rsidRDefault="00493986" w:rsidP="00493986">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rPr>
            </w:pPr>
            <w:r w:rsidRPr="00493986">
              <w:rPr>
                <w:rFonts w:eastAsia="Times New Roman"/>
                <w:sz w:val="20"/>
                <w:szCs w:val="20"/>
              </w:rPr>
              <w:t xml:space="preserve">More negative emotion, higher arousal, and lower dominance when viewing pre-treatment (vs. posttreatment) photographs. Pre-treatment individuals were viewed significantly more negatively in terms of personality, </w:t>
            </w:r>
            <w:r w:rsidRPr="00493986">
              <w:rPr>
                <w:rFonts w:eastAsia="Times New Roman"/>
                <w:sz w:val="20"/>
                <w:szCs w:val="20"/>
              </w:rPr>
              <w:br/>
              <w:t xml:space="preserve"> happiness, intelligence, and social attributes.</w:t>
            </w:r>
          </w:p>
        </w:tc>
      </w:tr>
    </w:tbl>
    <w:p w14:paraId="35946608" w14:textId="77777777" w:rsidR="00493986" w:rsidRDefault="00493986" w:rsidP="00B51FDD">
      <w:pPr>
        <w:sectPr w:rsidR="00493986" w:rsidSect="00014EE0">
          <w:pgSz w:w="16838" w:h="11906" w:orient="landscape" w:code="9"/>
          <w:pgMar w:top="2268" w:right="1134" w:bottom="1134" w:left="1134" w:header="709" w:footer="709" w:gutter="0"/>
          <w:cols w:space="720"/>
          <w:titlePg/>
          <w:docGrid w:linePitch="299"/>
        </w:sectPr>
      </w:pPr>
    </w:p>
    <w:p w14:paraId="191B155A" w14:textId="77777777" w:rsidR="00493986" w:rsidRPr="00C72D56" w:rsidRDefault="00493986" w:rsidP="00493986">
      <w:pPr>
        <w:pStyle w:val="Heading3"/>
      </w:pPr>
      <w:bookmarkStart w:id="32" w:name="_Toc12024622"/>
      <w:r w:rsidRPr="00C72D56">
        <w:lastRenderedPageBreak/>
        <w:t>Beliefs and knowledge about facial disfigurement</w:t>
      </w:r>
      <w:bookmarkEnd w:id="32"/>
    </w:p>
    <w:p w14:paraId="3F0EEC5F" w14:textId="35EEC776" w:rsidR="00493986" w:rsidRPr="00C72D56" w:rsidRDefault="00493986" w:rsidP="00312E49">
      <w:pPr>
        <w:ind w:firstLine="0"/>
      </w:pPr>
      <w:r w:rsidRPr="00C72D56">
        <w:t xml:space="preserve">Six articles measured knowledge or beliefs via questionnaires or focus groups. Two articles assessed knowledge about cleft lip Palade (CLP: Oginni, Asuku, Oladele, Obuekwe, &amp; Nnabuko, 2010; Owotade et al., 2014) and two assessed knowledge about strabismus (Bodunde et al., 2016; Isawumi et al., 2014) in Nigeria. The remaining twostudies assessed knowledge and beliefs about FD in </w:t>
      </w:r>
      <w:r w:rsidR="00B32D9C">
        <w:t xml:space="preserve">the </w:t>
      </w:r>
      <w:r w:rsidRPr="00C72D56">
        <w:t xml:space="preserve">UK (Shaw, 1981) and British South east Asian participants </w:t>
      </w:r>
      <w:r w:rsidR="00907447" w:rsidRPr="00C72D56">
        <w:t>(i.e.</w:t>
      </w:r>
      <w:r w:rsidR="00907447">
        <w:t>,</w:t>
      </w:r>
      <w:r w:rsidRPr="00C72D56">
        <w:t xml:space="preserve"> Indian, Pakistani and Bangladeshi background; Hughes et al., 2009).</w:t>
      </w:r>
    </w:p>
    <w:p w14:paraId="3A8EC7B6" w14:textId="77777777" w:rsidR="00493986" w:rsidRPr="00C72D56" w:rsidRDefault="00493986" w:rsidP="00493986">
      <w:r w:rsidRPr="00C72D56">
        <w:t>Low levels of knowledge and inaccurate beliefs about conditions associated with FD (i.e. CLP and strabismus) were consistently reported in publications using non-western samples. For example, 50-75% of the samples knew about CLP (Oginni et al., 2010; Owotade et al., 2014) and 74.6% were aware of Strabismus (Isawumi et al., 2014). Believed causes of FD included non-medical sources such as witchcraft and god’s will (Hughes et al., 2009; Oginni et al., 2010) and misconceptions (</w:t>
      </w:r>
      <w:r w:rsidR="008471FC">
        <w:t>e.g.,</w:t>
      </w:r>
      <w:r w:rsidR="00B32D9C">
        <w:t xml:space="preserve"> </w:t>
      </w:r>
      <w:r w:rsidRPr="00C72D56">
        <w:t>sitting in front of a TV for too long;</w:t>
      </w:r>
      <w:r w:rsidR="006F0795">
        <w:t xml:space="preserve"> </w:t>
      </w:r>
      <w:r w:rsidRPr="00C72D56">
        <w:t>Isawumi et al., 2014). Participants of non-western background reported that visible differences detrimentally affected individuals financially and socially, particularly hindering their ability to find a romantic partner (Bodunde et al., 2016; Hughes et al., 2009; Oginni et al., 2010).</w:t>
      </w:r>
    </w:p>
    <w:p w14:paraId="12906ABC" w14:textId="77777777" w:rsidR="00493986" w:rsidRPr="00C72D56" w:rsidRDefault="00493986" w:rsidP="00493986">
      <w:pPr>
        <w:pStyle w:val="Heading3"/>
      </w:pPr>
      <w:bookmarkStart w:id="33" w:name="_Toc12024623"/>
      <w:r w:rsidRPr="00C72D56">
        <w:t>Attitudes towards FD</w:t>
      </w:r>
      <w:bookmarkEnd w:id="33"/>
    </w:p>
    <w:p w14:paraId="495B6B10" w14:textId="77777777" w:rsidR="00493986" w:rsidRPr="00C72D56" w:rsidRDefault="00493986" w:rsidP="00312E49">
      <w:pPr>
        <w:ind w:firstLine="0"/>
      </w:pPr>
      <w:r w:rsidRPr="00C72D56">
        <w:t xml:space="preserve">Thirty articles analysed data on attitudes towards FD, measured via questionnaires, Likert scales, Visual Analogue Scales (VAS) and open-ended questions. The study of attitudes focused on participants’ perceptions of FD in terms of attractiveness and personality traits. </w:t>
      </w:r>
    </w:p>
    <w:p w14:paraId="53272A90" w14:textId="77777777" w:rsidR="00493986" w:rsidRPr="00C72D56" w:rsidRDefault="00493986" w:rsidP="00493986">
      <w:r w:rsidRPr="00C72D56">
        <w:rPr>
          <w:bCs/>
          <w:i/>
          <w:iCs/>
        </w:rPr>
        <w:t>Attractiveness</w:t>
      </w:r>
      <w:r w:rsidRPr="00C72D56">
        <w:rPr>
          <w:b/>
        </w:rPr>
        <w:t>.</w:t>
      </w:r>
      <w:r w:rsidRPr="00C72D56">
        <w:t xml:space="preserve"> Nine-teen articles measured attractiveness as part of their outcome or covariate variables. In 15 of these studies, observers rated FD as significantly less attractive than non-FD. Ratings of attractiveness were lower regardless of the type of disfigurement, including skin conditions such as acne or psoriasis (Green-Armytage, Simonds, John, &amp; Woodger, 2019; Timms, 2013), port-wine stain (Bull &amp; Brooking, 1985; Bull &amp; David, 1986b), burns (Franks &amp; Goodrick-meech, 1997), nasal reconstruction (Moolenburgh, Mureau, &amp; Hofer, 2008), cranial and cervical dystonia (Roberts &amp; Gierasch, 2013) and strabismus (Mojon-Azzi, Potnik, &amp; Mojon, 2008; Mojon-Azzi &amp; Mojon, 2007). Observers considered that disfigurement had a greater negative impact on young women, which is consistent with widely available literature about the additional societal body image demands placed upon females (Gardiner et al., 2010). Nurses (Bull &amp; David, 1986a), dating agents (Mojon-Azzi et al., </w:t>
      </w:r>
      <w:r w:rsidRPr="00C72D56">
        <w:lastRenderedPageBreak/>
        <w:t>2008) and recruiting personnel (Madera &amp; Hebl, 2012; Stone &amp; Wright, 2013) also evaluated FD as less attractive than non-FD targets.</w:t>
      </w:r>
    </w:p>
    <w:p w14:paraId="2098C9C7" w14:textId="77777777" w:rsidR="00493986" w:rsidRPr="00C72D56" w:rsidRDefault="00493986" w:rsidP="00493986">
      <w:r w:rsidRPr="00C72D56">
        <w:t>No significant differences in attractiveness ratings were found in three studies (Blascovich, Mendes, Hunter, Lickel, &amp; Kowai-Bell, 2001; Halioua, Williams, Murray, Skalko, &amp; Vogelsong, 2011; Stevenage &amp; Furness, 2008) and one study (i.e. Burriss, Rowland, &amp; Little, 2009) found that a facial scar as the result of a post-traumatic or violent events in males (as oppose</w:t>
      </w:r>
      <w:r w:rsidR="00B32D9C">
        <w:t>d</w:t>
      </w:r>
      <w:r w:rsidRPr="00C72D56">
        <w:t xml:space="preserve"> to disease or accidental causes), increased attractiveness of males being rated by women, but only when considered for short-term relationships. In contrast, there was no significant difference in attractiveness ratings of women by male raters. </w:t>
      </w:r>
    </w:p>
    <w:p w14:paraId="2081AD9D" w14:textId="77777777" w:rsidR="00493986" w:rsidRPr="00C72D56" w:rsidRDefault="00493986" w:rsidP="00493986">
      <w:r w:rsidRPr="00C72D56">
        <w:rPr>
          <w:bCs/>
          <w:i/>
          <w:iCs/>
        </w:rPr>
        <w:t>Personality traits.</w:t>
      </w:r>
      <w:r w:rsidRPr="00C72D56">
        <w:t xml:space="preserve"> Ratings of personality traits included items on social qualities (e.g.</w:t>
      </w:r>
      <w:r w:rsidR="008471FC">
        <w:t>,</w:t>
      </w:r>
      <w:r w:rsidRPr="00C72D56">
        <w:t xml:space="preserve"> confidence, assertive, popular), capability (e.g.</w:t>
      </w:r>
      <w:r w:rsidR="008471FC">
        <w:t>,</w:t>
      </w:r>
      <w:r w:rsidRPr="00C72D56">
        <w:t xml:space="preserve"> employability, intelligence) and trustworthiness (e.g.</w:t>
      </w:r>
      <w:r w:rsidR="008471FC">
        <w:t>,</w:t>
      </w:r>
      <w:r w:rsidRPr="00C72D56">
        <w:t xml:space="preserve"> honesty, sincerity). The negative impact of FD on </w:t>
      </w:r>
      <w:r w:rsidR="00B32D9C">
        <w:t xml:space="preserve">the </w:t>
      </w:r>
      <w:r w:rsidRPr="00C72D56">
        <w:t>evaluation of personality traits was found in 25 studies. FD was perceived as a significant hindrance on people’s social abilities, including confidence and likability/friendliness (Bull &amp; David, 1986a; Franks &amp; Goodrick-meech, 1997; Hughes et al., 2009; Kleck &amp; Strenta, 1985; Rankin &amp; Borah, 2003; Rinnerthaler et al., 2006; Stone &amp; Wright, 2013). Similarly, 5 studies showed that observers perceived individuals with FD as less intellectually capable (Hughes et al., 2009; Madera &amp; Hebl, 2012; S M Mojon-Azzi et al., 2008; Rankin &amp; Borah, 2003).</w:t>
      </w:r>
    </w:p>
    <w:p w14:paraId="29EE1D1A" w14:textId="77777777" w:rsidR="00493986" w:rsidRPr="00C72D56" w:rsidRDefault="00493986" w:rsidP="00493986">
      <w:r w:rsidRPr="00C72D56">
        <w:t xml:space="preserve">Mistrust was observed in 4 studies; individuals with FD were rated as significantly less honest (Bull &amp; David, 1986a) and less trustworthy (Halioua et al., 2011; Jamrozik, Oraa Ali, Sarwer, &amp; Chatterjee, 2017; Rankin &amp; Borah, 2003; Rinnerthaler et al., 2006) than their peers without FD. Moreover, Kerr et al. (1985) found that participants in a trial situation were more likely to convict a person when he or she was unattractive and had a significant FD. </w:t>
      </w:r>
    </w:p>
    <w:p w14:paraId="2EDF49B6" w14:textId="77777777" w:rsidR="00493986" w:rsidRPr="00C72D56" w:rsidRDefault="00493986" w:rsidP="00493986">
      <w:r w:rsidRPr="00C72D56">
        <w:t>Four articles found non-significant differences in explicit evaluations of individuals with or without FD; however, this was not the case for other measures within these studies which did evidence differences in reaction times (Grandfield, Thompson, &amp; Turpin, 2005), visual attention (Van Schijndel, Litschel, Maal, Berg, &amp; Tasman, 2015), memory recall (Stevenage &amp; Furness, 2008) and physiological responses (Blascovich et al., 2001); suggesting that explicit self-reports towards FD are susceptible to a degree of social desirability and self-presentation effects (Henderson, Evans-Lacko, Flach, &amp; Thornicroft, 2012).</w:t>
      </w:r>
    </w:p>
    <w:p w14:paraId="471B87BC" w14:textId="77777777" w:rsidR="00493986" w:rsidRPr="00C72D56" w:rsidRDefault="00493986" w:rsidP="00493986">
      <w:pPr>
        <w:pStyle w:val="Heading3"/>
      </w:pPr>
      <w:bookmarkStart w:id="34" w:name="_Toc12024624"/>
      <w:r w:rsidRPr="00C72D56">
        <w:lastRenderedPageBreak/>
        <w:t>Cognitive and emotional responses to FD</w:t>
      </w:r>
      <w:bookmarkEnd w:id="34"/>
      <w:r w:rsidRPr="00C72D56">
        <w:t xml:space="preserve"> </w:t>
      </w:r>
    </w:p>
    <w:p w14:paraId="06330F1E" w14:textId="77777777" w:rsidR="00493986" w:rsidRPr="00C72D56" w:rsidRDefault="00493986" w:rsidP="00312E49">
      <w:pPr>
        <w:ind w:firstLine="0"/>
      </w:pPr>
      <w:r w:rsidRPr="00C72D56">
        <w:t xml:space="preserve">Eighteen articles explored cognitive and emotional responses to FD measured via self-report scales, reaction times, physiological responses and eye-tracking data. </w:t>
      </w:r>
    </w:p>
    <w:p w14:paraId="6FD7A0E0" w14:textId="77777777" w:rsidR="00493986" w:rsidRPr="00C72D56" w:rsidRDefault="00493986" w:rsidP="00493986">
      <w:pPr>
        <w:rPr>
          <w:i/>
        </w:rPr>
      </w:pPr>
      <w:r w:rsidRPr="00C72D56">
        <w:t>The Implicit Association Test (IAT), developed by Greenwald (1998), measures the strength of association between concepts (e.g.</w:t>
      </w:r>
      <w:r w:rsidR="008471FC">
        <w:t>,</w:t>
      </w:r>
      <w:r w:rsidRPr="00C72D56">
        <w:t xml:space="preserve"> FD/non-FD vs Pleasant/unpleasant words) via participants’ reaction times and is an established instrument in the study of implicit bias towards stigmatised groups (e.g.</w:t>
      </w:r>
      <w:r w:rsidR="008471FC">
        <w:t>,</w:t>
      </w:r>
      <w:r w:rsidRPr="00C72D56">
        <w:t xml:space="preserve"> mental health). In this review, 3 studies used a version of the IAT to record reaction times towards FD and non-FD stimuli. Two of these studies found a significant implicit preference towards non-FD targets (Grandfield et al., 2005; Stone &amp; Wright, 2012) but Roberts et al. (2017) found no significant differences in terms of implicit associations.  Correlations with explicit self-report evaluations was mixed; Grandfield et al. (2005) and Roberts et al. (2017) found non-significant correlation (</w:t>
      </w:r>
      <w:r w:rsidRPr="00C72D56">
        <w:rPr>
          <w:i/>
        </w:rPr>
        <w:t>r</w:t>
      </w:r>
      <w:r w:rsidRPr="00C72D56">
        <w:t xml:space="preserve"> = –.204, </w:t>
      </w:r>
      <w:r w:rsidRPr="00C72D56">
        <w:rPr>
          <w:i/>
        </w:rPr>
        <w:t>p</w:t>
      </w:r>
      <w:r w:rsidRPr="00C72D56">
        <w:t xml:space="preserve"> = .124)</w:t>
      </w:r>
      <w:r w:rsidRPr="00C72D56">
        <w:rPr>
          <w:i/>
        </w:rPr>
        <w:t xml:space="preserve"> </w:t>
      </w:r>
      <w:r w:rsidRPr="00C72D56">
        <w:t>between explicit and implicit measures, whereas Stone and Wright (2012) reported a significant correlation between negative implicit attitudes and lower ratings of social potency (</w:t>
      </w:r>
      <w:r w:rsidRPr="00C72D56">
        <w:rPr>
          <w:i/>
        </w:rPr>
        <w:t xml:space="preserve">r </w:t>
      </w:r>
      <w:r w:rsidRPr="00C72D56">
        <w:t xml:space="preserve">= .25, </w:t>
      </w:r>
      <w:r w:rsidRPr="00C72D56">
        <w:rPr>
          <w:i/>
        </w:rPr>
        <w:t>p</w:t>
      </w:r>
      <w:r w:rsidRPr="00C72D56">
        <w:t>&lt;.05) and emotional strength (</w:t>
      </w:r>
      <w:r w:rsidRPr="00C72D56">
        <w:rPr>
          <w:i/>
        </w:rPr>
        <w:t xml:space="preserve">r </w:t>
      </w:r>
      <w:r w:rsidRPr="00C72D56">
        <w:t xml:space="preserve">= .33, </w:t>
      </w:r>
      <w:r w:rsidRPr="00C72D56">
        <w:rPr>
          <w:i/>
        </w:rPr>
        <w:t>p</w:t>
      </w:r>
      <w:r w:rsidRPr="00C72D56">
        <w:t xml:space="preserve"> </w:t>
      </w:r>
      <w:r w:rsidRPr="00C72D56">
        <w:rPr>
          <w:i/>
        </w:rPr>
        <w:t>&lt; .005</w:t>
      </w:r>
      <w:r w:rsidRPr="00C72D56">
        <w:t xml:space="preserve">). </w:t>
      </w:r>
    </w:p>
    <w:p w14:paraId="3E43AD4F" w14:textId="2466C240" w:rsidR="00493986" w:rsidRPr="00C72D56" w:rsidRDefault="00493986" w:rsidP="00493986">
      <w:r w:rsidRPr="00C72D56">
        <w:t>Seven studies used eye-tracking technologies to assess differences between visual fixation towards FD and Non-FD stimuli  (Godoy et al., 2011; Halioua et al., 2011; Ishii, Carey, Byrne, Zee, &amp; Ishii, 2009; Stone &amp; Potton, 2014; Van Schijndel et al., 2015; van Schijndel, Tasman, &amp; Litschel, 2015; Madera &amp; Hebl, 2012; Ackerman et al., 2009).  Although longer visual fixation was elicited by FD compared to Non-FD, greater attention was not correlated with more positive perceptions of personality traits or greater memory recall of target stimuli (Ackerman et al., 2009; Madera &amp; Hebl, 2012). Longer visual fixation was only correlated with positive perceptions of capability in Halioua et al. (2011); but the same study found that FD targets were rated as less honest, employable, intelligent, trustworthy and optimistic. According to this evidence, FD behaves as a novel/complex stimuli that enhance visual attention (Fox, Russo, Bowles, &amp; Dutton, 2001; Linnet &amp; Jemec, 2001; Thompson &amp; Kent, 2001); however, extended visual fixation is also associated with negative evaluation and poorer recollection of information about individuals with FD. Interestingly, visual fixation was not significantly different between control faces without FD and faces following surgical corrective procedures (Godoy et al., 2011; Moolenburgh et al., 2008).</w:t>
      </w:r>
    </w:p>
    <w:p w14:paraId="455C73F5" w14:textId="1536D690" w:rsidR="00493986" w:rsidRPr="00C72D56" w:rsidRDefault="00493986" w:rsidP="00493986">
      <w:r w:rsidRPr="00C72D56">
        <w:t xml:space="preserve">Five articles reported a differences </w:t>
      </w:r>
      <w:r w:rsidR="00B32D9C">
        <w:t>i</w:t>
      </w:r>
      <w:r w:rsidRPr="00C72D56">
        <w:t xml:space="preserve">n emotional responses triggered by FD (compared to non-FD), measured in the form of cardiac and hemodynamic responses (Blascovich et al., 2001), changes in skin resistance (Kleck &amp; Strenta, 1985) and self-reported emotional reactions (Jamrozik et al., 2017; Shanmugarajah et al., 2012; Stone </w:t>
      </w:r>
      <w:r w:rsidRPr="00C72D56">
        <w:lastRenderedPageBreak/>
        <w:t>&amp; Potton, 201</w:t>
      </w:r>
      <w:r w:rsidR="00AC60CD">
        <w:t>7</w:t>
      </w:r>
      <w:r w:rsidRPr="00C72D56">
        <w:t xml:space="preserve">). When exposed to FD stimuli, observers presented higher physiological arousal (Kleck &amp; Strenta, 1985), challenge or threat-like reactions (Blascovich et al., 2001) and reported greater negative emotions, particularly disgust (Shanmugarajah et al., 2012); further, participants that were more sensitive to disgust (as measured with the disgust sensitivity; Olatunji &amp; Williams, 2007) reported higher levels of disgust than their peers with lower sensitivity. </w:t>
      </w:r>
    </w:p>
    <w:p w14:paraId="06D96A0E" w14:textId="77777777" w:rsidR="00493986" w:rsidRPr="00C72D56" w:rsidRDefault="00493986" w:rsidP="00493986">
      <w:pPr>
        <w:pStyle w:val="Heading3"/>
      </w:pPr>
      <w:bookmarkStart w:id="35" w:name="_Toc12024625"/>
      <w:r w:rsidRPr="00C72D56">
        <w:t>Overt Stigma</w:t>
      </w:r>
      <w:bookmarkEnd w:id="35"/>
    </w:p>
    <w:p w14:paraId="5DC64BB7" w14:textId="77777777" w:rsidR="00493986" w:rsidRPr="00C72D56" w:rsidRDefault="00493986" w:rsidP="00312E49">
      <w:pPr>
        <w:ind w:firstLine="0"/>
      </w:pPr>
      <w:r w:rsidRPr="00C72D56">
        <w:t>Ten articles assessed stigmatising behaviour. Measures used to evaluate behaviour were observation of overt behaviour, including evaluation of an interaction (Blascovich et al., 2001) and proxemic behaviour (Houston &amp; Bull, 1994; R M Roberts &amp; Gierasch, 2013; Rumsey et al., 1982); other measures included likert scales of intentions to avoid contact with FD (Green-Armytage et al., 2019; Kouznetsova, Stevenson, Oaten, &amp; Case, 2012; Pausch et al., 2016; Ryan, Oaten, Stevenson, &amp; Case, 2012), outcomes on discrimination litigations (Tartaglia et al., 2005), employer’s replies to mock job applications (Stone &amp; Wright, 2013) and responses to petitions (Shaw, Humphreys, McLoughlin, &amp; Shimmin, 1980)</w:t>
      </w:r>
    </w:p>
    <w:p w14:paraId="1B5380E7" w14:textId="77777777" w:rsidR="00493986" w:rsidRPr="00C72D56" w:rsidRDefault="00493986" w:rsidP="00493986">
      <w:r w:rsidRPr="00C72D56">
        <w:t>In terms of observed and intended behaviour, nine of these studies provided evidence of negative responses towards FD. For instance, Houston and Bull (1994) and Rumsey et al. (1982) reported that observers placed significantly greater personal distance between themselves and a confederate with a permanent form of disfigurement (e.g.</w:t>
      </w:r>
      <w:r w:rsidR="008471FC">
        <w:t>,</w:t>
      </w:r>
      <w:r w:rsidRPr="00C72D56">
        <w:t xml:space="preserve"> port wine stain) than to a non-FD confederate and a confederate with temporary marks like bruising; both studies were conducted in public spaces with samples of lay people. However, a more recent study replication of Rumsey et al. (1982) using an Australian sample failed to replicate these avoidance patterns. Roberts and Gierasch (2013) found that participants did not stand further away from the confederate in the FD condition than from the Non-FD condition, as results were non-significant. Furthermore, intended behaviour measured in (Green-Armytage et al</w:t>
      </w:r>
      <w:r w:rsidR="00AF776D">
        <w:t>.</w:t>
      </w:r>
      <w:r w:rsidRPr="00C72D56">
        <w:t xml:space="preserve"> (2019), showed that participants showed significantly less willingness to make indirect contact with an individual with a skin condition (i.e. acne and psoriasis) than with a person without a dermatological condition. Interestingly, participants reported greater willingness to stablish social contact with an individual with acne than with one with psoriasis or without a skin condition.</w:t>
      </w:r>
    </w:p>
    <w:p w14:paraId="6D84D417" w14:textId="77777777" w:rsidR="00493986" w:rsidRPr="00C72D56" w:rsidRDefault="00493986" w:rsidP="007A3FE4">
      <w:pPr>
        <w:pStyle w:val="Heading2"/>
      </w:pPr>
      <w:bookmarkStart w:id="36" w:name="_Toc12024626"/>
      <w:r w:rsidRPr="00C72D56">
        <w:t>Discussion</w:t>
      </w:r>
      <w:bookmarkEnd w:id="36"/>
    </w:p>
    <w:p w14:paraId="1BC95CB6" w14:textId="77777777" w:rsidR="00493986" w:rsidRPr="00C72D56" w:rsidRDefault="00493986" w:rsidP="00312E49">
      <w:pPr>
        <w:ind w:firstLine="0"/>
      </w:pPr>
      <w:r w:rsidRPr="00C72D56">
        <w:t xml:space="preserve">Fifty-eight studies conducted between 1980 – 2018 were identified in this systematic review. Publications meeting the inclusion criteria were critically appraised to ascertain the degree to which published studies provided an understanding of what responses </w:t>
      </w:r>
      <w:r w:rsidRPr="00C72D56">
        <w:lastRenderedPageBreak/>
        <w:t>are elicited by FD in the observer and what associated psychosocial processes underlie stigmatisation towards this population. Evidence suggest</w:t>
      </w:r>
      <w:r w:rsidR="00B32D9C">
        <w:t>s</w:t>
      </w:r>
      <w:r w:rsidRPr="00C72D56">
        <w:t xml:space="preserve"> that observers respond differently to FD stimuli, which supports many qualitative and survey studies of individuals with FD reporting being the target of stigmatisation (Clarke, Thompson, Jenkinson, Rumsey, &amp; Newell, 2013; Changing Faces, 2017).</w:t>
      </w:r>
    </w:p>
    <w:p w14:paraId="16F66A64" w14:textId="77777777" w:rsidR="00493986" w:rsidRPr="00C72D56" w:rsidRDefault="00493986" w:rsidP="00493986">
      <w:pPr>
        <w:pStyle w:val="Heading3"/>
      </w:pPr>
      <w:bookmarkStart w:id="37" w:name="_Toc12024627"/>
      <w:r w:rsidRPr="00C72D56">
        <w:t>Observers’ responses to FD</w:t>
      </w:r>
      <w:bookmarkEnd w:id="37"/>
    </w:p>
    <w:p w14:paraId="7D1E7BFE" w14:textId="70664FD2" w:rsidR="00A861CC" w:rsidRDefault="00493986" w:rsidP="00312E49">
      <w:pPr>
        <w:ind w:firstLine="0"/>
      </w:pPr>
      <w:r w:rsidRPr="00C72D56">
        <w:t>The rate of publications aiming to understand responses towards FD has increased in the last two decades. The quality and methodological rigour of available studies ha</w:t>
      </w:r>
      <w:r w:rsidR="00B32D9C">
        <w:t>ve</w:t>
      </w:r>
      <w:r w:rsidRPr="00C72D56">
        <w:t xml:space="preserve"> also improved throughout the years, particularly benefiting from the introduction of new technologies (e.g.</w:t>
      </w:r>
      <w:r w:rsidR="008471FC">
        <w:t>,</w:t>
      </w:r>
      <w:r w:rsidRPr="00C72D56">
        <w:t xml:space="preserve"> eye-tracking), which have facilitated the analysis of cognitive and emotional processes that were once hard to capture.  FD stimuli trigger in observers emotional reactions of disgust (Ryan et al., 2012; Shanmugarajah et al., 2012), physiological arousal (Kleck &amp; Strenta, 1985) and threat (Blascovich et al., 2001). Moreover, longer visual fixation towards FD stimuli was significantly longer than towards non-FD, but this was not correlated with </w:t>
      </w:r>
      <w:r w:rsidR="00A861CC">
        <w:t xml:space="preserve">more favourable ratings </w:t>
      </w:r>
      <w:r w:rsidRPr="00C72D56">
        <w:t>of the target</w:t>
      </w:r>
      <w:r w:rsidR="00A861CC">
        <w:t>s bearing a</w:t>
      </w:r>
      <w:r w:rsidRPr="00C72D56">
        <w:t xml:space="preserve"> FD</w:t>
      </w:r>
      <w:r w:rsidR="00A861CC">
        <w:t>.</w:t>
      </w:r>
      <w:r w:rsidRPr="00C72D56">
        <w:t xml:space="preserve"> </w:t>
      </w:r>
      <w:r w:rsidR="00A861CC">
        <w:t>Attitudes towards</w:t>
      </w:r>
      <w:r w:rsidRPr="00C72D56">
        <w:t xml:space="preserve"> </w:t>
      </w:r>
      <w:r w:rsidR="00A861CC">
        <w:t>faces with</w:t>
      </w:r>
      <w:r w:rsidRPr="00C72D56">
        <w:t xml:space="preserve"> FD </w:t>
      </w:r>
      <w:r w:rsidR="00A861CC">
        <w:t xml:space="preserve">were significantly </w:t>
      </w:r>
      <w:r w:rsidRPr="00C72D56">
        <w:t>more negativ</w:t>
      </w:r>
      <w:r w:rsidR="00A861CC">
        <w:t>e</w:t>
      </w:r>
      <w:r w:rsidRPr="00C72D56">
        <w:t xml:space="preserve"> than </w:t>
      </w:r>
      <w:r w:rsidR="00A861CC">
        <w:t xml:space="preserve">faces without </w:t>
      </w:r>
      <w:r w:rsidRPr="00C72D56">
        <w:t>FD (Jamrozik et al., 2017)</w:t>
      </w:r>
      <w:r w:rsidR="00A861CC">
        <w:t xml:space="preserve">. </w:t>
      </w:r>
      <w:r w:rsidRPr="00C72D56">
        <w:t xml:space="preserve"> </w:t>
      </w:r>
      <w:r w:rsidR="00A861CC">
        <w:t xml:space="preserve">Faces with FD were systematically rated as less attractive, less socially </w:t>
      </w:r>
      <w:r w:rsidR="00A861CC" w:rsidRPr="00F94C7D">
        <w:t xml:space="preserve">capable and </w:t>
      </w:r>
      <w:r w:rsidR="008C4639" w:rsidRPr="00F94C7D">
        <w:t>were also more likely to be perceived as less successful in job hunting and dating scenarios.</w:t>
      </w:r>
      <w:r w:rsidR="008C4639">
        <w:t xml:space="preserve"> </w:t>
      </w:r>
    </w:p>
    <w:p w14:paraId="065C419E" w14:textId="6A55D9DB" w:rsidR="00493986" w:rsidRPr="00C72D56" w:rsidRDefault="00493986" w:rsidP="004D2DCA">
      <w:r w:rsidRPr="00C72D56">
        <w:t>Individuals with FD are part of a minority within the world’s population and as such, familiarity and interaction with this population is not always a common</w:t>
      </w:r>
      <w:r w:rsidR="008C4639">
        <w:t>ly encountered</w:t>
      </w:r>
      <w:r w:rsidRPr="00C72D56">
        <w:t xml:space="preserve">. Therefore, it makes sense that FD stimuli </w:t>
      </w:r>
      <w:r w:rsidR="00B32D9C">
        <w:t>are</w:t>
      </w:r>
      <w:r w:rsidRPr="00C72D56">
        <w:t xml:space="preserve"> perceived and processed differently by observers, as it is the case of novel stimuli overall (Slater, Earle, Morison, &amp; Rose, 1985). Physical features of individuals with FD provide additional information to be processed</w:t>
      </w:r>
      <w:r w:rsidR="008C4639">
        <w:t>.</w:t>
      </w:r>
      <w:r w:rsidRPr="00C72D56">
        <w:t xml:space="preserve"> </w:t>
      </w:r>
      <w:r w:rsidR="008C4639">
        <w:t>T</w:t>
      </w:r>
      <w:r w:rsidRPr="00C72D56">
        <w:t xml:space="preserve">his novel visual stimulus increases attentional constraints within the interaction with others, ultimately affecting evaluation and memory recall of observers towards FD targets (Ackerman et al., 2009; Madera &amp; Hebl, 2012; Stevenage &amp; Furness, 2008). </w:t>
      </w:r>
    </w:p>
    <w:p w14:paraId="1C4E0239" w14:textId="77777777" w:rsidR="00493986" w:rsidRPr="00C72D56" w:rsidRDefault="00493986" w:rsidP="00493986">
      <w:r w:rsidRPr="00C72D56">
        <w:t xml:space="preserve">Overt behaviour and reported intended behaviour (with the exception of Roberts and Gierasch, 2013) showed an avoidance pattern similar to that found in highly contagious diseases, regardless of real indications of contagiousness (Kouznetsova et al., 2012). Emotional responses such as disgust and threat elicited by FD, seem to suggest that observers’ responses to FD information could be partly associated with an innate disease-sensitive mechanism to avoid contaminating pathogens (Kurzban &amp; Leary, 2001). To maximise chances of survival, people tend to reduce threats to their wellbeing by avoiding potentially dangerous interactions (even when they are known to </w:t>
      </w:r>
      <w:r w:rsidRPr="00C72D56">
        <w:lastRenderedPageBreak/>
        <w:t xml:space="preserve">be non-contagious) because mistakenly interacting with a real threat would likely be lethal (Haselton &amp; Buss, 2000). Automatic emotional responses such as disgust serve as facilitators of this behaviour and instinctive mechanisms of protection are generalised to all stimuli that appear to be a potential treat, following the same logic as a ‘false alarm effect’ on observers (Park, Faulkner, &amp; Schaller, 2003).  Subsequent additional societal pressures to appear non-prejudiced increases the demand to supress what is an automatically generated emotional reaction, adding to the additional cognitive demands of a novel stimuli presented in the form of FD. The available literature supports the hypothesis that observers’ autonomic responses to FD (vs non-FD) are significantly different; however, evaluative reactions are more susceptible to social normative factors (Pryor et al., 2004). </w:t>
      </w:r>
    </w:p>
    <w:p w14:paraId="77B8048B" w14:textId="42F17450" w:rsidR="00493986" w:rsidRPr="00C72D56" w:rsidRDefault="00493986" w:rsidP="00493986">
      <w:r w:rsidRPr="00C72D56">
        <w:t>The majority of studies included in this review (e.g.</w:t>
      </w:r>
      <w:r w:rsidR="00B32D9C">
        <w:t>,</w:t>
      </w:r>
      <w:r w:rsidRPr="00C72D56">
        <w:t xml:space="preserve"> Mojon-Azzi et al., 2008; Timms, 2013) reported that observers explicitly evaluated FD as less attractive, </w:t>
      </w:r>
      <w:r w:rsidR="008C4639">
        <w:t xml:space="preserve">except for </w:t>
      </w:r>
      <w:r w:rsidRPr="00C72D56">
        <w:t>one study</w:t>
      </w:r>
      <w:r w:rsidR="008C4639">
        <w:t xml:space="preserve">, </w:t>
      </w:r>
      <w:r w:rsidRPr="00C72D56">
        <w:t>Burriss et al., 2009</w:t>
      </w:r>
      <w:r w:rsidR="008C4639">
        <w:t>,</w:t>
      </w:r>
      <w:r w:rsidRPr="00C72D56">
        <w:t xml:space="preserve"> </w:t>
      </w:r>
      <w:r w:rsidR="008C4639">
        <w:t xml:space="preserve">where it was found that </w:t>
      </w:r>
      <w:r w:rsidRPr="00C72D56">
        <w:t>the presence of a scar was associated with higher ratings of attractiveness</w:t>
      </w:r>
      <w:r w:rsidR="008C4639">
        <w:t>, but only in</w:t>
      </w:r>
      <w:r w:rsidRPr="00C72D56">
        <w:t xml:space="preserve"> female raters. According to evolutionary psychology, short-term partner selection in females is affected by their perception of a male’s heroism and bravery</w:t>
      </w:r>
      <w:r w:rsidR="008C4639">
        <w:t>.</w:t>
      </w:r>
      <w:r w:rsidRPr="00C72D56">
        <w:t xml:space="preserve"> </w:t>
      </w:r>
      <w:r w:rsidR="008C4639">
        <w:t>P</w:t>
      </w:r>
      <w:r w:rsidRPr="00C72D56">
        <w:t xml:space="preserve">ost-traumatic facial marks may be associated with indications of risk-prone and masculine features that benefit male attractiveness ratings (Kelly &amp; Dunbar, 2001). However, the findings reported by Burris et al. (2009) showed a small effect size and it was an isolated case amongst the articles included in this review. Replication of this study, perhaps considering various sizes and locations of disfigurement, would be required to clarify factors underlying the relationship between FD and attractiveness.  </w:t>
      </w:r>
    </w:p>
    <w:p w14:paraId="69933F68" w14:textId="77777777" w:rsidR="00493986" w:rsidRPr="00C72D56" w:rsidRDefault="00493986" w:rsidP="00493986">
      <w:r w:rsidRPr="00C72D56">
        <w:t>Disfigurement displayed in central facial areas (or internal expressive features) was associated with lower ratings of attractiveness (Godoy et al., 2011) and perceived severity (Gardiner et al., 2010), longer visual fixation and stronger negative emotions (e.g.</w:t>
      </w:r>
      <w:r w:rsidR="008471FC">
        <w:t>,</w:t>
      </w:r>
      <w:r w:rsidRPr="00C72D56">
        <w:t xml:space="preserve"> embarrassment, disgust, repulsion; (Stone &amp; Potton, 2017) than peripheral facial differences. Central features in the face are harder to disguise and a source of relevant information for communication (Davies, Ellis, &amp; Shepherd, 1977; Fraser, Craig, &amp; Parker, 1990), thus it makes sense that affections in these areas have </w:t>
      </w:r>
      <w:r w:rsidR="00B32D9C">
        <w:t xml:space="preserve">a </w:t>
      </w:r>
      <w:r w:rsidRPr="00C72D56">
        <w:t>greater negative impact on individuals with FD. Nevertheless, according to Changing Faces (2017), 75% of surveyed participants with FD reported being denied medical treatment or surgical procedures based on it being unnecessary or purely cosmetic. Predicting the impact of FD in terms of location and size would grant evidence-based support for changes in health policy, so people with certain types of FD can have easier access to treatment plans and corrective procedures that may potentially normalise observers’ perception of facial features (Godoy et al., 2011; Moolenburgh et al., 2008)</w:t>
      </w:r>
    </w:p>
    <w:p w14:paraId="3C45E67E" w14:textId="77777777" w:rsidR="008C4639" w:rsidRDefault="00493986" w:rsidP="00493986">
      <w:r w:rsidRPr="00C72D56">
        <w:lastRenderedPageBreak/>
        <w:t>Rumsey et al</w:t>
      </w:r>
      <w:r w:rsidR="00AF776D">
        <w:t>.</w:t>
      </w:r>
      <w:r w:rsidRPr="00C72D56">
        <w:t xml:space="preserve"> (1982) is a frequently cited study that reports differences in proxemic behaviour towards a confederate with FD in a sample of British lay people. However, 20 years later Roberts and Gierasch (2013) failed to replicate Rumsey’s findings in an Australian sample. </w:t>
      </w:r>
      <w:bookmarkStart w:id="38" w:name="_Hlk530578406"/>
      <w:r w:rsidRPr="00C72D56">
        <w:t>As well as sociocultural differences between these samples in these settings (Adelaide</w:t>
      </w:r>
      <w:r w:rsidR="008C4639">
        <w:t>, Australia</w:t>
      </w:r>
      <w:r w:rsidRPr="00C72D56">
        <w:t xml:space="preserve"> vs London</w:t>
      </w:r>
      <w:r w:rsidR="008C4639">
        <w:t>, UK</w:t>
      </w:r>
      <w:r w:rsidRPr="00C72D56">
        <w:t xml:space="preserve">), it is also likely that overt stigma towards FD has decreased in the last two decades.  For instance, influenced by anti-stigma campaigns and anti-discrimination policies at </w:t>
      </w:r>
      <w:r w:rsidR="00B32D9C">
        <w:t xml:space="preserve">the </w:t>
      </w:r>
      <w:r w:rsidRPr="00C72D56">
        <w:t>governmental level (e.g.</w:t>
      </w:r>
      <w:r w:rsidR="008471FC">
        <w:t>,</w:t>
      </w:r>
      <w:r w:rsidRPr="00C72D56">
        <w:t xml:space="preserve"> the Australian Disability Discrimination Act of 1992), which has reinforced societal norms against discrimination of people with disabilities. Conversely, while overt stigma might have lessened in the last decades, it is also plausible that manifestations of it are now subtler due to societal pressures to appear non-prejudiced, as it has been the case of the transformation of prejudiced racial discourse in the last five decades (see Augoustinos &amp; Every, 2007). </w:t>
      </w:r>
    </w:p>
    <w:p w14:paraId="309E2E81" w14:textId="02D5EFA9" w:rsidR="00AF4271" w:rsidRPr="00C72D56" w:rsidRDefault="00D273D6" w:rsidP="00AF4271">
      <w:r>
        <w:t xml:space="preserve"> </w:t>
      </w:r>
      <w:r w:rsidR="004D5897">
        <w:t>It is difficult to confirm that there has been a</w:t>
      </w:r>
      <w:r w:rsidR="004B4D8A">
        <w:t xml:space="preserve"> </w:t>
      </w:r>
      <w:r>
        <w:t>change in how FD is perceived</w:t>
      </w:r>
      <w:r w:rsidR="004B4D8A">
        <w:t xml:space="preserve"> </w:t>
      </w:r>
      <w:r w:rsidR="004D5897">
        <w:t>over the last three decades</w:t>
      </w:r>
      <w:r w:rsidR="004B4D8A">
        <w:t>.</w:t>
      </w:r>
      <w:r w:rsidR="004D5897">
        <w:t xml:space="preserve"> People with FD are still subjected stigmatising responses from observers, but certainly less severely than in other periods of time (e.g., medieval societies)</w:t>
      </w:r>
      <w:r w:rsidR="00AF4271">
        <w:t>. The inclusion of FD in anti-discrimination policies</w:t>
      </w:r>
      <w:r w:rsidR="006A7632">
        <w:t xml:space="preserve"> (e.g., discrimination act 2010)</w:t>
      </w:r>
      <w:r w:rsidR="00AF4271">
        <w:t xml:space="preserve"> has certainly been a </w:t>
      </w:r>
      <w:r w:rsidR="006A7632">
        <w:t>major</w:t>
      </w:r>
      <w:r w:rsidR="00AF4271">
        <w:t xml:space="preserve"> milestone for</w:t>
      </w:r>
      <w:r w:rsidR="006A7632">
        <w:t xml:space="preserve"> achieving awareness about the stigma received by people with FD. Furthermore, t</w:t>
      </w:r>
      <w:r w:rsidR="00AF4271">
        <w:t>here has been</w:t>
      </w:r>
      <w:r w:rsidR="004B4D8A">
        <w:t xml:space="preserve"> perceivable change in how people different physical appearance are represented in mass media and advertising. The stereotype of </w:t>
      </w:r>
      <w:r w:rsidR="006A7632">
        <w:t xml:space="preserve">a </w:t>
      </w:r>
      <w:r w:rsidR="004B4D8A">
        <w:t>socially awkward and misfit individual with</w:t>
      </w:r>
      <w:r w:rsidR="004D5897">
        <w:t xml:space="preserve"> disabilities </w:t>
      </w:r>
      <w:r w:rsidR="006A7632">
        <w:t>or</w:t>
      </w:r>
      <w:r w:rsidR="004B4D8A">
        <w:t xml:space="preserve"> FD has progressively been challenged in pro of inclusion</w:t>
      </w:r>
      <w:r w:rsidR="006A7632">
        <w:t xml:space="preserve">; people with visible differences now appear in fashion magazines, advertising and </w:t>
      </w:r>
      <w:r w:rsidR="006A7632" w:rsidRPr="00F94C7D">
        <w:t>toys (</w:t>
      </w:r>
      <w:r w:rsidR="00601F89" w:rsidRPr="004D2DCA">
        <w:t>Peters, 2020</w:t>
      </w:r>
      <w:r w:rsidR="006A7632" w:rsidRPr="00F94C7D">
        <w:t>).</w:t>
      </w:r>
      <w:r w:rsidR="006A7632">
        <w:t xml:space="preserve"> </w:t>
      </w:r>
      <w:r w:rsidR="004B4D8A">
        <w:t xml:space="preserve"> </w:t>
      </w:r>
      <w:r w:rsidR="00AF4271" w:rsidRPr="00C72D56">
        <w:t>Future research would benefit from replicating observational studies conducted before the introduction of these policies</w:t>
      </w:r>
      <w:r w:rsidR="001871E7">
        <w:t>.</w:t>
      </w:r>
      <w:r w:rsidR="00AF4271" w:rsidRPr="00C72D56">
        <w:t xml:space="preserve"> </w:t>
      </w:r>
      <w:r w:rsidR="001871E7">
        <w:t>It would also be appropriate</w:t>
      </w:r>
      <w:r w:rsidR="00AF4271" w:rsidRPr="00C72D56">
        <w:t xml:space="preserve"> to complement research efforts by expanding the observational exercise to other non-verbal manifestations (e.g.</w:t>
      </w:r>
      <w:r w:rsidR="00AF4271">
        <w:t>,</w:t>
      </w:r>
      <w:r w:rsidR="00AF4271" w:rsidRPr="00C72D56">
        <w:t xml:space="preserve"> staring, facial expressions). </w:t>
      </w:r>
    </w:p>
    <w:p w14:paraId="50F45CCF" w14:textId="440802D8" w:rsidR="00493986" w:rsidRPr="00C72D56" w:rsidRDefault="00493986" w:rsidP="00493986"/>
    <w:p w14:paraId="49995DD8" w14:textId="77777777" w:rsidR="00493986" w:rsidRPr="00C72D56" w:rsidRDefault="00493986" w:rsidP="00493986">
      <w:pPr>
        <w:pStyle w:val="Heading3"/>
      </w:pPr>
      <w:r w:rsidRPr="00C72D56">
        <w:t xml:space="preserve"> </w:t>
      </w:r>
      <w:bookmarkStart w:id="39" w:name="_Toc12024628"/>
      <w:bookmarkEnd w:id="38"/>
      <w:r w:rsidRPr="00C72D56">
        <w:t>Perception of FD in non-western samples</w:t>
      </w:r>
      <w:bookmarkEnd w:id="39"/>
    </w:p>
    <w:p w14:paraId="1BB20FD9" w14:textId="211B4A19" w:rsidR="00493986" w:rsidRPr="00C72D56" w:rsidRDefault="00493986" w:rsidP="00312E49">
      <w:pPr>
        <w:ind w:firstLine="0"/>
      </w:pPr>
      <w:r w:rsidRPr="00C72D56">
        <w:t xml:space="preserve">All studies reporting data from </w:t>
      </w:r>
      <w:r w:rsidR="004A2C0E">
        <w:t>Low- and Middle-Income Countries (L</w:t>
      </w:r>
      <w:r w:rsidRPr="00C72D56">
        <w:t>MIC</w:t>
      </w:r>
      <w:r w:rsidR="004A2C0E">
        <w:t>)</w:t>
      </w:r>
      <w:r w:rsidRPr="00C72D56">
        <w:t xml:space="preserve"> settings were conducted in Nigerian samples, focusing on strabismus and CLP. Knowledge about causes, treatment and societal implications of FD were an outcome variable in all four studies, perhaps because literacy levels and access to formal education in most LMIC are considerably low compared to developed nations; literacy rates in Nigeria are as low as 49.7% for women and 69.2% for males (Kazeem, Jensen, &amp; Stokes, 2010; UNICEF, 2015). Indeed, Nigerian participants’ perception of strabismus and CLP was </w:t>
      </w:r>
      <w:r w:rsidRPr="00C72D56">
        <w:lastRenderedPageBreak/>
        <w:t xml:space="preserve">based on </w:t>
      </w:r>
      <w:r w:rsidR="00B32D9C">
        <w:t xml:space="preserve">a </w:t>
      </w:r>
      <w:r w:rsidRPr="00C72D56">
        <w:t>poor understanding of these medical conditions, enhancing stigma, hindering health seeking behaviour and delaying access to early corrective measures where available. While the study by Hughes et al. (2009) was conducted in the UK, it showed findings specific to attitudes towards FD in British South-east Asian communities have similarities with Nigerian findings. Certain religious and cultural belief systems seem to influence participants perceptions of FD, including attribution of supernatural causes of disfigurement (e.g.</w:t>
      </w:r>
      <w:r w:rsidR="008471FC">
        <w:t>,</w:t>
      </w:r>
      <w:r w:rsidRPr="00C72D56">
        <w:t xml:space="preserve"> god's will, witchcraft; Hughes et al., 2009; Oginni et al., 2010) and believed negative impact on dating, occupational and educational prospects, especially for females with FD (Gardiner et al., 2010). However, the use of cross-sectional design and descriptive analysis makes difficult to speculate on underlying processes and causal relationships between lack of knowledge, beliefs and enacted stigma reported by individuals with FD in LMIC.</w:t>
      </w:r>
    </w:p>
    <w:p w14:paraId="1916AC49" w14:textId="53DC68BA" w:rsidR="00493986" w:rsidRPr="00C72D56" w:rsidRDefault="00493986" w:rsidP="00493986">
      <w:r w:rsidRPr="00C72D56">
        <w:t xml:space="preserve">Over 90% of </w:t>
      </w:r>
      <w:r w:rsidR="00B32D9C">
        <w:t xml:space="preserve">the </w:t>
      </w:r>
      <w:r w:rsidRPr="00C72D56">
        <w:t xml:space="preserve">studies identified in this review were conducted in industrialised western societies. Thus, what is currently known about the way observers respond to FD is based on data collected from samples representative of </w:t>
      </w:r>
      <w:r w:rsidR="00B32D9C">
        <w:t xml:space="preserve">the </w:t>
      </w:r>
      <w:r w:rsidRPr="00C72D56">
        <w:t xml:space="preserve">only </w:t>
      </w:r>
      <w:r w:rsidR="00B32D9C">
        <w:t xml:space="preserve">a </w:t>
      </w:r>
      <w:r w:rsidRPr="00C72D56">
        <w:t xml:space="preserve">fraction of the world’s population. According to the WHO, compared to higher income societies, </w:t>
      </w:r>
      <w:r w:rsidR="004D2DCA">
        <w:t>L</w:t>
      </w:r>
      <w:r w:rsidR="00DB0AF8" w:rsidRPr="00C72D56">
        <w:t xml:space="preserve">ow- and </w:t>
      </w:r>
      <w:r w:rsidR="004D2DCA">
        <w:t>M</w:t>
      </w:r>
      <w:r w:rsidR="00DB0AF8" w:rsidRPr="00C72D56">
        <w:t>iddle-</w:t>
      </w:r>
      <w:r w:rsidR="004D2DCA">
        <w:t>I</w:t>
      </w:r>
      <w:r w:rsidR="00DB0AF8" w:rsidRPr="00C72D56">
        <w:t>ncome</w:t>
      </w:r>
      <w:r w:rsidRPr="00C72D56">
        <w:t xml:space="preserve"> </w:t>
      </w:r>
      <w:r w:rsidR="004D2DCA">
        <w:t>C</w:t>
      </w:r>
      <w:r w:rsidRPr="00C72D56">
        <w:t>ountries (LMIC) have considerably higher rates of injuries that may lead to disfigurement, such as traffic accidents, falls and fires (Krug &amp; Organization, 1999).  Moreover, tropical and sub-tropical regions of the world have natural conditions where bacterial and viral diseases associated with disfigurement thrive (e.g.</w:t>
      </w:r>
      <w:r w:rsidR="008471FC">
        <w:t>,</w:t>
      </w:r>
      <w:r w:rsidRPr="00C72D56">
        <w:t xml:space="preserve"> Buruli ulcer, leprosy;</w:t>
      </w:r>
      <w:r w:rsidR="006F0795">
        <w:t xml:space="preserve"> </w:t>
      </w:r>
      <w:r w:rsidRPr="00C72D56">
        <w:t xml:space="preserve">Merritt et al., 2010; Noordeen, 1998). Many countries in this geographical area lack basic sanitary conditions, which facilitates the spreading of parasitic infections through contaminated water and food sources. Consequently, the prevalence of these diseases in areas close to the equator is larger (Waksman, 1975), but the understanding of how individuals with FD are perceived in this part of the world is largely speculative. If stigmatisation towards FD serves evolutionary functions of protection against parasitic infections, analysis of data from contexts with </w:t>
      </w:r>
      <w:r w:rsidR="00B32D9C">
        <w:t xml:space="preserve">a </w:t>
      </w:r>
      <w:r w:rsidRPr="00C72D56">
        <w:t xml:space="preserve">higher prevalence of neglected tropical diseases would contribute greatly towards testing the hypothesis of stigma as a disease-avoidant mechanism in the species.   </w:t>
      </w:r>
    </w:p>
    <w:p w14:paraId="15DC25B1" w14:textId="77777777" w:rsidR="00493986" w:rsidRPr="00C72D56" w:rsidRDefault="00493986" w:rsidP="00493986">
      <w:pPr>
        <w:pStyle w:val="Heading3"/>
      </w:pPr>
      <w:bookmarkStart w:id="40" w:name="_Toc12024629"/>
      <w:r w:rsidRPr="00C72D56">
        <w:t>Implications of FD and anti-stigma intervention strategies</w:t>
      </w:r>
      <w:bookmarkEnd w:id="40"/>
    </w:p>
    <w:p w14:paraId="399EC17B" w14:textId="452EC08B" w:rsidR="00493986" w:rsidRPr="00C72D56" w:rsidRDefault="00493986" w:rsidP="00312E49">
      <w:pPr>
        <w:ind w:firstLine="0"/>
      </w:pPr>
      <w:r w:rsidRPr="00C72D56">
        <w:t>FD hinders dating prospects (Mojon-Azzi et al., 2008) and employability (Madera &amp; Hebl, 2012; Stone &amp; Wright, 2013) of those affected by it. This discriminatory behaviour is comparable to that directed to physical disabilities (e.g.</w:t>
      </w:r>
      <w:r w:rsidR="008471FC">
        <w:t>,</w:t>
      </w:r>
      <w:r w:rsidRPr="00C72D56">
        <w:t xml:space="preserve"> mobility impairment; Stone &amp; Wright, 201</w:t>
      </w:r>
      <w:r w:rsidR="004A2C0E">
        <w:t>3</w:t>
      </w:r>
      <w:r w:rsidRPr="00C72D56">
        <w:t>). Arguably, there ha</w:t>
      </w:r>
      <w:r w:rsidR="00B32D9C">
        <w:t>ve</w:t>
      </w:r>
      <w:r w:rsidRPr="00C72D56">
        <w:t xml:space="preserve"> been significantly fewer efforts to seek inclusion of individuals with FD; for instance, the UK only included severe forms of FD within </w:t>
      </w:r>
      <w:r w:rsidRPr="00C72D56">
        <w:lastRenderedPageBreak/>
        <w:t xml:space="preserve">positive discrimination laws in 2010, and to date, there is a gap in the literature about effective intervention strategies that could reduce public stigma towards FD. </w:t>
      </w:r>
    </w:p>
    <w:p w14:paraId="1A715EC8" w14:textId="704D61EF" w:rsidR="00493986" w:rsidRPr="00C72D56" w:rsidRDefault="00493986" w:rsidP="00493986">
      <w:r w:rsidRPr="00C72D56">
        <w:t xml:space="preserve">Only one article included in the review tested the effectiveness of an anti-stigma strategy. Bogart and Tickle-Degnen (2015) investigated education strategies on observers’ attitudes regarding </w:t>
      </w:r>
      <w:r w:rsidR="00B32D9C">
        <w:t xml:space="preserve">the </w:t>
      </w:r>
      <w:r w:rsidRPr="00C72D56">
        <w:t xml:space="preserve">extraversion of individuals with facial paralysis (FP). </w:t>
      </w:r>
      <w:r w:rsidR="00226A56">
        <w:t>S</w:t>
      </w:r>
      <w:r w:rsidRPr="00C72D56">
        <w:t>tudents were randomly assigned to either an education, an Education+feedback or a control condition, before completing a rating on their perceived extraversion of a target with FP portrait in a video-clip; in both experimental conditions</w:t>
      </w:r>
      <w:r w:rsidR="00226A56">
        <w:t>,</w:t>
      </w:r>
      <w:r w:rsidRPr="00C72D56">
        <w:t xml:space="preserve"> participants read a text about the characteristics and impact of FP and </w:t>
      </w:r>
      <w:r w:rsidR="00226A56">
        <w:t xml:space="preserve">then </w:t>
      </w:r>
      <w:r w:rsidRPr="00C72D56">
        <w:t xml:space="preserve">were instructed to focus on the non-verbal and verbal language of the target to inform ratings. Those assigned to the Education+feedback condition were given the feedback of the actual response </w:t>
      </w:r>
      <w:r w:rsidR="00226A56">
        <w:t>that</w:t>
      </w:r>
      <w:r w:rsidRPr="00C72D56">
        <w:t xml:space="preserve"> the</w:t>
      </w:r>
      <w:r w:rsidR="00226A56">
        <w:t xml:space="preserve"> person</w:t>
      </w:r>
      <w:r w:rsidRPr="00C72D56">
        <w:t xml:space="preserve"> they </w:t>
      </w:r>
      <w:r w:rsidR="00226A56">
        <w:t>evaluated gave himself</w:t>
      </w:r>
      <w:r w:rsidRPr="00C72D56">
        <w:t xml:space="preserve">.  The control group only included ratings without training nor feedback elements. Participants in the Education and Education+feedback conditions reported significantly higher ratings of extraversion than the control group, although the difference between the two experimental conditions was non-significant, suggesting that the addition of feedback within the training did not reduce bias towards FP more than education alone. </w:t>
      </w:r>
    </w:p>
    <w:p w14:paraId="0A4DE2FF" w14:textId="286A443C" w:rsidR="00493986" w:rsidRPr="00C72D56" w:rsidRDefault="00226A56" w:rsidP="00493986">
      <w:r>
        <w:t xml:space="preserve">There appear to be a robust body of evidence in support of the stigma reduction qualities of education and contact base strategies, for instance, in mental health and HIV stigma </w:t>
      </w:r>
      <w:r w:rsidR="00F94C7D">
        <w:fldChar w:fldCharType="begin" w:fldLock="1"/>
      </w:r>
      <w:r w:rsidR="00D72B62">
        <w:instrText>ADDIN CSL_CITATION {"citationItems":[{"id":"ITEM-1","itemData":{"DOI":"10.1016/j.socscimed.2013.05.027","ISSN":"1873-5347","PMID":"23787069","abstract":"The dodo bird is an Alice in Wonderland character who, at the end of a race, concludes \"Everybody has won and all must have prizes\". The dodo bird effect has been used to describe a conundrum resulting from behavior change research that fails to distinguish superiority among discrete strategies for psychotherapeutic change. Research on stigma change may find itself at this point. Advocates have developed and implemented multiple approaches to changing stigma; some of these might be shown to have more beneficial impact than others. The mental health community has been especially active in tackling stigma, so many of the examples herein come from the corresponding body of research. We divide the multiple approaches to stigma change into sets of competing or complementary perspectives and examine both the benefits and the negative unintended consequences of examples. We consider the effects of education versus contact on stigmatizers (public stigma), the stigmatized (self-stigma), and the social sphere in which the two groups engage (structural stigma). Stigma impact varies by targets and outcomes so we examine impact on knowledge versus attitudes at the population versus grassroots levels. Overall, we found that effects of contact seem greater than education for stigmatizers. For the stigmatized, approaches that target eliminating self-stigma may be less beneficial than interventions designed to promote disclosure. Targeting grassroots may yield greater impact than population-based approaches. Increasing knowledge and pity may yield unintended consequences which may undermine life opportunities of people with the illness. Our review highlighted the benefits of competing perspectives in advancing our understanding of stigma change and crafting of more effective anti-stigma interventions.","author":[{"dropping-particle":"","family":"Corrigan","given":"Patrick W","non-dropping-particle":"","parse-names":false,"suffix":""},{"dropping-particle":"","family":"Fong","given":"Mandy W M","non-dropping-particle":"","parse-names":false,"suffix":""}],"container-title":"Social science &amp; medicine (1982)","id":"ITEM-1","issued":{"date-parts":[["2014","2"]]},"page":"110-7","title":"Competing perspectives on erasing the stigma of illness: what says the dodo bird?","type":"article-journal","volume":"103"},"uris":["http://www.mendeley.com/documents/?uuid=3866b154-09fd-40ad-ab57-1b9f510dfbc9"]},{"id":"ITEM-2","itemData":{"ISSN":"0022-3956","author":[{"dropping-particle":"","family":"Morgan","given":"Amy J","non-dropping-particle":"","parse-names":false,"suffix":""},{"dropping-particle":"","family":"Reavley","given":"Nicola J","non-dropping-particle":"","parse-names":false,"suffix":""},{"dropping-particle":"","family":"Ross","given":"Anna","non-dropping-particle":"","parse-names":false,"suffix":""},{"dropping-particle":"","family":"San Too","given":"Lay","non-dropping-particle":"","parse-names":false,"suffix":""},{"dropping-particle":"","family":"Jorm","given":"Anthony F","non-dropping-particle":"","parse-names":false,"suffix":""}],"container-title":"Journal of psychiatric research","id":"ITEM-2","issued":{"date-parts":[["2018"]]},"page":"120-133","publisher":"Elsevier","title":"Interventions to reduce stigma towards people with severe mental illness: Systematic review and meta-analysis","type":"article-journal","volume":"103"},"uris":["http://www.mendeley.com/documents/?uuid=996e9d76-c7f8-4828-935e-1b6f4de3c2b9"]},{"id":"ITEM-3","itemData":{"ISSN":"0277-9536","author":[{"dropping-particle":"","family":"Mak","given":"Winnie W S","non-dropping-particle":"","parse-names":false,"suffix":""},{"dropping-particle":"","family":"Mo","given":"Phoenix K H","non-dropping-particle":"","parse-names":false,"suffix":""},{"dropping-particle":"","family":"Ma","given":"Gloria Y K","non-dropping-particle":"","parse-names":false,"suffix":""},{"dropping-particle":"","family":"Lam","given":"Maggie Y Y","non-dropping-particle":"","parse-names":false,"suffix":""}],"container-title":"Social science &amp; medicine","id":"ITEM-3","issued":{"date-parts":[["2017"]]},"page":"30-40","publisher":"Elsevier","title":"Meta-analysis and systematic review of studies on the effectiveness of HIV stigma reduction programs","type":"article-journal","volume":"188"},"uris":["http://www.mendeley.com/documents/?uuid=93f100c5-3b69-45e0-94df-d36a36fc34f6"]}],"mendeley":{"formattedCitation":"(Corrigan &amp; Fong, 2014; Mak, Mo, Ma, &amp; Lam, 2017; Morgan, Reavley, Ross, San Too, &amp; Jorm, 2018)","plainTextFormattedCitation":"(Corrigan &amp; Fong, 2014; Mak, Mo, Ma, &amp; Lam, 2017; Morgan, Reavley, Ross, San Too, &amp; Jorm, 2018)","previouslyFormattedCitation":"(Corrigan &amp; Fong, 2014; Mak, Mo, Ma, &amp; Lam, 2017; Morgan, Reavley, Ross, San Too, &amp; Jorm, 2018)"},"properties":{"noteIndex":0},"schema":"https://github.com/citation-style-language/schema/raw/master/csl-citation.json"}</w:instrText>
      </w:r>
      <w:r w:rsidR="00F94C7D">
        <w:fldChar w:fldCharType="separate"/>
      </w:r>
      <w:r w:rsidR="001871E7" w:rsidRPr="001871E7">
        <w:rPr>
          <w:noProof/>
        </w:rPr>
        <w:t>(Corrigan &amp; Fong, 2014; Mak, Mo, Ma, &amp; Lam, 2017; Morgan, Reavley, Ross, San Too, &amp; Jorm, 2018)</w:t>
      </w:r>
      <w:r w:rsidR="00F94C7D">
        <w:fldChar w:fldCharType="end"/>
      </w:r>
      <w:r>
        <w:t xml:space="preserve">. Findings from </w:t>
      </w:r>
      <w:r w:rsidRPr="00C72D56">
        <w:t>Bogart and Tickle-Degnen (2015)</w:t>
      </w:r>
      <w:r>
        <w:t xml:space="preserve"> indicate that </w:t>
      </w:r>
      <w:r w:rsidR="007E4F47">
        <w:t>education</w:t>
      </w:r>
      <w:r>
        <w:t xml:space="preserve"> anti-stigma strategies may</w:t>
      </w:r>
      <w:r w:rsidR="007E4F47">
        <w:t xml:space="preserve"> also</w:t>
      </w:r>
      <w:r>
        <w:t xml:space="preserve"> help improve perceptions of FD</w:t>
      </w:r>
      <w:r w:rsidR="007E4F47">
        <w:t>, however the literature would benefit from testing whether education can influence more complex and less face value measures of stigma (e.g., eye-tracking, implicit attitudes)</w:t>
      </w:r>
      <w:r>
        <w:t>.</w:t>
      </w:r>
      <w:r w:rsidR="007E4F47">
        <w:t xml:space="preserve"> </w:t>
      </w:r>
      <w:r>
        <w:t xml:space="preserve"> </w:t>
      </w:r>
      <w:r w:rsidR="007E4F47">
        <w:t>In addition, literature would be complemented with studies testing whether traditionally more effective forms of</w:t>
      </w:r>
      <w:r w:rsidR="00493986" w:rsidRPr="00C72D56">
        <w:t xml:space="preserve"> anti-stigma strategies</w:t>
      </w:r>
      <w:r w:rsidR="007E4F47">
        <w:t xml:space="preserve">, like contact </w:t>
      </w:r>
      <w:r w:rsidR="007E4F47" w:rsidRPr="00C72D56">
        <w:t>(e.g.</w:t>
      </w:r>
      <w:r w:rsidR="007E4F47">
        <w:t>,</w:t>
      </w:r>
      <w:r w:rsidR="007E4F47" w:rsidRPr="00C72D56">
        <w:t xml:space="preserve"> Reinke &amp; Corrigan, 2004)</w:t>
      </w:r>
      <w:r w:rsidR="007E4F47">
        <w:t>, can also reduce stigma towards</w:t>
      </w:r>
      <w:r w:rsidR="00493986" w:rsidRPr="00C72D56">
        <w:t xml:space="preserve"> FD. </w:t>
      </w:r>
    </w:p>
    <w:p w14:paraId="6909F6EC" w14:textId="77777777" w:rsidR="00493986" w:rsidRPr="00C72D56" w:rsidRDefault="00493986" w:rsidP="00493986">
      <w:pPr>
        <w:pStyle w:val="Heading3"/>
      </w:pPr>
      <w:bookmarkStart w:id="41" w:name="_Toc12024630"/>
      <w:r w:rsidRPr="00C72D56">
        <w:t xml:space="preserve">Nomenclature of FD used in </w:t>
      </w:r>
      <w:r w:rsidR="00B32D9C">
        <w:t xml:space="preserve">the </w:t>
      </w:r>
      <w:r w:rsidRPr="00C72D56">
        <w:t>academic literature</w:t>
      </w:r>
      <w:bookmarkEnd w:id="41"/>
    </w:p>
    <w:p w14:paraId="344DA059" w14:textId="3F34A09C" w:rsidR="00EB3F05" w:rsidRDefault="00493986" w:rsidP="00312E49">
      <w:pPr>
        <w:ind w:firstLine="0"/>
      </w:pPr>
      <w:r w:rsidRPr="00C72D56">
        <w:t>Reporting information discussing disfigurement for public and scientific dissemination is often surrounded by controversy; for example, charities like Changing Faces advocate for organisations and public to abstain from using certain words that could potentially have a pejorative connotation (e.g.</w:t>
      </w:r>
      <w:r w:rsidR="008471FC">
        <w:t xml:space="preserve">, </w:t>
      </w:r>
      <w:r w:rsidRPr="00C72D56">
        <w:t xml:space="preserve">deviant). The relationship between terminology and public perception of commonly stigmatised conditions is not yet well understood. However, </w:t>
      </w:r>
      <w:r w:rsidR="00EB3F05">
        <w:t>it has been found that</w:t>
      </w:r>
      <w:r w:rsidRPr="00C72D56">
        <w:t xml:space="preserve"> </w:t>
      </w:r>
      <w:r w:rsidR="00EB3F05">
        <w:t xml:space="preserve">words that are </w:t>
      </w:r>
      <w:r w:rsidRPr="00C72D56">
        <w:t>unfamiliar and difficult to pronounce</w:t>
      </w:r>
      <w:r w:rsidR="00EB3F05">
        <w:t xml:space="preserve"> </w:t>
      </w:r>
      <w:r w:rsidR="00B32D9C">
        <w:t>are</w:t>
      </w:r>
      <w:r w:rsidRPr="00C72D56">
        <w:t xml:space="preserve"> associated with negative affect (Reber, Schwarz, &amp; Winkielman, 2004; Schwarz, 2004) and greater perceptions of risk (Song &amp; Schwarz, 2009). For example, Young, Norman, </w:t>
      </w:r>
      <w:r w:rsidRPr="00C72D56">
        <w:lastRenderedPageBreak/>
        <w:t xml:space="preserve">and Humphreys (2008) observed that using medical terminology was associated with conditions being perceived as more serious and less prevalent than when using </w:t>
      </w:r>
      <w:r w:rsidR="00B32D9C">
        <w:t xml:space="preserve">a </w:t>
      </w:r>
      <w:r w:rsidRPr="00C72D56">
        <w:t>common language (e.g.</w:t>
      </w:r>
      <w:r w:rsidR="008471FC">
        <w:t xml:space="preserve">, </w:t>
      </w:r>
      <w:r w:rsidRPr="00C72D56">
        <w:t xml:space="preserve">pharyngitis rather than sore throat).  Whether this ‘medical nomenclature-perception’ relationship can be extrapolated to FD is still unknown. </w:t>
      </w:r>
    </w:p>
    <w:p w14:paraId="3E52B4F8" w14:textId="6B1B3C88" w:rsidR="00493986" w:rsidRPr="00C72D56" w:rsidRDefault="00EB3F05" w:rsidP="004D2DCA">
      <w:r>
        <w:t>R</w:t>
      </w:r>
      <w:r w:rsidR="00493986" w:rsidRPr="00C72D56">
        <w:t>esults from this review revealed that nomenclature of FD used in the academic literature commonly contain terms that could potentially encourage a negative perception of disfigurement (e.g.</w:t>
      </w:r>
      <w:r w:rsidR="008471FC">
        <w:t xml:space="preserve">, </w:t>
      </w:r>
      <w:r w:rsidR="00493986" w:rsidRPr="00C72D56">
        <w:t>abnormalities;</w:t>
      </w:r>
      <w:r w:rsidR="006F0795">
        <w:t xml:space="preserve"> </w:t>
      </w:r>
      <w:r w:rsidR="00493986" w:rsidRPr="00C72D56">
        <w:t xml:space="preserve">Godoy et al., 2011). </w:t>
      </w:r>
      <w:r>
        <w:t xml:space="preserve">However, the use of </w:t>
      </w:r>
      <w:r w:rsidR="003A6C2C">
        <w:t>more neutral nouns</w:t>
      </w:r>
      <w:r>
        <w:t xml:space="preserve"> such as ‘visible difference’ and ‘facial difference’ was also found within the terminology used by </w:t>
      </w:r>
      <w:r w:rsidR="00041939">
        <w:t>researchers</w:t>
      </w:r>
      <w:r>
        <w:t xml:space="preserve"> in this topic</w:t>
      </w:r>
      <w:r w:rsidR="00041939">
        <w:t xml:space="preserve"> (e.g.</w:t>
      </w:r>
      <w:r w:rsidR="00F94C7D">
        <w:t xml:space="preserve">, </w:t>
      </w:r>
      <w:r w:rsidR="00F94C7D">
        <w:fldChar w:fldCharType="begin" w:fldLock="1"/>
      </w:r>
      <w:r w:rsidR="00D72B62">
        <w:instrText>ADDIN CSL_CITATION {"citationItems":[{"id":"ITEM-1","itemData":{"ISSN":"1354-8506","author":[{"dropping-particle":"","family":"Roberts","given":"Rachel M","non-dropping-particle":"","parse-names":false,"suffix":""},{"dropping-particle":"","family":"Neate","given":"Grace M","non-dropping-particle":"","parse-names":false,"suffix":""},{"dropping-particle":"","family":"Gierasch","given":"Amanda","non-dropping-particle":"","parse-names":false,"suffix":""}],"container-title":"Psychology, health &amp; medicine","id":"ITEM-1","issue":"3","issued":{"date-parts":[["2017"]]},"page":"352-358","publisher":"Taylor &amp; Francis","title":"Implicit attitudes towards people with visible difference: findings from an Implicit Association Test","type":"article-journal","volume":"22"},"uris":["http://www.mendeley.com/documents/?uuid=90b47c35-9841-4e1c-b5aa-e5716179b461"]}],"mendeley":{"formattedCitation":"(Roberts, Neate, &amp; Gierasch, 2017)","manualFormatting":"Roberts et al., 2017)","plainTextFormattedCitation":"(Roberts, Neate, &amp; Gierasch, 2017)","previouslyFormattedCitation":"(Roberts, Neate, &amp; Gierasch, 2017)"},"properties":{"noteIndex":0},"schema":"https://github.com/citation-style-language/schema/raw/master/csl-citation.json"}</w:instrText>
      </w:r>
      <w:r w:rsidR="00F94C7D">
        <w:fldChar w:fldCharType="separate"/>
      </w:r>
      <w:r w:rsidR="00F94C7D" w:rsidRPr="00F94C7D">
        <w:rPr>
          <w:noProof/>
        </w:rPr>
        <w:t>Roberts et al., 2017)</w:t>
      </w:r>
      <w:r w:rsidR="00F94C7D">
        <w:fldChar w:fldCharType="end"/>
      </w:r>
      <w:r>
        <w:t xml:space="preserve">. </w:t>
      </w:r>
      <w:r w:rsidR="00493986" w:rsidRPr="00C72D56">
        <w:t xml:space="preserve">Although more experimental data should be obtained to examine whether the choice of words to refer to disfigurement has a negative impact on public’s perceptions, scientific publications should be more conservative with the use of language, perhaps by </w:t>
      </w:r>
      <w:r w:rsidR="003A6C2C">
        <w:t xml:space="preserve">avoiding the use of wording that perpetuate stereotypes about disfigurement (e.g., abnormal or deviant). Furthermore, inclusion efforts should continue to target the use of more inclusive language in research, policies and mass media.  </w:t>
      </w:r>
      <w:r w:rsidR="00493986" w:rsidRPr="00C72D56">
        <w:t xml:space="preserve">  </w:t>
      </w:r>
    </w:p>
    <w:p w14:paraId="05F563E4" w14:textId="77777777" w:rsidR="00493986" w:rsidRPr="00C72D56" w:rsidRDefault="00493986" w:rsidP="00493986">
      <w:pPr>
        <w:pStyle w:val="Heading3"/>
      </w:pPr>
      <w:bookmarkStart w:id="42" w:name="_Toc12024631"/>
      <w:r w:rsidRPr="00C72D56">
        <w:t>Limitations of included studies</w:t>
      </w:r>
      <w:bookmarkEnd w:id="42"/>
    </w:p>
    <w:p w14:paraId="3205D47B" w14:textId="77777777" w:rsidR="00493986" w:rsidRPr="00C72D56" w:rsidRDefault="00493986" w:rsidP="00312E49">
      <w:pPr>
        <w:ind w:firstLine="0"/>
      </w:pPr>
      <w:r w:rsidRPr="00C72D56">
        <w:t>Authors used different scales to measure perceived personality traits and thus, direct comparisons are not feasible. Some instruments may be more susceptible to social desirability effects than others; for example, Stone and Potton (2014) found that participants reported more negative emotions towards FD when they perceived higher anonymity of their responses.  This is consistent with other studies reporting the influence of social desirability in explicit ratings towards commonly stigmatised groups (e.g.</w:t>
      </w:r>
      <w:r w:rsidR="008471FC">
        <w:t xml:space="preserve">, </w:t>
      </w:r>
      <w:r w:rsidRPr="00C72D56">
        <w:t>mental health stigma; Henderson et al., 2012). However, self-report instruments and settings of data collection can be adapted to decrease the influence of social desirability effects, for instance by developing instruments with less face value (Error-test in the study of mental health stigma; (Michaels &amp; Corrigan, 2013) and providing a contexts of data collection that elicits higher spontaneity and greater perception of anonymity. It would be relevant for future studies to provide more comprehensive reports of demographics, sampling</w:t>
      </w:r>
      <w:r w:rsidR="00B32D9C">
        <w:t>,</w:t>
      </w:r>
      <w:r w:rsidRPr="00C72D56">
        <w:t xml:space="preserve"> and data collection efforts, as many of the reviewed studies were weak on these points. Similarly, many quantitative studies included in this review did not report power analyses and thus it was unclear whether the sample sizes were representative (Faber &amp; Fonseca, 2014). </w:t>
      </w:r>
    </w:p>
    <w:p w14:paraId="24B5446F" w14:textId="77777777" w:rsidR="00493986" w:rsidRPr="00C72D56" w:rsidRDefault="00493986" w:rsidP="000F1616">
      <w:pPr>
        <w:pStyle w:val="Heading3"/>
      </w:pPr>
      <w:bookmarkStart w:id="43" w:name="_Toc12024632"/>
      <w:r w:rsidRPr="00C72D56">
        <w:t>Limitations of the review</w:t>
      </w:r>
      <w:bookmarkEnd w:id="43"/>
      <w:r w:rsidRPr="00C72D56" w:rsidDel="00783B8B">
        <w:t xml:space="preserve"> </w:t>
      </w:r>
    </w:p>
    <w:p w14:paraId="590F1051" w14:textId="77777777" w:rsidR="00493986" w:rsidRPr="00C72D56" w:rsidRDefault="00493986" w:rsidP="00312E49">
      <w:pPr>
        <w:ind w:firstLine="0"/>
      </w:pPr>
      <w:r w:rsidRPr="00C72D56">
        <w:t xml:space="preserve">This literature review has a number of limitations that must be acknowledged. First, the search did not include grey literature and therefore results risk being influenced by </w:t>
      </w:r>
      <w:r w:rsidRPr="00C72D56">
        <w:lastRenderedPageBreak/>
        <w:t xml:space="preserve">publication biases. Second, although the search process was performed in a systematic, thorough manner, it is possible that the authors have not included search terms leading to studies of stigma towards very specific medical conditions that affect facial appearance. Finally, this review is limited to publications in English and it is possible that studies written in other languages were not identified, although Non-English peer-review journals are rare in the literature (Fung, 2008). </w:t>
      </w:r>
    </w:p>
    <w:p w14:paraId="31F1E3E5" w14:textId="77777777" w:rsidR="00493986" w:rsidRPr="00C72D56" w:rsidRDefault="00493986" w:rsidP="000F1616">
      <w:pPr>
        <w:pStyle w:val="Heading3"/>
      </w:pPr>
      <w:bookmarkStart w:id="44" w:name="_Toc12024633"/>
      <w:r w:rsidRPr="00C72D56">
        <w:t>Conclusions and recommendations for future research</w:t>
      </w:r>
      <w:bookmarkEnd w:id="44"/>
    </w:p>
    <w:p w14:paraId="27C09452" w14:textId="77777777" w:rsidR="00493986" w:rsidRPr="00C72D56" w:rsidRDefault="00493986" w:rsidP="00312E49">
      <w:pPr>
        <w:ind w:firstLine="0"/>
      </w:pPr>
      <w:r w:rsidRPr="00C72D56">
        <w:t>The literature suggests that observers process and evaluate FD differently than targets without FD. This, in turn, often negatively impacts the lives of those living with FD. Although the publication of studies examining observers’ responses towards FD has increased in number and quality over the last two decades, there is still limited understanding of the process of stigmatisation towards FD. For instance, the study stigmatisation towards FD in LMIC is virtually non-existent and yet indispensable to test hypotheses regarding stigmatisation as a protective mechanism of the species. Future research would benefit from designs that go beyond the cross-sectional scope to grant greater external validity and generalisability to their findings. In addition, more rigorous instruments, especially questionnaires measuring explicit attitudes, should be designed, particularly to address social desirability bias. Only one study tested strategies to reduce stigma levels amongst the public (Bogart &amp; Tickle-Degnen, 2015). The literature would benefit from testing anti-stigma strategies that have been shown effective in the case of other commonly stigmatised targets (e.g.</w:t>
      </w:r>
      <w:r w:rsidR="008471FC">
        <w:t xml:space="preserve">, </w:t>
      </w:r>
      <w:r w:rsidRPr="00C72D56">
        <w:t>imagined contact; (Miles &amp; Crisp, 2013). Scientific development should seek to feed societal change; for instance, by facilitating the access to corrective surgery and reinforcing positive discrimination policies to improve participation of individuals with FD in all areas of society (e.g.</w:t>
      </w:r>
      <w:r w:rsidR="008471FC">
        <w:t xml:space="preserve">, </w:t>
      </w:r>
      <w:r w:rsidRPr="00C72D56">
        <w:t>publicity).</w:t>
      </w:r>
    </w:p>
    <w:p w14:paraId="2206D63F" w14:textId="77777777" w:rsidR="00493986" w:rsidRPr="00C72D56" w:rsidRDefault="00493986" w:rsidP="00B51FDD"/>
    <w:p w14:paraId="7B55FB29" w14:textId="77777777" w:rsidR="00B51FDD" w:rsidRPr="00125F07" w:rsidRDefault="00B51FDD" w:rsidP="00B13C71">
      <w:pPr>
        <w:ind w:firstLine="0"/>
      </w:pPr>
    </w:p>
    <w:p w14:paraId="2C9150A7" w14:textId="77777777" w:rsidR="000F1616" w:rsidRPr="00D40C27" w:rsidRDefault="000F1616" w:rsidP="000F1616">
      <w:pPr>
        <w:pStyle w:val="Heading1"/>
      </w:pPr>
      <w:bookmarkStart w:id="45" w:name="_Toc12024634"/>
      <w:bookmarkStart w:id="46" w:name="_Hlk11884432"/>
      <w:r w:rsidRPr="00D40C27">
        <w:lastRenderedPageBreak/>
        <w:t>Chapter 3: Explicit and implicit attitudes towards facial disfigurement: the role of disgust sensitivity, appearance related cognitions and motivations to respond without prejudice.</w:t>
      </w:r>
      <w:bookmarkEnd w:id="45"/>
    </w:p>
    <w:p w14:paraId="5DCFDAC7" w14:textId="77777777" w:rsidR="00762FF7" w:rsidRDefault="00762FF7" w:rsidP="007A3FE4">
      <w:pPr>
        <w:pStyle w:val="Heading2"/>
      </w:pPr>
      <w:bookmarkStart w:id="47" w:name="_Toc12024635"/>
      <w:bookmarkEnd w:id="46"/>
      <w:r w:rsidRPr="00125F07">
        <w:t>Introduction</w:t>
      </w:r>
      <w:bookmarkEnd w:id="47"/>
    </w:p>
    <w:p w14:paraId="0A08E268" w14:textId="7D0A0CE4"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0"/>
        <w:rPr>
          <w:rFonts w:eastAsia="SimSun"/>
          <w:bCs/>
          <w:color w:val="auto"/>
          <w:lang w:eastAsia="zh-CN"/>
        </w:rPr>
      </w:pPr>
      <w:r w:rsidRPr="00D40C27">
        <w:rPr>
          <w:rFonts w:eastAsia="SimSun"/>
          <w:bCs/>
          <w:color w:val="auto"/>
          <w:lang w:eastAsia="zh-CN"/>
        </w:rPr>
        <w:t xml:space="preserve">Individuals with a FD often report being stigmatised by members of the public, which is presented in the form of  behaviours such as staring, unsolicited comments, and exclusion </w:t>
      </w:r>
      <w:r w:rsidRPr="00D40C27">
        <w:rPr>
          <w:rFonts w:eastAsia="SimSun"/>
          <w:bCs/>
          <w:noProof/>
          <w:color w:val="auto"/>
          <w:lang w:eastAsia="zh-CN"/>
        </w:rPr>
        <w:t>(Hodge, 2017; Thompson &amp; Kent, 2001)</w:t>
      </w:r>
      <w:r w:rsidRPr="00D40C27">
        <w:rPr>
          <w:rFonts w:eastAsia="SimSun"/>
          <w:bCs/>
          <w:color w:val="auto"/>
          <w:lang w:eastAsia="zh-CN"/>
        </w:rPr>
        <w:t xml:space="preserve">. For instance, a study conducted by Changing Faces with a sample of over 800 visibly different individuals found that 81.3% of participants reported experiencing unpleasant responses from strangers (Changing Faces, 2017). This perceived discrimination is consistent with studies suggesting that people with disfigurement are discriminated against and face disadvantages in educational, occupational and dating prospects </w:t>
      </w:r>
      <w:r w:rsidRPr="00D40C27">
        <w:rPr>
          <w:rFonts w:eastAsia="SimSun"/>
          <w:bCs/>
          <w:noProof/>
          <w:color w:val="auto"/>
          <w:lang w:eastAsia="zh-CN"/>
        </w:rPr>
        <w:t>(Hong, Koo, &amp; Koo, 2008; Hughes et al., 2009; Madera, 2016; Mojon-Azzi &amp; Mojon, 2007)</w:t>
      </w:r>
      <w:r w:rsidRPr="00D40C27">
        <w:rPr>
          <w:rFonts w:eastAsia="SimSun"/>
          <w:bCs/>
          <w:color w:val="auto"/>
          <w:lang w:eastAsia="zh-CN"/>
        </w:rPr>
        <w:t xml:space="preserve">.  Individuals with FD are commonly rated by observers as less attractive </w:t>
      </w:r>
      <w:r w:rsidRPr="00D40C27">
        <w:rPr>
          <w:rFonts w:eastAsia="SimSun"/>
          <w:noProof/>
          <w:color w:val="auto"/>
          <w:lang w:eastAsia="zh-CN"/>
        </w:rPr>
        <w:t>(Green-Armytage, Simonds, John, &amp; Woodger, 2019 Roberts &amp; Gierasch, 2013)</w:t>
      </w:r>
      <w:r w:rsidRPr="00D40C27">
        <w:rPr>
          <w:rFonts w:eastAsia="SimSun"/>
          <w:bCs/>
          <w:color w:val="auto"/>
          <w:lang w:eastAsia="zh-CN"/>
        </w:rPr>
        <w:t xml:space="preserve">, less trustworthy </w:t>
      </w:r>
      <w:r w:rsidRPr="00D40C27">
        <w:rPr>
          <w:rFonts w:eastAsia="SimSun"/>
          <w:noProof/>
          <w:color w:val="auto"/>
          <w:lang w:eastAsia="zh-CN"/>
        </w:rPr>
        <w:t xml:space="preserve">(Halioua et al., 2011; Jamrozik, Oraa Ali, Sarwer, &amp; Chatterjee, 2017; Rankin &amp; Borah, 2003; Rinnerthaler et al., 2006) </w:t>
      </w:r>
      <w:r w:rsidRPr="00D40C27">
        <w:rPr>
          <w:rFonts w:eastAsia="SimSun"/>
          <w:bCs/>
          <w:color w:val="auto"/>
          <w:lang w:eastAsia="zh-CN"/>
        </w:rPr>
        <w:t>and less intellectually capable (</w:t>
      </w:r>
      <w:r w:rsidRPr="00D40C27">
        <w:rPr>
          <w:rFonts w:eastAsia="SimSun"/>
          <w:noProof/>
          <w:color w:val="auto"/>
          <w:lang w:eastAsia="zh-CN"/>
        </w:rPr>
        <w:t>Dijker, Tacken, &amp; Borne, 2000; Hughes et al., 2009; Madera &amp; Hebl, 2012; S M Mojon-Azzi et al., 2008; Rankin &amp; Borah, 2003)</w:t>
      </w:r>
      <w:r w:rsidRPr="00D40C27">
        <w:rPr>
          <w:rFonts w:eastAsia="SimSun"/>
          <w:bCs/>
          <w:color w:val="auto"/>
          <w:lang w:eastAsia="zh-CN"/>
        </w:rPr>
        <w:t xml:space="preserve"> than targets without FD. </w:t>
      </w:r>
    </w:p>
    <w:p w14:paraId="11E268A8" w14:textId="041914B3"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color w:val="auto"/>
          <w:lang w:eastAsia="zh-CN"/>
        </w:rPr>
      </w:pPr>
      <w:r w:rsidRPr="00D40C27">
        <w:rPr>
          <w:rFonts w:eastAsia="SimSun"/>
          <w:bCs/>
          <w:color w:val="auto"/>
          <w:lang w:eastAsia="zh-CN"/>
        </w:rPr>
        <w:t>The face is a central feature in social exchange as it offers relevant information regarding the interlocutor’s identity, mood</w:t>
      </w:r>
      <w:r w:rsidR="00B32D9C">
        <w:rPr>
          <w:rFonts w:eastAsia="SimSun"/>
          <w:bCs/>
          <w:color w:val="auto"/>
          <w:lang w:eastAsia="zh-CN"/>
        </w:rPr>
        <w:t>,</w:t>
      </w:r>
      <w:r w:rsidRPr="00D40C27">
        <w:rPr>
          <w:rFonts w:eastAsia="SimSun"/>
          <w:bCs/>
          <w:color w:val="auto"/>
          <w:lang w:eastAsia="zh-CN"/>
        </w:rPr>
        <w:t xml:space="preserve"> and non-verbal language </w:t>
      </w:r>
      <w:r w:rsidRPr="00D40C27">
        <w:rPr>
          <w:rFonts w:eastAsia="SimSun"/>
          <w:bCs/>
          <w:noProof/>
          <w:color w:val="auto"/>
          <w:lang w:eastAsia="zh-CN"/>
        </w:rPr>
        <w:t>(Siegman &amp; Feldstein, 2014)</w:t>
      </w:r>
      <w:r w:rsidRPr="00D40C27">
        <w:rPr>
          <w:rFonts w:eastAsia="SimSun"/>
          <w:bCs/>
          <w:color w:val="auto"/>
          <w:lang w:eastAsia="zh-CN"/>
        </w:rPr>
        <w:t xml:space="preserve">. Thus, it makes sense that faces with disfigurement elicit different emotional responses </w:t>
      </w:r>
      <w:r w:rsidRPr="00D40C27">
        <w:rPr>
          <w:rFonts w:eastAsia="SimSun"/>
          <w:bCs/>
          <w:noProof/>
          <w:color w:val="auto"/>
          <w:lang w:eastAsia="zh-CN"/>
        </w:rPr>
        <w:t>(Blascovich, Mendes, Hunter, Lickel, &amp; Kowai-Bell, 2001; Gardiner et al., 2010; Godoy et al., 2011)</w:t>
      </w:r>
      <w:r w:rsidRPr="00D40C27">
        <w:rPr>
          <w:rFonts w:eastAsia="SimSun"/>
          <w:bCs/>
          <w:color w:val="auto"/>
          <w:lang w:eastAsia="zh-CN"/>
        </w:rPr>
        <w:t xml:space="preserve"> and are processed and evaluated differently t</w:t>
      </w:r>
      <w:r w:rsidR="00DF53CC">
        <w:rPr>
          <w:rFonts w:eastAsia="SimSun"/>
          <w:bCs/>
          <w:color w:val="auto"/>
          <w:lang w:eastAsia="zh-CN"/>
        </w:rPr>
        <w:t>han</w:t>
      </w:r>
      <w:r w:rsidRPr="00D40C27">
        <w:rPr>
          <w:rFonts w:eastAsia="SimSun"/>
          <w:bCs/>
          <w:color w:val="auto"/>
          <w:lang w:eastAsia="zh-CN"/>
        </w:rPr>
        <w:t xml:space="preserve"> face</w:t>
      </w:r>
      <w:r w:rsidR="00DF53CC">
        <w:rPr>
          <w:rFonts w:eastAsia="SimSun"/>
          <w:bCs/>
          <w:color w:val="auto"/>
          <w:lang w:eastAsia="zh-CN"/>
        </w:rPr>
        <w:t>s</w:t>
      </w:r>
      <w:r w:rsidRPr="00D40C27">
        <w:rPr>
          <w:rFonts w:eastAsia="SimSun"/>
          <w:bCs/>
          <w:color w:val="auto"/>
          <w:lang w:eastAsia="zh-CN"/>
        </w:rPr>
        <w:t xml:space="preserve"> without any striking visible difference </w:t>
      </w:r>
      <w:r w:rsidRPr="00D40C27">
        <w:rPr>
          <w:rFonts w:eastAsia="SimSun"/>
          <w:bCs/>
          <w:noProof/>
          <w:color w:val="auto"/>
          <w:lang w:eastAsia="zh-CN"/>
        </w:rPr>
        <w:t>(e.g.</w:t>
      </w:r>
      <w:r w:rsidR="008471FC">
        <w:rPr>
          <w:rFonts w:eastAsia="SimSun"/>
          <w:bCs/>
          <w:noProof/>
          <w:color w:val="auto"/>
          <w:lang w:eastAsia="zh-CN"/>
        </w:rPr>
        <w:t xml:space="preserve">, </w:t>
      </w:r>
      <w:r w:rsidRPr="00D40C27">
        <w:rPr>
          <w:rFonts w:eastAsia="SimSun"/>
          <w:bCs/>
          <w:noProof/>
          <w:color w:val="auto"/>
          <w:lang w:eastAsia="zh-CN"/>
        </w:rPr>
        <w:t>Ackerman et al., 2009; Rinnerthaler, Mueller, Weichbold, Wenning, &amp; Poewe, 2006)</w:t>
      </w:r>
      <w:r w:rsidRPr="00D40C27">
        <w:rPr>
          <w:rFonts w:eastAsia="SimSun"/>
          <w:bCs/>
          <w:color w:val="auto"/>
          <w:lang w:eastAsia="zh-CN"/>
        </w:rPr>
        <w:t>. However, explicit attitudes towards FD have not been found to be consistently negative in the literature and a number of studies have reported non-significant differences between evaluations of people with and without disfigurement (e.g.</w:t>
      </w:r>
      <w:r w:rsidR="00DF53CC">
        <w:rPr>
          <w:rFonts w:eastAsia="SimSun"/>
          <w:bCs/>
          <w:noProof/>
          <w:color w:val="auto"/>
          <w:lang w:eastAsia="zh-CN"/>
        </w:rPr>
        <w:t xml:space="preserve">, </w:t>
      </w:r>
      <w:r w:rsidRPr="00D40C27">
        <w:rPr>
          <w:rFonts w:eastAsia="SimSun"/>
          <w:bCs/>
          <w:noProof/>
          <w:color w:val="auto"/>
          <w:lang w:eastAsia="zh-CN"/>
        </w:rPr>
        <w:t>Blascovich et al., 2001; Grandfield, Thompson, &amp; Turpin, 2005; Van Schijndel, Litschel, Maal, Berg, &amp; Tasman, 2015)</w:t>
      </w:r>
      <w:r w:rsidRPr="00D40C27">
        <w:rPr>
          <w:rFonts w:eastAsia="SimSun"/>
          <w:color w:val="auto"/>
          <w:lang w:eastAsia="zh-CN"/>
        </w:rPr>
        <w:t xml:space="preserve">. </w:t>
      </w:r>
    </w:p>
    <w:p w14:paraId="35D5A356" w14:textId="6426D543"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color w:val="auto"/>
          <w:lang w:eastAsia="zh-CN"/>
        </w:rPr>
      </w:pPr>
      <w:r w:rsidRPr="00D40C27">
        <w:rPr>
          <w:rFonts w:eastAsia="SimSun"/>
          <w:color w:val="auto"/>
          <w:lang w:eastAsia="zh-CN"/>
        </w:rPr>
        <w:t>According to the dual-process</w:t>
      </w:r>
      <w:r w:rsidR="00DF53CC">
        <w:rPr>
          <w:rFonts w:eastAsia="SimSun"/>
          <w:color w:val="auto"/>
          <w:lang w:eastAsia="zh-CN"/>
        </w:rPr>
        <w:t xml:space="preserve"> model</w:t>
      </w:r>
      <w:r w:rsidRPr="00D40C27">
        <w:rPr>
          <w:rFonts w:eastAsia="SimSun"/>
          <w:color w:val="auto"/>
          <w:lang w:eastAsia="zh-CN"/>
        </w:rPr>
        <w:t xml:space="preserve"> of stigma </w:t>
      </w:r>
      <w:r w:rsidRPr="00D40C27">
        <w:rPr>
          <w:rFonts w:eastAsia="SimSun"/>
          <w:noProof/>
          <w:color w:val="auto"/>
          <w:lang w:eastAsia="zh-CN"/>
        </w:rPr>
        <w:t>(Pryor, Reeder, Yeadon, &amp; Hesson-McLnnis, 2004)</w:t>
      </w:r>
      <w:r w:rsidRPr="00D40C27">
        <w:rPr>
          <w:rFonts w:eastAsia="SimSun"/>
          <w:color w:val="auto"/>
          <w:lang w:eastAsia="zh-CN"/>
        </w:rPr>
        <w:t xml:space="preserve">, stigmatisation comprises two distinctive processes; </w:t>
      </w:r>
      <w:r w:rsidRPr="00D40C27">
        <w:rPr>
          <w:rFonts w:eastAsia="SimSun"/>
          <w:i/>
          <w:iCs/>
          <w:color w:val="auto"/>
          <w:lang w:eastAsia="zh-CN"/>
        </w:rPr>
        <w:t>automatic and reflective or ruled based</w:t>
      </w:r>
      <w:r w:rsidRPr="00D40C27">
        <w:rPr>
          <w:rFonts w:eastAsia="SimSun"/>
          <w:color w:val="auto"/>
          <w:lang w:eastAsia="zh-CN"/>
        </w:rPr>
        <w:t xml:space="preserve"> (see Figure1, introduction chapter). The presence of </w:t>
      </w:r>
      <w:r w:rsidRPr="00D40C27">
        <w:rPr>
          <w:rFonts w:eastAsia="SimSun"/>
          <w:color w:val="auto"/>
          <w:lang w:eastAsia="zh-CN"/>
        </w:rPr>
        <w:lastRenderedPageBreak/>
        <w:t xml:space="preserve">stigmatised others, trigger automatic reactions such as physiological activation (threat; Blascovich et al., 2001), emotional responses (e.g., disgust; </w:t>
      </w:r>
      <w:r w:rsidRPr="00D40C27">
        <w:rPr>
          <w:rFonts w:eastAsia="SimSun"/>
          <w:noProof/>
          <w:color w:val="auto"/>
          <w:lang w:eastAsia="zh-CN"/>
        </w:rPr>
        <w:t>Armstrong, Olatunji, Sarawgi, &amp; Simmons, 2010; Ryan, Oaten, Stevenson, &amp; Case, 2012)</w:t>
      </w:r>
      <w:r w:rsidRPr="00D40C27">
        <w:rPr>
          <w:rFonts w:eastAsia="SimSun"/>
          <w:color w:val="auto"/>
          <w:lang w:eastAsia="zh-CN"/>
        </w:rPr>
        <w:t xml:space="preserve"> and avoidance </w:t>
      </w:r>
      <w:r w:rsidRPr="00D40C27">
        <w:rPr>
          <w:rFonts w:eastAsia="SimSun"/>
          <w:noProof/>
          <w:color w:val="auto"/>
          <w:lang w:eastAsia="zh-CN"/>
        </w:rPr>
        <w:t>(Kouznetsova, Stevenson, Oaten, &amp; Case, 2012; Rumsey, Bull, &amp; Gahagan, 1982)</w:t>
      </w:r>
      <w:r w:rsidRPr="00D40C27">
        <w:rPr>
          <w:rFonts w:eastAsia="SimSun"/>
          <w:color w:val="auto"/>
          <w:lang w:eastAsia="zh-CN"/>
        </w:rPr>
        <w:t>. According to the dual process model, automatic or reflexive responses may be learnt and sustained via repeated association</w:t>
      </w:r>
      <w:r w:rsidR="00DF53CC">
        <w:rPr>
          <w:rFonts w:eastAsia="SimSun"/>
          <w:color w:val="auto"/>
          <w:lang w:eastAsia="zh-CN"/>
        </w:rPr>
        <w:t>.</w:t>
      </w:r>
      <w:r w:rsidRPr="00D40C27">
        <w:rPr>
          <w:rFonts w:eastAsia="SimSun"/>
          <w:color w:val="auto"/>
          <w:lang w:eastAsia="zh-CN"/>
        </w:rPr>
        <w:t xml:space="preserve"> </w:t>
      </w:r>
      <w:r w:rsidR="00DF53CC">
        <w:rPr>
          <w:rFonts w:eastAsia="SimSun"/>
          <w:color w:val="auto"/>
          <w:lang w:eastAsia="zh-CN"/>
        </w:rPr>
        <w:t>F</w:t>
      </w:r>
      <w:r w:rsidRPr="00D40C27">
        <w:rPr>
          <w:rFonts w:eastAsia="SimSun"/>
          <w:color w:val="auto"/>
          <w:lang w:eastAsia="zh-CN"/>
        </w:rPr>
        <w:t>or instance, devaluating attributes towards</w:t>
      </w:r>
      <w:r w:rsidR="00DF53CC">
        <w:rPr>
          <w:rFonts w:eastAsia="SimSun"/>
          <w:color w:val="auto"/>
          <w:lang w:eastAsia="zh-CN"/>
        </w:rPr>
        <w:t xml:space="preserve"> women (gender inequality) and</w:t>
      </w:r>
      <w:r w:rsidRPr="00D40C27">
        <w:rPr>
          <w:rFonts w:eastAsia="SimSun"/>
          <w:color w:val="auto"/>
          <w:lang w:eastAsia="zh-CN"/>
        </w:rPr>
        <w:t xml:space="preserve"> certain racial groups (Afro-American individuals and criminal activity) have traditionally been based upon a function of exploitation and domination of resources. The oppressive nature of this relationship is maintained by </w:t>
      </w:r>
      <w:r w:rsidR="00B32D9C">
        <w:rPr>
          <w:rFonts w:eastAsia="SimSun"/>
          <w:color w:val="auto"/>
          <w:lang w:eastAsia="zh-CN"/>
        </w:rPr>
        <w:t xml:space="preserve">a </w:t>
      </w:r>
      <w:r w:rsidRPr="00D40C27">
        <w:rPr>
          <w:rFonts w:eastAsia="SimSun"/>
          <w:color w:val="auto"/>
          <w:lang w:eastAsia="zh-CN"/>
        </w:rPr>
        <w:t xml:space="preserve">constant association of negative attributes towards specific racial groups in the mass media </w:t>
      </w:r>
      <w:r w:rsidRPr="00D40C27">
        <w:rPr>
          <w:rFonts w:eastAsia="SimSun"/>
          <w:noProof/>
          <w:color w:val="auto"/>
          <w:lang w:eastAsia="zh-CN"/>
        </w:rPr>
        <w:t>(Dijk, 1989; Entman, 1992)</w:t>
      </w:r>
      <w:r w:rsidRPr="00D40C27">
        <w:rPr>
          <w:rFonts w:eastAsia="SimSun"/>
          <w:color w:val="auto"/>
          <w:lang w:eastAsia="zh-CN"/>
        </w:rPr>
        <w:t xml:space="preserve">. </w:t>
      </w:r>
      <w:r w:rsidR="00DF53CC">
        <w:rPr>
          <w:rFonts w:eastAsia="SimSun"/>
          <w:color w:val="auto"/>
          <w:lang w:eastAsia="zh-CN"/>
        </w:rPr>
        <w:t>Alternatively, a</w:t>
      </w:r>
      <w:r w:rsidRPr="00D40C27">
        <w:rPr>
          <w:rFonts w:eastAsia="SimSun"/>
          <w:color w:val="auto"/>
          <w:lang w:eastAsia="zh-CN"/>
        </w:rPr>
        <w:t xml:space="preserve">utomatic responses can also be rooted in instinctive mechanisms of disease avoidance </w:t>
      </w:r>
      <w:r w:rsidRPr="00D40C27">
        <w:rPr>
          <w:rFonts w:eastAsia="SimSun"/>
          <w:noProof/>
          <w:color w:val="auto"/>
          <w:lang w:eastAsia="zh-CN"/>
        </w:rPr>
        <w:t>(Kurzban &amp; Leary, 2001; Oaten, Stevenson, &amp; Case, 2009; Smart Richman &amp; Leary, 2009; Tybur, Lieberman, Kurzban, &amp; DeScioli, 2013)</w:t>
      </w:r>
      <w:r w:rsidR="00DF53CC">
        <w:rPr>
          <w:rFonts w:eastAsia="SimSun"/>
          <w:noProof/>
          <w:color w:val="auto"/>
          <w:lang w:eastAsia="zh-CN"/>
        </w:rPr>
        <w:t>.</w:t>
      </w:r>
    </w:p>
    <w:p w14:paraId="5FE7FDD2" w14:textId="58960622"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bCs/>
          <w:color w:val="auto"/>
          <w:lang w:eastAsia="zh-CN"/>
        </w:rPr>
      </w:pPr>
      <w:bookmarkStart w:id="48" w:name="_Hlk11880881"/>
      <w:r w:rsidRPr="00D40C27">
        <w:rPr>
          <w:rFonts w:eastAsia="SimSun"/>
          <w:bCs/>
          <w:color w:val="auto"/>
          <w:lang w:eastAsia="zh-CN"/>
        </w:rPr>
        <w:t>Ruled-based systems are grounded on deliberate</w:t>
      </w:r>
      <w:r w:rsidR="00DF53CC">
        <w:rPr>
          <w:rFonts w:eastAsia="SimSun"/>
          <w:bCs/>
          <w:color w:val="auto"/>
          <w:lang w:eastAsia="zh-CN"/>
        </w:rPr>
        <w:t>d considerations of</w:t>
      </w:r>
      <w:r w:rsidRPr="00D40C27">
        <w:rPr>
          <w:rFonts w:eastAsia="SimSun"/>
          <w:bCs/>
          <w:color w:val="auto"/>
          <w:lang w:eastAsia="zh-CN"/>
        </w:rPr>
        <w:t xml:space="preserve"> the </w:t>
      </w:r>
      <w:r w:rsidR="00DF53CC">
        <w:rPr>
          <w:rFonts w:eastAsia="SimSun"/>
          <w:bCs/>
          <w:color w:val="auto"/>
          <w:lang w:eastAsia="zh-CN"/>
        </w:rPr>
        <w:t xml:space="preserve">FD </w:t>
      </w:r>
      <w:r w:rsidRPr="00D40C27">
        <w:rPr>
          <w:rFonts w:eastAsia="SimSun"/>
          <w:bCs/>
          <w:color w:val="auto"/>
          <w:lang w:eastAsia="zh-CN"/>
        </w:rPr>
        <w:t>stimuli</w:t>
      </w:r>
      <w:r w:rsidR="00DF53CC">
        <w:rPr>
          <w:rFonts w:eastAsia="SimSun"/>
          <w:bCs/>
          <w:color w:val="auto"/>
          <w:lang w:eastAsia="zh-CN"/>
        </w:rPr>
        <w:t>,</w:t>
      </w:r>
      <w:r w:rsidRPr="00D40C27">
        <w:rPr>
          <w:rFonts w:eastAsia="SimSun"/>
          <w:bCs/>
          <w:color w:val="auto"/>
          <w:lang w:eastAsia="zh-CN"/>
        </w:rPr>
        <w:t xml:space="preserve"> social norms and automat</w:t>
      </w:r>
      <w:r w:rsidR="00DF53CC">
        <w:rPr>
          <w:rFonts w:eastAsia="SimSun"/>
          <w:bCs/>
          <w:color w:val="auto"/>
          <w:lang w:eastAsia="zh-CN"/>
        </w:rPr>
        <w:t xml:space="preserve">ic emotional </w:t>
      </w:r>
      <w:r w:rsidRPr="00D40C27">
        <w:rPr>
          <w:rFonts w:eastAsia="SimSun"/>
          <w:bCs/>
          <w:color w:val="auto"/>
          <w:lang w:eastAsia="zh-CN"/>
        </w:rPr>
        <w:t>responses triggered by the target stimuli</w:t>
      </w:r>
      <w:r w:rsidR="00DF53CC">
        <w:rPr>
          <w:rFonts w:eastAsia="SimSun"/>
          <w:bCs/>
          <w:color w:val="auto"/>
          <w:lang w:eastAsia="zh-CN"/>
        </w:rPr>
        <w:t xml:space="preserve"> (i.e., the stigmatised other</w:t>
      </w:r>
      <w:r w:rsidR="00DF53CC">
        <w:rPr>
          <w:rFonts w:eastAsia="SimSun"/>
          <w:bCs/>
          <w:noProof/>
          <w:color w:val="auto"/>
          <w:lang w:eastAsia="zh-CN"/>
        </w:rPr>
        <w:t xml:space="preserve">; </w:t>
      </w:r>
      <w:r w:rsidRPr="00D40C27">
        <w:rPr>
          <w:rFonts w:eastAsia="SimSun"/>
          <w:bCs/>
          <w:noProof/>
          <w:color w:val="auto"/>
          <w:lang w:eastAsia="zh-CN"/>
        </w:rPr>
        <w:t>Pryor et al., 2004)</w:t>
      </w:r>
      <w:r w:rsidRPr="00D40C27">
        <w:rPr>
          <w:rFonts w:eastAsia="SimSun"/>
          <w:bCs/>
          <w:color w:val="auto"/>
          <w:lang w:eastAsia="zh-CN"/>
        </w:rPr>
        <w:t>. In other words, while humans may activate automatic systems of defence</w:t>
      </w:r>
      <w:r w:rsidR="00DF53CC">
        <w:rPr>
          <w:rFonts w:eastAsia="SimSun"/>
          <w:bCs/>
          <w:color w:val="auto"/>
          <w:lang w:eastAsia="zh-CN"/>
        </w:rPr>
        <w:t xml:space="preserve"> in the presence of FD</w:t>
      </w:r>
      <w:r w:rsidRPr="00D40C27">
        <w:rPr>
          <w:rFonts w:eastAsia="SimSun"/>
          <w:bCs/>
          <w:color w:val="auto"/>
          <w:lang w:eastAsia="zh-CN"/>
        </w:rPr>
        <w:t>,</w:t>
      </w:r>
      <w:r w:rsidR="007A7E2E">
        <w:rPr>
          <w:rFonts w:eastAsia="SimSun"/>
          <w:bCs/>
          <w:color w:val="auto"/>
          <w:lang w:eastAsia="zh-CN"/>
        </w:rPr>
        <w:t xml:space="preserve"> further</w:t>
      </w:r>
      <w:r w:rsidRPr="00D40C27">
        <w:rPr>
          <w:rFonts w:eastAsia="SimSun"/>
          <w:bCs/>
          <w:color w:val="auto"/>
          <w:lang w:eastAsia="zh-CN"/>
        </w:rPr>
        <w:t xml:space="preserve"> responses also include conscious evaluation</w:t>
      </w:r>
      <w:r w:rsidR="00DF53CC">
        <w:rPr>
          <w:rFonts w:eastAsia="SimSun"/>
          <w:bCs/>
          <w:color w:val="auto"/>
          <w:lang w:eastAsia="zh-CN"/>
        </w:rPr>
        <w:t>s</w:t>
      </w:r>
      <w:r w:rsidRPr="00D40C27">
        <w:rPr>
          <w:rFonts w:eastAsia="SimSun"/>
          <w:bCs/>
          <w:color w:val="auto"/>
          <w:lang w:eastAsia="zh-CN"/>
        </w:rPr>
        <w:t xml:space="preserve"> of the </w:t>
      </w:r>
      <w:r w:rsidR="00DF53CC">
        <w:rPr>
          <w:rFonts w:eastAsia="SimSun"/>
          <w:bCs/>
          <w:color w:val="auto"/>
          <w:lang w:eastAsia="zh-CN"/>
        </w:rPr>
        <w:t xml:space="preserve">implications that a </w:t>
      </w:r>
      <w:r w:rsidRPr="00D40C27">
        <w:rPr>
          <w:rFonts w:eastAsia="SimSun"/>
          <w:bCs/>
          <w:color w:val="auto"/>
          <w:lang w:eastAsia="zh-CN"/>
        </w:rPr>
        <w:t>potential interaction with</w:t>
      </w:r>
      <w:r w:rsidR="007A7E2E">
        <w:rPr>
          <w:rFonts w:eastAsia="SimSun"/>
          <w:bCs/>
          <w:color w:val="auto"/>
          <w:lang w:eastAsia="zh-CN"/>
        </w:rPr>
        <w:t xml:space="preserve"> a</w:t>
      </w:r>
      <w:r w:rsidRPr="00D40C27">
        <w:rPr>
          <w:rFonts w:eastAsia="SimSun"/>
          <w:bCs/>
          <w:color w:val="auto"/>
          <w:lang w:eastAsia="zh-CN"/>
        </w:rPr>
        <w:t xml:space="preserve"> </w:t>
      </w:r>
      <w:r w:rsidR="007A7E2E" w:rsidRPr="00D40C27">
        <w:rPr>
          <w:rFonts w:eastAsia="SimSun"/>
          <w:bCs/>
          <w:color w:val="auto"/>
          <w:lang w:eastAsia="zh-CN"/>
        </w:rPr>
        <w:t>stigmatised other</w:t>
      </w:r>
      <w:r w:rsidR="00DF53CC">
        <w:rPr>
          <w:rFonts w:eastAsia="SimSun"/>
          <w:bCs/>
          <w:color w:val="auto"/>
          <w:lang w:eastAsia="zh-CN"/>
        </w:rPr>
        <w:t xml:space="preserve"> can have</w:t>
      </w:r>
      <w:r w:rsidR="007A7E2E">
        <w:rPr>
          <w:rFonts w:eastAsia="SimSun"/>
          <w:bCs/>
          <w:color w:val="auto"/>
          <w:lang w:eastAsia="zh-CN"/>
        </w:rPr>
        <w:t>. People in western countries will likely be preoccupied with adhering to social norms of inclusion and non-prejudice towards difference</w:t>
      </w:r>
      <w:r w:rsidRPr="00D40C27">
        <w:rPr>
          <w:rFonts w:eastAsia="SimSun"/>
          <w:bCs/>
          <w:color w:val="auto"/>
          <w:lang w:eastAsia="zh-CN"/>
        </w:rPr>
        <w:t xml:space="preserve">. An example of a ruled-based response </w:t>
      </w:r>
      <w:r w:rsidR="00B32D9C">
        <w:rPr>
          <w:rFonts w:eastAsia="SimSun"/>
          <w:bCs/>
          <w:color w:val="auto"/>
          <w:lang w:eastAsia="zh-CN"/>
        </w:rPr>
        <w:t>is</w:t>
      </w:r>
      <w:r w:rsidRPr="00D40C27">
        <w:rPr>
          <w:rFonts w:eastAsia="SimSun"/>
          <w:bCs/>
          <w:color w:val="auto"/>
          <w:lang w:eastAsia="zh-CN"/>
        </w:rPr>
        <w:t xml:space="preserve"> explicit measures such as questionnaires (e.g., personality ratings). It has been shown that when addressing sensitive topics like stigma or prejudice towards others, participants may respond in </w:t>
      </w:r>
      <w:r w:rsidR="00B32D9C">
        <w:rPr>
          <w:rFonts w:eastAsia="SimSun"/>
          <w:bCs/>
          <w:color w:val="auto"/>
          <w:lang w:eastAsia="zh-CN"/>
        </w:rPr>
        <w:t xml:space="preserve">a </w:t>
      </w:r>
      <w:r w:rsidRPr="00D40C27">
        <w:rPr>
          <w:rFonts w:eastAsia="SimSun"/>
          <w:bCs/>
          <w:color w:val="auto"/>
          <w:lang w:eastAsia="zh-CN"/>
        </w:rPr>
        <w:t xml:space="preserve">way that adjust to the sociocultural norms towards that disadvantaged group (social desirability; </w:t>
      </w:r>
      <w:r w:rsidRPr="00D40C27">
        <w:rPr>
          <w:rFonts w:eastAsia="SimSun"/>
          <w:bCs/>
          <w:noProof/>
          <w:color w:val="auto"/>
          <w:lang w:eastAsia="zh-CN"/>
        </w:rPr>
        <w:t>(Michaels &amp; Corrigan, 2013)</w:t>
      </w:r>
      <w:r w:rsidRPr="00D40C27">
        <w:rPr>
          <w:rFonts w:eastAsia="SimSun"/>
          <w:bCs/>
          <w:color w:val="auto"/>
          <w:lang w:eastAsia="zh-CN"/>
        </w:rPr>
        <w:t>.</w:t>
      </w:r>
    </w:p>
    <w:p w14:paraId="7DAFF87C" w14:textId="6FBDAB46" w:rsidR="00EE7A34" w:rsidRDefault="000F1616" w:rsidP="00EE7A34">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bCs/>
          <w:color w:val="auto"/>
          <w:lang w:eastAsia="zh-CN"/>
        </w:rPr>
      </w:pPr>
      <w:r w:rsidRPr="00D40C27">
        <w:rPr>
          <w:rFonts w:eastAsia="SimSun"/>
          <w:bCs/>
          <w:color w:val="auto"/>
          <w:lang w:eastAsia="zh-CN"/>
        </w:rPr>
        <w:t>According to Devine, Plant, Amodio, Harmon-Jones, and Vance (2002), social</w:t>
      </w:r>
      <w:r w:rsidR="00B32D9C">
        <w:rPr>
          <w:rFonts w:eastAsia="SimSun"/>
          <w:bCs/>
          <w:color w:val="auto"/>
          <w:lang w:eastAsia="zh-CN"/>
        </w:rPr>
        <w:t>ly</w:t>
      </w:r>
      <w:r w:rsidRPr="00D40C27">
        <w:rPr>
          <w:rFonts w:eastAsia="SimSun"/>
          <w:bCs/>
          <w:color w:val="auto"/>
          <w:lang w:eastAsia="zh-CN"/>
        </w:rPr>
        <w:t xml:space="preserve"> desirable responses may be supported by either internal or external motivations to conform to these societal demands. For instance</w:t>
      </w:r>
      <w:r w:rsidR="00B32D9C">
        <w:rPr>
          <w:rFonts w:eastAsia="SimSun"/>
          <w:bCs/>
          <w:color w:val="auto"/>
          <w:lang w:eastAsia="zh-CN"/>
        </w:rPr>
        <w:t>,</w:t>
      </w:r>
      <w:r w:rsidRPr="00D40C27">
        <w:rPr>
          <w:rFonts w:eastAsia="SimSun"/>
          <w:bCs/>
          <w:color w:val="auto"/>
          <w:lang w:eastAsia="zh-CN"/>
        </w:rPr>
        <w:t xml:space="preserve"> it has been shown</w:t>
      </w:r>
      <w:r w:rsidR="00EE7A34">
        <w:rPr>
          <w:rFonts w:eastAsia="SimSun"/>
          <w:bCs/>
          <w:color w:val="auto"/>
          <w:lang w:eastAsia="zh-CN"/>
        </w:rPr>
        <w:t xml:space="preserve"> that</w:t>
      </w:r>
      <w:r w:rsidRPr="00D40C27">
        <w:rPr>
          <w:rFonts w:eastAsia="SimSun"/>
          <w:bCs/>
          <w:color w:val="auto"/>
          <w:lang w:eastAsia="zh-CN"/>
        </w:rPr>
        <w:t xml:space="preserve"> responses of gender </w:t>
      </w:r>
      <w:r w:rsidR="00852585">
        <w:rPr>
          <w:rFonts w:eastAsia="SimSun"/>
          <w:bCs/>
          <w:color w:val="auto"/>
          <w:lang w:eastAsia="zh-CN"/>
        </w:rPr>
        <w:t>stereotype</w:t>
      </w:r>
      <w:r w:rsidRPr="00D40C27">
        <w:rPr>
          <w:rFonts w:eastAsia="SimSun"/>
          <w:bCs/>
          <w:color w:val="auto"/>
          <w:lang w:eastAsia="zh-CN"/>
        </w:rPr>
        <w:t xml:space="preserve">, disability stigma and homophobia are enhanced </w:t>
      </w:r>
      <w:r w:rsidR="00EE7A34">
        <w:rPr>
          <w:rFonts w:eastAsia="SimSun"/>
          <w:bCs/>
          <w:color w:val="auto"/>
          <w:lang w:eastAsia="zh-CN"/>
        </w:rPr>
        <w:t xml:space="preserve">in participants that try to respond in a non-prejudicial way because it is a social norm (high </w:t>
      </w:r>
      <w:r w:rsidRPr="00D40C27">
        <w:rPr>
          <w:rFonts w:eastAsia="SimSun"/>
          <w:bCs/>
          <w:color w:val="auto"/>
          <w:lang w:eastAsia="zh-CN"/>
        </w:rPr>
        <w:t>external</w:t>
      </w:r>
      <w:r w:rsidR="00EE7A34">
        <w:rPr>
          <w:rFonts w:eastAsia="SimSun"/>
          <w:bCs/>
          <w:color w:val="auto"/>
          <w:lang w:eastAsia="zh-CN"/>
        </w:rPr>
        <w:t>)</w:t>
      </w:r>
      <w:r w:rsidR="00852585">
        <w:rPr>
          <w:rFonts w:eastAsia="SimSun"/>
          <w:bCs/>
          <w:color w:val="auto"/>
          <w:lang w:eastAsia="zh-CN"/>
        </w:rPr>
        <w:t>; c</w:t>
      </w:r>
      <w:bookmarkEnd w:id="48"/>
      <w:r w:rsidR="00852585">
        <w:rPr>
          <w:rFonts w:eastAsia="SimSun"/>
          <w:bCs/>
          <w:color w:val="auto"/>
          <w:lang w:eastAsia="zh-CN"/>
        </w:rPr>
        <w:t>ongruently, participants with low external motivation, that try to respond in an inclusive manner because it complies with their values (high internal motivation) significantly rate stigmatised others more favourably. C</w:t>
      </w:r>
      <w:r w:rsidRPr="00D40C27">
        <w:rPr>
          <w:rFonts w:eastAsia="SimSun"/>
          <w:bCs/>
          <w:color w:val="auto"/>
          <w:lang w:eastAsia="zh-CN"/>
        </w:rPr>
        <w:t xml:space="preserve">apturing attitudes via explicit questionnaires or interviews unavoidably comprise a degree of social desirability in participants’ responses, which may only partially correspond to implicit </w:t>
      </w:r>
      <w:r w:rsidRPr="00D40C27">
        <w:rPr>
          <w:rFonts w:eastAsia="SimSun"/>
          <w:bCs/>
          <w:color w:val="auto"/>
          <w:lang w:eastAsia="zh-CN"/>
        </w:rPr>
        <w:lastRenderedPageBreak/>
        <w:t xml:space="preserve">responses towards the stigmatised target </w:t>
      </w:r>
      <w:r w:rsidRPr="00D40C27">
        <w:rPr>
          <w:rFonts w:eastAsia="SimSun"/>
          <w:bCs/>
          <w:noProof/>
          <w:color w:val="auto"/>
          <w:lang w:eastAsia="zh-CN"/>
        </w:rPr>
        <w:t>(Hofmann, Gawronski, Gschwendner, Le, &amp; Schmitt, 2005)</w:t>
      </w:r>
      <w:r w:rsidRPr="00D40C27">
        <w:rPr>
          <w:rFonts w:eastAsia="SimSun"/>
          <w:bCs/>
          <w:color w:val="auto"/>
          <w:lang w:eastAsia="zh-CN"/>
        </w:rPr>
        <w:t xml:space="preserve">.  </w:t>
      </w:r>
    </w:p>
    <w:p w14:paraId="62014A7D" w14:textId="47C78033" w:rsidR="000F1616" w:rsidRPr="00D40C27" w:rsidRDefault="000F1616">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bCs/>
          <w:color w:val="auto"/>
          <w:lang w:eastAsia="zh-CN"/>
        </w:rPr>
      </w:pPr>
      <w:r w:rsidRPr="00D40C27">
        <w:rPr>
          <w:rFonts w:eastAsia="SimSun"/>
          <w:bCs/>
          <w:color w:val="auto"/>
          <w:lang w:eastAsia="zh-CN"/>
        </w:rPr>
        <w:t>Measuring attitudes that bypass the observers’ consciousness ha</w:t>
      </w:r>
      <w:r w:rsidR="00B32D9C">
        <w:rPr>
          <w:rFonts w:eastAsia="SimSun"/>
          <w:bCs/>
          <w:color w:val="auto"/>
          <w:lang w:eastAsia="zh-CN"/>
        </w:rPr>
        <w:t>s</w:t>
      </w:r>
      <w:r w:rsidRPr="00D40C27">
        <w:rPr>
          <w:rFonts w:eastAsia="SimSun"/>
          <w:bCs/>
          <w:color w:val="auto"/>
          <w:lang w:eastAsia="zh-CN"/>
        </w:rPr>
        <w:t xml:space="preserve"> been seen to offer a ‘less contaminated’ assessment of attitudes towards stigmatised groups (Dovidio et al., 1997).  The Implicit Association Test (IAT; </w:t>
      </w:r>
      <w:r w:rsidRPr="00D40C27">
        <w:rPr>
          <w:rFonts w:eastAsia="SimSun"/>
          <w:bCs/>
          <w:noProof/>
          <w:color w:val="auto"/>
          <w:lang w:eastAsia="zh-CN"/>
        </w:rPr>
        <w:t>Greenwald, 1998)</w:t>
      </w:r>
      <w:r w:rsidRPr="00D40C27">
        <w:rPr>
          <w:rFonts w:eastAsia="SimSun"/>
          <w:bCs/>
          <w:color w:val="auto"/>
          <w:lang w:eastAsia="zh-CN"/>
        </w:rPr>
        <w:t xml:space="preserve"> is one of such methods that has been developed to study implicit attitudes towards commonly stigmatised targets. By asking participants to categorise two target categories (e.g., Hispanic-Caucasian) and two attributes (e.g., pleasant and unpleasant), the IAT measures the strength of the association and the participants’ preferences between target categories. It is hypothesised that longer reaction times correspond to incongruent associations (e.g.</w:t>
      </w:r>
      <w:r w:rsidR="008471FC">
        <w:rPr>
          <w:rFonts w:eastAsia="SimSun"/>
          <w:bCs/>
          <w:color w:val="auto"/>
          <w:lang w:eastAsia="zh-CN"/>
        </w:rPr>
        <w:t xml:space="preserve">, </w:t>
      </w:r>
      <w:r w:rsidRPr="00D40C27">
        <w:rPr>
          <w:rFonts w:eastAsia="SimSun"/>
          <w:bCs/>
          <w:color w:val="auto"/>
          <w:lang w:eastAsia="zh-CN"/>
        </w:rPr>
        <w:t>Caucasian-unpleasant/Hispanic-pleasant) and faster reaction times correspond to congruent associations (e.g.</w:t>
      </w:r>
      <w:r w:rsidR="008471FC">
        <w:rPr>
          <w:rFonts w:eastAsia="SimSun"/>
          <w:bCs/>
          <w:color w:val="auto"/>
          <w:lang w:eastAsia="zh-CN"/>
        </w:rPr>
        <w:t>,</w:t>
      </w:r>
      <w:r w:rsidR="00B32D9C">
        <w:rPr>
          <w:rFonts w:eastAsia="SimSun"/>
          <w:bCs/>
          <w:color w:val="auto"/>
          <w:lang w:eastAsia="zh-CN"/>
        </w:rPr>
        <w:t xml:space="preserve"> </w:t>
      </w:r>
      <w:r w:rsidRPr="00D40C27">
        <w:rPr>
          <w:rFonts w:eastAsia="SimSun"/>
          <w:bCs/>
          <w:color w:val="auto"/>
          <w:lang w:eastAsia="zh-CN"/>
        </w:rPr>
        <w:t xml:space="preserve">Caucasian-pleasant/Hispanic-unpleasant). The IAT has been adapted to study racial and ethnic discrimination </w:t>
      </w:r>
      <w:r w:rsidRPr="00D40C27">
        <w:rPr>
          <w:rFonts w:eastAsia="SimSun"/>
          <w:bCs/>
          <w:noProof/>
          <w:color w:val="auto"/>
          <w:lang w:eastAsia="zh-CN"/>
        </w:rPr>
        <w:t>(Oswald, Mitchell, Blanton, Jaccard, &amp; Tetlock, 2013)</w:t>
      </w:r>
      <w:r w:rsidRPr="00D40C27">
        <w:rPr>
          <w:rFonts w:eastAsia="SimSun"/>
          <w:bCs/>
          <w:color w:val="auto"/>
          <w:lang w:eastAsia="zh-CN"/>
        </w:rPr>
        <w:t xml:space="preserve">, gender stereotypes </w:t>
      </w:r>
      <w:r w:rsidRPr="00D40C27">
        <w:rPr>
          <w:rFonts w:eastAsia="SimSun"/>
          <w:bCs/>
          <w:noProof/>
          <w:color w:val="auto"/>
          <w:lang w:eastAsia="zh-CN"/>
        </w:rPr>
        <w:t>(Latu et al., 2011; Rudman, Greenwald, &amp; McGhee, 2001)</w:t>
      </w:r>
      <w:r w:rsidRPr="00D40C27">
        <w:rPr>
          <w:rFonts w:eastAsia="SimSun"/>
          <w:bCs/>
          <w:color w:val="auto"/>
          <w:lang w:eastAsia="zh-CN"/>
        </w:rPr>
        <w:t xml:space="preserve">, anti-fat bias </w:t>
      </w:r>
      <w:r w:rsidRPr="00D40C27">
        <w:rPr>
          <w:rFonts w:eastAsia="SimSun"/>
          <w:bCs/>
          <w:noProof/>
          <w:color w:val="auto"/>
          <w:lang w:eastAsia="zh-CN"/>
        </w:rPr>
        <w:t>(Teachman, Gapinski, Brownell, Rawlins, &amp; Jeyaram, 2003)</w:t>
      </w:r>
      <w:r w:rsidRPr="00D40C27">
        <w:rPr>
          <w:rFonts w:eastAsia="SimSun"/>
          <w:bCs/>
          <w:color w:val="auto"/>
          <w:lang w:eastAsia="zh-CN"/>
        </w:rPr>
        <w:t xml:space="preserve"> and FD </w:t>
      </w:r>
      <w:r w:rsidRPr="00D40C27">
        <w:rPr>
          <w:rFonts w:eastAsia="SimSun"/>
          <w:bCs/>
          <w:noProof/>
          <w:color w:val="auto"/>
          <w:lang w:eastAsia="zh-CN"/>
        </w:rPr>
        <w:t>(Grandfield et al., 2005; Stone &amp; Wright, 2012)</w:t>
      </w:r>
      <w:r w:rsidRPr="00D40C27">
        <w:rPr>
          <w:rFonts w:eastAsia="SimSun"/>
          <w:bCs/>
          <w:color w:val="auto"/>
          <w:lang w:eastAsia="zh-CN"/>
        </w:rPr>
        <w:t>.</w:t>
      </w:r>
    </w:p>
    <w:p w14:paraId="66937825" w14:textId="77777777" w:rsidR="000F1616" w:rsidRPr="00D40C27" w:rsidRDefault="000F1616" w:rsidP="000F1616">
      <w:pPr>
        <w:pStyle w:val="Heading3"/>
        <w:rPr>
          <w:lang w:eastAsia="zh-CN"/>
        </w:rPr>
      </w:pPr>
      <w:bookmarkStart w:id="49" w:name="_Toc12024636"/>
      <w:r w:rsidRPr="00D40C27">
        <w:rPr>
          <w:lang w:eastAsia="zh-CN"/>
        </w:rPr>
        <w:t>Disgust sensitivity and stigma</w:t>
      </w:r>
      <w:bookmarkEnd w:id="49"/>
    </w:p>
    <w:p w14:paraId="4275225F" w14:textId="704AFC04"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0"/>
        <w:rPr>
          <w:rFonts w:eastAsia="SimSun"/>
          <w:bCs/>
          <w:color w:val="auto"/>
          <w:lang w:eastAsia="zh-CN"/>
        </w:rPr>
      </w:pPr>
      <w:r w:rsidRPr="00D40C27">
        <w:rPr>
          <w:rFonts w:eastAsia="SimSun"/>
          <w:bCs/>
          <w:color w:val="auto"/>
          <w:lang w:eastAsia="zh-CN"/>
        </w:rPr>
        <w:t>Avoiding potential sources of contaminating pathogens that could compromise fitness</w:t>
      </w:r>
      <w:r w:rsidR="007435B4">
        <w:rPr>
          <w:rFonts w:eastAsia="SimSun"/>
          <w:bCs/>
          <w:color w:val="auto"/>
          <w:lang w:eastAsia="zh-CN"/>
        </w:rPr>
        <w:t xml:space="preserve"> is</w:t>
      </w:r>
      <w:r w:rsidRPr="00D40C27">
        <w:rPr>
          <w:rFonts w:eastAsia="SimSun"/>
          <w:bCs/>
          <w:color w:val="auto"/>
          <w:lang w:eastAsia="zh-CN"/>
        </w:rPr>
        <w:t xml:space="preserve"> </w:t>
      </w:r>
      <w:r w:rsidR="009E69AB">
        <w:rPr>
          <w:rFonts w:eastAsia="SimSun"/>
          <w:bCs/>
          <w:color w:val="auto"/>
          <w:lang w:eastAsia="zh-CN"/>
        </w:rPr>
        <w:t xml:space="preserve">an </w:t>
      </w:r>
      <w:r w:rsidRPr="00D40C27">
        <w:rPr>
          <w:rFonts w:eastAsia="SimSun"/>
          <w:bCs/>
          <w:color w:val="auto"/>
          <w:lang w:eastAsia="zh-CN"/>
        </w:rPr>
        <w:t>adaptative response t</w:t>
      </w:r>
      <w:r w:rsidR="007435B4">
        <w:rPr>
          <w:rFonts w:eastAsia="SimSun"/>
          <w:bCs/>
          <w:color w:val="auto"/>
          <w:lang w:eastAsia="zh-CN"/>
        </w:rPr>
        <w:t>hat</w:t>
      </w:r>
      <w:r w:rsidRPr="00D40C27">
        <w:rPr>
          <w:rFonts w:eastAsia="SimSun"/>
          <w:bCs/>
          <w:color w:val="auto"/>
          <w:lang w:eastAsia="zh-CN"/>
        </w:rPr>
        <w:t xml:space="preserve"> maximise the chances of survival</w:t>
      </w:r>
      <w:r w:rsidR="00F30B96">
        <w:rPr>
          <w:rFonts w:eastAsia="SimSun"/>
          <w:bCs/>
          <w:color w:val="auto"/>
          <w:lang w:eastAsia="zh-CN"/>
        </w:rPr>
        <w:t>.</w:t>
      </w:r>
      <w:r w:rsidR="007435B4">
        <w:rPr>
          <w:rFonts w:eastAsia="SimSun"/>
          <w:bCs/>
          <w:color w:val="auto"/>
          <w:lang w:eastAsia="zh-CN"/>
        </w:rPr>
        <w:t xml:space="preserve"> </w:t>
      </w:r>
      <w:r w:rsidR="00F30B96">
        <w:rPr>
          <w:rFonts w:eastAsia="SimSun"/>
          <w:bCs/>
          <w:color w:val="auto"/>
          <w:lang w:eastAsia="zh-CN"/>
        </w:rPr>
        <w:t>T</w:t>
      </w:r>
      <w:r w:rsidR="007435B4">
        <w:rPr>
          <w:rFonts w:eastAsia="SimSun"/>
          <w:bCs/>
          <w:color w:val="auto"/>
          <w:lang w:eastAsia="zh-CN"/>
        </w:rPr>
        <w:t>his was</w:t>
      </w:r>
      <w:r w:rsidRPr="00D40C27">
        <w:rPr>
          <w:rFonts w:eastAsia="SimSun"/>
          <w:bCs/>
          <w:color w:val="auto"/>
          <w:lang w:eastAsia="zh-CN"/>
        </w:rPr>
        <w:t xml:space="preserve"> particularly </w:t>
      </w:r>
      <w:r w:rsidR="007435B4">
        <w:rPr>
          <w:rFonts w:eastAsia="SimSun"/>
          <w:bCs/>
          <w:color w:val="auto"/>
          <w:lang w:eastAsia="zh-CN"/>
        </w:rPr>
        <w:t xml:space="preserve">true </w:t>
      </w:r>
      <w:r w:rsidRPr="00D40C27">
        <w:rPr>
          <w:rFonts w:eastAsia="SimSun"/>
          <w:bCs/>
          <w:color w:val="auto"/>
          <w:lang w:eastAsia="zh-CN"/>
        </w:rPr>
        <w:t>in times when medical advances</w:t>
      </w:r>
      <w:r w:rsidR="009E69AB">
        <w:rPr>
          <w:rFonts w:eastAsia="SimSun"/>
          <w:bCs/>
          <w:color w:val="auto"/>
          <w:lang w:eastAsia="zh-CN"/>
        </w:rPr>
        <w:t xml:space="preserve"> like vaccinations and corrective surgery</w:t>
      </w:r>
      <w:r w:rsidRPr="00D40C27">
        <w:rPr>
          <w:rFonts w:eastAsia="SimSun"/>
          <w:bCs/>
          <w:color w:val="auto"/>
          <w:lang w:eastAsia="zh-CN"/>
        </w:rPr>
        <w:t xml:space="preserve"> were not available </w:t>
      </w:r>
      <w:r w:rsidRPr="00D40C27">
        <w:rPr>
          <w:rFonts w:eastAsia="SimSun"/>
          <w:bCs/>
          <w:noProof/>
          <w:color w:val="auto"/>
          <w:lang w:eastAsia="zh-CN"/>
        </w:rPr>
        <w:t>(Kurzban &amp; Leary, 2001; Schaller &amp; Duncan, 2007; Tybur et al., 2013)</w:t>
      </w:r>
      <w:r w:rsidRPr="00D40C27">
        <w:rPr>
          <w:rFonts w:eastAsia="SimSun"/>
          <w:bCs/>
          <w:color w:val="auto"/>
          <w:lang w:eastAsia="zh-CN"/>
        </w:rPr>
        <w:t xml:space="preserve">. Therefore, it is </w:t>
      </w:r>
      <w:r w:rsidR="00F30B96">
        <w:rPr>
          <w:rFonts w:eastAsia="SimSun"/>
          <w:bCs/>
          <w:color w:val="auto"/>
          <w:lang w:eastAsia="zh-CN"/>
        </w:rPr>
        <w:t>possible</w:t>
      </w:r>
      <w:r w:rsidRPr="00D40C27">
        <w:rPr>
          <w:rFonts w:eastAsia="SimSun"/>
          <w:bCs/>
          <w:color w:val="auto"/>
          <w:lang w:eastAsia="zh-CN"/>
        </w:rPr>
        <w:t xml:space="preserve"> that a set of protective mechanisms like</w:t>
      </w:r>
      <w:r w:rsidR="009E69AB">
        <w:rPr>
          <w:rFonts w:eastAsia="SimSun"/>
          <w:bCs/>
          <w:color w:val="auto"/>
          <w:lang w:eastAsia="zh-CN"/>
        </w:rPr>
        <w:t xml:space="preserve"> feelings of</w:t>
      </w:r>
      <w:r w:rsidRPr="00D40C27">
        <w:rPr>
          <w:rFonts w:eastAsia="SimSun"/>
          <w:bCs/>
          <w:color w:val="auto"/>
          <w:lang w:eastAsia="zh-CN"/>
        </w:rPr>
        <w:t xml:space="preserve"> disgust</w:t>
      </w:r>
      <w:r w:rsidR="009E69AB">
        <w:rPr>
          <w:rFonts w:eastAsia="SimSun"/>
          <w:bCs/>
          <w:color w:val="auto"/>
          <w:lang w:eastAsia="zh-CN"/>
        </w:rPr>
        <w:t xml:space="preserve"> or</w:t>
      </w:r>
      <w:r w:rsidRPr="00D40C27">
        <w:rPr>
          <w:rFonts w:eastAsia="SimSun"/>
          <w:bCs/>
          <w:color w:val="auto"/>
          <w:lang w:eastAsia="zh-CN"/>
        </w:rPr>
        <w:t xml:space="preserve"> threat</w:t>
      </w:r>
      <w:r w:rsidR="009E69AB">
        <w:rPr>
          <w:rFonts w:eastAsia="SimSun"/>
          <w:bCs/>
          <w:color w:val="auto"/>
          <w:lang w:eastAsia="zh-CN"/>
        </w:rPr>
        <w:t xml:space="preserve"> had emerged in the species to</w:t>
      </w:r>
      <w:r w:rsidRPr="00D40C27">
        <w:rPr>
          <w:rFonts w:eastAsia="SimSun"/>
          <w:bCs/>
          <w:color w:val="auto"/>
          <w:lang w:eastAsia="zh-CN"/>
        </w:rPr>
        <w:t xml:space="preserve"> help the detection </w:t>
      </w:r>
      <w:r w:rsidR="009E69AB">
        <w:rPr>
          <w:rFonts w:eastAsia="SimSun"/>
          <w:bCs/>
          <w:color w:val="auto"/>
          <w:lang w:eastAsia="zh-CN"/>
        </w:rPr>
        <w:t>and avoidance of</w:t>
      </w:r>
      <w:r w:rsidRPr="00D40C27">
        <w:rPr>
          <w:rFonts w:eastAsia="SimSun"/>
          <w:bCs/>
          <w:color w:val="auto"/>
          <w:lang w:eastAsia="zh-CN"/>
        </w:rPr>
        <w:t xml:space="preserve"> potential sources of contamination (e.g.</w:t>
      </w:r>
      <w:r w:rsidR="008471FC">
        <w:rPr>
          <w:rFonts w:eastAsia="SimSun"/>
          <w:bCs/>
          <w:color w:val="auto"/>
          <w:lang w:eastAsia="zh-CN"/>
        </w:rPr>
        <w:t xml:space="preserve">, </w:t>
      </w:r>
      <w:r w:rsidRPr="00D40C27">
        <w:rPr>
          <w:rFonts w:eastAsia="SimSun"/>
          <w:bCs/>
          <w:color w:val="auto"/>
          <w:lang w:eastAsia="zh-CN"/>
        </w:rPr>
        <w:t>physical lesions, disfigurement</w:t>
      </w:r>
      <w:r w:rsidR="00F30B96">
        <w:rPr>
          <w:rFonts w:eastAsia="SimSun"/>
          <w:bCs/>
          <w:noProof/>
          <w:color w:val="auto"/>
          <w:lang w:eastAsia="zh-CN"/>
        </w:rPr>
        <w:t xml:space="preserve">; </w:t>
      </w:r>
      <w:r w:rsidRPr="00D40C27">
        <w:rPr>
          <w:rFonts w:eastAsia="SimSun"/>
          <w:bCs/>
          <w:noProof/>
          <w:color w:val="auto"/>
          <w:lang w:eastAsia="zh-CN"/>
        </w:rPr>
        <w:t>Rozin, Haidt, &amp; McCauley, 1993; Tybur et al., 2013)</w:t>
      </w:r>
      <w:r w:rsidRPr="00D40C27">
        <w:rPr>
          <w:rFonts w:eastAsia="SimSun"/>
          <w:bCs/>
          <w:color w:val="auto"/>
          <w:lang w:eastAsia="zh-CN"/>
        </w:rPr>
        <w:t>.</w:t>
      </w:r>
    </w:p>
    <w:p w14:paraId="22B464D0" w14:textId="796EAD16"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bCs/>
          <w:color w:val="auto"/>
          <w:lang w:eastAsia="zh-CN"/>
        </w:rPr>
      </w:pPr>
      <w:r w:rsidRPr="00D40C27">
        <w:rPr>
          <w:rFonts w:eastAsia="SimSun"/>
          <w:bCs/>
          <w:color w:val="auto"/>
          <w:lang w:eastAsia="zh-CN"/>
        </w:rPr>
        <w:t xml:space="preserve"> Disgust is a universal emotion that has evolved within the human species to facilitate avoidance of contaminating pathogens </w:t>
      </w:r>
      <w:r w:rsidRPr="00D40C27">
        <w:rPr>
          <w:rFonts w:eastAsia="SimSun"/>
          <w:bCs/>
          <w:noProof/>
          <w:color w:val="auto"/>
          <w:lang w:eastAsia="zh-CN"/>
        </w:rPr>
        <w:t>(Darwin, 1890; Tybur et al., 2013; Val, Robert, &amp; Tamer, 2004)</w:t>
      </w:r>
      <w:r w:rsidRPr="00D40C27">
        <w:rPr>
          <w:rFonts w:eastAsia="SimSun"/>
          <w:bCs/>
          <w:color w:val="auto"/>
          <w:lang w:eastAsia="zh-CN"/>
        </w:rPr>
        <w:t xml:space="preserve">. </w:t>
      </w:r>
      <w:r w:rsidR="00F30B96">
        <w:rPr>
          <w:rFonts w:eastAsia="SimSun"/>
          <w:bCs/>
          <w:color w:val="auto"/>
          <w:lang w:eastAsia="zh-CN"/>
        </w:rPr>
        <w:t>M</w:t>
      </w:r>
      <w:r w:rsidRPr="00D40C27">
        <w:rPr>
          <w:rFonts w:eastAsia="SimSun"/>
          <w:bCs/>
          <w:color w:val="auto"/>
          <w:lang w:eastAsia="zh-CN"/>
        </w:rPr>
        <w:t>any of the substances that elicit disgust, such as corporal fluids, faeces</w:t>
      </w:r>
      <w:r w:rsidR="00B32D9C">
        <w:rPr>
          <w:rFonts w:eastAsia="SimSun"/>
          <w:bCs/>
          <w:color w:val="auto"/>
          <w:lang w:eastAsia="zh-CN"/>
        </w:rPr>
        <w:t>,</w:t>
      </w:r>
      <w:r w:rsidRPr="00D40C27">
        <w:rPr>
          <w:rFonts w:eastAsia="SimSun"/>
          <w:bCs/>
          <w:color w:val="auto"/>
          <w:lang w:eastAsia="zh-CN"/>
        </w:rPr>
        <w:t xml:space="preserve"> and discomposing organic material are also known to be rich in harmful bacteria (Curtis &amp; Biran, 2001).  Because a number of contagious health conditions have visible manifestations in the face and body (e.g., leprosy, chicken pox, small pox), it makes sense that FD may trigger similar responses of avoidance </w:t>
      </w:r>
      <w:r w:rsidRPr="00D40C27">
        <w:rPr>
          <w:rFonts w:eastAsia="SimSun"/>
          <w:bCs/>
          <w:noProof/>
          <w:color w:val="auto"/>
          <w:lang w:eastAsia="zh-CN"/>
        </w:rPr>
        <w:t>(Curtis &amp; Biran, 2001)</w:t>
      </w:r>
      <w:r w:rsidRPr="00D40C27">
        <w:rPr>
          <w:rFonts w:eastAsia="SimSun"/>
          <w:bCs/>
          <w:color w:val="auto"/>
          <w:lang w:eastAsia="zh-CN"/>
        </w:rPr>
        <w:t xml:space="preserve">, even when the nature of the disfigurement is known to be harmless for others </w:t>
      </w:r>
      <w:r w:rsidRPr="00D40C27">
        <w:rPr>
          <w:rFonts w:eastAsia="SimSun"/>
          <w:bCs/>
          <w:noProof/>
          <w:color w:val="auto"/>
          <w:lang w:eastAsia="zh-CN"/>
        </w:rPr>
        <w:t>(Kouznetsova et al., 2012)</w:t>
      </w:r>
      <w:r w:rsidRPr="00D40C27">
        <w:rPr>
          <w:rFonts w:eastAsia="SimSun"/>
          <w:bCs/>
          <w:color w:val="auto"/>
          <w:lang w:eastAsia="zh-CN"/>
        </w:rPr>
        <w:t xml:space="preserve">.  Because body manifestations such as disfigurement are not precise indicators of contagiousness, evolved mechanisms of signal-detection </w:t>
      </w:r>
      <w:r w:rsidRPr="00D40C27">
        <w:rPr>
          <w:rFonts w:eastAsia="SimSun"/>
          <w:bCs/>
          <w:color w:val="auto"/>
          <w:lang w:eastAsia="zh-CN"/>
        </w:rPr>
        <w:lastRenderedPageBreak/>
        <w:t xml:space="preserve">favour the error that is less costly for the individuals’ fitness </w:t>
      </w:r>
      <w:r w:rsidRPr="00D40C27">
        <w:rPr>
          <w:rFonts w:eastAsia="SimSun"/>
          <w:bCs/>
          <w:noProof/>
          <w:color w:val="auto"/>
          <w:lang w:eastAsia="zh-CN"/>
        </w:rPr>
        <w:t>(Haselton &amp; Buss, 2000; Haselton &amp; Nettle, 2006; Kouznetsova et al., 2012)</w:t>
      </w:r>
      <w:r w:rsidRPr="00D40C27">
        <w:rPr>
          <w:rFonts w:eastAsia="SimSun"/>
          <w:bCs/>
          <w:color w:val="auto"/>
          <w:lang w:eastAsia="zh-CN"/>
        </w:rPr>
        <w:t>. In other words, failing to identify a form of infection (false positive) poses a higher risk for the individual’s wellbeing than avoiding a healthy individual with visible manifestations (false negative)</w:t>
      </w:r>
      <w:r w:rsidR="00F30B96">
        <w:rPr>
          <w:rFonts w:eastAsia="SimSun"/>
          <w:bCs/>
          <w:color w:val="auto"/>
          <w:lang w:eastAsia="zh-CN"/>
        </w:rPr>
        <w:t>.</w:t>
      </w:r>
      <w:r w:rsidRPr="00D40C27">
        <w:rPr>
          <w:rFonts w:eastAsia="SimSun"/>
          <w:bCs/>
          <w:color w:val="auto"/>
          <w:lang w:eastAsia="zh-CN"/>
        </w:rPr>
        <w:t xml:space="preserve"> </w:t>
      </w:r>
      <w:r w:rsidR="00F30B96">
        <w:rPr>
          <w:rFonts w:eastAsia="SimSun"/>
          <w:bCs/>
          <w:color w:val="auto"/>
          <w:lang w:eastAsia="zh-CN"/>
        </w:rPr>
        <w:t>T</w:t>
      </w:r>
      <w:r w:rsidRPr="00D40C27">
        <w:rPr>
          <w:rFonts w:eastAsia="SimSun"/>
          <w:bCs/>
          <w:color w:val="auto"/>
          <w:lang w:eastAsia="zh-CN"/>
        </w:rPr>
        <w:t>hus</w:t>
      </w:r>
      <w:r w:rsidR="00F30B96">
        <w:rPr>
          <w:rFonts w:eastAsia="SimSun"/>
          <w:bCs/>
          <w:color w:val="auto"/>
          <w:lang w:eastAsia="zh-CN"/>
        </w:rPr>
        <w:t>,</w:t>
      </w:r>
      <w:r w:rsidRPr="00D40C27">
        <w:rPr>
          <w:rFonts w:eastAsia="SimSun"/>
          <w:bCs/>
          <w:color w:val="auto"/>
          <w:lang w:eastAsia="zh-CN"/>
        </w:rPr>
        <w:t xml:space="preserve"> signal-detection mechanisms would </w:t>
      </w:r>
      <w:r w:rsidR="00F30B96">
        <w:rPr>
          <w:rFonts w:eastAsia="SimSun"/>
          <w:bCs/>
          <w:color w:val="auto"/>
          <w:lang w:eastAsia="zh-CN"/>
        </w:rPr>
        <w:t>naturally incline humans</w:t>
      </w:r>
      <w:r w:rsidRPr="00D40C27">
        <w:rPr>
          <w:rFonts w:eastAsia="SimSun"/>
          <w:bCs/>
          <w:color w:val="auto"/>
          <w:lang w:eastAsia="zh-CN"/>
        </w:rPr>
        <w:t xml:space="preserve"> to avoid FD in an effort to minimise risk of contagiousness </w:t>
      </w:r>
      <w:r w:rsidRPr="00D40C27">
        <w:rPr>
          <w:rFonts w:eastAsia="SimSun"/>
          <w:bCs/>
          <w:noProof/>
          <w:color w:val="auto"/>
          <w:lang w:eastAsia="zh-CN"/>
        </w:rPr>
        <w:t>(Kouznetsova et al., 2012)</w:t>
      </w:r>
      <w:r w:rsidRPr="00D40C27">
        <w:rPr>
          <w:rFonts w:eastAsia="SimSun"/>
          <w:bCs/>
          <w:color w:val="auto"/>
          <w:lang w:eastAsia="zh-CN"/>
        </w:rPr>
        <w:t xml:space="preserve">. </w:t>
      </w:r>
    </w:p>
    <w:p w14:paraId="7D8C5248" w14:textId="25F3256C"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bCs/>
          <w:color w:val="auto"/>
          <w:lang w:eastAsia="zh-CN"/>
        </w:rPr>
      </w:pPr>
      <w:r w:rsidRPr="00D40C27">
        <w:rPr>
          <w:rFonts w:eastAsia="SimSun"/>
          <w:bCs/>
          <w:color w:val="auto"/>
          <w:lang w:eastAsia="zh-CN"/>
        </w:rPr>
        <w:t>Disgust has also been shown to motivate behaviours unrelated to pathogen-avoidance, as it is the case of moral judgement (i.e., disgust towards transgressions of the law</w:t>
      </w:r>
      <w:r w:rsidR="00F30B96">
        <w:rPr>
          <w:rFonts w:eastAsia="SimSun"/>
          <w:bCs/>
          <w:color w:val="auto"/>
          <w:lang w:eastAsia="zh-CN"/>
        </w:rPr>
        <w:t xml:space="preserve">) </w:t>
      </w:r>
      <w:r w:rsidRPr="00D40C27">
        <w:rPr>
          <w:rFonts w:eastAsia="SimSun"/>
          <w:bCs/>
          <w:color w:val="auto"/>
          <w:lang w:eastAsia="zh-CN"/>
        </w:rPr>
        <w:t xml:space="preserve">which reinforces societal moral norms </w:t>
      </w:r>
      <w:r w:rsidRPr="00D40C27">
        <w:rPr>
          <w:rFonts w:eastAsia="SimSun"/>
          <w:bCs/>
          <w:noProof/>
          <w:color w:val="auto"/>
          <w:lang w:eastAsia="zh-CN"/>
        </w:rPr>
        <w:t>(Landy &amp; Goodwin, 2015)</w:t>
      </w:r>
      <w:r w:rsidRPr="00D40C27">
        <w:rPr>
          <w:rFonts w:eastAsia="SimSun"/>
          <w:bCs/>
          <w:color w:val="auto"/>
          <w:lang w:eastAsia="zh-CN"/>
        </w:rPr>
        <w:t>, and selection of optimate sexual mate</w:t>
      </w:r>
      <w:r w:rsidR="00F30B96">
        <w:rPr>
          <w:rFonts w:eastAsia="SimSun"/>
          <w:bCs/>
          <w:color w:val="auto"/>
          <w:lang w:eastAsia="zh-CN"/>
        </w:rPr>
        <w:t>s</w:t>
      </w:r>
      <w:r w:rsidRPr="00D40C27">
        <w:rPr>
          <w:rFonts w:eastAsia="SimSun"/>
          <w:bCs/>
          <w:color w:val="auto"/>
          <w:lang w:eastAsia="zh-CN"/>
        </w:rPr>
        <w:t xml:space="preserve">  </w:t>
      </w:r>
      <w:r w:rsidRPr="00D40C27">
        <w:rPr>
          <w:rFonts w:eastAsia="SimSun"/>
          <w:bCs/>
          <w:noProof/>
          <w:color w:val="auto"/>
          <w:lang w:eastAsia="zh-CN"/>
        </w:rPr>
        <w:t>(DeBruine, Jones, Tybur, Lieberman, &amp; Griskevicius, 2010; Tybur et al., 2013)</w:t>
      </w:r>
      <w:r w:rsidRPr="00D40C27">
        <w:rPr>
          <w:rFonts w:eastAsia="SimSun"/>
          <w:bCs/>
          <w:color w:val="auto"/>
          <w:lang w:eastAsia="zh-CN"/>
        </w:rPr>
        <w:t>. Literature suggest</w:t>
      </w:r>
      <w:r w:rsidR="00B32D9C">
        <w:rPr>
          <w:rFonts w:eastAsia="SimSun"/>
          <w:bCs/>
          <w:color w:val="auto"/>
          <w:lang w:eastAsia="zh-CN"/>
        </w:rPr>
        <w:t>s</w:t>
      </w:r>
      <w:r w:rsidRPr="00D40C27">
        <w:rPr>
          <w:rFonts w:eastAsia="SimSun"/>
          <w:bCs/>
          <w:color w:val="auto"/>
          <w:lang w:eastAsia="zh-CN"/>
        </w:rPr>
        <w:t xml:space="preserve"> that disgust is associated with stigmatising responses towards obesity </w:t>
      </w:r>
      <w:r w:rsidRPr="00D40C27">
        <w:rPr>
          <w:rFonts w:eastAsia="SimSun"/>
          <w:bCs/>
          <w:noProof/>
          <w:color w:val="auto"/>
          <w:lang w:eastAsia="zh-CN"/>
        </w:rPr>
        <w:t>(Lieberman, Tybur, &amp; Latner, 2012; O’Brien et al., 2013)</w:t>
      </w:r>
      <w:r w:rsidRPr="00D40C27">
        <w:rPr>
          <w:rFonts w:eastAsia="SimSun"/>
          <w:bCs/>
          <w:color w:val="auto"/>
          <w:lang w:eastAsia="zh-CN"/>
        </w:rPr>
        <w:t xml:space="preserve">, mental illness </w:t>
      </w:r>
      <w:r w:rsidRPr="00D40C27">
        <w:rPr>
          <w:rFonts w:eastAsia="SimSun"/>
          <w:bCs/>
          <w:noProof/>
          <w:color w:val="auto"/>
          <w:lang w:eastAsia="zh-CN"/>
        </w:rPr>
        <w:t>(Overton &amp; Medina, 2008)</w:t>
      </w:r>
      <w:r w:rsidRPr="00D40C27">
        <w:rPr>
          <w:rFonts w:eastAsia="SimSun"/>
          <w:bCs/>
          <w:color w:val="auto"/>
          <w:lang w:eastAsia="zh-CN"/>
        </w:rPr>
        <w:t xml:space="preserve">, outgroups </w:t>
      </w:r>
      <w:r w:rsidRPr="00D40C27">
        <w:rPr>
          <w:rFonts w:eastAsia="SimSun"/>
          <w:bCs/>
          <w:noProof/>
          <w:color w:val="auto"/>
          <w:lang w:eastAsia="zh-CN"/>
        </w:rPr>
        <w:t>(Faulkner, Schaller, Park, &amp; Duncan, 2004; Navarrete &amp; Fessler, 2006)</w:t>
      </w:r>
      <w:r w:rsidRPr="00D40C27">
        <w:rPr>
          <w:rFonts w:eastAsia="SimSun"/>
          <w:bCs/>
          <w:color w:val="auto"/>
          <w:lang w:eastAsia="zh-CN"/>
        </w:rPr>
        <w:t xml:space="preserve">, facial disfigurement </w:t>
      </w:r>
      <w:r w:rsidRPr="00D40C27">
        <w:rPr>
          <w:rFonts w:eastAsia="SimSun"/>
          <w:bCs/>
          <w:noProof/>
          <w:color w:val="auto"/>
          <w:lang w:eastAsia="zh-CN"/>
        </w:rPr>
        <w:t>(Shanmugarajah, Gaind, Clarke, &amp; Butler, 2012; Stone &amp; Potton, 2014, 2017)</w:t>
      </w:r>
      <w:r w:rsidRPr="00D40C27">
        <w:rPr>
          <w:rFonts w:eastAsia="SimSun"/>
          <w:bCs/>
          <w:color w:val="auto"/>
          <w:lang w:eastAsia="zh-CN"/>
        </w:rPr>
        <w:t xml:space="preserve"> amongst others (e.g</w:t>
      </w:r>
      <w:r w:rsidR="008471FC">
        <w:rPr>
          <w:rFonts w:eastAsia="SimSun"/>
          <w:bCs/>
          <w:color w:val="auto"/>
          <w:lang w:eastAsia="zh-CN"/>
        </w:rPr>
        <w:t xml:space="preserve">., </w:t>
      </w:r>
      <w:r w:rsidRPr="00D40C27">
        <w:rPr>
          <w:rFonts w:eastAsia="SimSun"/>
          <w:bCs/>
          <w:color w:val="auto"/>
          <w:lang w:eastAsia="zh-CN"/>
        </w:rPr>
        <w:t>homosexuality;</w:t>
      </w:r>
      <w:r w:rsidR="006F0795">
        <w:rPr>
          <w:rFonts w:eastAsia="SimSun"/>
          <w:bCs/>
          <w:noProof/>
          <w:color w:val="auto"/>
          <w:lang w:eastAsia="zh-CN"/>
        </w:rPr>
        <w:t xml:space="preserve"> </w:t>
      </w:r>
      <w:r w:rsidRPr="00D40C27">
        <w:rPr>
          <w:rFonts w:eastAsia="SimSun"/>
          <w:bCs/>
          <w:noProof/>
          <w:color w:val="auto"/>
          <w:lang w:eastAsia="zh-CN"/>
        </w:rPr>
        <w:t>Inbar, Pizarro, Knobe, &amp; Bloom, 2009)</w:t>
      </w:r>
      <w:r w:rsidRPr="00D40C27">
        <w:rPr>
          <w:rFonts w:eastAsia="SimSun"/>
          <w:bCs/>
          <w:color w:val="auto"/>
          <w:lang w:eastAsia="zh-CN"/>
        </w:rPr>
        <w:t>.</w:t>
      </w:r>
    </w:p>
    <w:p w14:paraId="05DCC226" w14:textId="7BEF6098" w:rsidR="00F30B96" w:rsidRDefault="000F1616"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bCs/>
          <w:color w:val="auto"/>
          <w:lang w:eastAsia="zh-CN"/>
        </w:rPr>
      </w:pPr>
      <w:r w:rsidRPr="00D40C27">
        <w:rPr>
          <w:rFonts w:eastAsia="SimSun"/>
          <w:bCs/>
          <w:color w:val="auto"/>
          <w:lang w:eastAsia="zh-CN"/>
        </w:rPr>
        <w:t xml:space="preserve">Sensitivity to experience disgust is thought to be one of the affective mechanisms influencing responses towards FD </w:t>
      </w:r>
      <w:r w:rsidRPr="00D40C27">
        <w:rPr>
          <w:rFonts w:eastAsia="SimSun"/>
          <w:bCs/>
          <w:noProof/>
          <w:color w:val="auto"/>
          <w:lang w:eastAsia="zh-CN"/>
        </w:rPr>
        <w:t>(Ryan et al., 2012; Shanmugarajah et al., 2012; Stone &amp; Potton, 2017)</w:t>
      </w:r>
      <w:r w:rsidRPr="00D40C27">
        <w:rPr>
          <w:rFonts w:eastAsia="SimSun"/>
          <w:bCs/>
          <w:color w:val="auto"/>
          <w:lang w:eastAsia="zh-CN"/>
        </w:rPr>
        <w:t>. Individual differences in levels of disgust sensitivity ha</w:t>
      </w:r>
      <w:r w:rsidR="00B32D9C">
        <w:rPr>
          <w:rFonts w:eastAsia="SimSun"/>
          <w:bCs/>
          <w:color w:val="auto"/>
          <w:lang w:eastAsia="zh-CN"/>
        </w:rPr>
        <w:t>ve</w:t>
      </w:r>
      <w:r w:rsidRPr="00D40C27">
        <w:rPr>
          <w:rFonts w:eastAsia="SimSun"/>
          <w:bCs/>
          <w:color w:val="auto"/>
          <w:lang w:eastAsia="zh-CN"/>
        </w:rPr>
        <w:t xml:space="preserve"> been associated with higher perceived disgust </w:t>
      </w:r>
      <w:r w:rsidRPr="00D40C27">
        <w:rPr>
          <w:rFonts w:eastAsia="SimSun"/>
          <w:bCs/>
          <w:noProof/>
          <w:color w:val="auto"/>
          <w:lang w:eastAsia="zh-CN"/>
        </w:rPr>
        <w:t>(Shanmugarajah et al., 2012; Stone &amp; Potton, 2017)</w:t>
      </w:r>
      <w:r w:rsidRPr="00D40C27">
        <w:rPr>
          <w:rFonts w:eastAsia="SimSun"/>
          <w:bCs/>
          <w:color w:val="auto"/>
          <w:lang w:eastAsia="zh-CN"/>
        </w:rPr>
        <w:t>, higher overall negative emotions, increased feelings of sorrow, embarrassment</w:t>
      </w:r>
      <w:r w:rsidR="00B32D9C">
        <w:rPr>
          <w:rFonts w:eastAsia="SimSun"/>
          <w:bCs/>
          <w:color w:val="auto"/>
          <w:lang w:eastAsia="zh-CN"/>
        </w:rPr>
        <w:t>,</w:t>
      </w:r>
      <w:r w:rsidRPr="00D40C27">
        <w:rPr>
          <w:rFonts w:eastAsia="SimSun"/>
          <w:bCs/>
          <w:color w:val="auto"/>
          <w:lang w:eastAsia="zh-CN"/>
        </w:rPr>
        <w:t xml:space="preserve"> and repulsion, but also greater sympathy and curiosity </w:t>
      </w:r>
      <w:r w:rsidRPr="00D40C27">
        <w:rPr>
          <w:rFonts w:eastAsia="SimSun"/>
          <w:bCs/>
          <w:noProof/>
          <w:color w:val="auto"/>
          <w:lang w:eastAsia="zh-CN"/>
        </w:rPr>
        <w:t>(Stone &amp; Potton, 2014, 2017)</w:t>
      </w:r>
      <w:r w:rsidRPr="00D40C27">
        <w:rPr>
          <w:rFonts w:eastAsia="SimSun"/>
          <w:bCs/>
          <w:color w:val="auto"/>
          <w:lang w:eastAsia="zh-CN"/>
        </w:rPr>
        <w:t>. Furthermore, greater disgust sensitivity has been found to be correlated with higher visual fixation towards disfigurement located within internal expressive facial features (IEF; i.e. eyes, mouth</w:t>
      </w:r>
      <w:r w:rsidR="00B32D9C">
        <w:rPr>
          <w:rFonts w:eastAsia="SimSun"/>
          <w:bCs/>
          <w:color w:val="auto"/>
          <w:lang w:eastAsia="zh-CN"/>
        </w:rPr>
        <w:t>,</w:t>
      </w:r>
      <w:r w:rsidRPr="00D40C27">
        <w:rPr>
          <w:rFonts w:eastAsia="SimSun"/>
          <w:bCs/>
          <w:color w:val="auto"/>
          <w:lang w:eastAsia="zh-CN"/>
        </w:rPr>
        <w:t xml:space="preserve"> and nose), but not when the target FD was in peripheral features (e.g.</w:t>
      </w:r>
      <w:r w:rsidR="008471FC">
        <w:rPr>
          <w:rFonts w:eastAsia="SimSun"/>
          <w:bCs/>
          <w:color w:val="auto"/>
          <w:lang w:eastAsia="zh-CN"/>
        </w:rPr>
        <w:t>,</w:t>
      </w:r>
      <w:r w:rsidR="00B32D9C">
        <w:rPr>
          <w:rFonts w:eastAsia="SimSun"/>
          <w:bCs/>
          <w:color w:val="auto"/>
          <w:lang w:eastAsia="zh-CN"/>
        </w:rPr>
        <w:t xml:space="preserve"> </w:t>
      </w:r>
      <w:r w:rsidRPr="00D40C27">
        <w:rPr>
          <w:rFonts w:eastAsia="SimSun"/>
          <w:bCs/>
          <w:color w:val="auto"/>
          <w:lang w:eastAsia="zh-CN"/>
        </w:rPr>
        <w:t>forehead;</w:t>
      </w:r>
      <w:r w:rsidR="006F0795">
        <w:rPr>
          <w:rFonts w:eastAsia="SimSun"/>
          <w:bCs/>
          <w:noProof/>
          <w:color w:val="auto"/>
          <w:lang w:eastAsia="zh-CN"/>
        </w:rPr>
        <w:t xml:space="preserve"> </w:t>
      </w:r>
      <w:r w:rsidRPr="00D40C27">
        <w:rPr>
          <w:rFonts w:eastAsia="SimSun"/>
          <w:bCs/>
          <w:noProof/>
          <w:color w:val="auto"/>
          <w:lang w:eastAsia="zh-CN"/>
        </w:rPr>
        <w:t>Stone &amp; Potton, 2017)</w:t>
      </w:r>
      <w:r w:rsidRPr="00D40C27">
        <w:rPr>
          <w:rFonts w:eastAsia="SimSun"/>
          <w:bCs/>
          <w:color w:val="auto"/>
          <w:lang w:eastAsia="zh-CN"/>
        </w:rPr>
        <w:t>. Similar findings</w:t>
      </w:r>
      <w:r w:rsidR="00F30B96">
        <w:rPr>
          <w:rFonts w:eastAsia="SimSun"/>
          <w:bCs/>
          <w:color w:val="auto"/>
          <w:lang w:eastAsia="zh-CN"/>
        </w:rPr>
        <w:t xml:space="preserve"> in</w:t>
      </w:r>
      <w:r w:rsidRPr="00D40C27">
        <w:rPr>
          <w:rFonts w:eastAsia="SimSun"/>
          <w:bCs/>
          <w:noProof/>
          <w:color w:val="auto"/>
          <w:lang w:eastAsia="zh-CN"/>
        </w:rPr>
        <w:t xml:space="preserve"> Gardiner et al. (2010)</w:t>
      </w:r>
      <w:r w:rsidR="00F30B96">
        <w:rPr>
          <w:rFonts w:eastAsia="SimSun"/>
          <w:bCs/>
          <w:noProof/>
          <w:color w:val="auto"/>
          <w:lang w:eastAsia="zh-CN"/>
        </w:rPr>
        <w:t xml:space="preserve"> and</w:t>
      </w:r>
      <w:r w:rsidRPr="00D40C27">
        <w:rPr>
          <w:rFonts w:eastAsia="SimSun"/>
          <w:bCs/>
          <w:noProof/>
          <w:color w:val="auto"/>
          <w:lang w:eastAsia="zh-CN"/>
        </w:rPr>
        <w:t xml:space="preserve"> Godoy et al. (2011)</w:t>
      </w:r>
      <w:r w:rsidRPr="00D40C27">
        <w:rPr>
          <w:rFonts w:eastAsia="SimSun"/>
          <w:bCs/>
          <w:color w:val="auto"/>
          <w:lang w:eastAsia="zh-CN"/>
        </w:rPr>
        <w:t xml:space="preserve"> also report FD as a significant attention drawing factor in observers. </w:t>
      </w:r>
    </w:p>
    <w:p w14:paraId="0B3D8261" w14:textId="0E985AB6"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bCs/>
          <w:color w:val="auto"/>
          <w:lang w:eastAsia="zh-CN"/>
        </w:rPr>
      </w:pPr>
      <w:r w:rsidRPr="00D40C27">
        <w:rPr>
          <w:rFonts w:eastAsia="SimSun"/>
          <w:bCs/>
          <w:color w:val="auto"/>
          <w:lang w:eastAsia="zh-CN"/>
        </w:rPr>
        <w:t>Because IEFF provide relevant stimuli in facial recognition and communication, it makes sense that disfigurement compromising these regions of the face also generate a stronger negative response in the observer. The literature would benefit from further exploring manifestations of disgust and stigma towards specific types of FD, particularly those comprising different sizes, locations and levels of contagiousness (e.g., cutaneous leishmaniasis;</w:t>
      </w:r>
      <w:r w:rsidR="006F0795">
        <w:rPr>
          <w:rFonts w:eastAsia="SimSun"/>
          <w:bCs/>
          <w:noProof/>
          <w:color w:val="auto"/>
          <w:lang w:eastAsia="zh-CN"/>
        </w:rPr>
        <w:t xml:space="preserve"> </w:t>
      </w:r>
      <w:r w:rsidRPr="00D40C27">
        <w:rPr>
          <w:rFonts w:eastAsia="SimSun"/>
          <w:bCs/>
          <w:noProof/>
          <w:color w:val="auto"/>
          <w:lang w:eastAsia="zh-CN"/>
        </w:rPr>
        <w:t>Reithinger et al., 2007)</w:t>
      </w:r>
      <w:r w:rsidRPr="00D40C27">
        <w:rPr>
          <w:rFonts w:eastAsia="SimSun"/>
          <w:bCs/>
          <w:color w:val="auto"/>
          <w:lang w:eastAsia="zh-CN"/>
        </w:rPr>
        <w:t xml:space="preserve">. </w:t>
      </w:r>
    </w:p>
    <w:p w14:paraId="51BF7E35" w14:textId="226D70A1"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SimSun"/>
          <w:color w:val="auto"/>
          <w:lang w:eastAsia="zh-CN"/>
        </w:rPr>
      </w:pPr>
      <w:r w:rsidRPr="00D40C27">
        <w:rPr>
          <w:rFonts w:eastAsia="Calibri"/>
          <w:color w:val="auto"/>
          <w:lang w:eastAsia="en-US"/>
        </w:rPr>
        <w:t xml:space="preserve">Compared to men, women experience and respond more strongly towards positive and negative emotions </w:t>
      </w:r>
      <w:r w:rsidRPr="00D40C27">
        <w:rPr>
          <w:rFonts w:eastAsia="Calibri"/>
          <w:noProof/>
          <w:color w:val="auto"/>
          <w:lang w:eastAsia="en-US"/>
        </w:rPr>
        <w:t xml:space="preserve">(Diener, Sandvik, &amp; Larsen, 1985; Fessler, Pillsworth, &amp; Flamson, </w:t>
      </w:r>
      <w:r w:rsidRPr="00D40C27">
        <w:rPr>
          <w:rFonts w:eastAsia="Calibri"/>
          <w:noProof/>
          <w:color w:val="auto"/>
          <w:lang w:eastAsia="en-US"/>
        </w:rPr>
        <w:lastRenderedPageBreak/>
        <w:t>2004; Grossman &amp; Wood, 1993)</w:t>
      </w:r>
      <w:r w:rsidRPr="00D40C27">
        <w:rPr>
          <w:rFonts w:eastAsia="Calibri"/>
          <w:color w:val="auto"/>
          <w:lang w:eastAsia="en-US"/>
        </w:rPr>
        <w:t xml:space="preserve">, including disgust </w:t>
      </w:r>
      <w:r w:rsidRPr="00D40C27">
        <w:rPr>
          <w:rFonts w:eastAsia="Calibri"/>
          <w:noProof/>
          <w:color w:val="auto"/>
          <w:lang w:eastAsia="en-US"/>
        </w:rPr>
        <w:t>(Kring &amp; Gordon, 1998; Rohrmann, Hopp, &amp; Quirin, 2008)</w:t>
      </w:r>
      <w:r w:rsidRPr="00D40C27">
        <w:rPr>
          <w:rFonts w:eastAsia="Calibri"/>
          <w:color w:val="auto"/>
          <w:lang w:eastAsia="en-US"/>
        </w:rPr>
        <w:t xml:space="preserve">. Previous studies suggest that females show greater disgust sensitivity than males </w:t>
      </w:r>
      <w:r w:rsidRPr="00D40C27">
        <w:rPr>
          <w:rFonts w:eastAsia="Calibri"/>
          <w:noProof/>
          <w:color w:val="auto"/>
          <w:lang w:eastAsia="en-US"/>
        </w:rPr>
        <w:t>(Druschel &amp; Sherman, 1999; Rozin, Haidt, McCauley, Dunlop, &amp; Ashmore, 1999)</w:t>
      </w:r>
      <w:r w:rsidRPr="00D40C27">
        <w:rPr>
          <w:rFonts w:eastAsia="Calibri"/>
          <w:color w:val="auto"/>
          <w:lang w:eastAsia="en-US"/>
        </w:rPr>
        <w:t xml:space="preserve">, in particular towards animal cues </w:t>
      </w:r>
      <w:r w:rsidRPr="00D40C27">
        <w:rPr>
          <w:rFonts w:eastAsia="Calibri"/>
          <w:noProof/>
          <w:color w:val="auto"/>
          <w:lang w:eastAsia="en-US"/>
        </w:rPr>
        <w:t>(Tucker &amp; Bond, 1997)</w:t>
      </w:r>
      <w:r w:rsidRPr="00D40C27">
        <w:rPr>
          <w:rFonts w:eastAsia="Calibri"/>
          <w:color w:val="auto"/>
          <w:lang w:eastAsia="en-US"/>
        </w:rPr>
        <w:t>.  H</w:t>
      </w:r>
      <w:r w:rsidRPr="00D40C27">
        <w:rPr>
          <w:rFonts w:eastAsia="SimSun"/>
          <w:color w:val="auto"/>
          <w:lang w:eastAsia="zh-CN"/>
        </w:rPr>
        <w:t>igh levels of disgust in females may respond to a biological function to prevent contamination and protect the development of the offspring during female’s reproductive role</w:t>
      </w:r>
      <w:r w:rsidR="00F30B96">
        <w:rPr>
          <w:rFonts w:eastAsia="SimSun"/>
          <w:color w:val="auto"/>
          <w:lang w:eastAsia="zh-CN"/>
        </w:rPr>
        <w:t>. Also, t</w:t>
      </w:r>
      <w:r w:rsidRPr="00D40C27">
        <w:rPr>
          <w:rFonts w:eastAsia="SimSun"/>
          <w:color w:val="auto"/>
          <w:lang w:eastAsia="zh-CN"/>
        </w:rPr>
        <w:t xml:space="preserve">raditionally females have overseen the care </w:t>
      </w:r>
      <w:r w:rsidR="00F30B96">
        <w:rPr>
          <w:rFonts w:eastAsia="SimSun"/>
          <w:color w:val="auto"/>
          <w:lang w:eastAsia="zh-CN"/>
        </w:rPr>
        <w:t>of children during</w:t>
      </w:r>
      <w:r w:rsidRPr="00D40C27">
        <w:rPr>
          <w:rFonts w:eastAsia="SimSun"/>
          <w:color w:val="auto"/>
          <w:lang w:eastAsia="zh-CN"/>
        </w:rPr>
        <w:t xml:space="preserve"> period</w:t>
      </w:r>
      <w:r w:rsidR="00F30B96">
        <w:rPr>
          <w:rFonts w:eastAsia="SimSun"/>
          <w:color w:val="auto"/>
          <w:lang w:eastAsia="zh-CN"/>
        </w:rPr>
        <w:t>s</w:t>
      </w:r>
      <w:r w:rsidRPr="00D40C27">
        <w:rPr>
          <w:rFonts w:eastAsia="SimSun"/>
          <w:color w:val="auto"/>
          <w:lang w:eastAsia="zh-CN"/>
        </w:rPr>
        <w:t xml:space="preserve"> in which they are more prone to infections and diseases</w:t>
      </w:r>
      <w:r w:rsidR="00F30B96">
        <w:rPr>
          <w:rFonts w:eastAsia="SimSun"/>
          <w:color w:val="auto"/>
          <w:lang w:eastAsia="zh-CN"/>
        </w:rPr>
        <w:t>, such as early childhood</w:t>
      </w:r>
      <w:r w:rsidRPr="00D40C27">
        <w:rPr>
          <w:rFonts w:eastAsia="SimSun"/>
          <w:color w:val="auto"/>
          <w:lang w:eastAsia="zh-CN"/>
        </w:rPr>
        <w:t>. Because pathogens and contaminating elements are prone to affect the development of the embryo and foetus,</w:t>
      </w:r>
      <w:r w:rsidR="004474CD">
        <w:rPr>
          <w:rFonts w:eastAsia="SimSun"/>
          <w:color w:val="auto"/>
          <w:lang w:eastAsia="zh-CN"/>
        </w:rPr>
        <w:t xml:space="preserve"> it has been proposed that</w:t>
      </w:r>
      <w:r w:rsidRPr="00D40C27">
        <w:rPr>
          <w:rFonts w:eastAsia="SimSun"/>
          <w:color w:val="auto"/>
          <w:lang w:eastAsia="zh-CN"/>
        </w:rPr>
        <w:t xml:space="preserve"> females have developed a stronger sensitivity to avoid potential diseases. </w:t>
      </w:r>
      <w:r w:rsidRPr="00D40C27">
        <w:rPr>
          <w:rFonts w:eastAsia="SimSun"/>
          <w:noProof/>
          <w:color w:val="auto"/>
          <w:lang w:eastAsia="zh-CN"/>
        </w:rPr>
        <w:t>(Lieberman et al., 2012; Tybur, Lieberman, &amp; Griskevicius, 2009)</w:t>
      </w:r>
      <w:r w:rsidRPr="00D40C27">
        <w:rPr>
          <w:rFonts w:eastAsia="SimSun"/>
          <w:color w:val="auto"/>
          <w:lang w:eastAsia="zh-CN"/>
        </w:rPr>
        <w:t xml:space="preserve">.  </w:t>
      </w:r>
    </w:p>
    <w:p w14:paraId="3A598F38" w14:textId="5B8691F9" w:rsidR="000F1616" w:rsidRPr="00D40C27" w:rsidRDefault="000F1616" w:rsidP="004D2DC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SimSun"/>
          <w:color w:val="auto"/>
          <w:lang w:eastAsia="zh-CN"/>
        </w:rPr>
      </w:pPr>
      <w:r w:rsidRPr="00D40C27">
        <w:rPr>
          <w:rFonts w:eastAsia="SimSun"/>
          <w:color w:val="auto"/>
          <w:lang w:eastAsia="zh-CN"/>
        </w:rPr>
        <w:t>It is possible that gender differences in sensitivity to disgust also influence different stigmatising responses towards disadvantaged groups. For instance,</w:t>
      </w:r>
      <w:r w:rsidR="001656F2">
        <w:rPr>
          <w:rFonts w:eastAsia="SimSun"/>
          <w:noProof/>
          <w:color w:val="auto"/>
          <w:lang w:eastAsia="zh-CN"/>
        </w:rPr>
        <w:t xml:space="preserve"> </w:t>
      </w:r>
      <w:r w:rsidRPr="00D40C27">
        <w:rPr>
          <w:rFonts w:eastAsia="SimSun"/>
          <w:noProof/>
          <w:color w:val="auto"/>
          <w:lang w:eastAsia="zh-CN"/>
        </w:rPr>
        <w:t>Rohrmann et al. (2008)</w:t>
      </w:r>
      <w:r w:rsidRPr="00D40C27">
        <w:rPr>
          <w:rFonts w:eastAsia="SimSun"/>
          <w:color w:val="auto"/>
          <w:lang w:eastAsia="zh-CN"/>
        </w:rPr>
        <w:t xml:space="preserve"> showed that females reported higher pathogen disgust sensitivity than male participants and this predicted greater stigmatisation towards obese individuals in female, but not male participants. Thus, if humans have evolved to detect physical appearance in others as potential contaminating cues (e.g., body shape or physical disabilities; </w:t>
      </w:r>
      <w:r w:rsidRPr="00D40C27">
        <w:rPr>
          <w:rFonts w:eastAsia="SimSun"/>
          <w:noProof/>
          <w:color w:val="auto"/>
          <w:lang w:eastAsia="zh-CN"/>
        </w:rPr>
        <w:t>Park, Faulkner, &amp; Schaller, 2003; Park, Schaller, &amp; Crandall, 2007)</w:t>
      </w:r>
      <w:r w:rsidRPr="00D40C27">
        <w:rPr>
          <w:rFonts w:eastAsia="SimSun"/>
          <w:color w:val="auto"/>
          <w:lang w:eastAsia="zh-CN"/>
        </w:rPr>
        <w:t xml:space="preserve"> and emotional responses are stronger in females, it is possible that stigmatising responses towards disadvantaged groups, including FD, are also different between genders. </w:t>
      </w:r>
      <w:r w:rsidRPr="009E0A0B">
        <w:rPr>
          <w:rFonts w:eastAsia="SimSun"/>
          <w:color w:val="auto"/>
          <w:lang w:eastAsia="zh-CN"/>
        </w:rPr>
        <w:t>Nonetheless, males</w:t>
      </w:r>
      <w:r w:rsidR="004474CD" w:rsidRPr="009E0A0B">
        <w:rPr>
          <w:rFonts w:eastAsia="SimSun"/>
          <w:color w:val="auto"/>
          <w:lang w:eastAsia="zh-CN"/>
        </w:rPr>
        <w:t>, particularly of white ethnicity,</w:t>
      </w:r>
      <w:r w:rsidRPr="009E0A0B">
        <w:rPr>
          <w:rFonts w:eastAsia="SimSun"/>
          <w:color w:val="auto"/>
          <w:lang w:eastAsia="zh-CN"/>
        </w:rPr>
        <w:t xml:space="preserve"> tend to </w:t>
      </w:r>
      <w:r w:rsidR="004474CD" w:rsidRPr="009E0A0B">
        <w:rPr>
          <w:rFonts w:eastAsia="SimSun"/>
          <w:color w:val="auto"/>
          <w:lang w:eastAsia="zh-CN"/>
        </w:rPr>
        <w:t xml:space="preserve">hold greater perceptions of power and </w:t>
      </w:r>
      <w:r w:rsidRPr="009E0A0B">
        <w:rPr>
          <w:rFonts w:eastAsia="SimSun"/>
          <w:color w:val="auto"/>
          <w:lang w:eastAsia="zh-CN"/>
        </w:rPr>
        <w:t>show greater negative attitudes towards disadvantaged groups, as it is the case</w:t>
      </w:r>
      <w:r w:rsidRPr="00D40C27">
        <w:rPr>
          <w:rFonts w:eastAsia="SimSun"/>
          <w:color w:val="auto"/>
          <w:lang w:eastAsia="zh-CN"/>
        </w:rPr>
        <w:t xml:space="preserve"> of racism </w:t>
      </w:r>
      <w:r w:rsidRPr="00D40C27">
        <w:rPr>
          <w:rFonts w:eastAsia="SimSun"/>
          <w:noProof/>
          <w:color w:val="auto"/>
          <w:lang w:eastAsia="zh-CN"/>
        </w:rPr>
        <w:t>(Sabin, Nosek, Greenwald, &amp; Rivara, 2009)</w:t>
      </w:r>
      <w:r w:rsidRPr="00D40C27">
        <w:rPr>
          <w:rFonts w:eastAsia="SimSun"/>
          <w:color w:val="auto"/>
          <w:lang w:eastAsia="zh-CN"/>
        </w:rPr>
        <w:t xml:space="preserve">, homophobia </w:t>
      </w:r>
      <w:r w:rsidRPr="00D40C27">
        <w:rPr>
          <w:rFonts w:eastAsia="SimSun"/>
          <w:noProof/>
          <w:color w:val="auto"/>
          <w:lang w:eastAsia="zh-CN"/>
        </w:rPr>
        <w:t>(Steffens &amp; Wagner, 2004)</w:t>
      </w:r>
      <w:r w:rsidRPr="00D40C27">
        <w:rPr>
          <w:rFonts w:eastAsia="SimSun"/>
          <w:color w:val="auto"/>
          <w:lang w:eastAsia="zh-CN"/>
        </w:rPr>
        <w:t xml:space="preserve"> and intellectual disabilities </w:t>
      </w:r>
      <w:r w:rsidRPr="00D40C27">
        <w:rPr>
          <w:rFonts w:eastAsia="SimSun"/>
          <w:noProof/>
          <w:color w:val="auto"/>
          <w:lang w:eastAsia="zh-CN"/>
        </w:rPr>
        <w:t>(Mak &amp; Cheung, 2008)</w:t>
      </w:r>
      <w:r w:rsidRPr="00D40C27">
        <w:rPr>
          <w:rFonts w:eastAsia="SimSun"/>
          <w:color w:val="auto"/>
          <w:lang w:eastAsia="zh-CN"/>
        </w:rPr>
        <w:t xml:space="preserve">. </w:t>
      </w:r>
    </w:p>
    <w:p w14:paraId="7009791F" w14:textId="783A5D57" w:rsidR="0024237B" w:rsidRDefault="000F1616"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bCs/>
          <w:color w:val="auto"/>
          <w:lang w:eastAsia="zh-CN"/>
        </w:rPr>
      </w:pPr>
      <w:r w:rsidRPr="00D40C27">
        <w:rPr>
          <w:rFonts w:eastAsia="SimSun"/>
          <w:bCs/>
          <w:color w:val="auto"/>
          <w:lang w:eastAsia="zh-CN"/>
        </w:rPr>
        <w:t xml:space="preserve">  </w:t>
      </w:r>
      <w:r w:rsidRPr="00D40C27">
        <w:rPr>
          <w:rFonts w:eastAsia="SimSun"/>
          <w:color w:val="auto"/>
          <w:lang w:eastAsia="zh-CN"/>
        </w:rPr>
        <w:t xml:space="preserve">On the other hand, processes of stigmatisation </w:t>
      </w:r>
      <w:r w:rsidR="004474CD">
        <w:rPr>
          <w:rFonts w:eastAsia="SimSun"/>
          <w:color w:val="auto"/>
          <w:lang w:eastAsia="zh-CN"/>
        </w:rPr>
        <w:t xml:space="preserve">on the basis of physical appearance </w:t>
      </w:r>
      <w:r w:rsidRPr="00D40C27">
        <w:rPr>
          <w:rFonts w:eastAsia="SimSun"/>
          <w:color w:val="auto"/>
          <w:lang w:eastAsia="zh-CN"/>
        </w:rPr>
        <w:t>occur within specific sociocultural contexts</w:t>
      </w:r>
      <w:r w:rsidR="004474CD">
        <w:rPr>
          <w:rFonts w:eastAsia="SimSun"/>
          <w:color w:val="auto"/>
          <w:lang w:eastAsia="zh-CN"/>
        </w:rPr>
        <w:t xml:space="preserve"> where</w:t>
      </w:r>
      <w:r w:rsidRPr="00D40C27">
        <w:rPr>
          <w:rFonts w:eastAsia="SimSun"/>
          <w:color w:val="auto"/>
          <w:lang w:eastAsia="zh-CN"/>
        </w:rPr>
        <w:t xml:space="preserve"> beauty ideals are particularly salient </w:t>
      </w:r>
      <w:r w:rsidRPr="00D40C27">
        <w:rPr>
          <w:rFonts w:eastAsia="SimSun"/>
          <w:noProof/>
          <w:color w:val="auto"/>
          <w:lang w:eastAsia="zh-CN"/>
        </w:rPr>
        <w:t>(Eagly &amp; Ashmore, 1991; Maner et al., 2003)</w:t>
      </w:r>
      <w:r w:rsidRPr="00D40C27">
        <w:rPr>
          <w:rFonts w:eastAsia="SimSun"/>
          <w:color w:val="auto"/>
          <w:lang w:eastAsia="zh-CN"/>
        </w:rPr>
        <w:t>.</w:t>
      </w:r>
      <w:r w:rsidR="00BE05AC">
        <w:rPr>
          <w:rFonts w:eastAsia="SimSun"/>
          <w:color w:val="auto"/>
          <w:lang w:eastAsia="zh-CN"/>
        </w:rPr>
        <w:t xml:space="preserve"> </w:t>
      </w:r>
      <w:r w:rsidRPr="00D40C27">
        <w:rPr>
          <w:rFonts w:eastAsia="SimSun"/>
          <w:color w:val="auto"/>
          <w:lang w:eastAsia="zh-CN"/>
        </w:rPr>
        <w:t xml:space="preserve"> For instance, </w:t>
      </w:r>
      <w:r w:rsidRPr="00D40C27">
        <w:rPr>
          <w:rFonts w:eastAsia="SimSun"/>
          <w:bCs/>
          <w:noProof/>
          <w:color w:val="auto"/>
          <w:lang w:eastAsia="zh-CN"/>
        </w:rPr>
        <w:t>Rosser, Moss, and Rumsey</w:t>
      </w:r>
      <w:r w:rsidRPr="00D40C27">
        <w:rPr>
          <w:rFonts w:eastAsia="SimSun"/>
          <w:bCs/>
          <w:color w:val="auto"/>
          <w:lang w:eastAsia="zh-CN"/>
        </w:rPr>
        <w:t xml:space="preserve"> found that participants with high levels of appearance concern were more likely to interpret ambiguous stimuli as appearance-related and to attribute a negative valence to them. </w:t>
      </w:r>
      <w:r w:rsidR="00BE05AC">
        <w:rPr>
          <w:rFonts w:eastAsia="SimSun"/>
          <w:bCs/>
          <w:color w:val="auto"/>
          <w:lang w:eastAsia="zh-CN"/>
        </w:rPr>
        <w:t>Similarly, i</w:t>
      </w:r>
      <w:r w:rsidRPr="00D40C27">
        <w:rPr>
          <w:rFonts w:eastAsia="SimSun"/>
          <w:bCs/>
          <w:color w:val="auto"/>
          <w:lang w:eastAsia="zh-CN"/>
        </w:rPr>
        <w:t xml:space="preserve">ncreased biases against overweight individuals have been associated with observers’ body image cognitions such as lower body-esteem </w:t>
      </w:r>
      <w:r w:rsidRPr="00D40C27">
        <w:rPr>
          <w:rFonts w:eastAsia="SimSun"/>
          <w:bCs/>
          <w:noProof/>
          <w:color w:val="auto"/>
          <w:lang w:eastAsia="zh-CN"/>
        </w:rPr>
        <w:t>(O’Brien, Hunter, &amp; Banks, 2006)</w:t>
      </w:r>
      <w:r w:rsidRPr="00D40C27">
        <w:rPr>
          <w:rFonts w:eastAsia="SimSun"/>
          <w:bCs/>
          <w:color w:val="auto"/>
          <w:lang w:eastAsia="zh-CN"/>
        </w:rPr>
        <w:t xml:space="preserve">, higher appearance evaluation and orientation </w:t>
      </w:r>
      <w:r w:rsidRPr="00D40C27">
        <w:rPr>
          <w:rFonts w:eastAsia="SimSun"/>
          <w:bCs/>
          <w:noProof/>
          <w:color w:val="auto"/>
          <w:lang w:eastAsia="zh-CN"/>
        </w:rPr>
        <w:t>(O’Brien, Hunter, Halberstadt, &amp; Anderson, 2007)</w:t>
      </w:r>
      <w:r w:rsidRPr="00D40C27">
        <w:rPr>
          <w:rFonts w:eastAsia="SimSun"/>
          <w:bCs/>
          <w:color w:val="auto"/>
          <w:lang w:eastAsia="zh-CN"/>
        </w:rPr>
        <w:t xml:space="preserve"> and higher appearance concern </w:t>
      </w:r>
      <w:r w:rsidRPr="00D40C27">
        <w:rPr>
          <w:rFonts w:eastAsia="SimSun"/>
          <w:bCs/>
          <w:noProof/>
          <w:color w:val="auto"/>
          <w:lang w:eastAsia="zh-CN"/>
        </w:rPr>
        <w:t>(O’Brien et al., 2013)</w:t>
      </w:r>
      <w:r w:rsidRPr="00D40C27">
        <w:rPr>
          <w:rFonts w:eastAsia="SimSun"/>
          <w:bCs/>
          <w:color w:val="auto"/>
          <w:lang w:eastAsia="zh-CN"/>
        </w:rPr>
        <w:t xml:space="preserve">. </w:t>
      </w:r>
    </w:p>
    <w:p w14:paraId="18D83AA0" w14:textId="1C830BCE" w:rsidR="000F1616" w:rsidRPr="00D40C27" w:rsidRDefault="0024237B" w:rsidP="000F1616">
      <w:pPr>
        <w:pBdr>
          <w:top w:val="none" w:sz="0" w:space="0" w:color="auto"/>
          <w:left w:val="none" w:sz="0" w:space="0" w:color="auto"/>
          <w:bottom w:val="none" w:sz="0" w:space="0" w:color="auto"/>
          <w:right w:val="none" w:sz="0" w:space="0" w:color="auto"/>
          <w:between w:val="none" w:sz="0" w:space="0" w:color="auto"/>
        </w:pBdr>
        <w:tabs>
          <w:tab w:val="left" w:pos="4065"/>
        </w:tabs>
        <w:ind w:firstLine="851"/>
        <w:rPr>
          <w:rFonts w:eastAsia="SimSun"/>
          <w:bCs/>
          <w:color w:val="auto"/>
          <w:lang w:eastAsia="zh-CN"/>
        </w:rPr>
      </w:pPr>
      <w:r w:rsidRPr="00D40C27">
        <w:rPr>
          <w:rFonts w:eastAsia="Calibri"/>
          <w:color w:val="auto"/>
          <w:lang w:eastAsia="en-US"/>
        </w:rPr>
        <w:lastRenderedPageBreak/>
        <w:t xml:space="preserve">Although there are attractiveness stereotypes for both genders </w:t>
      </w:r>
      <w:r w:rsidRPr="00D40C27">
        <w:rPr>
          <w:rFonts w:eastAsia="Calibri"/>
          <w:noProof/>
          <w:color w:val="auto"/>
          <w:lang w:eastAsia="en-US"/>
        </w:rPr>
        <w:t>(Eagly &amp; Ashmore, 1991)</w:t>
      </w:r>
      <w:r w:rsidRPr="00D40C27">
        <w:rPr>
          <w:rFonts w:eastAsia="Calibri"/>
          <w:color w:val="auto"/>
          <w:lang w:eastAsia="en-US"/>
        </w:rPr>
        <w:t xml:space="preserve">, females in Western cultures report </w:t>
      </w:r>
      <w:r>
        <w:rPr>
          <w:rFonts w:eastAsia="Calibri"/>
          <w:color w:val="auto"/>
          <w:lang w:eastAsia="en-US"/>
        </w:rPr>
        <w:t xml:space="preserve">a </w:t>
      </w:r>
      <w:r w:rsidRPr="00D40C27">
        <w:rPr>
          <w:rFonts w:eastAsia="Calibri"/>
          <w:color w:val="auto"/>
          <w:lang w:eastAsia="en-US"/>
        </w:rPr>
        <w:t xml:space="preserve">higher concern about body image issues such as attractiveness and weight </w:t>
      </w:r>
      <w:r w:rsidRPr="00D40C27">
        <w:rPr>
          <w:rFonts w:eastAsia="Calibri"/>
          <w:noProof/>
          <w:color w:val="auto"/>
          <w:lang w:eastAsia="en-US"/>
        </w:rPr>
        <w:t>(Pliner, Chaiken, &amp; Flett, 1990)</w:t>
      </w:r>
      <w:r w:rsidRPr="00D40C27">
        <w:rPr>
          <w:rFonts w:eastAsia="Calibri"/>
          <w:color w:val="auto"/>
          <w:lang w:eastAsia="en-US"/>
        </w:rPr>
        <w:t xml:space="preserve">. According to Frederickson and Roberts </w:t>
      </w:r>
      <w:r w:rsidRPr="00D40C27">
        <w:rPr>
          <w:rFonts w:eastAsia="Calibri"/>
          <w:noProof/>
          <w:color w:val="auto"/>
          <w:lang w:eastAsia="en-US"/>
        </w:rPr>
        <w:t>(1997)</w:t>
      </w:r>
      <w:r w:rsidRPr="00D40C27">
        <w:rPr>
          <w:rFonts w:eastAsia="Calibri"/>
          <w:color w:val="auto"/>
          <w:lang w:eastAsia="en-US"/>
        </w:rPr>
        <w:t>, the Western socio-cultural context often presents females as sex objects valued mainly by their physical attractiveness; females internalise this perspective, which results in higher levels of appearance concern, body-monitoring</w:t>
      </w:r>
      <w:r>
        <w:rPr>
          <w:rFonts w:eastAsia="Calibri"/>
          <w:color w:val="auto"/>
          <w:lang w:eastAsia="en-US"/>
        </w:rPr>
        <w:t>,</w:t>
      </w:r>
      <w:r w:rsidRPr="00D40C27">
        <w:rPr>
          <w:rFonts w:eastAsia="Calibri"/>
          <w:color w:val="auto"/>
          <w:lang w:eastAsia="en-US"/>
        </w:rPr>
        <w:t xml:space="preserve"> and self-evaluation</w:t>
      </w:r>
      <w:r>
        <w:rPr>
          <w:rFonts w:eastAsia="Calibri"/>
          <w:color w:val="auto"/>
          <w:lang w:eastAsia="en-US"/>
        </w:rPr>
        <w:t xml:space="preserve">. </w:t>
      </w:r>
      <w:r w:rsidR="000F1616" w:rsidRPr="00D40C27">
        <w:rPr>
          <w:rFonts w:eastAsia="SimSun"/>
          <w:bCs/>
          <w:color w:val="auto"/>
          <w:lang w:eastAsia="zh-CN"/>
        </w:rPr>
        <w:t>While the association between individual appearance-related cognitions and evaluation of others (e.g.</w:t>
      </w:r>
      <w:r w:rsidR="008471FC">
        <w:rPr>
          <w:rFonts w:eastAsia="SimSun"/>
          <w:bCs/>
          <w:color w:val="auto"/>
          <w:lang w:eastAsia="zh-CN"/>
        </w:rPr>
        <w:t xml:space="preserve">, </w:t>
      </w:r>
      <w:r w:rsidR="000F1616" w:rsidRPr="00D40C27">
        <w:rPr>
          <w:rFonts w:eastAsia="SimSun"/>
          <w:bCs/>
          <w:color w:val="auto"/>
          <w:lang w:eastAsia="zh-CN"/>
        </w:rPr>
        <w:t xml:space="preserve">in the form of stigma or prejudice) has been mainly investigated in relation to anti-fat prejudice, stigma towards other forms of physical appearance differences, such as FD, remains unexplored. </w:t>
      </w:r>
    </w:p>
    <w:p w14:paraId="579BFC00" w14:textId="77777777" w:rsidR="000F1616" w:rsidRPr="005212EC" w:rsidRDefault="000F1616" w:rsidP="004D2DCA">
      <w:pPr>
        <w:pBdr>
          <w:top w:val="none" w:sz="0" w:space="0" w:color="auto"/>
          <w:left w:val="none" w:sz="0" w:space="0" w:color="auto"/>
          <w:bottom w:val="none" w:sz="0" w:space="0" w:color="auto"/>
          <w:right w:val="none" w:sz="0" w:space="0" w:color="auto"/>
          <w:between w:val="none" w:sz="0" w:space="0" w:color="auto"/>
        </w:pBdr>
        <w:tabs>
          <w:tab w:val="left" w:pos="4065"/>
        </w:tabs>
        <w:ind w:firstLine="851"/>
        <w:rPr>
          <w:bCs/>
          <w:lang w:eastAsia="zh-CN"/>
        </w:rPr>
      </w:pPr>
      <w:bookmarkStart w:id="50" w:name="_Toc12024637"/>
      <w:r w:rsidRPr="004D2DCA">
        <w:rPr>
          <w:b/>
          <w:bCs/>
          <w:lang w:eastAsia="zh-CN"/>
        </w:rPr>
        <w:t>The present study</w:t>
      </w:r>
      <w:bookmarkEnd w:id="50"/>
    </w:p>
    <w:p w14:paraId="161F6312"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tabs>
          <w:tab w:val="left" w:pos="851"/>
        </w:tabs>
        <w:ind w:firstLine="0"/>
        <w:rPr>
          <w:rFonts w:eastAsia="SimSun"/>
          <w:bCs/>
          <w:color w:val="auto"/>
          <w:lang w:eastAsia="zh-CN"/>
        </w:rPr>
      </w:pPr>
      <w:r w:rsidRPr="00D40C27">
        <w:rPr>
          <w:rFonts w:eastAsia="SimSun"/>
          <w:bCs/>
          <w:color w:val="auto"/>
          <w:lang w:eastAsia="zh-CN"/>
        </w:rPr>
        <w:t>The present study aimed to explore implicit and explicit attitudes towards FD and their relationship with individual variables of valence and salience of appearance, motivations to respond without prejudice and disgust sensitivity. It is expected that findings from this study contribute to the existing literature on responses towards facial disfigurement, particularly in exploring the relationship between explicit and implicit responses towards FD and observer’s individual differences in the form of disgust sensitivity, appearance-related cognitions</w:t>
      </w:r>
      <w:r w:rsidR="00B32D9C">
        <w:rPr>
          <w:rFonts w:eastAsia="SimSun"/>
          <w:bCs/>
          <w:color w:val="auto"/>
          <w:lang w:eastAsia="zh-CN"/>
        </w:rPr>
        <w:t>,</w:t>
      </w:r>
      <w:r w:rsidRPr="00D40C27">
        <w:rPr>
          <w:rFonts w:eastAsia="SimSun"/>
          <w:bCs/>
          <w:color w:val="auto"/>
          <w:lang w:eastAsia="zh-CN"/>
        </w:rPr>
        <w:t xml:space="preserve"> and motivations to respond without prejudice. Furthermore, results may inform further work on developing intervention strategies to reduce public stigma towards disfigurement. </w:t>
      </w:r>
    </w:p>
    <w:p w14:paraId="4D285F90" w14:textId="77777777" w:rsidR="000F1616" w:rsidRPr="00D40C27" w:rsidRDefault="000F1616" w:rsidP="000F1616">
      <w:pPr>
        <w:pStyle w:val="Heading3"/>
        <w:rPr>
          <w:lang w:eastAsia="zh-CN"/>
        </w:rPr>
      </w:pPr>
      <w:bookmarkStart w:id="51" w:name="_Toc12024638"/>
      <w:r w:rsidRPr="00D40C27">
        <w:rPr>
          <w:lang w:eastAsia="zh-CN"/>
        </w:rPr>
        <w:t>Aims</w:t>
      </w:r>
      <w:bookmarkEnd w:id="51"/>
    </w:p>
    <w:p w14:paraId="20E6EFBB"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tabs>
          <w:tab w:val="left" w:pos="851"/>
        </w:tabs>
        <w:ind w:firstLine="0"/>
        <w:rPr>
          <w:rFonts w:eastAsia="SimSun"/>
          <w:bCs/>
          <w:color w:val="auto"/>
          <w:lang w:eastAsia="zh-CN"/>
        </w:rPr>
      </w:pPr>
      <w:r w:rsidRPr="00D40C27">
        <w:rPr>
          <w:rFonts w:eastAsia="SimSun"/>
          <w:bCs/>
          <w:color w:val="auto"/>
          <w:lang w:eastAsia="zh-CN"/>
        </w:rPr>
        <w:t xml:space="preserve">This study aimed </w:t>
      </w:r>
      <w:bookmarkStart w:id="52" w:name="_Hlk11884509"/>
      <w:r w:rsidRPr="00D40C27">
        <w:rPr>
          <w:rFonts w:eastAsia="SimSun"/>
          <w:bCs/>
          <w:color w:val="auto"/>
          <w:lang w:eastAsia="zh-CN"/>
        </w:rPr>
        <w:t>to examine the relationship between explicit and implicit responses towards FD and salience and valence of appearance, disgust sensitivity</w:t>
      </w:r>
      <w:r w:rsidR="00B32D9C">
        <w:rPr>
          <w:rFonts w:eastAsia="SimSun"/>
          <w:bCs/>
          <w:color w:val="auto"/>
          <w:lang w:eastAsia="zh-CN"/>
        </w:rPr>
        <w:t>,</w:t>
      </w:r>
      <w:r w:rsidRPr="00D40C27">
        <w:rPr>
          <w:rFonts w:eastAsia="SimSun"/>
          <w:bCs/>
          <w:color w:val="auto"/>
          <w:lang w:eastAsia="zh-CN"/>
        </w:rPr>
        <w:t xml:space="preserve"> and motivations to respond without prejudice. </w:t>
      </w:r>
    </w:p>
    <w:bookmarkEnd w:id="52"/>
    <w:p w14:paraId="5687994C" w14:textId="77777777" w:rsidR="000F1616" w:rsidRPr="00D40C27" w:rsidRDefault="000F1616" w:rsidP="000F1616">
      <w:pPr>
        <w:pStyle w:val="Heading3"/>
        <w:rPr>
          <w:lang w:eastAsia="zh-CN"/>
        </w:rPr>
      </w:pPr>
      <w:r w:rsidRPr="00D40C27">
        <w:rPr>
          <w:lang w:eastAsia="zh-CN"/>
        </w:rPr>
        <w:t xml:space="preserve"> </w:t>
      </w:r>
      <w:bookmarkStart w:id="53" w:name="_Toc12024639"/>
      <w:bookmarkStart w:id="54" w:name="_Hlk34669422"/>
      <w:r w:rsidRPr="00D40C27">
        <w:rPr>
          <w:lang w:eastAsia="zh-CN"/>
        </w:rPr>
        <w:t>Hypotheses</w:t>
      </w:r>
      <w:bookmarkEnd w:id="53"/>
    </w:p>
    <w:p w14:paraId="094566B9" w14:textId="77777777" w:rsidR="001C6935" w:rsidRPr="00D40C27" w:rsidRDefault="001C6935" w:rsidP="001C6935">
      <w:pPr>
        <w:numPr>
          <w:ilvl w:val="0"/>
          <w:numId w:val="2"/>
        </w:numPr>
        <w:pBdr>
          <w:top w:val="none" w:sz="0" w:space="0" w:color="auto"/>
          <w:left w:val="none" w:sz="0" w:space="0" w:color="auto"/>
          <w:bottom w:val="none" w:sz="0" w:space="0" w:color="auto"/>
          <w:right w:val="none" w:sz="0" w:space="0" w:color="auto"/>
          <w:between w:val="none" w:sz="0" w:space="0" w:color="auto"/>
        </w:pBdr>
        <w:tabs>
          <w:tab w:val="left" w:pos="4065"/>
        </w:tabs>
        <w:spacing w:after="0" w:line="480" w:lineRule="auto"/>
        <w:contextualSpacing/>
        <w:rPr>
          <w:rFonts w:eastAsia="SimSun"/>
          <w:bCs/>
          <w:color w:val="auto"/>
          <w:lang w:eastAsia="zh-CN"/>
        </w:rPr>
      </w:pPr>
      <w:r w:rsidRPr="00D40C27">
        <w:rPr>
          <w:rFonts w:eastAsia="SimSun"/>
          <w:bCs/>
          <w:color w:val="auto"/>
          <w:lang w:eastAsia="zh-CN"/>
        </w:rPr>
        <w:t xml:space="preserve">Participants will show </w:t>
      </w:r>
      <w:r>
        <w:rPr>
          <w:rFonts w:eastAsia="SimSun"/>
          <w:bCs/>
          <w:color w:val="auto"/>
          <w:lang w:eastAsia="zh-CN"/>
        </w:rPr>
        <w:t xml:space="preserve">an </w:t>
      </w:r>
      <w:r w:rsidRPr="00D40C27">
        <w:rPr>
          <w:rFonts w:eastAsia="SimSun"/>
          <w:bCs/>
          <w:color w:val="auto"/>
          <w:lang w:eastAsia="zh-CN"/>
        </w:rPr>
        <w:t>implicit preference for faces without disfigurement.</w:t>
      </w:r>
    </w:p>
    <w:p w14:paraId="46828DA4" w14:textId="77777777" w:rsidR="001C6935" w:rsidRPr="00D40C27" w:rsidRDefault="001C6935" w:rsidP="001C6935">
      <w:pPr>
        <w:numPr>
          <w:ilvl w:val="0"/>
          <w:numId w:val="2"/>
        </w:numPr>
        <w:pBdr>
          <w:top w:val="none" w:sz="0" w:space="0" w:color="auto"/>
          <w:left w:val="none" w:sz="0" w:space="0" w:color="auto"/>
          <w:bottom w:val="none" w:sz="0" w:space="0" w:color="auto"/>
          <w:right w:val="none" w:sz="0" w:space="0" w:color="auto"/>
          <w:between w:val="none" w:sz="0" w:space="0" w:color="auto"/>
        </w:pBdr>
        <w:spacing w:after="0" w:line="480" w:lineRule="auto"/>
        <w:rPr>
          <w:rFonts w:eastAsia="SimSun"/>
          <w:bCs/>
          <w:color w:val="auto"/>
          <w:lang w:eastAsia="zh-CN"/>
        </w:rPr>
      </w:pPr>
      <w:r w:rsidRPr="00D40C27">
        <w:rPr>
          <w:rFonts w:eastAsia="SimSun"/>
          <w:bCs/>
          <w:color w:val="auto"/>
          <w:lang w:eastAsia="zh-CN"/>
        </w:rPr>
        <w:t>There will be gender differences in disgust sensitivity, appearance cognitions</w:t>
      </w:r>
      <w:r>
        <w:rPr>
          <w:rFonts w:eastAsia="SimSun"/>
          <w:bCs/>
          <w:color w:val="auto"/>
          <w:lang w:eastAsia="zh-CN"/>
        </w:rPr>
        <w:t>,</w:t>
      </w:r>
      <w:r w:rsidRPr="00D40C27">
        <w:rPr>
          <w:rFonts w:eastAsia="SimSun"/>
          <w:bCs/>
          <w:color w:val="auto"/>
          <w:lang w:eastAsia="zh-CN"/>
        </w:rPr>
        <w:t xml:space="preserve"> and attitudes towards FD.</w:t>
      </w:r>
    </w:p>
    <w:p w14:paraId="19809C87" w14:textId="77777777" w:rsidR="001C6935" w:rsidRPr="00D40C27" w:rsidRDefault="001C6935" w:rsidP="001C6935">
      <w:pPr>
        <w:numPr>
          <w:ilvl w:val="0"/>
          <w:numId w:val="2"/>
        </w:numPr>
        <w:pBdr>
          <w:top w:val="none" w:sz="0" w:space="0" w:color="auto"/>
          <w:left w:val="none" w:sz="0" w:space="0" w:color="auto"/>
          <w:bottom w:val="none" w:sz="0" w:space="0" w:color="auto"/>
          <w:right w:val="none" w:sz="0" w:space="0" w:color="auto"/>
          <w:between w:val="none" w:sz="0" w:space="0" w:color="auto"/>
        </w:pBdr>
        <w:spacing w:after="0" w:line="480" w:lineRule="auto"/>
        <w:contextualSpacing/>
        <w:rPr>
          <w:rFonts w:eastAsia="SimSun"/>
          <w:bCs/>
          <w:color w:val="auto"/>
          <w:lang w:eastAsia="zh-CN"/>
        </w:rPr>
      </w:pPr>
      <w:r w:rsidRPr="00D40C27">
        <w:rPr>
          <w:rFonts w:eastAsia="SimSun"/>
          <w:bCs/>
          <w:color w:val="auto"/>
          <w:lang w:eastAsia="zh-CN"/>
        </w:rPr>
        <w:t xml:space="preserve">Higher appearance concern (valence and salience of appearance) will be associated with more negative explicit and implicit attitudes towards individuals with disfigurement. </w:t>
      </w:r>
    </w:p>
    <w:p w14:paraId="7601B99C" w14:textId="77777777" w:rsidR="001C6935" w:rsidRPr="00D40C27" w:rsidRDefault="001C6935" w:rsidP="001C6935">
      <w:pPr>
        <w:numPr>
          <w:ilvl w:val="0"/>
          <w:numId w:val="2"/>
        </w:numPr>
        <w:pBdr>
          <w:top w:val="none" w:sz="0" w:space="0" w:color="auto"/>
          <w:left w:val="none" w:sz="0" w:space="0" w:color="auto"/>
          <w:bottom w:val="none" w:sz="0" w:space="0" w:color="auto"/>
          <w:right w:val="none" w:sz="0" w:space="0" w:color="auto"/>
          <w:between w:val="none" w:sz="0" w:space="0" w:color="auto"/>
        </w:pBdr>
        <w:spacing w:after="0" w:line="480" w:lineRule="auto"/>
        <w:rPr>
          <w:rFonts w:eastAsia="SimSun"/>
          <w:bCs/>
          <w:color w:val="auto"/>
          <w:lang w:eastAsia="zh-CN"/>
        </w:rPr>
      </w:pPr>
      <w:r w:rsidRPr="00D40C27">
        <w:rPr>
          <w:rFonts w:eastAsia="SimSun"/>
          <w:bCs/>
          <w:color w:val="auto"/>
          <w:lang w:eastAsia="zh-CN"/>
        </w:rPr>
        <w:t>Disgust sensitivity will be associated with negative explicit and implicit attitudes towards disfigurement.</w:t>
      </w:r>
    </w:p>
    <w:p w14:paraId="3B3A9C52" w14:textId="77777777" w:rsidR="001C6935" w:rsidRPr="00D40C27" w:rsidRDefault="001C6935" w:rsidP="001C6935">
      <w:pPr>
        <w:numPr>
          <w:ilvl w:val="0"/>
          <w:numId w:val="2"/>
        </w:numPr>
        <w:pBdr>
          <w:top w:val="none" w:sz="0" w:space="0" w:color="auto"/>
          <w:left w:val="none" w:sz="0" w:space="0" w:color="auto"/>
          <w:bottom w:val="none" w:sz="0" w:space="0" w:color="auto"/>
          <w:right w:val="none" w:sz="0" w:space="0" w:color="auto"/>
          <w:between w:val="none" w:sz="0" w:space="0" w:color="auto"/>
        </w:pBdr>
        <w:spacing w:after="0" w:line="480" w:lineRule="auto"/>
        <w:rPr>
          <w:rFonts w:eastAsia="SimSun"/>
          <w:bCs/>
          <w:color w:val="auto"/>
          <w:lang w:eastAsia="zh-CN"/>
        </w:rPr>
      </w:pPr>
      <w:r w:rsidRPr="00D40C27">
        <w:rPr>
          <w:rFonts w:eastAsia="SimSun"/>
          <w:bCs/>
          <w:color w:val="auto"/>
          <w:lang w:eastAsia="zh-CN"/>
        </w:rPr>
        <w:lastRenderedPageBreak/>
        <w:t>High external</w:t>
      </w:r>
      <w:r>
        <w:rPr>
          <w:rFonts w:eastAsia="SimSun"/>
          <w:bCs/>
          <w:color w:val="auto"/>
          <w:lang w:eastAsia="zh-CN"/>
        </w:rPr>
        <w:t>/low internal</w:t>
      </w:r>
      <w:r w:rsidRPr="00D40C27">
        <w:rPr>
          <w:rFonts w:eastAsia="SimSun"/>
          <w:bCs/>
          <w:color w:val="auto"/>
          <w:lang w:eastAsia="zh-CN"/>
        </w:rPr>
        <w:t xml:space="preserve"> motivation to respond without prejudice will be associated with greater negative explicit and implicit attitudes towards disfigurement.</w:t>
      </w:r>
    </w:p>
    <w:p w14:paraId="528BB900" w14:textId="77777777" w:rsidR="001C6935" w:rsidRPr="00D40C27" w:rsidRDefault="001C6935" w:rsidP="001C6935">
      <w:pPr>
        <w:numPr>
          <w:ilvl w:val="0"/>
          <w:numId w:val="2"/>
        </w:numPr>
        <w:pBdr>
          <w:top w:val="none" w:sz="0" w:space="0" w:color="auto"/>
          <w:left w:val="none" w:sz="0" w:space="0" w:color="auto"/>
          <w:bottom w:val="none" w:sz="0" w:space="0" w:color="auto"/>
          <w:right w:val="none" w:sz="0" w:space="0" w:color="auto"/>
          <w:between w:val="none" w:sz="0" w:space="0" w:color="auto"/>
        </w:pBdr>
        <w:spacing w:after="0" w:line="480" w:lineRule="auto"/>
        <w:rPr>
          <w:rFonts w:eastAsia="SimSun"/>
          <w:bCs/>
          <w:color w:val="auto"/>
          <w:lang w:eastAsia="zh-CN"/>
        </w:rPr>
      </w:pPr>
      <w:r w:rsidRPr="00D40C27">
        <w:rPr>
          <w:rFonts w:eastAsia="SimSun"/>
          <w:bCs/>
          <w:color w:val="auto"/>
          <w:lang w:eastAsia="zh-CN"/>
        </w:rPr>
        <w:t>High i</w:t>
      </w:r>
      <w:r>
        <w:rPr>
          <w:rFonts w:eastAsia="SimSun"/>
          <w:bCs/>
          <w:color w:val="auto"/>
          <w:lang w:eastAsia="zh-CN"/>
        </w:rPr>
        <w:t xml:space="preserve">nternal/low external </w:t>
      </w:r>
      <w:r w:rsidRPr="00D40C27">
        <w:rPr>
          <w:rFonts w:eastAsia="SimSun"/>
          <w:bCs/>
          <w:color w:val="auto"/>
          <w:lang w:eastAsia="zh-CN"/>
        </w:rPr>
        <w:t>motivation to respond without prejudice will be associated with more positive explicit and implicit attitudes towards individuals with disfigurement.</w:t>
      </w:r>
    </w:p>
    <w:p w14:paraId="02521ABC" w14:textId="77777777" w:rsidR="000F1616" w:rsidRPr="00D40C27" w:rsidRDefault="000F1616" w:rsidP="007A3FE4">
      <w:pPr>
        <w:pStyle w:val="Heading2"/>
      </w:pPr>
      <w:bookmarkStart w:id="55" w:name="_Toc12024640"/>
      <w:bookmarkEnd w:id="54"/>
      <w:r w:rsidRPr="00FF742F">
        <w:t>Method</w:t>
      </w:r>
      <w:bookmarkEnd w:id="55"/>
    </w:p>
    <w:p w14:paraId="22D85512" w14:textId="77777777" w:rsidR="000F1616" w:rsidRPr="00D40C27" w:rsidRDefault="000F1616" w:rsidP="000F1616">
      <w:pPr>
        <w:pStyle w:val="Heading3"/>
        <w:rPr>
          <w:lang w:eastAsia="zh-CN"/>
        </w:rPr>
      </w:pPr>
      <w:bookmarkStart w:id="56" w:name="_Toc12024641"/>
      <w:r w:rsidRPr="00D40C27">
        <w:rPr>
          <w:lang w:eastAsia="zh-CN"/>
        </w:rPr>
        <w:t>Design</w:t>
      </w:r>
      <w:bookmarkEnd w:id="56"/>
      <w:r w:rsidRPr="00D40C27">
        <w:rPr>
          <w:lang w:eastAsia="zh-CN"/>
        </w:rPr>
        <w:t xml:space="preserve"> </w:t>
      </w:r>
    </w:p>
    <w:p w14:paraId="604464E9" w14:textId="3E5D653B" w:rsidR="000F1616" w:rsidRPr="00D40C27" w:rsidRDefault="000F1616" w:rsidP="00AF776D">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color w:val="auto"/>
          <w:lang w:eastAsia="zh-CN"/>
        </w:rPr>
        <w:t>This study use</w:t>
      </w:r>
      <w:r w:rsidR="00076D4D">
        <w:rPr>
          <w:rFonts w:eastAsia="SimSun"/>
          <w:color w:val="auto"/>
          <w:lang w:eastAsia="zh-CN"/>
        </w:rPr>
        <w:t>d</w:t>
      </w:r>
      <w:r w:rsidRPr="00D40C27">
        <w:rPr>
          <w:rFonts w:eastAsia="SimSun"/>
          <w:color w:val="auto"/>
          <w:lang w:eastAsia="zh-CN"/>
        </w:rPr>
        <w:t xml:space="preserve"> a within-participants cross-sectional design with a convenience sample. Hypotheses about the direction of the relationships have been drawn based on previous studies addressing stigmatising responses towards FD </w:t>
      </w:r>
      <w:r w:rsidRPr="00D40C27">
        <w:rPr>
          <w:rFonts w:eastAsia="SimSun"/>
          <w:noProof/>
          <w:color w:val="auto"/>
          <w:lang w:eastAsia="zh-CN"/>
        </w:rPr>
        <w:t>(Grandfield et al., 2005; Stone &amp; Wright, 2012)</w:t>
      </w:r>
      <w:r w:rsidRPr="00D40C27">
        <w:rPr>
          <w:rFonts w:eastAsia="SimSun"/>
          <w:color w:val="auto"/>
          <w:lang w:eastAsia="zh-CN"/>
        </w:rPr>
        <w:t>.  The independent variables were disgust sensitivity, salience and valence of appearance</w:t>
      </w:r>
      <w:r w:rsidR="00076D4D">
        <w:rPr>
          <w:rFonts w:eastAsia="SimSun"/>
          <w:color w:val="auto"/>
          <w:lang w:eastAsia="zh-CN"/>
        </w:rPr>
        <w:t>,</w:t>
      </w:r>
      <w:r w:rsidRPr="00D40C27">
        <w:rPr>
          <w:rFonts w:eastAsia="SimSun"/>
          <w:color w:val="auto"/>
          <w:lang w:eastAsia="zh-CN"/>
        </w:rPr>
        <w:t xml:space="preserve"> and motivations to respond without prejudice. The dependent variables were implicit attitudes (IAT) and explicit attitudes.</w:t>
      </w:r>
    </w:p>
    <w:p w14:paraId="3AE03987" w14:textId="77777777" w:rsidR="000F1616" w:rsidRPr="00D40C27" w:rsidRDefault="000F1616" w:rsidP="000F1616">
      <w:pPr>
        <w:pStyle w:val="Heading3"/>
        <w:rPr>
          <w:lang w:eastAsia="zh-CN"/>
        </w:rPr>
      </w:pPr>
      <w:bookmarkStart w:id="57" w:name="_Toc12024642"/>
      <w:r w:rsidRPr="00D40C27">
        <w:rPr>
          <w:lang w:eastAsia="zh-CN"/>
        </w:rPr>
        <w:t>Measures</w:t>
      </w:r>
      <w:bookmarkEnd w:id="57"/>
      <w:r w:rsidR="00737830">
        <w:rPr>
          <w:lang w:eastAsia="zh-CN"/>
        </w:rPr>
        <w:t xml:space="preserve"> (Appendices 3A-3E)</w:t>
      </w:r>
    </w:p>
    <w:p w14:paraId="470BC5B0" w14:textId="77777777" w:rsidR="000F1616" w:rsidRPr="00D40C27" w:rsidRDefault="000F1616" w:rsidP="000F1616">
      <w:pPr>
        <w:pStyle w:val="Heading4"/>
        <w:rPr>
          <w:lang w:eastAsia="zh-CN"/>
        </w:rPr>
      </w:pPr>
      <w:r w:rsidRPr="00D40C27">
        <w:rPr>
          <w:lang w:eastAsia="zh-CN"/>
        </w:rPr>
        <w:t xml:space="preserve">Demographic Information </w:t>
      </w:r>
    </w:p>
    <w:p w14:paraId="29ABBC04" w14:textId="2001675F" w:rsidR="000F1616" w:rsidRPr="00D40C27" w:rsidRDefault="000F1616" w:rsidP="00AF776D">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color w:val="auto"/>
          <w:lang w:eastAsia="zh-CN"/>
        </w:rPr>
        <w:t>All participants were asked to provide information about their age, gender, ethnicity</w:t>
      </w:r>
      <w:r w:rsidR="00B32D9C">
        <w:rPr>
          <w:rFonts w:eastAsia="SimSun"/>
          <w:color w:val="auto"/>
          <w:lang w:eastAsia="zh-CN"/>
        </w:rPr>
        <w:t>,</w:t>
      </w:r>
      <w:r w:rsidRPr="00D40C27">
        <w:rPr>
          <w:rFonts w:eastAsia="SimSun"/>
          <w:color w:val="auto"/>
          <w:lang w:eastAsia="zh-CN"/>
        </w:rPr>
        <w:t xml:space="preserve"> and any current health conditions. Data from individuals reporting to have a severe facial disfigurement w</w:t>
      </w:r>
      <w:r w:rsidR="00D25A43">
        <w:rPr>
          <w:rFonts w:eastAsia="SimSun"/>
          <w:color w:val="auto"/>
          <w:lang w:eastAsia="zh-CN"/>
        </w:rPr>
        <w:t>ere</w:t>
      </w:r>
      <w:r w:rsidRPr="00D40C27">
        <w:rPr>
          <w:rFonts w:eastAsia="SimSun"/>
          <w:color w:val="auto"/>
          <w:lang w:eastAsia="zh-CN"/>
        </w:rPr>
        <w:t xml:space="preserve"> not included in the study. </w:t>
      </w:r>
    </w:p>
    <w:p w14:paraId="3C58BF71" w14:textId="77777777" w:rsidR="000F1616" w:rsidRPr="00D40C27" w:rsidRDefault="000F1616" w:rsidP="000F1616">
      <w:pPr>
        <w:pStyle w:val="Heading5"/>
        <w:rPr>
          <w:lang w:eastAsia="zh-CN"/>
        </w:rPr>
      </w:pPr>
      <w:r w:rsidRPr="00D40C27">
        <w:rPr>
          <w:lang w:eastAsia="zh-CN"/>
        </w:rPr>
        <w:t>Disgust sensitivity</w:t>
      </w:r>
    </w:p>
    <w:p w14:paraId="33B531A9"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color w:val="auto"/>
          <w:lang w:eastAsia="zh-CN"/>
        </w:rPr>
        <w:t>The Disgust Scale Revised (DS-R) is a 27-item questionnaire that measures disgust sensitivity in three subscales: core disgust, animal-reminder disgust</w:t>
      </w:r>
      <w:r w:rsidR="00B32D9C">
        <w:rPr>
          <w:rFonts w:eastAsia="SimSun"/>
          <w:color w:val="auto"/>
          <w:lang w:eastAsia="zh-CN"/>
        </w:rPr>
        <w:t>,</w:t>
      </w:r>
      <w:r w:rsidRPr="00D40C27">
        <w:rPr>
          <w:rFonts w:eastAsia="SimSun"/>
          <w:color w:val="auto"/>
          <w:lang w:eastAsia="zh-CN"/>
        </w:rPr>
        <w:t xml:space="preserve"> and contamination disgust.  Items are rated on a 5-point scale and, as well as a score for each subscale, a total score out of 100 is calculated. This test has been widely used for the study of disgust sensitivity and posses</w:t>
      </w:r>
      <w:r w:rsidR="00B32D9C">
        <w:rPr>
          <w:rFonts w:eastAsia="SimSun"/>
          <w:color w:val="auto"/>
          <w:lang w:eastAsia="zh-CN"/>
        </w:rPr>
        <w:t>se</w:t>
      </w:r>
      <w:r w:rsidRPr="00D40C27">
        <w:rPr>
          <w:rFonts w:eastAsia="SimSun"/>
          <w:color w:val="auto"/>
          <w:lang w:eastAsia="zh-CN"/>
        </w:rPr>
        <w:t>s good psychometric properties overall (</w:t>
      </w:r>
      <w:r w:rsidRPr="00D40C27">
        <w:rPr>
          <w:rFonts w:eastAsia="SimSun"/>
          <w:bCs/>
          <w:color w:val="auto"/>
          <w:lang w:eastAsia="zh-CN"/>
        </w:rPr>
        <w:t xml:space="preserve">α </w:t>
      </w:r>
      <w:r w:rsidRPr="00D40C27">
        <w:rPr>
          <w:rFonts w:eastAsia="SimSun"/>
          <w:color w:val="auto"/>
          <w:lang w:eastAsia="zh-CN"/>
        </w:rPr>
        <w:t>= .88) and for each subscale (</w:t>
      </w:r>
      <w:r w:rsidRPr="00D40C27">
        <w:rPr>
          <w:rFonts w:eastAsia="SimSun"/>
          <w:color w:val="0A0905"/>
          <w:shd w:val="clear" w:color="auto" w:fill="FFFFFF"/>
          <w:lang w:eastAsia="zh-CN"/>
        </w:rPr>
        <w:t xml:space="preserve">Core Disgust, </w:t>
      </w:r>
      <w:r w:rsidRPr="00D40C27">
        <w:rPr>
          <w:rFonts w:eastAsia="SimSun"/>
          <w:bCs/>
          <w:color w:val="auto"/>
          <w:lang w:eastAsia="zh-CN"/>
        </w:rPr>
        <w:t xml:space="preserve">α </w:t>
      </w:r>
      <w:r w:rsidRPr="00D40C27">
        <w:rPr>
          <w:rFonts w:eastAsia="SimSun"/>
          <w:color w:val="0A0905"/>
          <w:shd w:val="clear" w:color="auto" w:fill="FFFFFF"/>
          <w:lang w:eastAsia="zh-CN"/>
        </w:rPr>
        <w:t xml:space="preserve">= .82; Animal Reminder Disgust, </w:t>
      </w:r>
      <w:r w:rsidRPr="00D40C27">
        <w:rPr>
          <w:rFonts w:eastAsia="SimSun"/>
          <w:bCs/>
          <w:color w:val="auto"/>
          <w:lang w:eastAsia="zh-CN"/>
        </w:rPr>
        <w:t xml:space="preserve">α </w:t>
      </w:r>
      <w:r w:rsidRPr="00D40C27">
        <w:rPr>
          <w:rFonts w:eastAsia="SimSun"/>
          <w:color w:val="0A0905"/>
          <w:shd w:val="clear" w:color="auto" w:fill="FFFFFF"/>
          <w:lang w:eastAsia="zh-CN"/>
        </w:rPr>
        <w:t xml:space="preserve">= .73; and Contamination-Based Disgust, </w:t>
      </w:r>
      <w:r w:rsidRPr="00D40C27">
        <w:rPr>
          <w:rFonts w:eastAsia="SimSun"/>
          <w:bCs/>
          <w:color w:val="auto"/>
          <w:lang w:eastAsia="zh-CN"/>
        </w:rPr>
        <w:t xml:space="preserve">α </w:t>
      </w:r>
      <w:r w:rsidRPr="00D40C27">
        <w:rPr>
          <w:rFonts w:eastAsia="SimSun"/>
          <w:color w:val="0A0905"/>
          <w:shd w:val="clear" w:color="auto" w:fill="FFFFFF"/>
          <w:lang w:eastAsia="zh-CN"/>
        </w:rPr>
        <w:t>= .71).</w:t>
      </w:r>
    </w:p>
    <w:p w14:paraId="493EF18B" w14:textId="77777777" w:rsidR="000F1616" w:rsidRPr="00D40C27" w:rsidRDefault="000F1616" w:rsidP="000F1616">
      <w:pPr>
        <w:pStyle w:val="Heading5"/>
        <w:rPr>
          <w:lang w:eastAsia="zh-CN"/>
        </w:rPr>
      </w:pPr>
      <w:r w:rsidRPr="00D40C27">
        <w:rPr>
          <w:lang w:eastAsia="zh-CN"/>
        </w:rPr>
        <w:t>Valence of appearance</w:t>
      </w:r>
    </w:p>
    <w:p w14:paraId="0EC53079"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color w:val="auto"/>
          <w:lang w:eastAsia="zh-CN"/>
        </w:rPr>
        <w:t xml:space="preserve">The Centre for Appearance Research Valence scale (CARVAL; </w:t>
      </w:r>
      <w:r w:rsidR="00AF776D" w:rsidRPr="00AF776D">
        <w:rPr>
          <w:rFonts w:eastAsia="SimSun"/>
          <w:color w:val="auto"/>
          <w:lang w:eastAsia="zh-CN"/>
        </w:rPr>
        <w:t>Moss, Lawson, &amp; White, 2014</w:t>
      </w:r>
      <w:r w:rsidR="00AF776D">
        <w:rPr>
          <w:rFonts w:eastAsia="SimSun"/>
          <w:color w:val="auto"/>
          <w:lang w:eastAsia="zh-CN"/>
        </w:rPr>
        <w:t xml:space="preserve">) </w:t>
      </w:r>
      <w:r w:rsidRPr="00D40C27">
        <w:rPr>
          <w:rFonts w:eastAsia="SimSun"/>
          <w:color w:val="auto"/>
          <w:lang w:eastAsia="zh-CN"/>
        </w:rPr>
        <w:t xml:space="preserve">assesses how positively or negatively a participant evaluates their own appearance.  It consists of six statements with a six-point Likert scale ranging from 1 (strongly disagree) to 6 (strongly agree). Potential total scores range from 6-36 with </w:t>
      </w:r>
      <w:r w:rsidRPr="00D40C27">
        <w:rPr>
          <w:rFonts w:eastAsia="SimSun"/>
          <w:color w:val="auto"/>
          <w:lang w:eastAsia="zh-CN"/>
        </w:rPr>
        <w:lastRenderedPageBreak/>
        <w:t xml:space="preserve">higher scores indicating </w:t>
      </w:r>
      <w:r w:rsidR="00B32D9C">
        <w:rPr>
          <w:rFonts w:eastAsia="SimSun"/>
          <w:color w:val="auto"/>
          <w:lang w:eastAsia="zh-CN"/>
        </w:rPr>
        <w:t xml:space="preserve">a </w:t>
      </w:r>
      <w:r w:rsidRPr="00D40C27">
        <w:rPr>
          <w:rFonts w:eastAsia="SimSun"/>
          <w:color w:val="auto"/>
          <w:lang w:eastAsia="zh-CN"/>
        </w:rPr>
        <w:t>more positive perception of the participant’s own appearance. The questionnaire has been shown to possess good internal consistency (</w:t>
      </w:r>
      <w:r w:rsidRPr="00D40C27">
        <w:rPr>
          <w:rFonts w:eastAsia="SimSun"/>
          <w:i/>
          <w:iCs/>
          <w:color w:val="auto"/>
          <w:lang w:eastAsia="zh-CN"/>
        </w:rPr>
        <w:t xml:space="preserve">α </w:t>
      </w:r>
      <w:r w:rsidRPr="00D40C27">
        <w:rPr>
          <w:rFonts w:eastAsia="SimSun"/>
          <w:color w:val="auto"/>
          <w:lang w:eastAsia="zh-CN"/>
        </w:rPr>
        <w:t>= .89) and to have excellent test-retest reliability with a student population (</w:t>
      </w:r>
      <w:r w:rsidRPr="00D40C27">
        <w:rPr>
          <w:rFonts w:eastAsia="SimSun"/>
          <w:i/>
          <w:iCs/>
          <w:color w:val="auto"/>
          <w:lang w:eastAsia="zh-CN"/>
        </w:rPr>
        <w:t>r</w:t>
      </w:r>
      <w:r w:rsidRPr="00D40C27">
        <w:rPr>
          <w:rFonts w:eastAsia="SimSun"/>
          <w:color w:val="auto"/>
          <w:lang w:eastAsia="zh-CN"/>
        </w:rPr>
        <w:t xml:space="preserve"> = .95, three months).</w:t>
      </w:r>
    </w:p>
    <w:p w14:paraId="3DE156AB" w14:textId="77777777" w:rsidR="000F1616" w:rsidRPr="00D40C27" w:rsidRDefault="000F1616" w:rsidP="000F1616">
      <w:pPr>
        <w:pStyle w:val="Heading5"/>
        <w:rPr>
          <w:lang w:eastAsia="zh-CN"/>
        </w:rPr>
      </w:pPr>
      <w:r w:rsidRPr="00D40C27">
        <w:rPr>
          <w:lang w:eastAsia="zh-CN"/>
        </w:rPr>
        <w:t>Salience of appearance</w:t>
      </w:r>
    </w:p>
    <w:p w14:paraId="08C6A741"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color w:val="auto"/>
          <w:lang w:eastAsia="zh-CN"/>
        </w:rPr>
        <w:t>The Centre for Appearance Research Salience scale</w:t>
      </w:r>
      <w:r w:rsidRPr="00D40C27">
        <w:rPr>
          <w:rFonts w:eastAsia="SimSun"/>
          <w:b/>
          <w:color w:val="auto"/>
          <w:lang w:eastAsia="zh-CN"/>
        </w:rPr>
        <w:t xml:space="preserve"> </w:t>
      </w:r>
      <w:r w:rsidRPr="00AF776D">
        <w:rPr>
          <w:rFonts w:eastAsia="SimSun"/>
          <w:bCs/>
          <w:color w:val="auto"/>
          <w:lang w:eastAsia="zh-CN"/>
        </w:rPr>
        <w:t>(</w:t>
      </w:r>
      <w:r w:rsidRPr="00D40C27">
        <w:rPr>
          <w:rFonts w:eastAsia="SimSun"/>
          <w:color w:val="auto"/>
          <w:lang w:eastAsia="zh-CN"/>
        </w:rPr>
        <w:t>CARSAL;</w:t>
      </w:r>
      <w:r w:rsidR="00AF776D">
        <w:rPr>
          <w:rFonts w:eastAsia="SimSun"/>
          <w:color w:val="auto"/>
          <w:lang w:eastAsia="zh-CN"/>
        </w:rPr>
        <w:t xml:space="preserve"> </w:t>
      </w:r>
      <w:r w:rsidR="00AF776D" w:rsidRPr="00AF776D">
        <w:rPr>
          <w:rFonts w:eastAsia="SimSun"/>
          <w:color w:val="auto"/>
          <w:lang w:eastAsia="zh-CN"/>
        </w:rPr>
        <w:t>Moss, Lawson, &amp; White, 2014</w:t>
      </w:r>
      <w:r w:rsidR="00AF776D">
        <w:rPr>
          <w:rFonts w:eastAsia="SimSun"/>
          <w:color w:val="auto"/>
          <w:lang w:eastAsia="zh-CN"/>
        </w:rPr>
        <w:t>)</w:t>
      </w:r>
      <w:r w:rsidRPr="00D40C27">
        <w:rPr>
          <w:rFonts w:eastAsia="SimSun"/>
          <w:color w:val="auto"/>
          <w:lang w:eastAsia="zh-CN"/>
        </w:rPr>
        <w:t xml:space="preserve"> measures how important physical appearance is for a person in relation to other aspects of the self.  It comprises five Likert-type items ranging from 1 (Strongly disagree) to 6 (Strongly agree). Total scores range from 5-30 with higher scores indicating appearance forming </w:t>
      </w:r>
      <w:r w:rsidR="00B32D9C">
        <w:rPr>
          <w:rFonts w:eastAsia="SimSun"/>
          <w:color w:val="auto"/>
          <w:lang w:eastAsia="zh-CN"/>
        </w:rPr>
        <w:t xml:space="preserve">the </w:t>
      </w:r>
      <w:r w:rsidRPr="00D40C27">
        <w:rPr>
          <w:rFonts w:eastAsia="SimSun"/>
          <w:color w:val="auto"/>
          <w:lang w:eastAsia="zh-CN"/>
        </w:rPr>
        <w:t>greater part of the participant’s self-concept.  Initial psychometric analysis in a student population showed that the scale had good internal consistency (</w:t>
      </w:r>
      <w:r w:rsidRPr="00D40C27">
        <w:rPr>
          <w:rFonts w:eastAsia="SimSun"/>
          <w:i/>
          <w:iCs/>
          <w:color w:val="auto"/>
          <w:lang w:eastAsia="zh-CN"/>
        </w:rPr>
        <w:t xml:space="preserve">α </w:t>
      </w:r>
      <w:r w:rsidRPr="00D40C27">
        <w:rPr>
          <w:rFonts w:eastAsia="SimSun"/>
          <w:color w:val="auto"/>
          <w:lang w:eastAsia="zh-CN"/>
        </w:rPr>
        <w:t>= .86) and good test retest reliability (</w:t>
      </w:r>
      <w:r w:rsidRPr="00D40C27">
        <w:rPr>
          <w:rFonts w:eastAsia="SimSun"/>
          <w:i/>
          <w:iCs/>
          <w:color w:val="auto"/>
          <w:lang w:eastAsia="zh-CN"/>
        </w:rPr>
        <w:t>r</w:t>
      </w:r>
      <w:r w:rsidRPr="00D40C27">
        <w:rPr>
          <w:rFonts w:eastAsia="SimSun"/>
          <w:color w:val="auto"/>
          <w:lang w:eastAsia="zh-CN"/>
        </w:rPr>
        <w:t xml:space="preserve"> = .89, three months).</w:t>
      </w:r>
    </w:p>
    <w:p w14:paraId="480B26E1" w14:textId="77777777" w:rsidR="000F1616" w:rsidRPr="00D40C27" w:rsidRDefault="000F1616" w:rsidP="000F1616">
      <w:pPr>
        <w:pStyle w:val="Heading5"/>
        <w:rPr>
          <w:lang w:eastAsia="zh-CN"/>
        </w:rPr>
      </w:pPr>
      <w:r w:rsidRPr="00D40C27">
        <w:rPr>
          <w:lang w:eastAsia="zh-CN"/>
        </w:rPr>
        <w:t>Internal and external motivation to respond without prejudice</w:t>
      </w:r>
    </w:p>
    <w:p w14:paraId="6EDF5D67"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color w:val="auto"/>
          <w:lang w:eastAsia="zh-CN"/>
        </w:rPr>
        <w:t>The Internal and External Motivation Scale (IMS/EMS; was initially developed to measure motivations to respond without prejudice towards black people; however, it has also been adapted to measure other forms of prejudice, including towards individuals with visible differences (Grandfield, 2008). This instrument contains ten items that measure internal (self-beliefs) and external (social desirability) motivations to respond without prejudice and responses range from 1 (Strongly agree) to 5 (Strongly disagree). The instrument adapted for skin conditions has shown good psychometric properties with Cronbach's alphas ranging from .77 to .85.</w:t>
      </w:r>
    </w:p>
    <w:p w14:paraId="0A0F2631" w14:textId="77777777" w:rsidR="000F1616" w:rsidRPr="00D40C27" w:rsidRDefault="000F1616" w:rsidP="000F1616">
      <w:pPr>
        <w:pStyle w:val="Heading5"/>
        <w:rPr>
          <w:lang w:eastAsia="zh-CN"/>
        </w:rPr>
      </w:pPr>
      <w:r w:rsidRPr="00D40C27">
        <w:rPr>
          <w:lang w:eastAsia="zh-CN"/>
        </w:rPr>
        <w:t>Implicit Attitudes</w:t>
      </w:r>
    </w:p>
    <w:p w14:paraId="0238DD54"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bCs/>
          <w:iCs/>
          <w:color w:val="auto"/>
          <w:lang w:eastAsia="zh-CN"/>
        </w:rPr>
        <w:t xml:space="preserve"> Implicit</w:t>
      </w:r>
      <w:r w:rsidRPr="00D40C27">
        <w:rPr>
          <w:rFonts w:eastAsia="SimSun"/>
          <w:b/>
          <w:bCs/>
          <w:i/>
          <w:iCs/>
          <w:color w:val="auto"/>
          <w:lang w:eastAsia="zh-CN"/>
        </w:rPr>
        <w:t xml:space="preserve"> </w:t>
      </w:r>
      <w:r w:rsidRPr="00D40C27">
        <w:rPr>
          <w:rFonts w:eastAsia="SimSun"/>
          <w:color w:val="auto"/>
          <w:lang w:eastAsia="zh-CN"/>
        </w:rPr>
        <w:t>Attitudes were measured using a variant of the IAT and it was created on the platform provided by SocialSci.com</w:t>
      </w:r>
      <w:r w:rsidR="00737830">
        <w:rPr>
          <w:rFonts w:eastAsia="SimSun"/>
          <w:color w:val="auto"/>
          <w:lang w:eastAsia="zh-CN"/>
        </w:rPr>
        <w:t xml:space="preserve"> </w:t>
      </w:r>
      <w:r w:rsidR="00737830" w:rsidRPr="00D40C27">
        <w:rPr>
          <w:rFonts w:eastAsia="SimSun"/>
          <w:color w:val="auto"/>
          <w:lang w:eastAsia="zh-CN"/>
        </w:rPr>
        <w:t xml:space="preserve">(see Appendix </w:t>
      </w:r>
      <w:r w:rsidR="00737830">
        <w:rPr>
          <w:rFonts w:eastAsia="SimSun"/>
          <w:color w:val="auto"/>
          <w:lang w:eastAsia="zh-CN"/>
        </w:rPr>
        <w:t>3F-3J</w:t>
      </w:r>
      <w:r w:rsidR="00737830" w:rsidRPr="00D40C27">
        <w:rPr>
          <w:rFonts w:eastAsia="SimSun"/>
          <w:color w:val="auto"/>
          <w:lang w:eastAsia="zh-CN"/>
        </w:rPr>
        <w:t>)</w:t>
      </w:r>
      <w:r w:rsidRPr="00D40C27">
        <w:rPr>
          <w:rFonts w:eastAsia="SimSun"/>
          <w:color w:val="auto"/>
          <w:lang w:eastAsia="zh-CN"/>
        </w:rPr>
        <w:t xml:space="preserve">. Attribute stimuli was that used by </w:t>
      </w:r>
      <w:r w:rsidRPr="00D40C27">
        <w:rPr>
          <w:rFonts w:eastAsia="SimSun"/>
          <w:noProof/>
          <w:color w:val="auto"/>
          <w:lang w:eastAsia="zh-CN"/>
        </w:rPr>
        <w:t>Grandfield, Thompson, and Turpin</w:t>
      </w:r>
      <w:r w:rsidRPr="00D40C27">
        <w:rPr>
          <w:rFonts w:eastAsia="SimSun"/>
          <w:color w:val="auto"/>
          <w:lang w:eastAsia="zh-CN"/>
        </w:rPr>
        <w:t>; grouped as pleasant and unpleasant. This semantic stimul</w:t>
      </w:r>
      <w:r w:rsidR="00B32D9C">
        <w:rPr>
          <w:rFonts w:eastAsia="SimSun"/>
          <w:color w:val="auto"/>
          <w:lang w:eastAsia="zh-CN"/>
        </w:rPr>
        <w:t>us</w:t>
      </w:r>
      <w:r w:rsidRPr="00D40C27">
        <w:rPr>
          <w:rFonts w:eastAsia="SimSun"/>
          <w:color w:val="auto"/>
          <w:lang w:eastAsia="zh-CN"/>
        </w:rPr>
        <w:t xml:space="preserve"> was selected because it has been used in UK samples (see and match between groups in terms of syllable length. Attribute stimuli comprised seven pleasant words; 'pure', 'sincere', 'funny', 'polite', 'good', 'happy' and 'paradise'. Unpleasant attribute stimuli comprised the words 'aggressive', 'mean', 'brutal', 'bad', 'ugly', 'angry' and 'vomit'. Target stimuli constituted 14 pictures, 7 of individuals with facial disfigurement and 7 of individuals without facial disfigurement. Utilisation of pictorial stimuli was authorised by Cog Research and Changing Faces, with images courtesy of Getty. The presentation order of the stimuli was </w:t>
      </w:r>
      <w:r w:rsidR="00B32D9C">
        <w:rPr>
          <w:rFonts w:eastAsia="SimSun"/>
          <w:color w:val="auto"/>
          <w:lang w:eastAsia="zh-CN"/>
        </w:rPr>
        <w:t xml:space="preserve">to </w:t>
      </w:r>
      <w:r w:rsidRPr="00D40C27">
        <w:rPr>
          <w:rFonts w:eastAsia="SimSun"/>
          <w:color w:val="auto"/>
          <w:lang w:eastAsia="zh-CN"/>
        </w:rPr>
        <w:t>be randomised for each trial.</w:t>
      </w:r>
    </w:p>
    <w:p w14:paraId="5A8F837B" w14:textId="3DD66736"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SimSun"/>
          <w:color w:val="auto"/>
          <w:lang w:eastAsia="zh-CN"/>
        </w:rPr>
      </w:pPr>
      <w:r w:rsidRPr="00D40C27">
        <w:rPr>
          <w:rFonts w:eastAsia="SimSun"/>
          <w:color w:val="auto"/>
          <w:lang w:eastAsia="zh-CN"/>
        </w:rPr>
        <w:t xml:space="preserve">The test contained an introduction page where the participant was presented with all the stimuli included in the test. Then, there was a presentation of instructions </w:t>
      </w:r>
      <w:r w:rsidRPr="00D40C27">
        <w:rPr>
          <w:rFonts w:eastAsia="SimSun"/>
          <w:color w:val="auto"/>
          <w:lang w:eastAsia="zh-CN"/>
        </w:rPr>
        <w:lastRenderedPageBreak/>
        <w:t>prior the beginning of each 5 blocks (see Appendix 6), asking to press the keys “E” (Left) or “I” (Right) in order to categorise a variety of stimulus as fast as possible. The stimuli w</w:t>
      </w:r>
      <w:r w:rsidR="00B32D9C">
        <w:rPr>
          <w:rFonts w:eastAsia="SimSun"/>
          <w:color w:val="auto"/>
          <w:lang w:eastAsia="zh-CN"/>
        </w:rPr>
        <w:t>ere</w:t>
      </w:r>
      <w:r w:rsidRPr="00D40C27">
        <w:rPr>
          <w:rFonts w:eastAsia="SimSun"/>
          <w:color w:val="auto"/>
          <w:lang w:eastAsia="zh-CN"/>
        </w:rPr>
        <w:t xml:space="preserve"> presented on a black background and semantic stimuli shown in green. </w:t>
      </w:r>
      <w:bookmarkStart w:id="58" w:name="_Hlk34554186"/>
      <w:bookmarkStart w:id="59" w:name="_Hlk34554052"/>
      <w:r w:rsidR="00C465DE">
        <w:rPr>
          <w:rFonts w:eastAsia="SimSun"/>
          <w:color w:val="auto"/>
          <w:lang w:eastAsia="zh-CN"/>
        </w:rPr>
        <w:t xml:space="preserve">When participants </w:t>
      </w:r>
      <w:r w:rsidRPr="00D40C27">
        <w:rPr>
          <w:rFonts w:eastAsia="SimSun"/>
          <w:color w:val="auto"/>
          <w:lang w:eastAsia="zh-CN"/>
        </w:rPr>
        <w:t xml:space="preserve">made </w:t>
      </w:r>
      <w:r w:rsidR="00BE28A4">
        <w:rPr>
          <w:rFonts w:eastAsia="SimSun"/>
          <w:color w:val="auto"/>
          <w:lang w:eastAsia="zh-CN"/>
        </w:rPr>
        <w:t>mistakes in the task</w:t>
      </w:r>
      <w:r w:rsidR="00C465DE">
        <w:rPr>
          <w:rFonts w:eastAsia="SimSun"/>
          <w:color w:val="auto"/>
          <w:lang w:eastAsia="zh-CN"/>
        </w:rPr>
        <w:t xml:space="preserve">, </w:t>
      </w:r>
      <w:r w:rsidRPr="00D40C27">
        <w:rPr>
          <w:rFonts w:eastAsia="SimSun"/>
          <w:color w:val="auto"/>
          <w:lang w:eastAsia="zh-CN"/>
        </w:rPr>
        <w:t xml:space="preserve">a red </w:t>
      </w:r>
      <w:r w:rsidR="00C465DE">
        <w:rPr>
          <w:rFonts w:eastAsia="SimSun"/>
          <w:color w:val="auto"/>
          <w:lang w:eastAsia="zh-CN"/>
        </w:rPr>
        <w:t>‘X’</w:t>
      </w:r>
      <w:r w:rsidRPr="00D40C27">
        <w:rPr>
          <w:rFonts w:eastAsia="SimSun"/>
          <w:color w:val="auto"/>
          <w:lang w:eastAsia="zh-CN"/>
        </w:rPr>
        <w:t xml:space="preserve"> </w:t>
      </w:r>
      <w:r w:rsidR="00BE28A4">
        <w:rPr>
          <w:rFonts w:eastAsia="SimSun"/>
          <w:color w:val="auto"/>
          <w:lang w:eastAsia="zh-CN"/>
        </w:rPr>
        <w:t xml:space="preserve">appeared </w:t>
      </w:r>
      <w:r w:rsidRPr="00D40C27">
        <w:rPr>
          <w:rFonts w:eastAsia="SimSun"/>
          <w:color w:val="auto"/>
          <w:lang w:eastAsia="zh-CN"/>
        </w:rPr>
        <w:t>in the middle of the screen</w:t>
      </w:r>
      <w:r w:rsidR="00BE28A4">
        <w:rPr>
          <w:rFonts w:eastAsia="SimSun"/>
          <w:color w:val="auto"/>
          <w:lang w:eastAsia="zh-CN"/>
        </w:rPr>
        <w:t xml:space="preserve"> to indicate them that their response was erroneous</w:t>
      </w:r>
      <w:bookmarkEnd w:id="58"/>
      <w:r w:rsidR="00BE28A4">
        <w:rPr>
          <w:rFonts w:eastAsia="SimSun"/>
          <w:color w:val="auto"/>
          <w:lang w:eastAsia="zh-CN"/>
        </w:rPr>
        <w:t>.</w:t>
      </w:r>
    </w:p>
    <w:bookmarkEnd w:id="59"/>
    <w:p w14:paraId="4EB3E6B8" w14:textId="5C0078D9"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SimSun"/>
          <w:color w:val="auto"/>
          <w:lang w:eastAsia="zh-CN"/>
        </w:rPr>
      </w:pPr>
      <w:r w:rsidRPr="00D40C27">
        <w:rPr>
          <w:rFonts w:eastAsia="SimSun"/>
          <w:color w:val="auto"/>
          <w:lang w:eastAsia="zh-CN"/>
        </w:rPr>
        <w:t xml:space="preserve">The first block consisted of 14 words to be allocated into pleasant (Left key E) and unpleasant categories (Right key I). Likewise, </w:t>
      </w:r>
      <w:r w:rsidR="00B32D9C">
        <w:rPr>
          <w:rFonts w:eastAsia="SimSun"/>
          <w:color w:val="auto"/>
          <w:lang w:eastAsia="zh-CN"/>
        </w:rPr>
        <w:t xml:space="preserve">the </w:t>
      </w:r>
      <w:r w:rsidRPr="00D40C27">
        <w:rPr>
          <w:rFonts w:eastAsia="SimSun"/>
          <w:color w:val="auto"/>
          <w:lang w:eastAsia="zh-CN"/>
        </w:rPr>
        <w:t>second block asked participants to pair pictures of 14 individuals in the categories “</w:t>
      </w:r>
      <w:r w:rsidRPr="00D40C27">
        <w:rPr>
          <w:rFonts w:eastAsia="Times New Roman"/>
        </w:rPr>
        <w:t>Person without facial disfigurement</w:t>
      </w:r>
      <w:r w:rsidRPr="00D40C27">
        <w:rPr>
          <w:rFonts w:eastAsia="SimSun"/>
          <w:color w:val="auto"/>
          <w:lang w:eastAsia="zh-CN"/>
        </w:rPr>
        <w:t>” (Left key E) and “</w:t>
      </w:r>
      <w:r w:rsidRPr="00D40C27">
        <w:rPr>
          <w:rFonts w:eastAsia="Times New Roman"/>
        </w:rPr>
        <w:t>Person with facial disfigurement</w:t>
      </w:r>
      <w:r w:rsidRPr="00D40C27">
        <w:rPr>
          <w:rFonts w:eastAsia="SimSun"/>
          <w:color w:val="auto"/>
          <w:lang w:eastAsia="zh-CN"/>
        </w:rPr>
        <w:t xml:space="preserve">” (Right key I). In the third block, all previous 28 items (semantic stimuli and pictures) were presented and participants asked to categorise into “Pleasant or </w:t>
      </w:r>
      <w:r w:rsidRPr="00D40C27">
        <w:rPr>
          <w:rFonts w:eastAsia="Times New Roman"/>
        </w:rPr>
        <w:t>Person without facial disfigurement</w:t>
      </w:r>
      <w:r w:rsidRPr="00D40C27">
        <w:rPr>
          <w:rFonts w:eastAsia="SimSun"/>
          <w:color w:val="auto"/>
          <w:lang w:eastAsia="zh-CN"/>
        </w:rPr>
        <w:t xml:space="preserve">” (Left key E) or “Unpleasant or </w:t>
      </w:r>
      <w:r w:rsidRPr="00D40C27">
        <w:rPr>
          <w:rFonts w:eastAsia="Times New Roman"/>
        </w:rPr>
        <w:t>Person with facial disfigurement</w:t>
      </w:r>
      <w:r w:rsidRPr="00D40C27">
        <w:rPr>
          <w:rFonts w:eastAsia="SimSun"/>
          <w:color w:val="auto"/>
          <w:lang w:eastAsia="zh-CN"/>
        </w:rPr>
        <w:t xml:space="preserve">” (Right key I). Fourth and fifth </w:t>
      </w:r>
      <w:r w:rsidR="00C27825">
        <w:rPr>
          <w:rFonts w:eastAsia="SimSun"/>
          <w:color w:val="auto"/>
          <w:lang w:eastAsia="zh-CN"/>
        </w:rPr>
        <w:t>blocks</w:t>
      </w:r>
      <w:r w:rsidRPr="00D40C27">
        <w:rPr>
          <w:rFonts w:eastAsia="SimSun"/>
          <w:color w:val="auto"/>
          <w:lang w:eastAsia="zh-CN"/>
        </w:rPr>
        <w:t xml:space="preserve"> were identical to block 2 and 3 but the categorisation task asked reversed responses (i.e., </w:t>
      </w:r>
      <w:r w:rsidRPr="00D40C27">
        <w:rPr>
          <w:rFonts w:eastAsia="Times New Roman"/>
        </w:rPr>
        <w:t>Person with facial disfigurement</w:t>
      </w:r>
      <w:r w:rsidRPr="00D40C27">
        <w:rPr>
          <w:rFonts w:eastAsia="SimSun"/>
          <w:color w:val="auto"/>
          <w:lang w:eastAsia="zh-CN"/>
        </w:rPr>
        <w:t xml:space="preserve">/pleasant, </w:t>
      </w:r>
      <w:r w:rsidRPr="00D40C27">
        <w:rPr>
          <w:rFonts w:eastAsia="Times New Roman"/>
        </w:rPr>
        <w:t>Person without facial disfigurement</w:t>
      </w:r>
      <w:r w:rsidRPr="00D40C27">
        <w:rPr>
          <w:rFonts w:eastAsia="SimSun"/>
          <w:color w:val="auto"/>
          <w:lang w:eastAsia="zh-CN"/>
        </w:rPr>
        <w:t xml:space="preserve">/unpleasant). All stimuli presented were randomised (see Table 1). The end of the IAT was marked by a screen (see Appendix </w:t>
      </w:r>
      <w:r w:rsidR="005B1964">
        <w:rPr>
          <w:rFonts w:eastAsia="SimSun"/>
          <w:color w:val="auto"/>
          <w:lang w:eastAsia="zh-CN"/>
        </w:rPr>
        <w:t>3</w:t>
      </w:r>
      <w:r w:rsidRPr="00D40C27">
        <w:rPr>
          <w:rFonts w:eastAsia="SimSun"/>
          <w:color w:val="auto"/>
          <w:lang w:eastAsia="zh-CN"/>
        </w:rPr>
        <w:t>) thanking participants for the completion of the IAT and indicating the beginning of the final segment of the study, comprising the explicit attitudes measure. In order to counterbalance the response latencies</w:t>
      </w:r>
      <w:r w:rsidR="00FB5B22">
        <w:rPr>
          <w:rFonts w:eastAsia="SimSun"/>
          <w:color w:val="auto"/>
          <w:lang w:eastAsia="zh-CN"/>
        </w:rPr>
        <w:t xml:space="preserve">, the order of presentations was different for different sections of the sample. </w:t>
      </w:r>
      <w:bookmarkStart w:id="60" w:name="_Hlk34563757"/>
      <w:r w:rsidR="00CF1153">
        <w:rPr>
          <w:rFonts w:eastAsia="SimSun"/>
          <w:color w:val="auto"/>
          <w:lang w:eastAsia="zh-CN"/>
        </w:rPr>
        <w:t>Approximately 70% of</w:t>
      </w:r>
      <w:r w:rsidR="00BE28A4">
        <w:rPr>
          <w:rFonts w:eastAsia="SimSun"/>
          <w:color w:val="auto"/>
          <w:lang w:eastAsia="zh-CN"/>
        </w:rPr>
        <w:t xml:space="preserve"> participants </w:t>
      </w:r>
      <w:r w:rsidR="00FB5B22">
        <w:rPr>
          <w:rFonts w:eastAsia="SimSun"/>
          <w:color w:val="auto"/>
          <w:lang w:eastAsia="zh-CN"/>
        </w:rPr>
        <w:t>completed</w:t>
      </w:r>
      <w:r w:rsidR="00BE28A4">
        <w:rPr>
          <w:rFonts w:eastAsia="SimSun"/>
          <w:color w:val="auto"/>
          <w:lang w:eastAsia="zh-CN"/>
        </w:rPr>
        <w:t xml:space="preserve"> an </w:t>
      </w:r>
      <w:r w:rsidRPr="00D40C27">
        <w:rPr>
          <w:rFonts w:eastAsia="SimSun"/>
          <w:color w:val="auto"/>
          <w:lang w:eastAsia="zh-CN"/>
        </w:rPr>
        <w:t>IAT</w:t>
      </w:r>
      <w:r w:rsidR="00BE28A4">
        <w:rPr>
          <w:rFonts w:eastAsia="SimSun"/>
          <w:color w:val="auto"/>
          <w:lang w:eastAsia="zh-CN"/>
        </w:rPr>
        <w:t xml:space="preserve"> </w:t>
      </w:r>
      <w:r w:rsidR="00FB5B22">
        <w:rPr>
          <w:rFonts w:eastAsia="SimSun"/>
          <w:color w:val="auto"/>
          <w:lang w:eastAsia="zh-CN"/>
        </w:rPr>
        <w:t xml:space="preserve">were the congruent blocks were presented first and then followed by the incongruent blocks, while </w:t>
      </w:r>
      <w:r w:rsidR="00BE28A4">
        <w:rPr>
          <w:rFonts w:eastAsia="SimSun"/>
          <w:color w:val="auto"/>
          <w:lang w:eastAsia="zh-CN"/>
        </w:rPr>
        <w:t xml:space="preserve">the remaining </w:t>
      </w:r>
      <w:r w:rsidR="00CF1153">
        <w:rPr>
          <w:rFonts w:eastAsia="SimSun"/>
          <w:color w:val="auto"/>
          <w:lang w:eastAsia="zh-CN"/>
        </w:rPr>
        <w:t xml:space="preserve">30% completed an IAT were the </w:t>
      </w:r>
      <w:r w:rsidR="00FB5B22">
        <w:rPr>
          <w:rFonts w:eastAsia="SimSun"/>
          <w:color w:val="auto"/>
          <w:lang w:eastAsia="zh-CN"/>
        </w:rPr>
        <w:t>presentation order was reversed (i.e., incongruent blocks followed by congruent blocks)</w:t>
      </w:r>
      <w:r w:rsidR="008E18BF">
        <w:rPr>
          <w:rFonts w:eastAsia="SimSun"/>
          <w:color w:val="auto"/>
          <w:lang w:eastAsia="zh-CN"/>
        </w:rPr>
        <w:t xml:space="preserve">. </w:t>
      </w:r>
      <w:bookmarkEnd w:id="60"/>
    </w:p>
    <w:p w14:paraId="66A6F3F0" w14:textId="77777777" w:rsidR="000F1616" w:rsidRPr="00D40C27" w:rsidRDefault="000F1616" w:rsidP="000F1616">
      <w:pPr>
        <w:pStyle w:val="Tables"/>
        <w:rPr>
          <w:lang w:eastAsia="zh-CN"/>
        </w:rPr>
      </w:pPr>
      <w:bookmarkStart w:id="61" w:name="_Toc12024827"/>
      <w:r w:rsidRPr="00D40C27">
        <w:rPr>
          <w:lang w:eastAsia="zh-CN"/>
        </w:rPr>
        <w:t xml:space="preserve">Table </w:t>
      </w:r>
      <w:r>
        <w:rPr>
          <w:lang w:eastAsia="zh-CN"/>
        </w:rPr>
        <w:t>3.</w:t>
      </w:r>
      <w:r w:rsidRPr="00D40C27">
        <w:rPr>
          <w:lang w:eastAsia="zh-CN"/>
        </w:rPr>
        <w:t>1.  IAT presentation blocks</w:t>
      </w:r>
      <w:bookmarkEnd w:id="61"/>
    </w:p>
    <w:tbl>
      <w:tblPr>
        <w:tblW w:w="5880" w:type="dxa"/>
        <w:tblInd w:w="108" w:type="dxa"/>
        <w:tblLook w:val="04A0" w:firstRow="1" w:lastRow="0" w:firstColumn="1" w:lastColumn="0" w:noHBand="0" w:noVBand="1"/>
      </w:tblPr>
      <w:tblGrid>
        <w:gridCol w:w="1340"/>
        <w:gridCol w:w="1635"/>
        <w:gridCol w:w="1537"/>
        <w:gridCol w:w="1660"/>
      </w:tblGrid>
      <w:tr w:rsidR="000F1616" w:rsidRPr="00D40C27" w14:paraId="64090782" w14:textId="77777777" w:rsidTr="00014EE0">
        <w:trPr>
          <w:trHeight w:val="300"/>
        </w:trPr>
        <w:tc>
          <w:tcPr>
            <w:tcW w:w="1340" w:type="dxa"/>
            <w:tcBorders>
              <w:top w:val="single" w:sz="4" w:space="0" w:color="auto"/>
              <w:left w:val="nil"/>
              <w:bottom w:val="single" w:sz="4" w:space="0" w:color="auto"/>
              <w:right w:val="nil"/>
            </w:tcBorders>
            <w:shd w:val="clear" w:color="auto" w:fill="auto"/>
            <w:noWrap/>
            <w:vAlign w:val="bottom"/>
            <w:hideMark/>
          </w:tcPr>
          <w:p w14:paraId="2DE928E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sz w:val="24"/>
                <w:szCs w:val="24"/>
              </w:rPr>
            </w:pPr>
            <w:r w:rsidRPr="00D40C27">
              <w:rPr>
                <w:rFonts w:eastAsia="Times New Roman"/>
                <w:b/>
                <w:bCs/>
              </w:rPr>
              <w:t>Block</w:t>
            </w:r>
          </w:p>
        </w:tc>
        <w:tc>
          <w:tcPr>
            <w:tcW w:w="1540" w:type="dxa"/>
            <w:tcBorders>
              <w:top w:val="single" w:sz="4" w:space="0" w:color="auto"/>
              <w:left w:val="nil"/>
              <w:bottom w:val="single" w:sz="4" w:space="0" w:color="auto"/>
              <w:right w:val="nil"/>
            </w:tcBorders>
            <w:shd w:val="clear" w:color="auto" w:fill="auto"/>
            <w:noWrap/>
            <w:vAlign w:val="bottom"/>
            <w:hideMark/>
          </w:tcPr>
          <w:p w14:paraId="64D2591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b/>
                <w:bCs/>
                <w:sz w:val="24"/>
                <w:szCs w:val="24"/>
              </w:rPr>
            </w:pPr>
            <w:r w:rsidRPr="00D40C27">
              <w:rPr>
                <w:rFonts w:eastAsia="Times New Roman"/>
                <w:b/>
                <w:bCs/>
              </w:rPr>
              <w:t xml:space="preserve">Judgement </w:t>
            </w:r>
          </w:p>
        </w:tc>
        <w:tc>
          <w:tcPr>
            <w:tcW w:w="1340" w:type="dxa"/>
            <w:tcBorders>
              <w:top w:val="single" w:sz="4" w:space="0" w:color="auto"/>
              <w:left w:val="nil"/>
              <w:bottom w:val="single" w:sz="4" w:space="0" w:color="auto"/>
              <w:right w:val="nil"/>
            </w:tcBorders>
            <w:shd w:val="clear" w:color="auto" w:fill="auto"/>
            <w:noWrap/>
            <w:vAlign w:val="bottom"/>
            <w:hideMark/>
          </w:tcPr>
          <w:p w14:paraId="74B1A6C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b/>
                <w:bCs/>
                <w:sz w:val="24"/>
                <w:szCs w:val="24"/>
              </w:rPr>
            </w:pPr>
            <w:r w:rsidRPr="00D40C27">
              <w:rPr>
                <w:rFonts w:eastAsia="Times New Roman"/>
                <w:b/>
                <w:bCs/>
              </w:rPr>
              <w:t>Left Key (A)</w:t>
            </w:r>
          </w:p>
        </w:tc>
        <w:tc>
          <w:tcPr>
            <w:tcW w:w="1660" w:type="dxa"/>
            <w:tcBorders>
              <w:top w:val="single" w:sz="4" w:space="0" w:color="auto"/>
              <w:left w:val="nil"/>
              <w:bottom w:val="single" w:sz="4" w:space="0" w:color="auto"/>
              <w:right w:val="nil"/>
            </w:tcBorders>
            <w:shd w:val="clear" w:color="auto" w:fill="auto"/>
            <w:noWrap/>
            <w:vAlign w:val="bottom"/>
            <w:hideMark/>
          </w:tcPr>
          <w:p w14:paraId="5E57A95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b/>
                <w:bCs/>
                <w:sz w:val="24"/>
                <w:szCs w:val="24"/>
              </w:rPr>
            </w:pPr>
            <w:r w:rsidRPr="00D40C27">
              <w:rPr>
                <w:rFonts w:eastAsia="Times New Roman"/>
                <w:b/>
                <w:bCs/>
              </w:rPr>
              <w:t>Right Key (5)</w:t>
            </w:r>
          </w:p>
        </w:tc>
      </w:tr>
      <w:tr w:rsidR="000F1616" w:rsidRPr="00D40C27" w14:paraId="685531F7" w14:textId="77777777" w:rsidTr="00014EE0">
        <w:trPr>
          <w:trHeight w:val="600"/>
        </w:trPr>
        <w:tc>
          <w:tcPr>
            <w:tcW w:w="1340" w:type="dxa"/>
            <w:tcBorders>
              <w:top w:val="nil"/>
              <w:left w:val="nil"/>
              <w:bottom w:val="nil"/>
              <w:right w:val="nil"/>
            </w:tcBorders>
            <w:shd w:val="clear" w:color="auto" w:fill="auto"/>
            <w:noWrap/>
            <w:vAlign w:val="center"/>
            <w:hideMark/>
          </w:tcPr>
          <w:p w14:paraId="4972054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1</w:t>
            </w:r>
          </w:p>
        </w:tc>
        <w:tc>
          <w:tcPr>
            <w:tcW w:w="1540" w:type="dxa"/>
            <w:tcBorders>
              <w:top w:val="nil"/>
              <w:left w:val="nil"/>
              <w:bottom w:val="nil"/>
              <w:right w:val="nil"/>
            </w:tcBorders>
            <w:shd w:val="clear" w:color="auto" w:fill="auto"/>
            <w:vAlign w:val="center"/>
            <w:hideMark/>
          </w:tcPr>
          <w:p w14:paraId="36425D9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Word categorisation</w:t>
            </w:r>
          </w:p>
        </w:tc>
        <w:tc>
          <w:tcPr>
            <w:tcW w:w="1340" w:type="dxa"/>
            <w:tcBorders>
              <w:top w:val="nil"/>
              <w:left w:val="nil"/>
              <w:bottom w:val="nil"/>
              <w:right w:val="nil"/>
            </w:tcBorders>
            <w:shd w:val="clear" w:color="auto" w:fill="auto"/>
            <w:vAlign w:val="center"/>
            <w:hideMark/>
          </w:tcPr>
          <w:p w14:paraId="2B0C9AE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Pleasant</w:t>
            </w:r>
          </w:p>
        </w:tc>
        <w:tc>
          <w:tcPr>
            <w:tcW w:w="1660" w:type="dxa"/>
            <w:tcBorders>
              <w:top w:val="nil"/>
              <w:left w:val="nil"/>
              <w:bottom w:val="nil"/>
              <w:right w:val="nil"/>
            </w:tcBorders>
            <w:shd w:val="clear" w:color="auto" w:fill="auto"/>
            <w:vAlign w:val="center"/>
            <w:hideMark/>
          </w:tcPr>
          <w:p w14:paraId="1D9E98B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Unpleasant</w:t>
            </w:r>
          </w:p>
        </w:tc>
      </w:tr>
      <w:tr w:rsidR="000F1616" w:rsidRPr="00D40C27" w14:paraId="3BF5CD42" w14:textId="77777777" w:rsidTr="00014EE0">
        <w:trPr>
          <w:trHeight w:val="600"/>
        </w:trPr>
        <w:tc>
          <w:tcPr>
            <w:tcW w:w="1340" w:type="dxa"/>
            <w:tcBorders>
              <w:top w:val="nil"/>
              <w:left w:val="nil"/>
              <w:bottom w:val="nil"/>
              <w:right w:val="nil"/>
            </w:tcBorders>
            <w:shd w:val="clear" w:color="auto" w:fill="auto"/>
            <w:noWrap/>
            <w:vAlign w:val="center"/>
            <w:hideMark/>
          </w:tcPr>
          <w:p w14:paraId="276AC53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2</w:t>
            </w:r>
          </w:p>
        </w:tc>
        <w:tc>
          <w:tcPr>
            <w:tcW w:w="1540" w:type="dxa"/>
            <w:tcBorders>
              <w:top w:val="nil"/>
              <w:left w:val="nil"/>
              <w:bottom w:val="nil"/>
              <w:right w:val="nil"/>
            </w:tcBorders>
            <w:shd w:val="clear" w:color="auto" w:fill="auto"/>
            <w:vAlign w:val="center"/>
            <w:hideMark/>
          </w:tcPr>
          <w:p w14:paraId="461DC6A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Picture Categorisation</w:t>
            </w:r>
          </w:p>
        </w:tc>
        <w:tc>
          <w:tcPr>
            <w:tcW w:w="1340" w:type="dxa"/>
            <w:tcBorders>
              <w:top w:val="nil"/>
              <w:left w:val="nil"/>
              <w:bottom w:val="nil"/>
              <w:right w:val="nil"/>
            </w:tcBorders>
            <w:shd w:val="clear" w:color="auto" w:fill="auto"/>
            <w:vAlign w:val="center"/>
            <w:hideMark/>
          </w:tcPr>
          <w:p w14:paraId="7F5B849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Person without facial disfigurement</w:t>
            </w:r>
          </w:p>
        </w:tc>
        <w:tc>
          <w:tcPr>
            <w:tcW w:w="1660" w:type="dxa"/>
            <w:tcBorders>
              <w:top w:val="nil"/>
              <w:left w:val="nil"/>
              <w:bottom w:val="nil"/>
              <w:right w:val="nil"/>
            </w:tcBorders>
            <w:shd w:val="clear" w:color="auto" w:fill="auto"/>
            <w:vAlign w:val="center"/>
            <w:hideMark/>
          </w:tcPr>
          <w:p w14:paraId="74FA28A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Person with facial disfigurement</w:t>
            </w:r>
          </w:p>
        </w:tc>
      </w:tr>
      <w:tr w:rsidR="000F1616" w:rsidRPr="00D40C27" w14:paraId="6A897E94" w14:textId="77777777" w:rsidTr="00014EE0">
        <w:trPr>
          <w:trHeight w:val="900"/>
        </w:trPr>
        <w:tc>
          <w:tcPr>
            <w:tcW w:w="1340" w:type="dxa"/>
            <w:tcBorders>
              <w:top w:val="nil"/>
              <w:left w:val="nil"/>
              <w:bottom w:val="nil"/>
              <w:right w:val="nil"/>
            </w:tcBorders>
            <w:shd w:val="clear" w:color="auto" w:fill="auto"/>
            <w:noWrap/>
            <w:vAlign w:val="center"/>
            <w:hideMark/>
          </w:tcPr>
          <w:p w14:paraId="5FD020E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3</w:t>
            </w:r>
          </w:p>
        </w:tc>
        <w:tc>
          <w:tcPr>
            <w:tcW w:w="1540" w:type="dxa"/>
            <w:tcBorders>
              <w:top w:val="nil"/>
              <w:left w:val="nil"/>
              <w:bottom w:val="nil"/>
              <w:right w:val="nil"/>
            </w:tcBorders>
            <w:shd w:val="clear" w:color="auto" w:fill="auto"/>
            <w:vAlign w:val="center"/>
            <w:hideMark/>
          </w:tcPr>
          <w:p w14:paraId="4E8C675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Hypothesised Congruent Condition</w:t>
            </w:r>
          </w:p>
        </w:tc>
        <w:tc>
          <w:tcPr>
            <w:tcW w:w="1340" w:type="dxa"/>
            <w:tcBorders>
              <w:top w:val="nil"/>
              <w:left w:val="nil"/>
              <w:bottom w:val="nil"/>
              <w:right w:val="nil"/>
            </w:tcBorders>
            <w:shd w:val="clear" w:color="auto" w:fill="auto"/>
            <w:vAlign w:val="center"/>
            <w:hideMark/>
          </w:tcPr>
          <w:p w14:paraId="7B661BE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Pleasant or Person without facial disfigurement</w:t>
            </w:r>
          </w:p>
        </w:tc>
        <w:tc>
          <w:tcPr>
            <w:tcW w:w="1660" w:type="dxa"/>
            <w:tcBorders>
              <w:top w:val="nil"/>
              <w:left w:val="nil"/>
              <w:bottom w:val="nil"/>
              <w:right w:val="nil"/>
            </w:tcBorders>
            <w:shd w:val="clear" w:color="auto" w:fill="auto"/>
            <w:vAlign w:val="center"/>
            <w:hideMark/>
          </w:tcPr>
          <w:p w14:paraId="17491A7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Unpleasant or Person with facial disfigurement</w:t>
            </w:r>
          </w:p>
        </w:tc>
      </w:tr>
      <w:tr w:rsidR="000F1616" w:rsidRPr="00D40C27" w14:paraId="315AF5E8" w14:textId="77777777" w:rsidTr="00014EE0">
        <w:trPr>
          <w:trHeight w:val="900"/>
        </w:trPr>
        <w:tc>
          <w:tcPr>
            <w:tcW w:w="1340" w:type="dxa"/>
            <w:tcBorders>
              <w:top w:val="nil"/>
              <w:left w:val="nil"/>
              <w:bottom w:val="nil"/>
              <w:right w:val="nil"/>
            </w:tcBorders>
            <w:shd w:val="clear" w:color="auto" w:fill="auto"/>
            <w:noWrap/>
            <w:vAlign w:val="center"/>
            <w:hideMark/>
          </w:tcPr>
          <w:p w14:paraId="37C9DFD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lastRenderedPageBreak/>
              <w:t>4</w:t>
            </w:r>
          </w:p>
        </w:tc>
        <w:tc>
          <w:tcPr>
            <w:tcW w:w="1540" w:type="dxa"/>
            <w:tcBorders>
              <w:top w:val="nil"/>
              <w:left w:val="nil"/>
              <w:bottom w:val="nil"/>
              <w:right w:val="nil"/>
            </w:tcBorders>
            <w:shd w:val="clear" w:color="auto" w:fill="auto"/>
            <w:vAlign w:val="center"/>
            <w:hideMark/>
          </w:tcPr>
          <w:p w14:paraId="569C058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Reversed Picture Categorisation</w:t>
            </w:r>
          </w:p>
        </w:tc>
        <w:tc>
          <w:tcPr>
            <w:tcW w:w="1340" w:type="dxa"/>
            <w:tcBorders>
              <w:top w:val="nil"/>
              <w:left w:val="nil"/>
              <w:bottom w:val="nil"/>
              <w:right w:val="nil"/>
            </w:tcBorders>
            <w:shd w:val="clear" w:color="auto" w:fill="auto"/>
            <w:vAlign w:val="center"/>
            <w:hideMark/>
          </w:tcPr>
          <w:p w14:paraId="3A8DEE0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Person with facial disfigurement</w:t>
            </w:r>
          </w:p>
        </w:tc>
        <w:tc>
          <w:tcPr>
            <w:tcW w:w="1660" w:type="dxa"/>
            <w:tcBorders>
              <w:top w:val="nil"/>
              <w:left w:val="nil"/>
              <w:bottom w:val="nil"/>
              <w:right w:val="nil"/>
            </w:tcBorders>
            <w:shd w:val="clear" w:color="auto" w:fill="auto"/>
            <w:vAlign w:val="center"/>
            <w:hideMark/>
          </w:tcPr>
          <w:p w14:paraId="71F078E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Person without facial disfigurement</w:t>
            </w:r>
          </w:p>
        </w:tc>
      </w:tr>
      <w:tr w:rsidR="000F1616" w:rsidRPr="00D40C27" w14:paraId="6189879F" w14:textId="77777777" w:rsidTr="00014EE0">
        <w:trPr>
          <w:trHeight w:val="900"/>
        </w:trPr>
        <w:tc>
          <w:tcPr>
            <w:tcW w:w="1340" w:type="dxa"/>
            <w:tcBorders>
              <w:top w:val="nil"/>
              <w:left w:val="nil"/>
              <w:bottom w:val="single" w:sz="4" w:space="0" w:color="auto"/>
              <w:right w:val="nil"/>
            </w:tcBorders>
            <w:shd w:val="clear" w:color="auto" w:fill="auto"/>
            <w:noWrap/>
            <w:vAlign w:val="center"/>
            <w:hideMark/>
          </w:tcPr>
          <w:p w14:paraId="0998A3E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5</w:t>
            </w:r>
          </w:p>
        </w:tc>
        <w:tc>
          <w:tcPr>
            <w:tcW w:w="1540" w:type="dxa"/>
            <w:tcBorders>
              <w:top w:val="nil"/>
              <w:left w:val="nil"/>
              <w:bottom w:val="single" w:sz="4" w:space="0" w:color="auto"/>
              <w:right w:val="nil"/>
            </w:tcBorders>
            <w:shd w:val="clear" w:color="auto" w:fill="auto"/>
            <w:vAlign w:val="center"/>
            <w:hideMark/>
          </w:tcPr>
          <w:p w14:paraId="3FD531A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Hypothesised Incongruent Condition</w:t>
            </w:r>
          </w:p>
        </w:tc>
        <w:tc>
          <w:tcPr>
            <w:tcW w:w="1340" w:type="dxa"/>
            <w:tcBorders>
              <w:top w:val="nil"/>
              <w:left w:val="nil"/>
              <w:bottom w:val="single" w:sz="4" w:space="0" w:color="auto"/>
              <w:right w:val="nil"/>
            </w:tcBorders>
            <w:shd w:val="clear" w:color="auto" w:fill="auto"/>
            <w:vAlign w:val="center"/>
            <w:hideMark/>
          </w:tcPr>
          <w:p w14:paraId="70DED83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Pleasant or Person with facial disfigurement</w:t>
            </w:r>
          </w:p>
        </w:tc>
        <w:tc>
          <w:tcPr>
            <w:tcW w:w="1660" w:type="dxa"/>
            <w:tcBorders>
              <w:top w:val="nil"/>
              <w:left w:val="nil"/>
              <w:bottom w:val="single" w:sz="4" w:space="0" w:color="auto"/>
              <w:right w:val="nil"/>
            </w:tcBorders>
            <w:shd w:val="clear" w:color="auto" w:fill="auto"/>
            <w:vAlign w:val="center"/>
            <w:hideMark/>
          </w:tcPr>
          <w:p w14:paraId="30199C2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rPr>
                <w:rFonts w:eastAsia="Times New Roman"/>
                <w:sz w:val="24"/>
                <w:szCs w:val="24"/>
              </w:rPr>
            </w:pPr>
            <w:r w:rsidRPr="00D40C27">
              <w:rPr>
                <w:rFonts w:eastAsia="Times New Roman"/>
              </w:rPr>
              <w:t>Unpleasant or Person without facial disfigurement</w:t>
            </w:r>
          </w:p>
        </w:tc>
      </w:tr>
    </w:tbl>
    <w:p w14:paraId="7424C2B7"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ascii="Times New Roman" w:eastAsia="SimSun" w:hAnsi="Times New Roman" w:cs="Times New Roman"/>
          <w:color w:val="auto"/>
          <w:sz w:val="24"/>
          <w:szCs w:val="24"/>
          <w:lang w:eastAsia="zh-CN"/>
        </w:rPr>
      </w:pPr>
    </w:p>
    <w:p w14:paraId="414ECC29" w14:textId="77777777" w:rsidR="000F1616"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b/>
          <w:color w:val="auto"/>
          <w:lang w:eastAsia="zh-CN"/>
        </w:rPr>
      </w:pPr>
    </w:p>
    <w:p w14:paraId="06FB071B" w14:textId="77777777" w:rsidR="000F1616" w:rsidRPr="000F1616" w:rsidRDefault="000F1616" w:rsidP="000F1616">
      <w:pPr>
        <w:pStyle w:val="Heading3"/>
      </w:pPr>
      <w:bookmarkStart w:id="62" w:name="_Toc12024643"/>
      <w:r w:rsidRPr="000F1616">
        <w:t>Data quantification for IAT</w:t>
      </w:r>
      <w:bookmarkEnd w:id="62"/>
      <w:r w:rsidRPr="000F1616">
        <w:t xml:space="preserve"> </w:t>
      </w:r>
    </w:p>
    <w:p w14:paraId="674C51DA" w14:textId="0554155E"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color w:val="auto"/>
          <w:lang w:eastAsia="zh-CN"/>
        </w:rPr>
        <w:t xml:space="preserve">The IAT effect (D IAT) was calculated using the formula developed by </w:t>
      </w:r>
      <w:r w:rsidRPr="00D40C27">
        <w:rPr>
          <w:rFonts w:eastAsia="SimSun"/>
          <w:noProof/>
          <w:color w:val="auto"/>
          <w:lang w:eastAsia="zh-CN"/>
        </w:rPr>
        <w:t>Greenwald, Nosek, and Banaji (2003</w:t>
      </w:r>
      <w:r w:rsidRPr="00D40C27">
        <w:rPr>
          <w:rFonts w:eastAsia="SimSun"/>
          <w:color w:val="auto"/>
          <w:lang w:eastAsia="zh-CN"/>
        </w:rPr>
        <w:t xml:space="preserve">; see Table 2). Responses </w:t>
      </w:r>
      <w:r w:rsidR="00DB2BEE">
        <w:rPr>
          <w:rFonts w:eastAsia="SimSun"/>
          <w:color w:val="auto"/>
          <w:lang w:eastAsia="zh-CN"/>
        </w:rPr>
        <w:t>from b</w:t>
      </w:r>
      <w:r w:rsidRPr="00D40C27">
        <w:rPr>
          <w:rFonts w:eastAsia="SimSun"/>
          <w:color w:val="auto"/>
          <w:lang w:eastAsia="zh-CN"/>
        </w:rPr>
        <w:t>lock</w:t>
      </w:r>
      <w:r w:rsidR="00DB2BEE">
        <w:rPr>
          <w:rFonts w:eastAsia="SimSun"/>
          <w:color w:val="auto"/>
          <w:lang w:eastAsia="zh-CN"/>
        </w:rPr>
        <w:t>s testing hypothesised congruent</w:t>
      </w:r>
      <w:r w:rsidRPr="00D40C27">
        <w:rPr>
          <w:rFonts w:eastAsia="SimSun"/>
          <w:color w:val="auto"/>
          <w:lang w:eastAsia="zh-CN"/>
        </w:rPr>
        <w:t xml:space="preserve"> </w:t>
      </w:r>
      <w:r w:rsidR="00DB2BEE">
        <w:rPr>
          <w:rFonts w:eastAsia="SimSun"/>
          <w:color w:val="auto"/>
          <w:lang w:eastAsia="zh-CN"/>
        </w:rPr>
        <w:t xml:space="preserve">(blocks </w:t>
      </w:r>
      <w:r w:rsidRPr="00D40C27">
        <w:rPr>
          <w:rFonts w:eastAsia="SimSun"/>
          <w:color w:val="auto"/>
          <w:lang w:eastAsia="zh-CN"/>
        </w:rPr>
        <w:t xml:space="preserve">3 </w:t>
      </w:r>
      <w:r w:rsidR="00DB2BEE">
        <w:rPr>
          <w:rFonts w:eastAsia="SimSun"/>
          <w:color w:val="auto"/>
          <w:lang w:eastAsia="zh-CN"/>
        </w:rPr>
        <w:t>and</w:t>
      </w:r>
      <w:r w:rsidRPr="00D40C27">
        <w:rPr>
          <w:rFonts w:eastAsia="SimSun"/>
          <w:color w:val="auto"/>
          <w:lang w:eastAsia="zh-CN"/>
        </w:rPr>
        <w:t xml:space="preserve"> 4</w:t>
      </w:r>
      <w:r w:rsidR="00DB2BEE">
        <w:rPr>
          <w:rFonts w:eastAsia="SimSun"/>
          <w:color w:val="auto"/>
          <w:lang w:eastAsia="zh-CN"/>
        </w:rPr>
        <w:t xml:space="preserve">) </w:t>
      </w:r>
      <w:r w:rsidRPr="00D40C27">
        <w:rPr>
          <w:rFonts w:eastAsia="SimSun"/>
          <w:color w:val="auto"/>
          <w:lang w:eastAsia="zh-CN"/>
        </w:rPr>
        <w:t xml:space="preserve">and </w:t>
      </w:r>
      <w:r w:rsidR="00DB2BEE">
        <w:rPr>
          <w:rFonts w:eastAsia="SimSun"/>
          <w:color w:val="auto"/>
          <w:lang w:eastAsia="zh-CN"/>
        </w:rPr>
        <w:t>incongruent associations (</w:t>
      </w:r>
      <w:r w:rsidRPr="00D40C27">
        <w:rPr>
          <w:rFonts w:eastAsia="SimSun"/>
          <w:color w:val="auto"/>
          <w:lang w:eastAsia="zh-CN"/>
        </w:rPr>
        <w:t xml:space="preserve">6 and 7) were </w:t>
      </w:r>
      <w:r w:rsidR="00DB2BEE">
        <w:rPr>
          <w:rFonts w:eastAsia="SimSun"/>
          <w:color w:val="auto"/>
          <w:lang w:eastAsia="zh-CN"/>
        </w:rPr>
        <w:t>included in the analysis, while</w:t>
      </w:r>
      <w:r w:rsidRPr="00D40C27">
        <w:rPr>
          <w:rFonts w:eastAsia="SimSun"/>
          <w:color w:val="auto"/>
          <w:lang w:eastAsia="zh-CN"/>
        </w:rPr>
        <w:t xml:space="preserve"> blocks where pictures and words </w:t>
      </w:r>
      <w:r w:rsidR="00DB2BEE">
        <w:rPr>
          <w:rFonts w:eastAsia="SimSun"/>
          <w:color w:val="auto"/>
          <w:lang w:eastAsia="zh-CN"/>
        </w:rPr>
        <w:t>were</w:t>
      </w:r>
      <w:r w:rsidRPr="00D40C27">
        <w:rPr>
          <w:rFonts w:eastAsia="SimSun"/>
          <w:color w:val="auto"/>
          <w:lang w:eastAsia="zh-CN"/>
        </w:rPr>
        <w:t xml:space="preserve"> categorised by themselves (i.e., Block 1, 2 and 5) were excluded (Step 1). Latencies higher than 10,000 ms were deleted, along with data from participants who had over 10% of trials with latencies faster than 300ms (Step 2). All trials were used (Step 3) and no extreme value treatment was made beyond step 2 (Step 4). Next, means from correct latencies in each block were calculated (Step 5).  Then, pooled SDs from Blocks 3 and 6, and Blocks 4 and 7 were computed (Step 6). Error latencies were then replaced with block means from step 5 + 600ms (Step 7). Afterwards, results from each block were averaged (Step 9) and differences calculated (i.e.  Block 6 – Block 3 and Block 7 – Block 4) (Step 10). These differences were then divided by each pooled trial SD calculated in step 6 (Step 11) and finally</w:t>
      </w:r>
      <w:r w:rsidR="00B32D9C">
        <w:rPr>
          <w:rFonts w:eastAsia="SimSun"/>
          <w:color w:val="auto"/>
          <w:lang w:eastAsia="zh-CN"/>
        </w:rPr>
        <w:t>,</w:t>
      </w:r>
      <w:r w:rsidRPr="00D40C27">
        <w:rPr>
          <w:rFonts w:eastAsia="SimSun"/>
          <w:color w:val="auto"/>
          <w:lang w:eastAsia="zh-CN"/>
        </w:rPr>
        <w:t xml:space="preserve"> the two resulting quotients were averaged (Step 12).  </w:t>
      </w:r>
    </w:p>
    <w:p w14:paraId="75ECF720" w14:textId="77777777" w:rsidR="000F1616" w:rsidRPr="00D40C27" w:rsidRDefault="000F1616" w:rsidP="000F1616">
      <w:pPr>
        <w:pStyle w:val="Tables"/>
        <w:rPr>
          <w:lang w:eastAsia="zh-CN"/>
        </w:rPr>
      </w:pPr>
      <w:bookmarkStart w:id="63" w:name="_Toc12024828"/>
      <w:r w:rsidRPr="00D40C27">
        <w:rPr>
          <w:lang w:eastAsia="zh-CN"/>
        </w:rPr>
        <w:t xml:space="preserve">Table </w:t>
      </w:r>
      <w:r>
        <w:rPr>
          <w:lang w:eastAsia="zh-CN"/>
        </w:rPr>
        <w:t>3.</w:t>
      </w:r>
      <w:r w:rsidRPr="00D40C27">
        <w:rPr>
          <w:lang w:eastAsia="zh-CN"/>
        </w:rPr>
        <w:t>2. Comparison of scoring methods</w:t>
      </w:r>
      <w:bookmarkEnd w:id="63"/>
    </w:p>
    <w:tbl>
      <w:tblPr>
        <w:tblW w:w="6540" w:type="dxa"/>
        <w:tblLook w:val="04A0" w:firstRow="1" w:lastRow="0" w:firstColumn="1" w:lastColumn="0" w:noHBand="0" w:noVBand="1"/>
      </w:tblPr>
      <w:tblGrid>
        <w:gridCol w:w="960"/>
        <w:gridCol w:w="1180"/>
        <w:gridCol w:w="2620"/>
        <w:gridCol w:w="1780"/>
      </w:tblGrid>
      <w:tr w:rsidR="000F1616" w:rsidRPr="00D40C27" w14:paraId="18570962" w14:textId="77777777" w:rsidTr="00014EE0">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1ED18C26" w14:textId="77777777" w:rsidR="000F1616" w:rsidRPr="00D40C27" w:rsidRDefault="000F1616" w:rsidP="00AF776D">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sz w:val="24"/>
                <w:szCs w:val="24"/>
              </w:rPr>
            </w:pPr>
            <w:r w:rsidRPr="00D40C27">
              <w:rPr>
                <w:rFonts w:eastAsia="Times New Roman"/>
                <w:b/>
                <w:bCs/>
              </w:rPr>
              <w:t>Block</w:t>
            </w:r>
          </w:p>
        </w:tc>
        <w:tc>
          <w:tcPr>
            <w:tcW w:w="1180" w:type="dxa"/>
            <w:tcBorders>
              <w:top w:val="single" w:sz="4" w:space="0" w:color="auto"/>
              <w:left w:val="nil"/>
              <w:bottom w:val="single" w:sz="4" w:space="0" w:color="auto"/>
              <w:right w:val="nil"/>
            </w:tcBorders>
            <w:shd w:val="clear" w:color="auto" w:fill="auto"/>
            <w:noWrap/>
            <w:vAlign w:val="bottom"/>
            <w:hideMark/>
          </w:tcPr>
          <w:p w14:paraId="67FA5BA7" w14:textId="77777777" w:rsidR="000F1616" w:rsidRPr="00D40C27" w:rsidRDefault="000F1616" w:rsidP="00AF776D">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sz w:val="24"/>
                <w:szCs w:val="24"/>
              </w:rPr>
            </w:pPr>
            <w:r w:rsidRPr="00D40C27">
              <w:rPr>
                <w:rFonts w:eastAsia="Times New Roman"/>
                <w:b/>
                <w:bCs/>
              </w:rPr>
              <w:t>No. of trials</w:t>
            </w:r>
          </w:p>
        </w:tc>
        <w:tc>
          <w:tcPr>
            <w:tcW w:w="2620" w:type="dxa"/>
            <w:tcBorders>
              <w:top w:val="single" w:sz="4" w:space="0" w:color="auto"/>
              <w:left w:val="nil"/>
              <w:bottom w:val="single" w:sz="4" w:space="0" w:color="auto"/>
              <w:right w:val="nil"/>
            </w:tcBorders>
            <w:shd w:val="clear" w:color="auto" w:fill="auto"/>
            <w:noWrap/>
            <w:vAlign w:val="bottom"/>
            <w:hideMark/>
          </w:tcPr>
          <w:p w14:paraId="0A9B0B4F" w14:textId="77777777" w:rsidR="000F1616" w:rsidRPr="00D40C27" w:rsidRDefault="000F1616" w:rsidP="00AF776D">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sz w:val="24"/>
                <w:szCs w:val="24"/>
              </w:rPr>
            </w:pPr>
            <w:r w:rsidRPr="00D40C27">
              <w:rPr>
                <w:rFonts w:eastAsia="Times New Roman"/>
                <w:b/>
                <w:bCs/>
              </w:rPr>
              <w:t>Judgement</w:t>
            </w:r>
          </w:p>
        </w:tc>
        <w:tc>
          <w:tcPr>
            <w:tcW w:w="1780" w:type="dxa"/>
            <w:tcBorders>
              <w:top w:val="single" w:sz="4" w:space="0" w:color="auto"/>
              <w:left w:val="nil"/>
              <w:bottom w:val="single" w:sz="4" w:space="0" w:color="auto"/>
              <w:right w:val="nil"/>
            </w:tcBorders>
            <w:shd w:val="clear" w:color="auto" w:fill="auto"/>
            <w:noWrap/>
            <w:vAlign w:val="bottom"/>
            <w:hideMark/>
          </w:tcPr>
          <w:p w14:paraId="790D8FEA" w14:textId="77777777" w:rsidR="000F1616" w:rsidRPr="00D40C27" w:rsidRDefault="000F1616" w:rsidP="00AF776D">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b/>
                <w:bCs/>
                <w:sz w:val="24"/>
                <w:szCs w:val="24"/>
              </w:rPr>
            </w:pPr>
            <w:r w:rsidRPr="00D40C27">
              <w:rPr>
                <w:rFonts w:eastAsia="Times New Roman"/>
                <w:b/>
                <w:bCs/>
              </w:rPr>
              <w:t>Greenwald 2003</w:t>
            </w:r>
          </w:p>
        </w:tc>
      </w:tr>
      <w:tr w:rsidR="000F1616" w:rsidRPr="00D40C27" w14:paraId="63468B8A" w14:textId="77777777" w:rsidTr="00014EE0">
        <w:trPr>
          <w:trHeight w:val="300"/>
        </w:trPr>
        <w:tc>
          <w:tcPr>
            <w:tcW w:w="960" w:type="dxa"/>
            <w:tcBorders>
              <w:top w:val="nil"/>
              <w:left w:val="nil"/>
              <w:bottom w:val="nil"/>
              <w:right w:val="nil"/>
            </w:tcBorders>
            <w:shd w:val="clear" w:color="auto" w:fill="auto"/>
            <w:noWrap/>
            <w:vAlign w:val="center"/>
            <w:hideMark/>
          </w:tcPr>
          <w:p w14:paraId="5E0FB45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1</w:t>
            </w:r>
          </w:p>
        </w:tc>
        <w:tc>
          <w:tcPr>
            <w:tcW w:w="1180" w:type="dxa"/>
            <w:tcBorders>
              <w:top w:val="nil"/>
              <w:left w:val="nil"/>
              <w:bottom w:val="nil"/>
              <w:right w:val="nil"/>
            </w:tcBorders>
            <w:shd w:val="clear" w:color="auto" w:fill="auto"/>
            <w:noWrap/>
            <w:vAlign w:val="center"/>
            <w:hideMark/>
          </w:tcPr>
          <w:p w14:paraId="1B8743B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28</w:t>
            </w:r>
          </w:p>
        </w:tc>
        <w:tc>
          <w:tcPr>
            <w:tcW w:w="2620" w:type="dxa"/>
            <w:tcBorders>
              <w:top w:val="nil"/>
              <w:left w:val="nil"/>
              <w:bottom w:val="nil"/>
              <w:right w:val="nil"/>
            </w:tcBorders>
            <w:shd w:val="clear" w:color="auto" w:fill="auto"/>
            <w:noWrap/>
            <w:vAlign w:val="center"/>
            <w:hideMark/>
          </w:tcPr>
          <w:p w14:paraId="2F3E1EA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Semantic Categorisation</w:t>
            </w:r>
          </w:p>
        </w:tc>
        <w:tc>
          <w:tcPr>
            <w:tcW w:w="1780" w:type="dxa"/>
            <w:tcBorders>
              <w:top w:val="nil"/>
              <w:left w:val="nil"/>
              <w:bottom w:val="nil"/>
              <w:right w:val="nil"/>
            </w:tcBorders>
            <w:shd w:val="clear" w:color="auto" w:fill="auto"/>
            <w:noWrap/>
            <w:vAlign w:val="center"/>
            <w:hideMark/>
          </w:tcPr>
          <w:p w14:paraId="7D2A853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Not used</w:t>
            </w:r>
          </w:p>
        </w:tc>
      </w:tr>
      <w:tr w:rsidR="000F1616" w:rsidRPr="00D40C27" w14:paraId="22DB1BC8" w14:textId="77777777" w:rsidTr="00014EE0">
        <w:trPr>
          <w:trHeight w:val="300"/>
        </w:trPr>
        <w:tc>
          <w:tcPr>
            <w:tcW w:w="960" w:type="dxa"/>
            <w:tcBorders>
              <w:top w:val="nil"/>
              <w:left w:val="nil"/>
              <w:bottom w:val="nil"/>
              <w:right w:val="nil"/>
            </w:tcBorders>
            <w:shd w:val="clear" w:color="auto" w:fill="auto"/>
            <w:noWrap/>
            <w:vAlign w:val="center"/>
            <w:hideMark/>
          </w:tcPr>
          <w:p w14:paraId="24641C4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2</w:t>
            </w:r>
          </w:p>
        </w:tc>
        <w:tc>
          <w:tcPr>
            <w:tcW w:w="1180" w:type="dxa"/>
            <w:tcBorders>
              <w:top w:val="nil"/>
              <w:left w:val="nil"/>
              <w:bottom w:val="nil"/>
              <w:right w:val="nil"/>
            </w:tcBorders>
            <w:shd w:val="clear" w:color="auto" w:fill="auto"/>
            <w:noWrap/>
            <w:vAlign w:val="center"/>
            <w:hideMark/>
          </w:tcPr>
          <w:p w14:paraId="2F9CAB6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28</w:t>
            </w:r>
          </w:p>
        </w:tc>
        <w:tc>
          <w:tcPr>
            <w:tcW w:w="2620" w:type="dxa"/>
            <w:tcBorders>
              <w:top w:val="nil"/>
              <w:left w:val="nil"/>
              <w:bottom w:val="nil"/>
              <w:right w:val="nil"/>
            </w:tcBorders>
            <w:shd w:val="clear" w:color="auto" w:fill="auto"/>
            <w:noWrap/>
            <w:vAlign w:val="center"/>
            <w:hideMark/>
          </w:tcPr>
          <w:p w14:paraId="2868545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Picture Categorisation</w:t>
            </w:r>
          </w:p>
        </w:tc>
        <w:tc>
          <w:tcPr>
            <w:tcW w:w="1780" w:type="dxa"/>
            <w:tcBorders>
              <w:top w:val="nil"/>
              <w:left w:val="nil"/>
              <w:bottom w:val="nil"/>
              <w:right w:val="nil"/>
            </w:tcBorders>
            <w:shd w:val="clear" w:color="auto" w:fill="auto"/>
            <w:noWrap/>
            <w:vAlign w:val="center"/>
            <w:hideMark/>
          </w:tcPr>
          <w:p w14:paraId="4577E00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Not used</w:t>
            </w:r>
          </w:p>
        </w:tc>
      </w:tr>
      <w:tr w:rsidR="000F1616" w:rsidRPr="00D40C27" w14:paraId="17636B47" w14:textId="77777777" w:rsidTr="00014EE0">
        <w:trPr>
          <w:trHeight w:val="300"/>
        </w:trPr>
        <w:tc>
          <w:tcPr>
            <w:tcW w:w="960" w:type="dxa"/>
            <w:tcBorders>
              <w:top w:val="nil"/>
              <w:left w:val="nil"/>
              <w:bottom w:val="nil"/>
              <w:right w:val="nil"/>
            </w:tcBorders>
            <w:shd w:val="clear" w:color="auto" w:fill="auto"/>
            <w:noWrap/>
            <w:vAlign w:val="center"/>
            <w:hideMark/>
          </w:tcPr>
          <w:p w14:paraId="4AC57EF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3</w:t>
            </w:r>
          </w:p>
        </w:tc>
        <w:tc>
          <w:tcPr>
            <w:tcW w:w="1180" w:type="dxa"/>
            <w:tcBorders>
              <w:top w:val="nil"/>
              <w:left w:val="nil"/>
              <w:bottom w:val="nil"/>
              <w:right w:val="nil"/>
            </w:tcBorders>
            <w:shd w:val="clear" w:color="auto" w:fill="auto"/>
            <w:noWrap/>
            <w:vAlign w:val="center"/>
            <w:hideMark/>
          </w:tcPr>
          <w:p w14:paraId="15A4326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28</w:t>
            </w:r>
          </w:p>
        </w:tc>
        <w:tc>
          <w:tcPr>
            <w:tcW w:w="2620" w:type="dxa"/>
            <w:tcBorders>
              <w:top w:val="nil"/>
              <w:left w:val="nil"/>
              <w:bottom w:val="nil"/>
              <w:right w:val="nil"/>
            </w:tcBorders>
            <w:shd w:val="clear" w:color="auto" w:fill="auto"/>
            <w:noWrap/>
            <w:vAlign w:val="center"/>
            <w:hideMark/>
          </w:tcPr>
          <w:p w14:paraId="572F6CF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Congruent Condition</w:t>
            </w:r>
          </w:p>
        </w:tc>
        <w:tc>
          <w:tcPr>
            <w:tcW w:w="1780" w:type="dxa"/>
            <w:tcBorders>
              <w:top w:val="nil"/>
              <w:left w:val="nil"/>
              <w:bottom w:val="nil"/>
              <w:right w:val="nil"/>
            </w:tcBorders>
            <w:shd w:val="clear" w:color="auto" w:fill="auto"/>
            <w:noWrap/>
            <w:vAlign w:val="center"/>
            <w:hideMark/>
          </w:tcPr>
          <w:p w14:paraId="51752D9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All trials used</w:t>
            </w:r>
          </w:p>
        </w:tc>
      </w:tr>
      <w:tr w:rsidR="000F1616" w:rsidRPr="00D40C27" w14:paraId="4C677787" w14:textId="77777777" w:rsidTr="00014EE0">
        <w:trPr>
          <w:trHeight w:val="900"/>
        </w:trPr>
        <w:tc>
          <w:tcPr>
            <w:tcW w:w="960" w:type="dxa"/>
            <w:tcBorders>
              <w:top w:val="nil"/>
              <w:left w:val="nil"/>
              <w:bottom w:val="nil"/>
              <w:right w:val="nil"/>
            </w:tcBorders>
            <w:shd w:val="clear" w:color="auto" w:fill="auto"/>
            <w:noWrap/>
            <w:vAlign w:val="center"/>
            <w:hideMark/>
          </w:tcPr>
          <w:p w14:paraId="5C173FB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4</w:t>
            </w:r>
          </w:p>
        </w:tc>
        <w:tc>
          <w:tcPr>
            <w:tcW w:w="1180" w:type="dxa"/>
            <w:tcBorders>
              <w:top w:val="nil"/>
              <w:left w:val="nil"/>
              <w:bottom w:val="nil"/>
              <w:right w:val="nil"/>
            </w:tcBorders>
            <w:shd w:val="clear" w:color="auto" w:fill="auto"/>
            <w:noWrap/>
            <w:vAlign w:val="center"/>
            <w:hideMark/>
          </w:tcPr>
          <w:p w14:paraId="02F3F67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56</w:t>
            </w:r>
          </w:p>
        </w:tc>
        <w:tc>
          <w:tcPr>
            <w:tcW w:w="2620" w:type="dxa"/>
            <w:tcBorders>
              <w:top w:val="nil"/>
              <w:left w:val="nil"/>
              <w:bottom w:val="nil"/>
              <w:right w:val="nil"/>
            </w:tcBorders>
            <w:shd w:val="clear" w:color="auto" w:fill="auto"/>
            <w:noWrap/>
            <w:vAlign w:val="center"/>
            <w:hideMark/>
          </w:tcPr>
          <w:p w14:paraId="6442384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Congruent Condition</w:t>
            </w:r>
          </w:p>
        </w:tc>
        <w:tc>
          <w:tcPr>
            <w:tcW w:w="1780" w:type="dxa"/>
            <w:tcBorders>
              <w:top w:val="nil"/>
              <w:left w:val="nil"/>
              <w:bottom w:val="nil"/>
              <w:right w:val="nil"/>
            </w:tcBorders>
            <w:shd w:val="clear" w:color="auto" w:fill="auto"/>
            <w:noWrap/>
            <w:vAlign w:val="center"/>
            <w:hideMark/>
          </w:tcPr>
          <w:p w14:paraId="5B75AC7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All trials used</w:t>
            </w:r>
          </w:p>
        </w:tc>
      </w:tr>
      <w:tr w:rsidR="000F1616" w:rsidRPr="00D40C27" w14:paraId="4C34AC8C" w14:textId="77777777" w:rsidTr="00014EE0">
        <w:trPr>
          <w:trHeight w:val="600"/>
        </w:trPr>
        <w:tc>
          <w:tcPr>
            <w:tcW w:w="960" w:type="dxa"/>
            <w:tcBorders>
              <w:top w:val="nil"/>
              <w:left w:val="nil"/>
              <w:bottom w:val="nil"/>
              <w:right w:val="nil"/>
            </w:tcBorders>
            <w:shd w:val="clear" w:color="auto" w:fill="auto"/>
            <w:noWrap/>
            <w:vAlign w:val="center"/>
            <w:hideMark/>
          </w:tcPr>
          <w:p w14:paraId="3861456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lastRenderedPageBreak/>
              <w:t>5</w:t>
            </w:r>
          </w:p>
        </w:tc>
        <w:tc>
          <w:tcPr>
            <w:tcW w:w="1180" w:type="dxa"/>
            <w:tcBorders>
              <w:top w:val="nil"/>
              <w:left w:val="nil"/>
              <w:bottom w:val="nil"/>
              <w:right w:val="nil"/>
            </w:tcBorders>
            <w:shd w:val="clear" w:color="auto" w:fill="auto"/>
            <w:noWrap/>
            <w:vAlign w:val="center"/>
            <w:hideMark/>
          </w:tcPr>
          <w:p w14:paraId="06AFF4E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28</w:t>
            </w:r>
          </w:p>
        </w:tc>
        <w:tc>
          <w:tcPr>
            <w:tcW w:w="2620" w:type="dxa"/>
            <w:tcBorders>
              <w:top w:val="nil"/>
              <w:left w:val="nil"/>
              <w:bottom w:val="nil"/>
              <w:right w:val="nil"/>
            </w:tcBorders>
            <w:shd w:val="clear" w:color="auto" w:fill="auto"/>
            <w:vAlign w:val="center"/>
            <w:hideMark/>
          </w:tcPr>
          <w:p w14:paraId="275236A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Reversed Picture categorisation</w:t>
            </w:r>
          </w:p>
        </w:tc>
        <w:tc>
          <w:tcPr>
            <w:tcW w:w="1780" w:type="dxa"/>
            <w:tcBorders>
              <w:top w:val="nil"/>
              <w:left w:val="nil"/>
              <w:bottom w:val="nil"/>
              <w:right w:val="nil"/>
            </w:tcBorders>
            <w:shd w:val="clear" w:color="auto" w:fill="auto"/>
            <w:noWrap/>
            <w:vAlign w:val="center"/>
            <w:hideMark/>
          </w:tcPr>
          <w:p w14:paraId="18067EA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Not used</w:t>
            </w:r>
          </w:p>
        </w:tc>
      </w:tr>
      <w:tr w:rsidR="000F1616" w:rsidRPr="00D40C27" w14:paraId="0B12B379" w14:textId="77777777" w:rsidTr="00014EE0">
        <w:trPr>
          <w:trHeight w:val="300"/>
        </w:trPr>
        <w:tc>
          <w:tcPr>
            <w:tcW w:w="960" w:type="dxa"/>
            <w:tcBorders>
              <w:top w:val="nil"/>
              <w:left w:val="nil"/>
              <w:bottom w:val="nil"/>
              <w:right w:val="nil"/>
            </w:tcBorders>
            <w:shd w:val="clear" w:color="auto" w:fill="auto"/>
            <w:noWrap/>
            <w:vAlign w:val="center"/>
            <w:hideMark/>
          </w:tcPr>
          <w:p w14:paraId="1BCC4A5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6</w:t>
            </w:r>
          </w:p>
        </w:tc>
        <w:tc>
          <w:tcPr>
            <w:tcW w:w="1180" w:type="dxa"/>
            <w:tcBorders>
              <w:top w:val="nil"/>
              <w:left w:val="nil"/>
              <w:bottom w:val="nil"/>
              <w:right w:val="nil"/>
            </w:tcBorders>
            <w:shd w:val="clear" w:color="auto" w:fill="auto"/>
            <w:noWrap/>
            <w:vAlign w:val="center"/>
            <w:hideMark/>
          </w:tcPr>
          <w:p w14:paraId="074C5FB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28</w:t>
            </w:r>
          </w:p>
        </w:tc>
        <w:tc>
          <w:tcPr>
            <w:tcW w:w="2620" w:type="dxa"/>
            <w:tcBorders>
              <w:top w:val="nil"/>
              <w:left w:val="nil"/>
              <w:bottom w:val="nil"/>
              <w:right w:val="nil"/>
            </w:tcBorders>
            <w:shd w:val="clear" w:color="auto" w:fill="auto"/>
            <w:noWrap/>
            <w:vAlign w:val="center"/>
            <w:hideMark/>
          </w:tcPr>
          <w:p w14:paraId="17FFE7B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Incongruent Condition</w:t>
            </w:r>
          </w:p>
        </w:tc>
        <w:tc>
          <w:tcPr>
            <w:tcW w:w="1780" w:type="dxa"/>
            <w:tcBorders>
              <w:top w:val="nil"/>
              <w:left w:val="nil"/>
              <w:bottom w:val="nil"/>
              <w:right w:val="nil"/>
            </w:tcBorders>
            <w:shd w:val="clear" w:color="auto" w:fill="auto"/>
            <w:noWrap/>
            <w:vAlign w:val="center"/>
            <w:hideMark/>
          </w:tcPr>
          <w:p w14:paraId="4F6905D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All trials used</w:t>
            </w:r>
          </w:p>
        </w:tc>
      </w:tr>
      <w:tr w:rsidR="000F1616" w:rsidRPr="00D40C27" w14:paraId="01C21FAC" w14:textId="77777777" w:rsidTr="00014EE0">
        <w:trPr>
          <w:trHeight w:val="900"/>
        </w:trPr>
        <w:tc>
          <w:tcPr>
            <w:tcW w:w="960" w:type="dxa"/>
            <w:tcBorders>
              <w:top w:val="nil"/>
              <w:left w:val="nil"/>
              <w:bottom w:val="single" w:sz="4" w:space="0" w:color="auto"/>
              <w:right w:val="nil"/>
            </w:tcBorders>
            <w:shd w:val="clear" w:color="auto" w:fill="auto"/>
            <w:noWrap/>
            <w:vAlign w:val="center"/>
            <w:hideMark/>
          </w:tcPr>
          <w:p w14:paraId="677BE7A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7</w:t>
            </w:r>
          </w:p>
        </w:tc>
        <w:tc>
          <w:tcPr>
            <w:tcW w:w="1180" w:type="dxa"/>
            <w:tcBorders>
              <w:top w:val="nil"/>
              <w:left w:val="nil"/>
              <w:bottom w:val="single" w:sz="4" w:space="0" w:color="auto"/>
              <w:right w:val="nil"/>
            </w:tcBorders>
            <w:shd w:val="clear" w:color="auto" w:fill="auto"/>
            <w:noWrap/>
            <w:vAlign w:val="center"/>
            <w:hideMark/>
          </w:tcPr>
          <w:p w14:paraId="17738C9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56</w:t>
            </w:r>
          </w:p>
        </w:tc>
        <w:tc>
          <w:tcPr>
            <w:tcW w:w="2620" w:type="dxa"/>
            <w:tcBorders>
              <w:top w:val="nil"/>
              <w:left w:val="nil"/>
              <w:bottom w:val="single" w:sz="4" w:space="0" w:color="auto"/>
              <w:right w:val="nil"/>
            </w:tcBorders>
            <w:shd w:val="clear" w:color="auto" w:fill="auto"/>
            <w:noWrap/>
            <w:vAlign w:val="center"/>
            <w:hideMark/>
          </w:tcPr>
          <w:p w14:paraId="46E59EA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Incongruent Condition</w:t>
            </w:r>
          </w:p>
        </w:tc>
        <w:tc>
          <w:tcPr>
            <w:tcW w:w="1780" w:type="dxa"/>
            <w:tcBorders>
              <w:top w:val="nil"/>
              <w:left w:val="nil"/>
              <w:bottom w:val="single" w:sz="4" w:space="0" w:color="auto"/>
              <w:right w:val="nil"/>
            </w:tcBorders>
            <w:shd w:val="clear" w:color="auto" w:fill="auto"/>
            <w:noWrap/>
            <w:vAlign w:val="center"/>
            <w:hideMark/>
          </w:tcPr>
          <w:p w14:paraId="7203402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sz w:val="24"/>
                <w:szCs w:val="24"/>
              </w:rPr>
            </w:pPr>
            <w:r w:rsidRPr="00D40C27">
              <w:rPr>
                <w:rFonts w:eastAsia="Times New Roman"/>
              </w:rPr>
              <w:t>All trials used</w:t>
            </w:r>
          </w:p>
        </w:tc>
      </w:tr>
    </w:tbl>
    <w:p w14:paraId="0F45BFD0" w14:textId="77777777" w:rsidR="000F1616" w:rsidRDefault="000F1616" w:rsidP="000F1616">
      <w:pPr>
        <w:pBdr>
          <w:top w:val="none" w:sz="0" w:space="0" w:color="auto"/>
          <w:left w:val="none" w:sz="0" w:space="0" w:color="auto"/>
          <w:bottom w:val="none" w:sz="0" w:space="0" w:color="auto"/>
          <w:right w:val="none" w:sz="0" w:space="0" w:color="auto"/>
          <w:between w:val="none" w:sz="0" w:space="0" w:color="auto"/>
        </w:pBdr>
        <w:rPr>
          <w:rFonts w:ascii="Times New Roman" w:eastAsia="SimSun" w:hAnsi="Times New Roman" w:cs="Times New Roman"/>
          <w:color w:val="auto"/>
          <w:sz w:val="24"/>
          <w:szCs w:val="24"/>
          <w:lang w:eastAsia="zh-CN"/>
        </w:rPr>
      </w:pPr>
    </w:p>
    <w:p w14:paraId="65B27C68" w14:textId="77777777" w:rsidR="000F1616" w:rsidRPr="00D40C27" w:rsidRDefault="000F1616" w:rsidP="000F1616">
      <w:pPr>
        <w:pStyle w:val="Heading4"/>
        <w:rPr>
          <w:lang w:eastAsia="zh-CN"/>
        </w:rPr>
      </w:pPr>
      <w:r w:rsidRPr="00D40C27">
        <w:rPr>
          <w:lang w:eastAsia="zh-CN"/>
        </w:rPr>
        <w:t>Explicit Attitudes</w:t>
      </w:r>
    </w:p>
    <w:p w14:paraId="0B5B98FF" w14:textId="6D5FE34C"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b/>
          <w:bCs/>
          <w:i/>
          <w:iCs/>
          <w:color w:val="222222"/>
          <w:shd w:val="clear" w:color="auto" w:fill="FFFFFF"/>
          <w:lang w:eastAsia="zh-CN"/>
        </w:rPr>
      </w:pPr>
      <w:r w:rsidRPr="00D40C27">
        <w:rPr>
          <w:rFonts w:eastAsia="SimSun"/>
          <w:color w:val="auto"/>
          <w:lang w:eastAsia="zh-CN"/>
        </w:rPr>
        <w:t xml:space="preserve">Participants were asked to complete a questionnaire to measure explicit attitudes towards disfigurement (see Appendix </w:t>
      </w:r>
      <w:r w:rsidR="00A9200C">
        <w:rPr>
          <w:rFonts w:eastAsia="SimSun"/>
          <w:color w:val="auto"/>
          <w:lang w:eastAsia="zh-CN"/>
        </w:rPr>
        <w:t>3K</w:t>
      </w:r>
      <w:r w:rsidRPr="00D40C27">
        <w:rPr>
          <w:rFonts w:eastAsia="SimSun"/>
          <w:color w:val="auto"/>
          <w:lang w:eastAsia="zh-CN"/>
        </w:rPr>
        <w:t xml:space="preserve">). This instrument </w:t>
      </w:r>
      <w:r w:rsidR="00204DA8" w:rsidRPr="00D40C27">
        <w:rPr>
          <w:rFonts w:eastAsia="SimSun"/>
          <w:color w:val="auto"/>
          <w:lang w:eastAsia="zh-CN"/>
        </w:rPr>
        <w:t>assessed</w:t>
      </w:r>
      <w:r w:rsidRPr="00D40C27">
        <w:rPr>
          <w:rFonts w:eastAsia="SimSun"/>
          <w:color w:val="auto"/>
          <w:lang w:eastAsia="zh-CN"/>
        </w:rPr>
        <w:t xml:space="preserve"> participants’ </w:t>
      </w:r>
      <w:r w:rsidR="00204DA8">
        <w:rPr>
          <w:rFonts w:eastAsia="SimSun"/>
          <w:color w:val="auto"/>
          <w:lang w:eastAsia="zh-CN"/>
        </w:rPr>
        <w:t xml:space="preserve">perceptions of </w:t>
      </w:r>
      <w:r w:rsidRPr="00D40C27">
        <w:rPr>
          <w:rFonts w:eastAsia="SimSun"/>
          <w:color w:val="auto"/>
          <w:lang w:eastAsia="zh-CN"/>
        </w:rPr>
        <w:t xml:space="preserve">people with facial disfigurement. </w:t>
      </w:r>
      <w:r w:rsidR="00737830">
        <w:rPr>
          <w:rFonts w:eastAsia="SimSun"/>
          <w:color w:val="auto"/>
          <w:lang w:eastAsia="zh-CN"/>
        </w:rPr>
        <w:t>The</w:t>
      </w:r>
      <w:r w:rsidR="00A9200C">
        <w:rPr>
          <w:rFonts w:eastAsia="SimSun"/>
          <w:color w:val="auto"/>
          <w:lang w:eastAsia="zh-CN"/>
        </w:rPr>
        <w:t xml:space="preserve"> </w:t>
      </w:r>
      <w:r w:rsidRPr="00D40C27">
        <w:rPr>
          <w:rFonts w:eastAsia="SimSun"/>
          <w:color w:val="auto"/>
          <w:lang w:eastAsia="zh-CN"/>
        </w:rPr>
        <w:t xml:space="preserve">instrument contained 19 items where participants used a 10-point scale to rate perceived qualities of a person with facial disfigurement; for example, in order to express how successful they think a person with a facial disfigurement is, participants are asked to drag the slider towards 0 to indicate “Failure” or towards 10 to indicate “successful”. As in the first part of the questionnaire, the scale had intervals of 1 unit.   </w:t>
      </w:r>
    </w:p>
    <w:p w14:paraId="540921BD"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SimSun"/>
          <w:color w:val="auto"/>
          <w:lang w:eastAsia="zh-CN"/>
        </w:rPr>
      </w:pPr>
      <w:r w:rsidRPr="00D40C27">
        <w:rPr>
          <w:rFonts w:eastAsia="SimSun"/>
          <w:color w:val="auto"/>
          <w:lang w:eastAsia="zh-CN"/>
        </w:rPr>
        <w:t>This instrument was selected because it was specifically designed to measure attitudes towards facial disfigurement and it has been previously used in a survey with a UK sample of over 1000 participants (Changing Faces, 2008). This questionnaire was developed and is owned by Cog Research and Changing Faces; its use in this study followed the appropriate legal compliances with these organisations.</w:t>
      </w:r>
    </w:p>
    <w:p w14:paraId="7D6024DA" w14:textId="77777777" w:rsidR="000F1616" w:rsidRPr="00D40C27" w:rsidRDefault="000F1616" w:rsidP="000F1616">
      <w:pPr>
        <w:pStyle w:val="Heading3"/>
        <w:rPr>
          <w:lang w:eastAsia="zh-CN"/>
        </w:rPr>
      </w:pPr>
      <w:bookmarkStart w:id="64" w:name="_Toc12024644"/>
      <w:r w:rsidRPr="00D40C27">
        <w:rPr>
          <w:lang w:eastAsia="zh-CN"/>
        </w:rPr>
        <w:t>Sample Size Calculation</w:t>
      </w:r>
      <w:bookmarkEnd w:id="64"/>
    </w:p>
    <w:p w14:paraId="6C72AD30"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color w:val="auto"/>
          <w:lang w:eastAsia="zh-CN"/>
        </w:rPr>
        <w:t>In order to establish the required sample size for this study, an a-priori power analysis was conducted using the software G*Power 3.1.  No previous studies exist that have examined relationships between the measures assessed in the current study and implicit and explicit attitudes towards facial disfigurement. As a result, a medium effect size (r = .30) was selected, based on effect sizes found on previous studies using similar instruments A significance level of α = .05 and power of .80 were utilised for the calculations. The a-priori power analysis indicated that at least 82 participants would be needed to detect a medium effect size (r = .30) in the correlational analyses.</w:t>
      </w:r>
    </w:p>
    <w:p w14:paraId="066AFD28" w14:textId="77777777" w:rsidR="000F1616" w:rsidRPr="00D40C27" w:rsidRDefault="000F1616" w:rsidP="000F1616">
      <w:pPr>
        <w:pStyle w:val="Heading3"/>
        <w:rPr>
          <w:lang w:eastAsia="zh-CN"/>
        </w:rPr>
      </w:pPr>
      <w:bookmarkStart w:id="65" w:name="_Toc12024645"/>
      <w:r w:rsidRPr="00D40C27">
        <w:rPr>
          <w:lang w:eastAsia="zh-CN"/>
        </w:rPr>
        <w:t>Procedure</w:t>
      </w:r>
      <w:bookmarkEnd w:id="65"/>
    </w:p>
    <w:p w14:paraId="517E9E9A"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color w:val="auto"/>
          <w:lang w:eastAsia="zh-CN"/>
        </w:rPr>
        <w:t xml:space="preserve">Participants were recruited via the University of Sheffield volunteer list. Participation was voluntary but was incentivised through a prize draw for five £20 Amazon vouchers. Participants were also recruited via the Online Research Participation System (ORPS), </w:t>
      </w:r>
      <w:r w:rsidRPr="00D40C27">
        <w:rPr>
          <w:rFonts w:eastAsia="SimSun"/>
          <w:color w:val="auto"/>
          <w:lang w:eastAsia="zh-CN"/>
        </w:rPr>
        <w:lastRenderedPageBreak/>
        <w:t xml:space="preserve">where level one Psychology students were offered 2 course credits for their participation. </w:t>
      </w:r>
    </w:p>
    <w:p w14:paraId="01976732" w14:textId="7B3A7050"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SimSun"/>
          <w:color w:val="auto"/>
          <w:lang w:eastAsia="zh-CN"/>
        </w:rPr>
      </w:pPr>
      <w:r w:rsidRPr="00D40C27">
        <w:rPr>
          <w:rFonts w:eastAsia="SimSun"/>
          <w:color w:val="auto"/>
          <w:lang w:eastAsia="zh-CN"/>
        </w:rPr>
        <w:t xml:space="preserve">The experiment was designed and launched on the platform provided by SocialSci (see </w:t>
      </w:r>
      <w:hyperlink r:id="rId17" w:history="1">
        <w:r w:rsidRPr="00D40C27">
          <w:rPr>
            <w:rFonts w:eastAsia="SimSun"/>
            <w:color w:val="0000FF"/>
            <w:u w:val="single"/>
            <w:lang w:eastAsia="zh-CN"/>
          </w:rPr>
          <w:t>www.socialsci.com</w:t>
        </w:r>
      </w:hyperlink>
      <w:r w:rsidRPr="00D40C27">
        <w:rPr>
          <w:rFonts w:eastAsia="SimSun"/>
          <w:color w:val="auto"/>
          <w:lang w:eastAsia="zh-CN"/>
        </w:rPr>
        <w:t>). Participants were directed to the experiment’s website where they were instructed to read the information material about the experiment in order to grant consent (see Appendix</w:t>
      </w:r>
      <w:r w:rsidR="00A9200C">
        <w:rPr>
          <w:rFonts w:eastAsia="SimSun"/>
          <w:color w:val="auto"/>
          <w:lang w:eastAsia="zh-CN"/>
        </w:rPr>
        <w:t xml:space="preserve"> 3L</w:t>
      </w:r>
      <w:r w:rsidRPr="00D40C27">
        <w:rPr>
          <w:rFonts w:eastAsia="SimSun"/>
          <w:color w:val="auto"/>
          <w:lang w:eastAsia="zh-CN"/>
        </w:rPr>
        <w:t xml:space="preserve">). Then, participants </w:t>
      </w:r>
      <w:r w:rsidR="001871E7">
        <w:rPr>
          <w:rFonts w:eastAsia="SimSun"/>
          <w:color w:val="auto"/>
          <w:lang w:eastAsia="zh-CN"/>
        </w:rPr>
        <w:t>provided</w:t>
      </w:r>
      <w:r w:rsidRPr="00D40C27">
        <w:rPr>
          <w:rFonts w:eastAsia="SimSun"/>
          <w:color w:val="auto"/>
          <w:lang w:eastAsia="zh-CN"/>
        </w:rPr>
        <w:t xml:space="preserve"> demographic information, followed by </w:t>
      </w:r>
      <w:r w:rsidR="001871E7">
        <w:rPr>
          <w:rFonts w:eastAsia="SimSun"/>
          <w:color w:val="auto"/>
          <w:lang w:eastAsia="zh-CN"/>
        </w:rPr>
        <w:t xml:space="preserve">completion of </w:t>
      </w:r>
      <w:r w:rsidRPr="00D40C27">
        <w:rPr>
          <w:rFonts w:eastAsia="SimSun"/>
          <w:color w:val="auto"/>
          <w:lang w:eastAsia="zh-CN"/>
        </w:rPr>
        <w:t>measures of valence of appearance (CARVAL</w:t>
      </w:r>
      <w:r w:rsidR="00E82634">
        <w:rPr>
          <w:rFonts w:eastAsia="SimSun"/>
          <w:color w:val="auto"/>
          <w:lang w:eastAsia="zh-CN"/>
        </w:rPr>
        <w:t xml:space="preserve">; </w:t>
      </w:r>
      <w:r w:rsidR="00E82634" w:rsidRPr="00AF776D">
        <w:rPr>
          <w:rFonts w:eastAsia="SimSun"/>
          <w:color w:val="auto"/>
          <w:lang w:eastAsia="zh-CN"/>
        </w:rPr>
        <w:t>Moss, Lawson, &amp; White, 2014</w:t>
      </w:r>
      <w:r w:rsidR="00E82634">
        <w:rPr>
          <w:rFonts w:eastAsia="SimSun"/>
          <w:color w:val="auto"/>
          <w:lang w:eastAsia="zh-CN"/>
        </w:rPr>
        <w:t>)</w:t>
      </w:r>
      <w:r w:rsidRPr="00D40C27">
        <w:rPr>
          <w:rFonts w:eastAsia="SimSun"/>
          <w:color w:val="auto"/>
          <w:lang w:eastAsia="zh-CN"/>
        </w:rPr>
        <w:t>, salience of appearance  (CARSAL</w:t>
      </w:r>
      <w:r w:rsidR="00E82634">
        <w:rPr>
          <w:rFonts w:eastAsia="SimSun"/>
          <w:color w:val="auto"/>
          <w:lang w:eastAsia="zh-CN"/>
        </w:rPr>
        <w:t xml:space="preserve">; </w:t>
      </w:r>
      <w:r w:rsidR="00E82634" w:rsidRPr="00AF776D">
        <w:rPr>
          <w:rFonts w:eastAsia="SimSun"/>
          <w:color w:val="auto"/>
          <w:lang w:eastAsia="zh-CN"/>
        </w:rPr>
        <w:t>Moss, Lawson, &amp; White, 2014</w:t>
      </w:r>
      <w:r w:rsidR="00E82634">
        <w:rPr>
          <w:rFonts w:eastAsia="SimSun"/>
          <w:color w:val="auto"/>
          <w:lang w:eastAsia="zh-CN"/>
        </w:rPr>
        <w:t>)</w:t>
      </w:r>
      <w:r w:rsidRPr="00D40C27">
        <w:rPr>
          <w:rFonts w:eastAsia="SimSun"/>
          <w:color w:val="auto"/>
          <w:lang w:eastAsia="zh-CN"/>
        </w:rPr>
        <w:t xml:space="preserve"> internal and external motivation (IMS/E</w:t>
      </w:r>
      <w:r w:rsidR="001871E7">
        <w:rPr>
          <w:rFonts w:eastAsia="SimSun"/>
          <w:color w:val="auto"/>
          <w:lang w:eastAsia="zh-CN"/>
        </w:rPr>
        <w:t>MS</w:t>
      </w:r>
      <w:r w:rsidRPr="00D40C27">
        <w:rPr>
          <w:rFonts w:eastAsia="SimSun"/>
          <w:color w:val="auto"/>
          <w:lang w:eastAsia="zh-CN"/>
        </w:rPr>
        <w:t xml:space="preserve">  and the Disgust Scale Revised (DS-R</w:t>
      </w:r>
      <w:r w:rsidR="00E82634">
        <w:rPr>
          <w:rFonts w:eastAsia="SimSun"/>
          <w:color w:val="auto"/>
          <w:lang w:eastAsia="zh-CN"/>
        </w:rPr>
        <w:t xml:space="preserve">; </w:t>
      </w:r>
      <w:r w:rsidR="00E82634" w:rsidRPr="00E82634">
        <w:rPr>
          <w:rFonts w:eastAsia="SimSun"/>
          <w:noProof/>
          <w:color w:val="auto"/>
          <w:lang w:eastAsia="zh-CN"/>
        </w:rPr>
        <w:t>Olatunji &amp; Williams, 2007</w:t>
      </w:r>
      <w:r w:rsidR="00E82634">
        <w:rPr>
          <w:rFonts w:eastAsia="SimSun"/>
          <w:color w:val="auto"/>
          <w:lang w:eastAsia="zh-CN"/>
        </w:rPr>
        <w:t>)</w:t>
      </w:r>
      <w:r w:rsidR="001871E7">
        <w:rPr>
          <w:rFonts w:eastAsia="SimSun"/>
          <w:color w:val="auto"/>
          <w:lang w:eastAsia="zh-CN"/>
        </w:rPr>
        <w:t>.</w:t>
      </w:r>
      <w:r w:rsidR="00E82634">
        <w:rPr>
          <w:rFonts w:eastAsia="SimSun"/>
          <w:color w:val="auto"/>
          <w:lang w:eastAsia="zh-CN"/>
        </w:rPr>
        <w:t xml:space="preserve"> </w:t>
      </w:r>
      <w:r w:rsidRPr="00D40C27">
        <w:rPr>
          <w:rFonts w:eastAsia="SimSun"/>
          <w:color w:val="auto"/>
          <w:lang w:eastAsia="zh-CN"/>
        </w:rPr>
        <w:t>Subsequently</w:t>
      </w:r>
      <w:r w:rsidR="001871E7">
        <w:rPr>
          <w:rFonts w:eastAsia="SimSun"/>
          <w:color w:val="auto"/>
          <w:lang w:eastAsia="zh-CN"/>
        </w:rPr>
        <w:t>,</w:t>
      </w:r>
      <w:r w:rsidRPr="00D40C27">
        <w:rPr>
          <w:rFonts w:eastAsia="SimSun"/>
          <w:color w:val="auto"/>
          <w:lang w:eastAsia="zh-CN"/>
        </w:rPr>
        <w:t xml:space="preserve"> participants completed a computer based task to measure implicit attitudes towards facial disfigurement; an adapted version of the Implicit Association Test (IAT</w:t>
      </w:r>
      <w:r w:rsidR="00DB2BEE">
        <w:rPr>
          <w:rFonts w:eastAsia="SimSun"/>
          <w:color w:val="auto"/>
          <w:lang w:eastAsia="zh-CN"/>
        </w:rPr>
        <w:t>;</w:t>
      </w:r>
      <w:r w:rsidR="001871E7">
        <w:rPr>
          <w:rFonts w:eastAsia="SimSun"/>
          <w:color w:val="auto"/>
          <w:lang w:eastAsia="zh-CN"/>
        </w:rPr>
        <w:fldChar w:fldCharType="begin" w:fldLock="1"/>
      </w:r>
      <w:r w:rsidR="00D72B62">
        <w:rPr>
          <w:rFonts w:eastAsia="SimSun"/>
          <w:color w:val="auto"/>
          <w:lang w:eastAsia="zh-CN"/>
        </w:rPr>
        <w:instrText>ADDIN CSL_CITATION {"citationItems":[{"id":"ITEM-1","itemData":{"author":[{"dropping-particle":"","family":"Greenwald","given":"AG","non-dropping-particle":"","parse-names":false,"suffix":""}],"container-title":"Journal of personality  …","id":"ITEM-1","issued":{"date-parts":[["1998"]]},"title":"Measuring individual differences in implicit cognition: the implicit association test.","type":"article-journal"},"uris":["http://www.mendeley.com/documents/?uuid=d777bafc-200c-4dc2-a397-c0b7a205260b"]}],"mendeley":{"formattedCitation":"(Greenwald, 1998)","plainTextFormattedCitation":"(Greenwald, 1998)","previouslyFormattedCitation":"(Greenwald, 1998)"},"properties":{"noteIndex":0},"schema":"https://github.com/citation-style-language/schema/raw/master/csl-citation.json"}</w:instrText>
      </w:r>
      <w:r w:rsidR="001871E7">
        <w:rPr>
          <w:rFonts w:eastAsia="SimSun"/>
          <w:color w:val="auto"/>
          <w:lang w:eastAsia="zh-CN"/>
        </w:rPr>
        <w:fldChar w:fldCharType="separate"/>
      </w:r>
      <w:r w:rsidR="001871E7" w:rsidRPr="001871E7">
        <w:rPr>
          <w:rFonts w:eastAsia="SimSun"/>
          <w:noProof/>
          <w:color w:val="auto"/>
          <w:lang w:eastAsia="zh-CN"/>
        </w:rPr>
        <w:t>(Greenwald, 1998)</w:t>
      </w:r>
      <w:r w:rsidR="001871E7">
        <w:rPr>
          <w:rFonts w:eastAsia="SimSun"/>
          <w:color w:val="auto"/>
          <w:lang w:eastAsia="zh-CN"/>
        </w:rPr>
        <w:fldChar w:fldCharType="end"/>
      </w:r>
      <w:r w:rsidR="00DB2BEE">
        <w:rPr>
          <w:rFonts w:eastAsia="SimSun"/>
          <w:color w:val="auto"/>
          <w:lang w:eastAsia="zh-CN"/>
        </w:rPr>
        <w:t xml:space="preserve"> )</w:t>
      </w:r>
      <w:r w:rsidRPr="00D40C27">
        <w:rPr>
          <w:rFonts w:eastAsia="SimSun"/>
          <w:color w:val="auto"/>
          <w:lang w:eastAsia="zh-CN"/>
        </w:rPr>
        <w:t xml:space="preserve">. Afterwards, participants responded to a measure of explicit attitudes towards disfigurement. Finally, participants were debriefed (see Appendix </w:t>
      </w:r>
      <w:r w:rsidR="00A9200C">
        <w:rPr>
          <w:rFonts w:eastAsia="SimSun"/>
          <w:color w:val="auto"/>
          <w:lang w:eastAsia="zh-CN"/>
        </w:rPr>
        <w:t>3M</w:t>
      </w:r>
      <w:r w:rsidRPr="00D40C27">
        <w:rPr>
          <w:rFonts w:eastAsia="SimSun"/>
          <w:color w:val="auto"/>
          <w:lang w:eastAsia="zh-CN"/>
        </w:rPr>
        <w:t xml:space="preserve">) and thanked for their participation. </w:t>
      </w:r>
    </w:p>
    <w:p w14:paraId="285E9633"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SimSun"/>
          <w:color w:val="auto"/>
          <w:lang w:eastAsia="zh-CN"/>
        </w:rPr>
      </w:pPr>
    </w:p>
    <w:p w14:paraId="4FB4DC5F" w14:textId="77777777" w:rsidR="000F1616" w:rsidRPr="00D40C27" w:rsidRDefault="000F1616" w:rsidP="007A3FE4">
      <w:pPr>
        <w:pStyle w:val="Heading2"/>
      </w:pPr>
      <w:bookmarkStart w:id="66" w:name="_Toc12024646"/>
      <w:r w:rsidRPr="00D40C27">
        <w:t>Results</w:t>
      </w:r>
      <w:bookmarkEnd w:id="66"/>
    </w:p>
    <w:p w14:paraId="6877168B" w14:textId="77777777" w:rsidR="000F1616" w:rsidRPr="00D40C27" w:rsidRDefault="000F1616" w:rsidP="000F1616">
      <w:pPr>
        <w:pStyle w:val="Heading3"/>
        <w:rPr>
          <w:lang w:eastAsia="zh-CN"/>
        </w:rPr>
      </w:pPr>
      <w:bookmarkStart w:id="67" w:name="_Toc12024647"/>
      <w:r w:rsidRPr="00D40C27">
        <w:rPr>
          <w:lang w:eastAsia="zh-CN"/>
        </w:rPr>
        <w:t>Participant characteristics</w:t>
      </w:r>
      <w:bookmarkEnd w:id="67"/>
    </w:p>
    <w:p w14:paraId="3BA8B58D" w14:textId="1DDDF152"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bookmarkStart w:id="68" w:name="_Hlk34563680"/>
      <w:r w:rsidRPr="00D40C27">
        <w:rPr>
          <w:rFonts w:eastAsia="SimSun"/>
          <w:color w:val="auto"/>
          <w:lang w:eastAsia="zh-CN"/>
        </w:rPr>
        <w:t>A total of 542 participants volunteered and completed the study online.</w:t>
      </w:r>
      <w:r w:rsidR="004B659B">
        <w:rPr>
          <w:rFonts w:eastAsia="SimSun"/>
          <w:color w:val="auto"/>
          <w:lang w:eastAsia="zh-CN"/>
        </w:rPr>
        <w:t xml:space="preserve"> Out of this sample, </w:t>
      </w:r>
      <w:r w:rsidR="000F4615">
        <w:rPr>
          <w:rFonts w:eastAsia="SimSun"/>
          <w:color w:val="auto"/>
          <w:lang w:eastAsia="zh-CN"/>
        </w:rPr>
        <w:t>380</w:t>
      </w:r>
      <w:r w:rsidR="004B659B">
        <w:rPr>
          <w:rFonts w:eastAsia="SimSun"/>
          <w:color w:val="auto"/>
          <w:lang w:eastAsia="zh-CN"/>
        </w:rPr>
        <w:t xml:space="preserve"> individuals were presented with an IAT wh</w:t>
      </w:r>
      <w:r w:rsidR="009040D5">
        <w:rPr>
          <w:rFonts w:eastAsia="SimSun"/>
          <w:color w:val="auto"/>
          <w:lang w:eastAsia="zh-CN"/>
        </w:rPr>
        <w:t>ere the hypothesised congruent condition had to be categorised first. The remaining</w:t>
      </w:r>
      <w:r w:rsidR="000F4615">
        <w:rPr>
          <w:rFonts w:eastAsia="SimSun"/>
          <w:color w:val="auto"/>
          <w:lang w:eastAsia="zh-CN"/>
        </w:rPr>
        <w:t xml:space="preserve"> 162 </w:t>
      </w:r>
      <w:r w:rsidR="009040D5">
        <w:rPr>
          <w:rFonts w:eastAsia="SimSun"/>
          <w:color w:val="auto"/>
          <w:lang w:eastAsia="zh-CN"/>
        </w:rPr>
        <w:t xml:space="preserve">participants were presented with a counterbalanced version of the IAT (Incongruent blocks followed by congruent blocks). </w:t>
      </w:r>
      <w:r w:rsidR="000F4615">
        <w:rPr>
          <w:rFonts w:eastAsia="SimSun"/>
          <w:color w:val="auto"/>
          <w:lang w:eastAsia="zh-CN"/>
        </w:rPr>
        <w:t xml:space="preserve">A mean comparison of the two groups showed that there was no significant difference in terms of effect size (calculated D) between the two groups, </w:t>
      </w:r>
      <w:r w:rsidR="000F4615" w:rsidRPr="00D40C27">
        <w:rPr>
          <w:rFonts w:eastAsia="SimSun"/>
          <w:bCs/>
          <w:i/>
          <w:color w:val="auto"/>
          <w:lang w:eastAsia="zh-CN"/>
        </w:rPr>
        <w:t>t</w:t>
      </w:r>
      <w:r w:rsidR="000F4615" w:rsidRPr="00D40C27">
        <w:rPr>
          <w:rFonts w:eastAsia="SimSun"/>
          <w:bCs/>
          <w:color w:val="auto"/>
          <w:lang w:eastAsia="zh-CN"/>
        </w:rPr>
        <w:t>(4</w:t>
      </w:r>
      <w:r w:rsidR="000F4615">
        <w:rPr>
          <w:rFonts w:eastAsia="SimSun"/>
          <w:bCs/>
          <w:color w:val="auto"/>
          <w:lang w:eastAsia="zh-CN"/>
        </w:rPr>
        <w:t>79</w:t>
      </w:r>
      <w:r w:rsidR="000F4615" w:rsidRPr="00D40C27">
        <w:rPr>
          <w:rFonts w:eastAsia="SimSun"/>
          <w:bCs/>
          <w:color w:val="auto"/>
          <w:lang w:eastAsia="zh-CN"/>
        </w:rPr>
        <w:t xml:space="preserve">) = </w:t>
      </w:r>
      <w:r w:rsidR="000F4615">
        <w:rPr>
          <w:rFonts w:eastAsia="SimSun"/>
          <w:bCs/>
          <w:color w:val="auto"/>
          <w:lang w:eastAsia="zh-CN"/>
        </w:rPr>
        <w:t>1.73</w:t>
      </w:r>
      <w:r w:rsidR="000F4615" w:rsidRPr="00D40C27">
        <w:rPr>
          <w:rFonts w:eastAsia="SimSun"/>
          <w:bCs/>
          <w:color w:val="auto"/>
          <w:lang w:eastAsia="zh-CN"/>
        </w:rPr>
        <w:t xml:space="preserve">, </w:t>
      </w:r>
      <w:r w:rsidR="000F4615" w:rsidRPr="00D40C27">
        <w:rPr>
          <w:rFonts w:eastAsia="SimSun"/>
          <w:bCs/>
          <w:i/>
          <w:color w:val="auto"/>
          <w:lang w:eastAsia="zh-CN"/>
        </w:rPr>
        <w:t>p</w:t>
      </w:r>
      <w:r w:rsidR="000F4615" w:rsidRPr="00D40C27">
        <w:rPr>
          <w:rFonts w:eastAsia="SimSun"/>
          <w:bCs/>
          <w:color w:val="auto"/>
          <w:lang w:eastAsia="zh-CN"/>
        </w:rPr>
        <w:t xml:space="preserve"> = .0</w:t>
      </w:r>
      <w:r w:rsidR="000F4615">
        <w:rPr>
          <w:rFonts w:eastAsia="SimSun"/>
          <w:bCs/>
          <w:color w:val="auto"/>
          <w:lang w:eastAsia="zh-CN"/>
        </w:rPr>
        <w:t>8.</w:t>
      </w:r>
      <w:r w:rsidR="004B659B">
        <w:rPr>
          <w:rFonts w:eastAsia="SimSun"/>
          <w:color w:val="auto"/>
          <w:lang w:eastAsia="zh-CN"/>
        </w:rPr>
        <w:t xml:space="preserve"> </w:t>
      </w:r>
      <w:r w:rsidRPr="00D40C27">
        <w:rPr>
          <w:rFonts w:eastAsia="SimSun"/>
          <w:color w:val="auto"/>
          <w:lang w:eastAsia="zh-CN"/>
        </w:rPr>
        <w:t xml:space="preserve"> </w:t>
      </w:r>
      <w:bookmarkStart w:id="69" w:name="_Hlk34563840"/>
      <w:bookmarkEnd w:id="68"/>
      <w:r w:rsidR="005B4A15">
        <w:rPr>
          <w:rFonts w:eastAsia="SimSun"/>
          <w:color w:val="auto"/>
          <w:lang w:eastAsia="zh-CN"/>
        </w:rPr>
        <w:t>Eleven</w:t>
      </w:r>
      <w:r w:rsidRPr="00D40C27">
        <w:rPr>
          <w:rFonts w:eastAsia="SimSun"/>
          <w:color w:val="auto"/>
          <w:lang w:eastAsia="zh-CN"/>
        </w:rPr>
        <w:t xml:space="preserve"> participants </w:t>
      </w:r>
      <w:r w:rsidR="005B4A15">
        <w:rPr>
          <w:rFonts w:eastAsia="SimSun"/>
          <w:color w:val="auto"/>
          <w:lang w:eastAsia="zh-CN"/>
        </w:rPr>
        <w:t>reported</w:t>
      </w:r>
      <w:r w:rsidRPr="00D40C27">
        <w:rPr>
          <w:rFonts w:eastAsia="SimSun"/>
          <w:color w:val="auto"/>
          <w:lang w:eastAsia="zh-CN"/>
        </w:rPr>
        <w:t xml:space="preserve"> hav</w:t>
      </w:r>
      <w:r w:rsidR="005B4A15">
        <w:rPr>
          <w:rFonts w:eastAsia="SimSun"/>
          <w:color w:val="auto"/>
          <w:lang w:eastAsia="zh-CN"/>
        </w:rPr>
        <w:t>ing a</w:t>
      </w:r>
      <w:r w:rsidRPr="00D40C27">
        <w:rPr>
          <w:rFonts w:eastAsia="SimSun"/>
          <w:color w:val="auto"/>
          <w:lang w:eastAsia="zh-CN"/>
        </w:rPr>
        <w:t xml:space="preserve"> severe facial disfigurement</w:t>
      </w:r>
      <w:r w:rsidR="005B4A15">
        <w:rPr>
          <w:rFonts w:eastAsia="SimSun"/>
          <w:color w:val="auto"/>
          <w:lang w:eastAsia="zh-CN"/>
        </w:rPr>
        <w:t xml:space="preserve"> and further</w:t>
      </w:r>
      <w:r w:rsidRPr="00D40C27">
        <w:rPr>
          <w:rFonts w:eastAsia="SimSun"/>
          <w:color w:val="auto"/>
          <w:lang w:eastAsia="zh-CN"/>
        </w:rPr>
        <w:t xml:space="preserve"> </w:t>
      </w:r>
      <w:r w:rsidR="005B4A15">
        <w:rPr>
          <w:rFonts w:eastAsia="SimSun"/>
          <w:color w:val="auto"/>
          <w:lang w:eastAsia="zh-CN"/>
        </w:rPr>
        <w:t xml:space="preserve">two </w:t>
      </w:r>
      <w:r w:rsidR="00CF1153">
        <w:rPr>
          <w:rFonts w:eastAsia="SimSun"/>
          <w:color w:val="auto"/>
          <w:lang w:eastAsia="zh-CN"/>
        </w:rPr>
        <w:t>females</w:t>
      </w:r>
      <w:r w:rsidR="005B4A15">
        <w:rPr>
          <w:rFonts w:eastAsia="SimSun"/>
          <w:color w:val="auto"/>
          <w:lang w:eastAsia="zh-CN"/>
        </w:rPr>
        <w:t xml:space="preserve"> were underage (16 and 17 years old), causing them to be excluded. </w:t>
      </w:r>
      <w:bookmarkEnd w:id="69"/>
      <w:r w:rsidRPr="00D40C27">
        <w:rPr>
          <w:rFonts w:eastAsia="SimSun"/>
          <w:color w:val="auto"/>
          <w:lang w:eastAsia="zh-CN"/>
        </w:rPr>
        <w:t>An additional 42 sets of data were also excluded due to the error rate shown in the IAT; 32 participants had error rates higher than 20% and 10 showed over 10% of reaction times under 300ms.</w:t>
      </w:r>
      <w:r w:rsidR="005B4A15">
        <w:rPr>
          <w:rFonts w:eastAsia="SimSun"/>
          <w:color w:val="auto"/>
          <w:lang w:eastAsia="zh-CN"/>
        </w:rPr>
        <w:t xml:space="preserve"> </w:t>
      </w:r>
      <w:r w:rsidRPr="00D40C27">
        <w:rPr>
          <w:rFonts w:eastAsia="SimSun"/>
          <w:color w:val="auto"/>
          <w:lang w:eastAsia="zh-CN"/>
        </w:rPr>
        <w:t>Thus, a total sample size of 48</w:t>
      </w:r>
      <w:r w:rsidR="005B4A15">
        <w:rPr>
          <w:rFonts w:eastAsia="SimSun"/>
          <w:color w:val="auto"/>
          <w:lang w:eastAsia="zh-CN"/>
        </w:rPr>
        <w:t>7</w:t>
      </w:r>
      <w:r w:rsidRPr="00D40C27">
        <w:rPr>
          <w:rFonts w:eastAsia="SimSun"/>
          <w:color w:val="auto"/>
          <w:lang w:eastAsia="zh-CN"/>
        </w:rPr>
        <w:t xml:space="preserve"> participants was included in the analysis. </w:t>
      </w:r>
    </w:p>
    <w:p w14:paraId="5249C102" w14:textId="055A4F61"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851"/>
        <w:rPr>
          <w:rFonts w:eastAsia="SimSun"/>
          <w:color w:val="auto"/>
          <w:lang w:eastAsia="zh-CN"/>
        </w:rPr>
      </w:pPr>
      <w:r w:rsidRPr="00D40C27">
        <w:rPr>
          <w:rFonts w:eastAsia="SimSun"/>
          <w:color w:val="auto"/>
          <w:lang w:eastAsia="zh-CN"/>
        </w:rPr>
        <w:t>Respondents were 35</w:t>
      </w:r>
      <w:r w:rsidR="00CF1153">
        <w:rPr>
          <w:rFonts w:eastAsia="SimSun"/>
          <w:color w:val="auto"/>
          <w:lang w:eastAsia="zh-CN"/>
        </w:rPr>
        <w:t>2</w:t>
      </w:r>
      <w:r w:rsidRPr="00D40C27">
        <w:rPr>
          <w:rFonts w:eastAsia="SimSun"/>
          <w:color w:val="auto"/>
          <w:lang w:eastAsia="zh-CN"/>
        </w:rPr>
        <w:t xml:space="preserve"> (72.</w:t>
      </w:r>
      <w:r w:rsidR="00CF1153">
        <w:rPr>
          <w:rFonts w:eastAsia="SimSun"/>
          <w:color w:val="auto"/>
          <w:lang w:eastAsia="zh-CN"/>
        </w:rPr>
        <w:t>3</w:t>
      </w:r>
      <w:r w:rsidRPr="00D40C27">
        <w:rPr>
          <w:rFonts w:eastAsia="SimSun"/>
          <w:color w:val="auto"/>
          <w:lang w:eastAsia="zh-CN"/>
        </w:rPr>
        <w:t>%) females, 131 (26.</w:t>
      </w:r>
      <w:r w:rsidR="00CF1153">
        <w:rPr>
          <w:rFonts w:eastAsia="SimSun"/>
          <w:color w:val="auto"/>
          <w:lang w:eastAsia="zh-CN"/>
        </w:rPr>
        <w:t>9</w:t>
      </w:r>
      <w:r w:rsidRPr="00D40C27">
        <w:rPr>
          <w:rFonts w:eastAsia="SimSun"/>
          <w:color w:val="auto"/>
          <w:lang w:eastAsia="zh-CN"/>
        </w:rPr>
        <w:t>%) males and 4 (</w:t>
      </w:r>
      <w:r w:rsidR="00CF1153">
        <w:rPr>
          <w:rFonts w:eastAsia="SimSun"/>
          <w:color w:val="auto"/>
          <w:lang w:eastAsia="zh-CN"/>
        </w:rPr>
        <w:t>0.</w:t>
      </w:r>
      <w:r w:rsidRPr="00D40C27">
        <w:rPr>
          <w:rFonts w:eastAsia="SimSun"/>
          <w:color w:val="auto"/>
          <w:lang w:eastAsia="zh-CN"/>
        </w:rPr>
        <w:t>8%) of other gender categories. Ages ranged from 1</w:t>
      </w:r>
      <w:r w:rsidR="00CF1153">
        <w:rPr>
          <w:rFonts w:eastAsia="SimSun"/>
          <w:color w:val="auto"/>
          <w:lang w:eastAsia="zh-CN"/>
        </w:rPr>
        <w:t>8</w:t>
      </w:r>
      <w:r w:rsidRPr="00D40C27">
        <w:rPr>
          <w:rFonts w:eastAsia="SimSun"/>
          <w:color w:val="auto"/>
          <w:lang w:eastAsia="zh-CN"/>
        </w:rPr>
        <w:t xml:space="preserve"> to 66 years old (M=25,</w:t>
      </w:r>
      <w:r w:rsidR="00CF1153">
        <w:rPr>
          <w:rFonts w:eastAsia="SimSun"/>
          <w:color w:val="auto"/>
          <w:lang w:eastAsia="zh-CN"/>
        </w:rPr>
        <w:t>53</w:t>
      </w:r>
      <w:r w:rsidRPr="00D40C27">
        <w:rPr>
          <w:rFonts w:eastAsia="SimSun"/>
          <w:color w:val="auto"/>
          <w:lang w:eastAsia="zh-CN"/>
        </w:rPr>
        <w:t xml:space="preserve"> SD=9.03). Participants were mostly of white British ethnicity (70%) and most reported not encountering individuals with facial disfigurement very often 1</w:t>
      </w:r>
      <w:r w:rsidR="007D28D1">
        <w:rPr>
          <w:rFonts w:eastAsia="SimSun"/>
          <w:color w:val="auto"/>
          <w:lang w:eastAsia="zh-CN"/>
        </w:rPr>
        <w:t>89</w:t>
      </w:r>
      <w:r w:rsidRPr="00D40C27">
        <w:rPr>
          <w:rFonts w:eastAsia="SimSun"/>
          <w:color w:val="auto"/>
          <w:lang w:eastAsia="zh-CN"/>
        </w:rPr>
        <w:t xml:space="preserve"> (38.</w:t>
      </w:r>
      <w:r w:rsidR="007D28D1">
        <w:rPr>
          <w:rFonts w:eastAsia="SimSun"/>
          <w:color w:val="auto"/>
          <w:lang w:eastAsia="zh-CN"/>
        </w:rPr>
        <w:t>8</w:t>
      </w:r>
      <w:r w:rsidRPr="00D40C27">
        <w:rPr>
          <w:rFonts w:eastAsia="SimSun"/>
          <w:color w:val="auto"/>
          <w:lang w:eastAsia="zh-CN"/>
        </w:rPr>
        <w:t>%). For details of demographic information see Table 3.</w:t>
      </w:r>
      <w:r w:rsidR="005B1964">
        <w:rPr>
          <w:rFonts w:eastAsia="SimSun"/>
          <w:color w:val="auto"/>
          <w:lang w:eastAsia="zh-CN"/>
        </w:rPr>
        <w:t>3.</w:t>
      </w:r>
    </w:p>
    <w:p w14:paraId="723B2904" w14:textId="77777777" w:rsidR="00AF776D" w:rsidRDefault="00AF776D" w:rsidP="000F1616">
      <w:pPr>
        <w:pBdr>
          <w:top w:val="none" w:sz="0" w:space="0" w:color="auto"/>
          <w:left w:val="none" w:sz="0" w:space="0" w:color="auto"/>
          <w:bottom w:val="none" w:sz="0" w:space="0" w:color="auto"/>
          <w:right w:val="none" w:sz="0" w:space="0" w:color="auto"/>
          <w:between w:val="none" w:sz="0" w:space="0" w:color="auto"/>
        </w:pBdr>
        <w:spacing w:after="0"/>
        <w:ind w:firstLine="0"/>
        <w:rPr>
          <w:rFonts w:eastAsia="SimSun"/>
          <w:color w:val="auto"/>
          <w:lang w:eastAsia="zh-CN"/>
        </w:rPr>
      </w:pPr>
    </w:p>
    <w:p w14:paraId="62A17104" w14:textId="74A3DFC0" w:rsidR="00AF776D" w:rsidRDefault="00AF776D" w:rsidP="00AF776D">
      <w:pPr>
        <w:pBdr>
          <w:top w:val="none" w:sz="0" w:space="0" w:color="auto"/>
          <w:left w:val="none" w:sz="0" w:space="0" w:color="auto"/>
          <w:bottom w:val="none" w:sz="0" w:space="0" w:color="auto"/>
          <w:right w:val="none" w:sz="0" w:space="0" w:color="auto"/>
          <w:between w:val="none" w:sz="0" w:space="0" w:color="auto"/>
        </w:pBdr>
        <w:spacing w:after="0"/>
        <w:ind w:firstLine="0"/>
        <w:rPr>
          <w:rFonts w:eastAsia="SimSun"/>
          <w:color w:val="auto"/>
          <w:lang w:eastAsia="zh-CN"/>
        </w:rPr>
      </w:pPr>
      <w:bookmarkStart w:id="70" w:name="_Toc12024829"/>
      <w:r w:rsidRPr="00D40C27">
        <w:rPr>
          <w:lang w:eastAsia="zh-CN"/>
        </w:rPr>
        <w:t xml:space="preserve">Table </w:t>
      </w:r>
      <w:r>
        <w:rPr>
          <w:lang w:eastAsia="zh-CN"/>
        </w:rPr>
        <w:t>3.</w:t>
      </w:r>
      <w:r w:rsidRPr="00D40C27">
        <w:rPr>
          <w:lang w:eastAsia="zh-CN"/>
        </w:rPr>
        <w:t>3. Demographic information (N = 48</w:t>
      </w:r>
      <w:r w:rsidR="007D28D1">
        <w:rPr>
          <w:lang w:eastAsia="zh-CN"/>
        </w:rPr>
        <w:t>7</w:t>
      </w:r>
      <w:r w:rsidRPr="00D40C27">
        <w:rPr>
          <w:lang w:eastAsia="zh-CN"/>
        </w:rPr>
        <w:t>)</w:t>
      </w:r>
      <w:bookmarkEnd w:id="70"/>
    </w:p>
    <w:p w14:paraId="66799C50" w14:textId="77777777" w:rsidR="000F1616" w:rsidRPr="00D40C27" w:rsidRDefault="000F1616" w:rsidP="000F1616">
      <w:pPr>
        <w:pStyle w:val="Tables"/>
        <w:rPr>
          <w:lang w:eastAsia="zh-CN"/>
        </w:rPr>
      </w:pPr>
    </w:p>
    <w:tbl>
      <w:tblPr>
        <w:tblpPr w:leftFromText="180" w:rightFromText="180" w:vertAnchor="text" w:horzAnchor="margin" w:tblpY="-25"/>
        <w:tblW w:w="8647" w:type="dxa"/>
        <w:tblLook w:val="04A0" w:firstRow="1" w:lastRow="0" w:firstColumn="1" w:lastColumn="0" w:noHBand="0" w:noVBand="1"/>
      </w:tblPr>
      <w:tblGrid>
        <w:gridCol w:w="1892"/>
        <w:gridCol w:w="1711"/>
        <w:gridCol w:w="2776"/>
        <w:gridCol w:w="1432"/>
        <w:gridCol w:w="836"/>
      </w:tblGrid>
      <w:tr w:rsidR="000F1616" w:rsidRPr="00D40C27" w14:paraId="11FEDCF0" w14:textId="77777777" w:rsidTr="00014EE0">
        <w:trPr>
          <w:trHeight w:val="191"/>
        </w:trPr>
        <w:tc>
          <w:tcPr>
            <w:tcW w:w="6379" w:type="dxa"/>
            <w:gridSpan w:val="3"/>
            <w:tcBorders>
              <w:top w:val="single" w:sz="4" w:space="0" w:color="auto"/>
              <w:left w:val="nil"/>
              <w:bottom w:val="single" w:sz="4" w:space="0" w:color="auto"/>
              <w:right w:val="nil"/>
            </w:tcBorders>
            <w:shd w:val="clear" w:color="auto" w:fill="auto"/>
            <w:vAlign w:val="bottom"/>
            <w:hideMark/>
          </w:tcPr>
          <w:p w14:paraId="626E9E8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 </w:t>
            </w:r>
          </w:p>
        </w:tc>
        <w:tc>
          <w:tcPr>
            <w:tcW w:w="1432" w:type="dxa"/>
            <w:tcBorders>
              <w:top w:val="single" w:sz="4" w:space="0" w:color="auto"/>
              <w:left w:val="nil"/>
              <w:bottom w:val="single" w:sz="4" w:space="0" w:color="auto"/>
              <w:right w:val="nil"/>
            </w:tcBorders>
            <w:shd w:val="clear" w:color="auto" w:fill="auto"/>
            <w:vAlign w:val="bottom"/>
            <w:hideMark/>
          </w:tcPr>
          <w:p w14:paraId="48C559D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b/>
                <w:bCs/>
                <w:sz w:val="20"/>
                <w:szCs w:val="20"/>
              </w:rPr>
            </w:pPr>
            <w:r w:rsidRPr="00D40C27">
              <w:rPr>
                <w:rFonts w:eastAsia="Times New Roman"/>
                <w:b/>
                <w:bCs/>
                <w:sz w:val="20"/>
                <w:szCs w:val="20"/>
              </w:rPr>
              <w:t>N</w:t>
            </w:r>
          </w:p>
        </w:tc>
        <w:tc>
          <w:tcPr>
            <w:tcW w:w="836" w:type="dxa"/>
            <w:tcBorders>
              <w:top w:val="single" w:sz="4" w:space="0" w:color="auto"/>
              <w:left w:val="nil"/>
              <w:bottom w:val="single" w:sz="4" w:space="0" w:color="auto"/>
              <w:right w:val="nil"/>
            </w:tcBorders>
            <w:shd w:val="clear" w:color="auto" w:fill="auto"/>
            <w:vAlign w:val="bottom"/>
            <w:hideMark/>
          </w:tcPr>
          <w:p w14:paraId="561580E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b/>
                <w:bCs/>
                <w:sz w:val="20"/>
                <w:szCs w:val="20"/>
              </w:rPr>
            </w:pPr>
            <w:r w:rsidRPr="00D40C27">
              <w:rPr>
                <w:rFonts w:eastAsia="Times New Roman"/>
                <w:b/>
                <w:bCs/>
                <w:sz w:val="20"/>
                <w:szCs w:val="20"/>
              </w:rPr>
              <w:t xml:space="preserve"> %</w:t>
            </w:r>
          </w:p>
        </w:tc>
      </w:tr>
      <w:tr w:rsidR="000F1616" w:rsidRPr="00D40C27" w14:paraId="1B7AA4FE" w14:textId="77777777" w:rsidTr="00014EE0">
        <w:trPr>
          <w:trHeight w:val="191"/>
        </w:trPr>
        <w:tc>
          <w:tcPr>
            <w:tcW w:w="1892" w:type="dxa"/>
            <w:tcBorders>
              <w:top w:val="nil"/>
              <w:left w:val="nil"/>
              <w:bottom w:val="nil"/>
              <w:right w:val="nil"/>
            </w:tcBorders>
            <w:shd w:val="clear" w:color="auto" w:fill="auto"/>
            <w:hideMark/>
          </w:tcPr>
          <w:p w14:paraId="796E8D7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b/>
                <w:bCs/>
                <w:sz w:val="20"/>
                <w:szCs w:val="20"/>
              </w:rPr>
            </w:pPr>
            <w:r w:rsidRPr="00D40C27">
              <w:rPr>
                <w:rFonts w:eastAsia="Times New Roman"/>
                <w:b/>
                <w:bCs/>
                <w:sz w:val="20"/>
                <w:szCs w:val="20"/>
              </w:rPr>
              <w:t>Gender</w:t>
            </w:r>
          </w:p>
        </w:tc>
        <w:tc>
          <w:tcPr>
            <w:tcW w:w="1711" w:type="dxa"/>
            <w:tcBorders>
              <w:top w:val="nil"/>
              <w:left w:val="nil"/>
              <w:bottom w:val="nil"/>
              <w:right w:val="nil"/>
            </w:tcBorders>
            <w:shd w:val="clear" w:color="auto" w:fill="auto"/>
            <w:vAlign w:val="bottom"/>
            <w:hideMark/>
          </w:tcPr>
          <w:p w14:paraId="2135395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 </w:t>
            </w:r>
          </w:p>
        </w:tc>
        <w:tc>
          <w:tcPr>
            <w:tcW w:w="4208" w:type="dxa"/>
            <w:gridSpan w:val="2"/>
            <w:tcBorders>
              <w:top w:val="nil"/>
              <w:left w:val="nil"/>
              <w:bottom w:val="nil"/>
              <w:right w:val="nil"/>
            </w:tcBorders>
            <w:shd w:val="clear" w:color="auto" w:fill="auto"/>
            <w:vAlign w:val="bottom"/>
            <w:hideMark/>
          </w:tcPr>
          <w:p w14:paraId="11E579E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p>
        </w:tc>
        <w:tc>
          <w:tcPr>
            <w:tcW w:w="836" w:type="dxa"/>
            <w:tcBorders>
              <w:top w:val="nil"/>
              <w:left w:val="nil"/>
              <w:bottom w:val="nil"/>
              <w:right w:val="nil"/>
            </w:tcBorders>
            <w:shd w:val="clear" w:color="auto" w:fill="auto"/>
            <w:vAlign w:val="bottom"/>
            <w:hideMark/>
          </w:tcPr>
          <w:p w14:paraId="2B8153D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p>
        </w:tc>
      </w:tr>
      <w:tr w:rsidR="000F1616" w:rsidRPr="00D40C27" w14:paraId="05D54423" w14:textId="77777777" w:rsidTr="00014EE0">
        <w:trPr>
          <w:trHeight w:val="191"/>
        </w:trPr>
        <w:tc>
          <w:tcPr>
            <w:tcW w:w="1892" w:type="dxa"/>
            <w:tcBorders>
              <w:top w:val="nil"/>
              <w:left w:val="nil"/>
              <w:bottom w:val="nil"/>
              <w:right w:val="nil"/>
            </w:tcBorders>
            <w:shd w:val="clear" w:color="auto" w:fill="auto"/>
            <w:hideMark/>
          </w:tcPr>
          <w:p w14:paraId="4B187319"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p>
        </w:tc>
        <w:tc>
          <w:tcPr>
            <w:tcW w:w="4487" w:type="dxa"/>
            <w:gridSpan w:val="2"/>
            <w:tcBorders>
              <w:top w:val="nil"/>
              <w:left w:val="nil"/>
              <w:bottom w:val="nil"/>
              <w:right w:val="nil"/>
            </w:tcBorders>
            <w:shd w:val="clear" w:color="auto" w:fill="auto"/>
            <w:hideMark/>
          </w:tcPr>
          <w:p w14:paraId="04046339"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Female</w:t>
            </w:r>
          </w:p>
        </w:tc>
        <w:tc>
          <w:tcPr>
            <w:tcW w:w="1432" w:type="dxa"/>
            <w:tcBorders>
              <w:top w:val="nil"/>
              <w:left w:val="nil"/>
              <w:bottom w:val="nil"/>
              <w:right w:val="nil"/>
            </w:tcBorders>
            <w:shd w:val="clear" w:color="auto" w:fill="auto"/>
            <w:noWrap/>
            <w:vAlign w:val="center"/>
            <w:hideMark/>
          </w:tcPr>
          <w:p w14:paraId="375F2CB7" w14:textId="50CF7BBB"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35</w:t>
            </w:r>
            <w:r w:rsidR="007D28D1">
              <w:rPr>
                <w:rFonts w:eastAsia="Times New Roman"/>
                <w:sz w:val="20"/>
                <w:szCs w:val="20"/>
              </w:rPr>
              <w:t>2</w:t>
            </w:r>
          </w:p>
        </w:tc>
        <w:tc>
          <w:tcPr>
            <w:tcW w:w="836" w:type="dxa"/>
            <w:tcBorders>
              <w:top w:val="nil"/>
              <w:left w:val="nil"/>
              <w:bottom w:val="nil"/>
              <w:right w:val="nil"/>
            </w:tcBorders>
            <w:shd w:val="clear" w:color="auto" w:fill="auto"/>
            <w:noWrap/>
            <w:vAlign w:val="center"/>
            <w:hideMark/>
          </w:tcPr>
          <w:p w14:paraId="59434C5C" w14:textId="70B734D9"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72.</w:t>
            </w:r>
            <w:r w:rsidR="007D28D1">
              <w:rPr>
                <w:rFonts w:eastAsia="Times New Roman"/>
                <w:sz w:val="20"/>
                <w:szCs w:val="20"/>
              </w:rPr>
              <w:t>3</w:t>
            </w:r>
          </w:p>
        </w:tc>
      </w:tr>
      <w:tr w:rsidR="000F1616" w:rsidRPr="00D40C27" w14:paraId="42BDB6F3" w14:textId="77777777" w:rsidTr="00014EE0">
        <w:trPr>
          <w:trHeight w:val="191"/>
        </w:trPr>
        <w:tc>
          <w:tcPr>
            <w:tcW w:w="1892" w:type="dxa"/>
            <w:tcBorders>
              <w:top w:val="nil"/>
              <w:left w:val="nil"/>
              <w:bottom w:val="nil"/>
              <w:right w:val="nil"/>
            </w:tcBorders>
            <w:shd w:val="clear" w:color="auto" w:fill="auto"/>
            <w:hideMark/>
          </w:tcPr>
          <w:p w14:paraId="61A3969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hideMark/>
          </w:tcPr>
          <w:p w14:paraId="5BD5925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Male</w:t>
            </w:r>
          </w:p>
        </w:tc>
        <w:tc>
          <w:tcPr>
            <w:tcW w:w="1432" w:type="dxa"/>
            <w:tcBorders>
              <w:top w:val="nil"/>
              <w:left w:val="nil"/>
              <w:bottom w:val="nil"/>
              <w:right w:val="nil"/>
            </w:tcBorders>
            <w:shd w:val="clear" w:color="auto" w:fill="auto"/>
            <w:noWrap/>
            <w:vAlign w:val="center"/>
            <w:hideMark/>
          </w:tcPr>
          <w:p w14:paraId="2B5D2D1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131</w:t>
            </w:r>
          </w:p>
        </w:tc>
        <w:tc>
          <w:tcPr>
            <w:tcW w:w="836" w:type="dxa"/>
            <w:tcBorders>
              <w:top w:val="nil"/>
              <w:left w:val="nil"/>
              <w:bottom w:val="nil"/>
              <w:right w:val="nil"/>
            </w:tcBorders>
            <w:shd w:val="clear" w:color="auto" w:fill="auto"/>
            <w:noWrap/>
            <w:vAlign w:val="center"/>
            <w:hideMark/>
          </w:tcPr>
          <w:p w14:paraId="30979862" w14:textId="4580BED5"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26.</w:t>
            </w:r>
            <w:r w:rsidR="007D28D1">
              <w:rPr>
                <w:rFonts w:eastAsia="Times New Roman"/>
                <w:sz w:val="20"/>
                <w:szCs w:val="20"/>
              </w:rPr>
              <w:t>9</w:t>
            </w:r>
          </w:p>
        </w:tc>
      </w:tr>
      <w:tr w:rsidR="000F1616" w:rsidRPr="00D40C27" w14:paraId="186AE804" w14:textId="77777777" w:rsidTr="00014EE0">
        <w:trPr>
          <w:trHeight w:val="305"/>
        </w:trPr>
        <w:tc>
          <w:tcPr>
            <w:tcW w:w="1892" w:type="dxa"/>
            <w:tcBorders>
              <w:top w:val="nil"/>
              <w:left w:val="nil"/>
              <w:bottom w:val="nil"/>
              <w:right w:val="nil"/>
            </w:tcBorders>
            <w:shd w:val="clear" w:color="auto" w:fill="auto"/>
            <w:hideMark/>
          </w:tcPr>
          <w:p w14:paraId="03206FD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hideMark/>
          </w:tcPr>
          <w:p w14:paraId="0E6EF2E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Other-Not specified</w:t>
            </w:r>
          </w:p>
        </w:tc>
        <w:tc>
          <w:tcPr>
            <w:tcW w:w="1432" w:type="dxa"/>
            <w:tcBorders>
              <w:top w:val="nil"/>
              <w:left w:val="nil"/>
              <w:bottom w:val="nil"/>
              <w:right w:val="nil"/>
            </w:tcBorders>
            <w:shd w:val="clear" w:color="auto" w:fill="auto"/>
            <w:noWrap/>
            <w:vAlign w:val="center"/>
            <w:hideMark/>
          </w:tcPr>
          <w:p w14:paraId="51696E6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3</w:t>
            </w:r>
          </w:p>
        </w:tc>
        <w:tc>
          <w:tcPr>
            <w:tcW w:w="836" w:type="dxa"/>
            <w:tcBorders>
              <w:top w:val="nil"/>
              <w:left w:val="nil"/>
              <w:bottom w:val="nil"/>
              <w:right w:val="nil"/>
            </w:tcBorders>
            <w:shd w:val="clear" w:color="auto" w:fill="auto"/>
            <w:noWrap/>
            <w:vAlign w:val="center"/>
            <w:hideMark/>
          </w:tcPr>
          <w:p w14:paraId="54BE024B" w14:textId="7725CD63"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0.6</w:t>
            </w:r>
          </w:p>
        </w:tc>
      </w:tr>
      <w:tr w:rsidR="000F1616" w:rsidRPr="00D40C27" w14:paraId="26FBA7BF" w14:textId="77777777" w:rsidTr="00014EE0">
        <w:trPr>
          <w:trHeight w:val="191"/>
        </w:trPr>
        <w:tc>
          <w:tcPr>
            <w:tcW w:w="1892" w:type="dxa"/>
            <w:tcBorders>
              <w:top w:val="nil"/>
              <w:left w:val="nil"/>
              <w:bottom w:val="single" w:sz="4" w:space="0" w:color="auto"/>
              <w:right w:val="nil"/>
            </w:tcBorders>
            <w:shd w:val="clear" w:color="auto" w:fill="auto"/>
            <w:hideMark/>
          </w:tcPr>
          <w:p w14:paraId="5853A31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 </w:t>
            </w:r>
          </w:p>
        </w:tc>
        <w:tc>
          <w:tcPr>
            <w:tcW w:w="4487" w:type="dxa"/>
            <w:gridSpan w:val="2"/>
            <w:tcBorders>
              <w:top w:val="nil"/>
              <w:left w:val="nil"/>
              <w:bottom w:val="single" w:sz="4" w:space="0" w:color="auto"/>
              <w:right w:val="nil"/>
            </w:tcBorders>
            <w:shd w:val="clear" w:color="auto" w:fill="auto"/>
            <w:hideMark/>
          </w:tcPr>
          <w:p w14:paraId="1BA487B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Agender</w:t>
            </w:r>
          </w:p>
        </w:tc>
        <w:tc>
          <w:tcPr>
            <w:tcW w:w="1432" w:type="dxa"/>
            <w:tcBorders>
              <w:top w:val="nil"/>
              <w:left w:val="nil"/>
              <w:bottom w:val="single" w:sz="4" w:space="0" w:color="auto"/>
              <w:right w:val="nil"/>
            </w:tcBorders>
            <w:shd w:val="clear" w:color="auto" w:fill="auto"/>
            <w:noWrap/>
            <w:vAlign w:val="center"/>
            <w:hideMark/>
          </w:tcPr>
          <w:p w14:paraId="11F65F1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w:t>
            </w:r>
          </w:p>
        </w:tc>
        <w:tc>
          <w:tcPr>
            <w:tcW w:w="836" w:type="dxa"/>
            <w:tcBorders>
              <w:top w:val="nil"/>
              <w:left w:val="nil"/>
              <w:bottom w:val="single" w:sz="4" w:space="0" w:color="auto"/>
              <w:right w:val="nil"/>
            </w:tcBorders>
            <w:shd w:val="clear" w:color="auto" w:fill="auto"/>
            <w:noWrap/>
            <w:vAlign w:val="center"/>
            <w:hideMark/>
          </w:tcPr>
          <w:p w14:paraId="33AA4A93" w14:textId="00455145"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0.2</w:t>
            </w:r>
          </w:p>
        </w:tc>
      </w:tr>
      <w:tr w:rsidR="000F1616" w:rsidRPr="00D40C27" w14:paraId="2F5E6CDD" w14:textId="77777777" w:rsidTr="00014EE0">
        <w:trPr>
          <w:trHeight w:val="923"/>
        </w:trPr>
        <w:tc>
          <w:tcPr>
            <w:tcW w:w="1892" w:type="dxa"/>
            <w:tcBorders>
              <w:top w:val="nil"/>
              <w:left w:val="nil"/>
              <w:bottom w:val="single" w:sz="4" w:space="0" w:color="auto"/>
              <w:right w:val="nil"/>
            </w:tcBorders>
            <w:shd w:val="clear" w:color="auto" w:fill="auto"/>
            <w:hideMark/>
          </w:tcPr>
          <w:p w14:paraId="1F5F02A9"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b/>
                <w:bCs/>
                <w:sz w:val="20"/>
                <w:szCs w:val="20"/>
              </w:rPr>
            </w:pPr>
            <w:r w:rsidRPr="00D40C27">
              <w:rPr>
                <w:rFonts w:eastAsia="Times New Roman"/>
                <w:b/>
                <w:bCs/>
                <w:sz w:val="20"/>
                <w:szCs w:val="20"/>
              </w:rPr>
              <w:t>Age</w:t>
            </w:r>
          </w:p>
        </w:tc>
        <w:tc>
          <w:tcPr>
            <w:tcW w:w="4487" w:type="dxa"/>
            <w:gridSpan w:val="2"/>
            <w:tcBorders>
              <w:top w:val="nil"/>
              <w:left w:val="nil"/>
              <w:bottom w:val="single" w:sz="4" w:space="0" w:color="auto"/>
              <w:right w:val="nil"/>
            </w:tcBorders>
            <w:shd w:val="clear" w:color="auto" w:fill="auto"/>
            <w:hideMark/>
          </w:tcPr>
          <w:p w14:paraId="1AF5D0A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Range</w:t>
            </w:r>
          </w:p>
          <w:p w14:paraId="6353816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M (SD)</w:t>
            </w:r>
          </w:p>
        </w:tc>
        <w:tc>
          <w:tcPr>
            <w:tcW w:w="1432" w:type="dxa"/>
            <w:tcBorders>
              <w:top w:val="nil"/>
              <w:left w:val="nil"/>
              <w:bottom w:val="single" w:sz="4" w:space="0" w:color="auto"/>
              <w:right w:val="nil"/>
            </w:tcBorders>
            <w:shd w:val="clear" w:color="auto" w:fill="auto"/>
            <w:vAlign w:val="center"/>
            <w:hideMark/>
          </w:tcPr>
          <w:p w14:paraId="1597E5E6" w14:textId="7E4B72BE"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w:t>
            </w:r>
            <w:r w:rsidR="007D28D1">
              <w:rPr>
                <w:rFonts w:eastAsia="Times New Roman"/>
                <w:sz w:val="20"/>
                <w:szCs w:val="20"/>
              </w:rPr>
              <w:t>8</w:t>
            </w:r>
            <w:r w:rsidRPr="00D40C27">
              <w:rPr>
                <w:rFonts w:eastAsia="Times New Roman"/>
                <w:sz w:val="20"/>
                <w:szCs w:val="20"/>
              </w:rPr>
              <w:t xml:space="preserve">-66 </w:t>
            </w:r>
          </w:p>
          <w:p w14:paraId="7F5B52BC" w14:textId="2F7DE973"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25.</w:t>
            </w:r>
            <w:r w:rsidR="007D28D1">
              <w:rPr>
                <w:rFonts w:eastAsia="Times New Roman"/>
                <w:sz w:val="20"/>
                <w:szCs w:val="20"/>
              </w:rPr>
              <w:t>53</w:t>
            </w:r>
            <w:r w:rsidRPr="00D40C27">
              <w:rPr>
                <w:rFonts w:eastAsia="Times New Roman"/>
                <w:sz w:val="20"/>
                <w:szCs w:val="20"/>
              </w:rPr>
              <w:t xml:space="preserve"> (9.03)</w:t>
            </w:r>
          </w:p>
        </w:tc>
        <w:tc>
          <w:tcPr>
            <w:tcW w:w="836" w:type="dxa"/>
            <w:tcBorders>
              <w:top w:val="nil"/>
              <w:left w:val="nil"/>
              <w:bottom w:val="single" w:sz="4" w:space="0" w:color="auto"/>
              <w:right w:val="nil"/>
            </w:tcBorders>
            <w:shd w:val="clear" w:color="auto" w:fill="auto"/>
            <w:vAlign w:val="center"/>
            <w:hideMark/>
          </w:tcPr>
          <w:p w14:paraId="6D82009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p>
        </w:tc>
      </w:tr>
      <w:tr w:rsidR="000F1616" w:rsidRPr="00D40C27" w14:paraId="05AACCC8" w14:textId="77777777" w:rsidTr="00014EE0">
        <w:trPr>
          <w:trHeight w:val="191"/>
        </w:trPr>
        <w:tc>
          <w:tcPr>
            <w:tcW w:w="1892" w:type="dxa"/>
            <w:tcBorders>
              <w:top w:val="nil"/>
              <w:left w:val="nil"/>
              <w:bottom w:val="nil"/>
              <w:right w:val="nil"/>
            </w:tcBorders>
            <w:shd w:val="clear" w:color="auto" w:fill="auto"/>
            <w:hideMark/>
          </w:tcPr>
          <w:p w14:paraId="54832E6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b/>
                <w:bCs/>
                <w:sz w:val="20"/>
                <w:szCs w:val="20"/>
              </w:rPr>
            </w:pPr>
            <w:r w:rsidRPr="00D40C27">
              <w:rPr>
                <w:rFonts w:eastAsia="Times New Roman"/>
                <w:b/>
                <w:bCs/>
                <w:sz w:val="20"/>
                <w:szCs w:val="20"/>
              </w:rPr>
              <w:t>Ethnicity</w:t>
            </w:r>
          </w:p>
        </w:tc>
        <w:tc>
          <w:tcPr>
            <w:tcW w:w="4487" w:type="dxa"/>
            <w:gridSpan w:val="2"/>
            <w:tcBorders>
              <w:top w:val="nil"/>
              <w:left w:val="nil"/>
              <w:bottom w:val="nil"/>
              <w:right w:val="nil"/>
            </w:tcBorders>
            <w:shd w:val="clear" w:color="auto" w:fill="auto"/>
            <w:hideMark/>
          </w:tcPr>
          <w:p w14:paraId="47990B2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 </w:t>
            </w:r>
          </w:p>
        </w:tc>
        <w:tc>
          <w:tcPr>
            <w:tcW w:w="1432" w:type="dxa"/>
            <w:tcBorders>
              <w:top w:val="nil"/>
              <w:left w:val="nil"/>
              <w:bottom w:val="nil"/>
              <w:right w:val="nil"/>
            </w:tcBorders>
            <w:shd w:val="clear" w:color="auto" w:fill="auto"/>
            <w:vAlign w:val="center"/>
            <w:hideMark/>
          </w:tcPr>
          <w:p w14:paraId="554CAA4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p>
        </w:tc>
        <w:tc>
          <w:tcPr>
            <w:tcW w:w="836" w:type="dxa"/>
            <w:tcBorders>
              <w:top w:val="nil"/>
              <w:left w:val="nil"/>
              <w:bottom w:val="nil"/>
              <w:right w:val="nil"/>
            </w:tcBorders>
            <w:shd w:val="clear" w:color="auto" w:fill="auto"/>
            <w:vAlign w:val="center"/>
            <w:hideMark/>
          </w:tcPr>
          <w:p w14:paraId="792E70D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p>
        </w:tc>
      </w:tr>
      <w:tr w:rsidR="000F1616" w:rsidRPr="00D40C27" w14:paraId="2FE1EB8A" w14:textId="77777777" w:rsidTr="00014EE0">
        <w:trPr>
          <w:trHeight w:val="191"/>
        </w:trPr>
        <w:tc>
          <w:tcPr>
            <w:tcW w:w="1892" w:type="dxa"/>
            <w:tcBorders>
              <w:top w:val="nil"/>
              <w:left w:val="nil"/>
              <w:bottom w:val="nil"/>
              <w:right w:val="nil"/>
            </w:tcBorders>
            <w:shd w:val="clear" w:color="auto" w:fill="auto"/>
            <w:hideMark/>
          </w:tcPr>
          <w:p w14:paraId="047ED9D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p>
        </w:tc>
        <w:tc>
          <w:tcPr>
            <w:tcW w:w="4487" w:type="dxa"/>
            <w:gridSpan w:val="2"/>
            <w:tcBorders>
              <w:top w:val="nil"/>
              <w:left w:val="nil"/>
              <w:bottom w:val="nil"/>
              <w:right w:val="nil"/>
            </w:tcBorders>
            <w:shd w:val="clear" w:color="auto" w:fill="auto"/>
            <w:hideMark/>
          </w:tcPr>
          <w:p w14:paraId="1176F381" w14:textId="0C719D66"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 xml:space="preserve">White </w:t>
            </w:r>
            <w:r w:rsidR="007D28D1">
              <w:rPr>
                <w:rFonts w:eastAsia="Times New Roman"/>
                <w:sz w:val="20"/>
                <w:szCs w:val="20"/>
              </w:rPr>
              <w:t>–</w:t>
            </w:r>
            <w:r w:rsidRPr="00D40C27">
              <w:rPr>
                <w:rFonts w:eastAsia="Times New Roman"/>
                <w:sz w:val="20"/>
                <w:szCs w:val="20"/>
              </w:rPr>
              <w:t xml:space="preserve"> British</w:t>
            </w:r>
          </w:p>
        </w:tc>
        <w:tc>
          <w:tcPr>
            <w:tcW w:w="1432" w:type="dxa"/>
            <w:tcBorders>
              <w:top w:val="nil"/>
              <w:left w:val="nil"/>
              <w:bottom w:val="nil"/>
              <w:right w:val="nil"/>
            </w:tcBorders>
            <w:shd w:val="clear" w:color="auto" w:fill="auto"/>
            <w:noWrap/>
            <w:vAlign w:val="center"/>
            <w:hideMark/>
          </w:tcPr>
          <w:p w14:paraId="1B6867C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346</w:t>
            </w:r>
          </w:p>
        </w:tc>
        <w:tc>
          <w:tcPr>
            <w:tcW w:w="836" w:type="dxa"/>
            <w:tcBorders>
              <w:top w:val="nil"/>
              <w:left w:val="nil"/>
              <w:bottom w:val="nil"/>
              <w:right w:val="nil"/>
            </w:tcBorders>
            <w:shd w:val="clear" w:color="auto" w:fill="auto"/>
            <w:noWrap/>
            <w:vAlign w:val="center"/>
            <w:hideMark/>
          </w:tcPr>
          <w:p w14:paraId="0F61A41F" w14:textId="7DB00381"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70.8</w:t>
            </w:r>
          </w:p>
        </w:tc>
      </w:tr>
      <w:tr w:rsidR="000F1616" w:rsidRPr="00D40C27" w14:paraId="7A70BD79" w14:textId="77777777" w:rsidTr="00014EE0">
        <w:trPr>
          <w:trHeight w:val="305"/>
        </w:trPr>
        <w:tc>
          <w:tcPr>
            <w:tcW w:w="1892" w:type="dxa"/>
            <w:tcBorders>
              <w:top w:val="nil"/>
              <w:left w:val="nil"/>
              <w:bottom w:val="nil"/>
              <w:right w:val="nil"/>
            </w:tcBorders>
            <w:shd w:val="clear" w:color="auto" w:fill="auto"/>
            <w:hideMark/>
          </w:tcPr>
          <w:p w14:paraId="0915E26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hideMark/>
          </w:tcPr>
          <w:p w14:paraId="279B580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White - any other White background</w:t>
            </w:r>
          </w:p>
        </w:tc>
        <w:tc>
          <w:tcPr>
            <w:tcW w:w="1432" w:type="dxa"/>
            <w:tcBorders>
              <w:top w:val="nil"/>
              <w:left w:val="nil"/>
              <w:bottom w:val="nil"/>
              <w:right w:val="nil"/>
            </w:tcBorders>
            <w:shd w:val="clear" w:color="auto" w:fill="auto"/>
            <w:noWrap/>
            <w:vAlign w:val="center"/>
            <w:hideMark/>
          </w:tcPr>
          <w:p w14:paraId="0D8C800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53</w:t>
            </w:r>
          </w:p>
        </w:tc>
        <w:tc>
          <w:tcPr>
            <w:tcW w:w="836" w:type="dxa"/>
            <w:tcBorders>
              <w:top w:val="nil"/>
              <w:left w:val="nil"/>
              <w:bottom w:val="nil"/>
              <w:right w:val="nil"/>
            </w:tcBorders>
            <w:shd w:val="clear" w:color="auto" w:fill="auto"/>
            <w:noWrap/>
            <w:vAlign w:val="center"/>
            <w:hideMark/>
          </w:tcPr>
          <w:p w14:paraId="62192A18" w14:textId="64836791"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10.8</w:t>
            </w:r>
          </w:p>
        </w:tc>
      </w:tr>
      <w:tr w:rsidR="000F1616" w:rsidRPr="00D40C27" w14:paraId="2F538B76" w14:textId="77777777" w:rsidTr="00014EE0">
        <w:trPr>
          <w:trHeight w:val="191"/>
        </w:trPr>
        <w:tc>
          <w:tcPr>
            <w:tcW w:w="1892" w:type="dxa"/>
            <w:tcBorders>
              <w:top w:val="nil"/>
              <w:left w:val="nil"/>
              <w:bottom w:val="nil"/>
              <w:right w:val="nil"/>
            </w:tcBorders>
            <w:shd w:val="clear" w:color="auto" w:fill="auto"/>
            <w:hideMark/>
          </w:tcPr>
          <w:p w14:paraId="5221B43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hideMark/>
          </w:tcPr>
          <w:p w14:paraId="720C1D3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Chinese</w:t>
            </w:r>
          </w:p>
        </w:tc>
        <w:tc>
          <w:tcPr>
            <w:tcW w:w="1432" w:type="dxa"/>
            <w:tcBorders>
              <w:top w:val="nil"/>
              <w:left w:val="nil"/>
              <w:bottom w:val="nil"/>
              <w:right w:val="nil"/>
            </w:tcBorders>
            <w:shd w:val="clear" w:color="auto" w:fill="auto"/>
            <w:noWrap/>
            <w:vAlign w:val="center"/>
            <w:hideMark/>
          </w:tcPr>
          <w:p w14:paraId="55C9A26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17</w:t>
            </w:r>
          </w:p>
        </w:tc>
        <w:tc>
          <w:tcPr>
            <w:tcW w:w="836" w:type="dxa"/>
            <w:tcBorders>
              <w:top w:val="nil"/>
              <w:left w:val="nil"/>
              <w:bottom w:val="nil"/>
              <w:right w:val="nil"/>
            </w:tcBorders>
            <w:shd w:val="clear" w:color="auto" w:fill="auto"/>
            <w:noWrap/>
            <w:vAlign w:val="center"/>
            <w:hideMark/>
          </w:tcPr>
          <w:p w14:paraId="3367C73F" w14:textId="202921AF"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3.5</w:t>
            </w:r>
          </w:p>
        </w:tc>
      </w:tr>
      <w:tr w:rsidR="000F1616" w:rsidRPr="00D40C27" w14:paraId="4F645C2B" w14:textId="77777777" w:rsidTr="00014EE0">
        <w:trPr>
          <w:trHeight w:val="191"/>
        </w:trPr>
        <w:tc>
          <w:tcPr>
            <w:tcW w:w="1892" w:type="dxa"/>
            <w:tcBorders>
              <w:top w:val="nil"/>
              <w:left w:val="nil"/>
              <w:bottom w:val="nil"/>
              <w:right w:val="nil"/>
            </w:tcBorders>
            <w:shd w:val="clear" w:color="auto" w:fill="auto"/>
          </w:tcPr>
          <w:p w14:paraId="331A03F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tcPr>
          <w:p w14:paraId="0816C2E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Asian or Asian British</w:t>
            </w:r>
          </w:p>
        </w:tc>
        <w:tc>
          <w:tcPr>
            <w:tcW w:w="1432" w:type="dxa"/>
            <w:tcBorders>
              <w:top w:val="nil"/>
              <w:left w:val="nil"/>
              <w:bottom w:val="nil"/>
              <w:right w:val="nil"/>
            </w:tcBorders>
            <w:shd w:val="clear" w:color="auto" w:fill="auto"/>
            <w:noWrap/>
            <w:vAlign w:val="center"/>
          </w:tcPr>
          <w:p w14:paraId="6C3F8C7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25</w:t>
            </w:r>
          </w:p>
        </w:tc>
        <w:tc>
          <w:tcPr>
            <w:tcW w:w="836" w:type="dxa"/>
            <w:tcBorders>
              <w:top w:val="nil"/>
              <w:left w:val="nil"/>
              <w:bottom w:val="nil"/>
              <w:right w:val="nil"/>
            </w:tcBorders>
            <w:shd w:val="clear" w:color="auto" w:fill="auto"/>
            <w:noWrap/>
            <w:vAlign w:val="center"/>
          </w:tcPr>
          <w:p w14:paraId="5CFC1FFF" w14:textId="64FE01A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5.1</w:t>
            </w:r>
          </w:p>
        </w:tc>
      </w:tr>
      <w:tr w:rsidR="000F1616" w:rsidRPr="00D40C27" w14:paraId="0FCD261A" w14:textId="77777777" w:rsidTr="00014EE0">
        <w:trPr>
          <w:trHeight w:val="191"/>
        </w:trPr>
        <w:tc>
          <w:tcPr>
            <w:tcW w:w="1892" w:type="dxa"/>
            <w:tcBorders>
              <w:top w:val="nil"/>
              <w:left w:val="nil"/>
              <w:bottom w:val="nil"/>
              <w:right w:val="nil"/>
            </w:tcBorders>
            <w:shd w:val="clear" w:color="auto" w:fill="auto"/>
          </w:tcPr>
          <w:p w14:paraId="5830B1F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tcPr>
          <w:p w14:paraId="5F2924F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Mixed - Any other mixed background</w:t>
            </w:r>
          </w:p>
        </w:tc>
        <w:tc>
          <w:tcPr>
            <w:tcW w:w="1432" w:type="dxa"/>
            <w:tcBorders>
              <w:top w:val="nil"/>
              <w:left w:val="nil"/>
              <w:bottom w:val="nil"/>
              <w:right w:val="nil"/>
            </w:tcBorders>
            <w:shd w:val="clear" w:color="auto" w:fill="auto"/>
            <w:noWrap/>
            <w:vAlign w:val="center"/>
          </w:tcPr>
          <w:p w14:paraId="487C848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16</w:t>
            </w:r>
          </w:p>
        </w:tc>
        <w:tc>
          <w:tcPr>
            <w:tcW w:w="836" w:type="dxa"/>
            <w:tcBorders>
              <w:top w:val="nil"/>
              <w:left w:val="nil"/>
              <w:bottom w:val="nil"/>
              <w:right w:val="nil"/>
            </w:tcBorders>
            <w:shd w:val="clear" w:color="auto" w:fill="auto"/>
            <w:noWrap/>
            <w:vAlign w:val="center"/>
          </w:tcPr>
          <w:p w14:paraId="6BF4221A" w14:textId="7F923DA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3.2</w:t>
            </w:r>
          </w:p>
        </w:tc>
      </w:tr>
      <w:tr w:rsidR="000F1616" w:rsidRPr="00D40C27" w14:paraId="3EFC5954" w14:textId="77777777" w:rsidTr="00014EE0">
        <w:trPr>
          <w:trHeight w:val="191"/>
        </w:trPr>
        <w:tc>
          <w:tcPr>
            <w:tcW w:w="1892" w:type="dxa"/>
            <w:tcBorders>
              <w:top w:val="nil"/>
              <w:left w:val="nil"/>
              <w:bottom w:val="nil"/>
              <w:right w:val="nil"/>
            </w:tcBorders>
            <w:shd w:val="clear" w:color="auto" w:fill="auto"/>
            <w:hideMark/>
          </w:tcPr>
          <w:p w14:paraId="4C3B613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hideMark/>
          </w:tcPr>
          <w:p w14:paraId="1D0DC73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Latin American</w:t>
            </w:r>
          </w:p>
        </w:tc>
        <w:tc>
          <w:tcPr>
            <w:tcW w:w="1432" w:type="dxa"/>
            <w:tcBorders>
              <w:top w:val="nil"/>
              <w:left w:val="nil"/>
              <w:bottom w:val="nil"/>
              <w:right w:val="nil"/>
            </w:tcBorders>
            <w:shd w:val="clear" w:color="auto" w:fill="auto"/>
            <w:noWrap/>
            <w:vAlign w:val="center"/>
            <w:hideMark/>
          </w:tcPr>
          <w:p w14:paraId="34A1287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16</w:t>
            </w:r>
          </w:p>
        </w:tc>
        <w:tc>
          <w:tcPr>
            <w:tcW w:w="836" w:type="dxa"/>
            <w:tcBorders>
              <w:top w:val="nil"/>
              <w:left w:val="nil"/>
              <w:bottom w:val="nil"/>
              <w:right w:val="nil"/>
            </w:tcBorders>
            <w:shd w:val="clear" w:color="auto" w:fill="auto"/>
            <w:noWrap/>
            <w:vAlign w:val="center"/>
            <w:hideMark/>
          </w:tcPr>
          <w:p w14:paraId="259ACECD" w14:textId="285435A4"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3.3</w:t>
            </w:r>
          </w:p>
        </w:tc>
      </w:tr>
      <w:tr w:rsidR="000F1616" w:rsidRPr="00D40C27" w14:paraId="1E656BAC" w14:textId="77777777" w:rsidTr="00014EE0">
        <w:trPr>
          <w:trHeight w:val="305"/>
        </w:trPr>
        <w:tc>
          <w:tcPr>
            <w:tcW w:w="1892" w:type="dxa"/>
            <w:tcBorders>
              <w:top w:val="nil"/>
              <w:left w:val="nil"/>
              <w:bottom w:val="nil"/>
              <w:right w:val="nil"/>
            </w:tcBorders>
            <w:shd w:val="clear" w:color="auto" w:fill="auto"/>
            <w:hideMark/>
          </w:tcPr>
          <w:p w14:paraId="71FBB099"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hideMark/>
          </w:tcPr>
          <w:p w14:paraId="5FB2C98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Any other ethnic origin group</w:t>
            </w:r>
          </w:p>
        </w:tc>
        <w:tc>
          <w:tcPr>
            <w:tcW w:w="1432" w:type="dxa"/>
            <w:tcBorders>
              <w:top w:val="nil"/>
              <w:left w:val="nil"/>
              <w:bottom w:val="nil"/>
              <w:right w:val="nil"/>
            </w:tcBorders>
            <w:shd w:val="clear" w:color="auto" w:fill="auto"/>
            <w:noWrap/>
            <w:vAlign w:val="center"/>
            <w:hideMark/>
          </w:tcPr>
          <w:p w14:paraId="68EB1CA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9</w:t>
            </w:r>
          </w:p>
        </w:tc>
        <w:tc>
          <w:tcPr>
            <w:tcW w:w="836" w:type="dxa"/>
            <w:tcBorders>
              <w:top w:val="nil"/>
              <w:left w:val="nil"/>
              <w:bottom w:val="nil"/>
              <w:right w:val="nil"/>
            </w:tcBorders>
            <w:shd w:val="clear" w:color="auto" w:fill="auto"/>
            <w:noWrap/>
            <w:vAlign w:val="center"/>
            <w:hideMark/>
          </w:tcPr>
          <w:p w14:paraId="1EB84616" w14:textId="419AA5BA"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1.6</w:t>
            </w:r>
          </w:p>
        </w:tc>
      </w:tr>
      <w:tr w:rsidR="000F1616" w:rsidRPr="00D40C27" w14:paraId="13A02759" w14:textId="77777777" w:rsidTr="00014EE0">
        <w:trPr>
          <w:trHeight w:val="305"/>
        </w:trPr>
        <w:tc>
          <w:tcPr>
            <w:tcW w:w="1892" w:type="dxa"/>
            <w:tcBorders>
              <w:top w:val="nil"/>
              <w:left w:val="nil"/>
              <w:bottom w:val="nil"/>
              <w:right w:val="nil"/>
            </w:tcBorders>
            <w:shd w:val="clear" w:color="auto" w:fill="auto"/>
            <w:hideMark/>
          </w:tcPr>
          <w:p w14:paraId="33E0695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hideMark/>
          </w:tcPr>
          <w:p w14:paraId="43372AB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Black or Black British - African</w:t>
            </w:r>
          </w:p>
        </w:tc>
        <w:tc>
          <w:tcPr>
            <w:tcW w:w="1432" w:type="dxa"/>
            <w:tcBorders>
              <w:top w:val="nil"/>
              <w:left w:val="nil"/>
              <w:bottom w:val="nil"/>
              <w:right w:val="nil"/>
            </w:tcBorders>
            <w:shd w:val="clear" w:color="auto" w:fill="auto"/>
            <w:noWrap/>
            <w:vAlign w:val="center"/>
            <w:hideMark/>
          </w:tcPr>
          <w:p w14:paraId="366E9A1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7</w:t>
            </w:r>
          </w:p>
        </w:tc>
        <w:tc>
          <w:tcPr>
            <w:tcW w:w="836" w:type="dxa"/>
            <w:tcBorders>
              <w:top w:val="nil"/>
              <w:left w:val="nil"/>
              <w:bottom w:val="nil"/>
              <w:right w:val="nil"/>
            </w:tcBorders>
            <w:shd w:val="clear" w:color="auto" w:fill="auto"/>
            <w:noWrap/>
            <w:vAlign w:val="center"/>
            <w:hideMark/>
          </w:tcPr>
          <w:p w14:paraId="4C19C4CF" w14:textId="64D49F8B"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1.0</w:t>
            </w:r>
          </w:p>
        </w:tc>
      </w:tr>
      <w:tr w:rsidR="000F1616" w:rsidRPr="00D40C27" w14:paraId="0F91FA19" w14:textId="77777777" w:rsidTr="00014EE0">
        <w:trPr>
          <w:trHeight w:val="180"/>
        </w:trPr>
        <w:tc>
          <w:tcPr>
            <w:tcW w:w="8647" w:type="dxa"/>
            <w:gridSpan w:val="5"/>
            <w:tcBorders>
              <w:top w:val="single" w:sz="4" w:space="0" w:color="auto"/>
              <w:left w:val="nil"/>
              <w:bottom w:val="nil"/>
              <w:right w:val="nil"/>
            </w:tcBorders>
            <w:shd w:val="clear" w:color="auto" w:fill="auto"/>
            <w:hideMark/>
          </w:tcPr>
          <w:p w14:paraId="0212354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b/>
                <w:bCs/>
                <w:sz w:val="20"/>
                <w:szCs w:val="20"/>
              </w:rPr>
            </w:pPr>
            <w:r w:rsidRPr="00D40C27">
              <w:rPr>
                <w:rFonts w:eastAsia="Times New Roman"/>
                <w:b/>
                <w:bCs/>
                <w:sz w:val="20"/>
                <w:szCs w:val="20"/>
              </w:rPr>
              <w:t>Frequency of encounters with individuals with facial disfigurement</w:t>
            </w:r>
          </w:p>
        </w:tc>
      </w:tr>
      <w:tr w:rsidR="000F1616" w:rsidRPr="00D40C27" w14:paraId="53547987" w14:textId="77777777" w:rsidTr="00014EE0">
        <w:trPr>
          <w:trHeight w:val="191"/>
        </w:trPr>
        <w:tc>
          <w:tcPr>
            <w:tcW w:w="1892" w:type="dxa"/>
            <w:tcBorders>
              <w:top w:val="nil"/>
              <w:left w:val="nil"/>
              <w:bottom w:val="nil"/>
              <w:right w:val="nil"/>
            </w:tcBorders>
            <w:shd w:val="clear" w:color="auto" w:fill="auto"/>
            <w:hideMark/>
          </w:tcPr>
          <w:p w14:paraId="6E3451B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b/>
                <w:bCs/>
                <w:sz w:val="20"/>
                <w:szCs w:val="20"/>
              </w:rPr>
            </w:pPr>
          </w:p>
        </w:tc>
        <w:tc>
          <w:tcPr>
            <w:tcW w:w="4487" w:type="dxa"/>
            <w:gridSpan w:val="2"/>
            <w:tcBorders>
              <w:top w:val="nil"/>
              <w:left w:val="nil"/>
              <w:bottom w:val="nil"/>
              <w:right w:val="nil"/>
            </w:tcBorders>
            <w:shd w:val="clear" w:color="auto" w:fill="auto"/>
            <w:hideMark/>
          </w:tcPr>
          <w:p w14:paraId="6830F3D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Not that often</w:t>
            </w:r>
          </w:p>
        </w:tc>
        <w:tc>
          <w:tcPr>
            <w:tcW w:w="1432" w:type="dxa"/>
            <w:tcBorders>
              <w:top w:val="nil"/>
              <w:left w:val="nil"/>
              <w:bottom w:val="nil"/>
              <w:right w:val="nil"/>
            </w:tcBorders>
            <w:shd w:val="clear" w:color="auto" w:fill="auto"/>
            <w:noWrap/>
            <w:vAlign w:val="center"/>
            <w:hideMark/>
          </w:tcPr>
          <w:p w14:paraId="3908394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189</w:t>
            </w:r>
          </w:p>
        </w:tc>
        <w:tc>
          <w:tcPr>
            <w:tcW w:w="836" w:type="dxa"/>
            <w:tcBorders>
              <w:top w:val="nil"/>
              <w:left w:val="nil"/>
              <w:bottom w:val="nil"/>
              <w:right w:val="nil"/>
            </w:tcBorders>
            <w:shd w:val="clear" w:color="auto" w:fill="auto"/>
            <w:noWrap/>
            <w:vAlign w:val="center"/>
            <w:hideMark/>
          </w:tcPr>
          <w:p w14:paraId="0B8A4A63" w14:textId="3E12E42B"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38.</w:t>
            </w:r>
            <w:r w:rsidR="007D28D1">
              <w:rPr>
                <w:rFonts w:eastAsia="Times New Roman"/>
                <w:sz w:val="20"/>
                <w:szCs w:val="20"/>
              </w:rPr>
              <w:t>8</w:t>
            </w:r>
          </w:p>
        </w:tc>
      </w:tr>
      <w:tr w:rsidR="000F1616" w:rsidRPr="00D40C27" w14:paraId="529AD4CA" w14:textId="77777777" w:rsidTr="00014EE0">
        <w:trPr>
          <w:trHeight w:val="191"/>
        </w:trPr>
        <w:tc>
          <w:tcPr>
            <w:tcW w:w="1892" w:type="dxa"/>
            <w:tcBorders>
              <w:top w:val="nil"/>
              <w:left w:val="nil"/>
              <w:bottom w:val="nil"/>
              <w:right w:val="nil"/>
            </w:tcBorders>
            <w:shd w:val="clear" w:color="auto" w:fill="auto"/>
            <w:hideMark/>
          </w:tcPr>
          <w:p w14:paraId="6AC7076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hideMark/>
          </w:tcPr>
          <w:p w14:paraId="7074190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Rarely</w:t>
            </w:r>
          </w:p>
        </w:tc>
        <w:tc>
          <w:tcPr>
            <w:tcW w:w="1432" w:type="dxa"/>
            <w:tcBorders>
              <w:top w:val="nil"/>
              <w:left w:val="nil"/>
              <w:bottom w:val="nil"/>
              <w:right w:val="nil"/>
            </w:tcBorders>
            <w:shd w:val="clear" w:color="auto" w:fill="auto"/>
            <w:noWrap/>
            <w:vAlign w:val="center"/>
            <w:hideMark/>
          </w:tcPr>
          <w:p w14:paraId="30F18301" w14:textId="75C82A3F"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16</w:t>
            </w:r>
            <w:r w:rsidR="007D28D1">
              <w:rPr>
                <w:rFonts w:eastAsia="Times New Roman"/>
                <w:sz w:val="20"/>
                <w:szCs w:val="20"/>
              </w:rPr>
              <w:t>6</w:t>
            </w:r>
          </w:p>
        </w:tc>
        <w:tc>
          <w:tcPr>
            <w:tcW w:w="836" w:type="dxa"/>
            <w:tcBorders>
              <w:top w:val="nil"/>
              <w:left w:val="nil"/>
              <w:bottom w:val="nil"/>
              <w:right w:val="nil"/>
            </w:tcBorders>
            <w:shd w:val="clear" w:color="auto" w:fill="auto"/>
            <w:noWrap/>
            <w:vAlign w:val="center"/>
            <w:hideMark/>
          </w:tcPr>
          <w:p w14:paraId="3C3B8645" w14:textId="5DD4EEED"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34.</w:t>
            </w:r>
            <w:r w:rsidR="007D28D1">
              <w:rPr>
                <w:rFonts w:eastAsia="Times New Roman"/>
                <w:sz w:val="20"/>
                <w:szCs w:val="20"/>
              </w:rPr>
              <w:t>1</w:t>
            </w:r>
          </w:p>
        </w:tc>
      </w:tr>
      <w:tr w:rsidR="000F1616" w:rsidRPr="00D40C27" w14:paraId="4E31696A" w14:textId="77777777" w:rsidTr="00014EE0">
        <w:trPr>
          <w:trHeight w:val="191"/>
        </w:trPr>
        <w:tc>
          <w:tcPr>
            <w:tcW w:w="1892" w:type="dxa"/>
            <w:tcBorders>
              <w:top w:val="nil"/>
              <w:left w:val="nil"/>
              <w:bottom w:val="nil"/>
              <w:right w:val="nil"/>
            </w:tcBorders>
            <w:shd w:val="clear" w:color="auto" w:fill="auto"/>
            <w:hideMark/>
          </w:tcPr>
          <w:p w14:paraId="18E22D6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hideMark/>
          </w:tcPr>
          <w:p w14:paraId="37F501C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Very rarely</w:t>
            </w:r>
          </w:p>
        </w:tc>
        <w:tc>
          <w:tcPr>
            <w:tcW w:w="1432" w:type="dxa"/>
            <w:tcBorders>
              <w:top w:val="nil"/>
              <w:left w:val="nil"/>
              <w:bottom w:val="nil"/>
              <w:right w:val="nil"/>
            </w:tcBorders>
            <w:shd w:val="clear" w:color="auto" w:fill="auto"/>
            <w:noWrap/>
            <w:vAlign w:val="center"/>
            <w:hideMark/>
          </w:tcPr>
          <w:p w14:paraId="4D528AC2" w14:textId="4CDEE5D8"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8</w:t>
            </w:r>
            <w:r w:rsidR="007D28D1">
              <w:rPr>
                <w:rFonts w:eastAsia="Times New Roman"/>
                <w:sz w:val="20"/>
                <w:szCs w:val="20"/>
              </w:rPr>
              <w:t>2</w:t>
            </w:r>
          </w:p>
        </w:tc>
        <w:tc>
          <w:tcPr>
            <w:tcW w:w="836" w:type="dxa"/>
            <w:tcBorders>
              <w:top w:val="nil"/>
              <w:left w:val="nil"/>
              <w:bottom w:val="nil"/>
              <w:right w:val="nil"/>
            </w:tcBorders>
            <w:shd w:val="clear" w:color="auto" w:fill="auto"/>
            <w:noWrap/>
            <w:vAlign w:val="center"/>
            <w:hideMark/>
          </w:tcPr>
          <w:p w14:paraId="72A20F49" w14:textId="6F29BFBF"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w:t>
            </w:r>
            <w:r w:rsidR="007D28D1">
              <w:rPr>
                <w:rFonts w:eastAsia="Times New Roman"/>
                <w:sz w:val="20"/>
                <w:szCs w:val="20"/>
              </w:rPr>
              <w:t>6</w:t>
            </w:r>
            <w:r w:rsidRPr="00D40C27">
              <w:rPr>
                <w:rFonts w:eastAsia="Times New Roman"/>
                <w:sz w:val="20"/>
                <w:szCs w:val="20"/>
              </w:rPr>
              <w:t>.</w:t>
            </w:r>
            <w:r w:rsidR="007D28D1">
              <w:rPr>
                <w:rFonts w:eastAsia="Times New Roman"/>
                <w:sz w:val="20"/>
                <w:szCs w:val="20"/>
              </w:rPr>
              <w:t>8</w:t>
            </w:r>
          </w:p>
        </w:tc>
      </w:tr>
      <w:tr w:rsidR="000F1616" w:rsidRPr="00D40C27" w14:paraId="4C0EB767" w14:textId="77777777" w:rsidTr="00014EE0">
        <w:trPr>
          <w:trHeight w:val="191"/>
        </w:trPr>
        <w:tc>
          <w:tcPr>
            <w:tcW w:w="1892" w:type="dxa"/>
            <w:tcBorders>
              <w:top w:val="nil"/>
              <w:left w:val="nil"/>
              <w:bottom w:val="nil"/>
              <w:right w:val="nil"/>
            </w:tcBorders>
            <w:shd w:val="clear" w:color="auto" w:fill="auto"/>
            <w:hideMark/>
          </w:tcPr>
          <w:p w14:paraId="58A5F82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sz w:val="20"/>
                <w:szCs w:val="20"/>
              </w:rPr>
            </w:pPr>
          </w:p>
        </w:tc>
        <w:tc>
          <w:tcPr>
            <w:tcW w:w="4487" w:type="dxa"/>
            <w:gridSpan w:val="2"/>
            <w:tcBorders>
              <w:top w:val="nil"/>
              <w:left w:val="nil"/>
              <w:bottom w:val="nil"/>
              <w:right w:val="nil"/>
            </w:tcBorders>
            <w:shd w:val="clear" w:color="auto" w:fill="auto"/>
            <w:hideMark/>
          </w:tcPr>
          <w:p w14:paraId="722CBDB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Quite often</w:t>
            </w:r>
          </w:p>
        </w:tc>
        <w:tc>
          <w:tcPr>
            <w:tcW w:w="1432" w:type="dxa"/>
            <w:tcBorders>
              <w:top w:val="nil"/>
              <w:left w:val="nil"/>
              <w:bottom w:val="nil"/>
              <w:right w:val="nil"/>
            </w:tcBorders>
            <w:shd w:val="clear" w:color="auto" w:fill="auto"/>
            <w:noWrap/>
            <w:vAlign w:val="center"/>
            <w:hideMark/>
          </w:tcPr>
          <w:p w14:paraId="3975EF8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36</w:t>
            </w:r>
          </w:p>
        </w:tc>
        <w:tc>
          <w:tcPr>
            <w:tcW w:w="836" w:type="dxa"/>
            <w:tcBorders>
              <w:top w:val="nil"/>
              <w:left w:val="nil"/>
              <w:bottom w:val="nil"/>
              <w:right w:val="nil"/>
            </w:tcBorders>
            <w:shd w:val="clear" w:color="auto" w:fill="auto"/>
            <w:noWrap/>
            <w:vAlign w:val="center"/>
            <w:hideMark/>
          </w:tcPr>
          <w:p w14:paraId="7C72680D" w14:textId="2FADF6E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7.4</w:t>
            </w:r>
          </w:p>
        </w:tc>
      </w:tr>
      <w:tr w:rsidR="000F1616" w:rsidRPr="00D40C27" w14:paraId="64219997" w14:textId="77777777" w:rsidTr="00014EE0">
        <w:trPr>
          <w:trHeight w:val="191"/>
        </w:trPr>
        <w:tc>
          <w:tcPr>
            <w:tcW w:w="1892" w:type="dxa"/>
            <w:tcBorders>
              <w:top w:val="nil"/>
              <w:left w:val="nil"/>
              <w:bottom w:val="single" w:sz="4" w:space="0" w:color="auto"/>
              <w:right w:val="nil"/>
            </w:tcBorders>
            <w:shd w:val="clear" w:color="auto" w:fill="auto"/>
            <w:noWrap/>
            <w:vAlign w:val="bottom"/>
            <w:hideMark/>
          </w:tcPr>
          <w:p w14:paraId="6B9ECDD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 </w:t>
            </w:r>
          </w:p>
        </w:tc>
        <w:tc>
          <w:tcPr>
            <w:tcW w:w="4487" w:type="dxa"/>
            <w:gridSpan w:val="2"/>
            <w:tcBorders>
              <w:top w:val="nil"/>
              <w:left w:val="nil"/>
              <w:bottom w:val="single" w:sz="4" w:space="0" w:color="auto"/>
              <w:right w:val="nil"/>
            </w:tcBorders>
            <w:shd w:val="clear" w:color="auto" w:fill="auto"/>
            <w:hideMark/>
          </w:tcPr>
          <w:p w14:paraId="464BD91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sz w:val="20"/>
                <w:szCs w:val="20"/>
              </w:rPr>
            </w:pPr>
            <w:r w:rsidRPr="00D40C27">
              <w:rPr>
                <w:rFonts w:eastAsia="Times New Roman"/>
                <w:sz w:val="20"/>
                <w:szCs w:val="20"/>
              </w:rPr>
              <w:t>Often</w:t>
            </w:r>
          </w:p>
        </w:tc>
        <w:tc>
          <w:tcPr>
            <w:tcW w:w="1432" w:type="dxa"/>
            <w:tcBorders>
              <w:top w:val="nil"/>
              <w:left w:val="nil"/>
              <w:bottom w:val="single" w:sz="4" w:space="0" w:color="auto"/>
              <w:right w:val="nil"/>
            </w:tcBorders>
            <w:shd w:val="clear" w:color="auto" w:fill="auto"/>
            <w:noWrap/>
            <w:vAlign w:val="center"/>
            <w:hideMark/>
          </w:tcPr>
          <w:p w14:paraId="66D450D9"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14</w:t>
            </w:r>
          </w:p>
        </w:tc>
        <w:tc>
          <w:tcPr>
            <w:tcW w:w="836" w:type="dxa"/>
            <w:tcBorders>
              <w:top w:val="nil"/>
              <w:left w:val="nil"/>
              <w:bottom w:val="single" w:sz="4" w:space="0" w:color="auto"/>
              <w:right w:val="nil"/>
            </w:tcBorders>
            <w:shd w:val="clear" w:color="auto" w:fill="auto"/>
            <w:noWrap/>
            <w:vAlign w:val="center"/>
            <w:hideMark/>
          </w:tcPr>
          <w:p w14:paraId="7A2E7A95" w14:textId="3FE5C0C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sz w:val="20"/>
                <w:szCs w:val="20"/>
              </w:rPr>
            </w:pPr>
            <w:r w:rsidRPr="00D40C27">
              <w:rPr>
                <w:rFonts w:eastAsia="Times New Roman"/>
                <w:sz w:val="20"/>
                <w:szCs w:val="20"/>
              </w:rPr>
              <w:t>2.9</w:t>
            </w:r>
          </w:p>
        </w:tc>
      </w:tr>
    </w:tbl>
    <w:p w14:paraId="780E329C" w14:textId="77777777" w:rsidR="000F1616" w:rsidRPr="00D40C27" w:rsidRDefault="000F1616" w:rsidP="000F1616">
      <w:pPr>
        <w:pStyle w:val="Heading3"/>
        <w:rPr>
          <w:lang w:eastAsia="zh-CN"/>
        </w:rPr>
      </w:pPr>
      <w:bookmarkStart w:id="71" w:name="_Toc12024648"/>
      <w:r w:rsidRPr="00D40C27">
        <w:rPr>
          <w:lang w:eastAsia="zh-CN"/>
        </w:rPr>
        <w:t>Summary of Scales: Reliability, Normality</w:t>
      </w:r>
      <w:r w:rsidR="00B32D9C">
        <w:rPr>
          <w:lang w:eastAsia="zh-CN"/>
        </w:rPr>
        <w:t>,</w:t>
      </w:r>
      <w:r w:rsidRPr="00D40C27">
        <w:rPr>
          <w:lang w:eastAsia="zh-CN"/>
        </w:rPr>
        <w:t xml:space="preserve"> and Outliers</w:t>
      </w:r>
      <w:bookmarkEnd w:id="71"/>
    </w:p>
    <w:p w14:paraId="53B87512" w14:textId="6C21695B"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color w:val="auto"/>
          <w:lang w:eastAsia="zh-CN"/>
        </w:rPr>
      </w:pPr>
      <w:r w:rsidRPr="00D40C27">
        <w:rPr>
          <w:rFonts w:eastAsia="SimSun"/>
          <w:color w:val="auto"/>
          <w:lang w:eastAsia="zh-CN"/>
        </w:rPr>
        <w:t xml:space="preserve">In order to assess the reliability of the scales, Cronbach alphas were calculated for each scale (see Table </w:t>
      </w:r>
      <w:r w:rsidR="005B1964">
        <w:rPr>
          <w:rFonts w:eastAsia="SimSun"/>
          <w:color w:val="auto"/>
          <w:lang w:eastAsia="zh-CN"/>
        </w:rPr>
        <w:t>3.</w:t>
      </w:r>
      <w:r w:rsidRPr="00D40C27">
        <w:rPr>
          <w:rFonts w:eastAsia="SimSun"/>
          <w:color w:val="auto"/>
          <w:lang w:eastAsia="zh-CN"/>
        </w:rPr>
        <w:t>4).</w:t>
      </w:r>
      <w:r w:rsidR="00790D81">
        <w:rPr>
          <w:rFonts w:eastAsia="SimSun"/>
          <w:color w:val="auto"/>
          <w:lang w:eastAsia="zh-CN"/>
        </w:rPr>
        <w:t xml:space="preserve"> </w:t>
      </w:r>
      <w:bookmarkStart w:id="72" w:name="_Hlk34570183"/>
      <w:r w:rsidR="00790D81">
        <w:rPr>
          <w:rFonts w:eastAsia="SimSun"/>
          <w:color w:val="auto"/>
          <w:lang w:eastAsia="zh-CN"/>
        </w:rPr>
        <w:t>In line with</w:t>
      </w:r>
      <w:r w:rsidR="008A30D4">
        <w:rPr>
          <w:rFonts w:eastAsia="SimSun"/>
          <w:color w:val="auto"/>
          <w:lang w:eastAsia="zh-CN"/>
        </w:rPr>
        <w:t xml:space="preserve"> Plant and Levine (1998)</w:t>
      </w:r>
      <w:r w:rsidR="00790D81">
        <w:rPr>
          <w:rFonts w:eastAsia="SimSun"/>
          <w:color w:val="auto"/>
          <w:lang w:eastAsia="zh-CN"/>
        </w:rPr>
        <w:t xml:space="preserve"> and other studies using the IMS</w:t>
      </w:r>
      <w:r w:rsidR="008A30D4">
        <w:rPr>
          <w:rFonts w:eastAsia="SimSun"/>
          <w:color w:val="auto"/>
          <w:lang w:eastAsia="zh-CN"/>
        </w:rPr>
        <w:t xml:space="preserve"> and </w:t>
      </w:r>
      <w:r w:rsidR="00790D81">
        <w:rPr>
          <w:rFonts w:eastAsia="SimSun"/>
          <w:color w:val="auto"/>
          <w:lang w:eastAsia="zh-CN"/>
        </w:rPr>
        <w:t>EMS scales</w:t>
      </w:r>
      <w:r w:rsidR="008A30D4">
        <w:rPr>
          <w:rFonts w:eastAsia="SimSun"/>
          <w:color w:val="auto"/>
          <w:lang w:eastAsia="zh-CN"/>
        </w:rPr>
        <w:t xml:space="preserve"> (</w:t>
      </w:r>
      <w:r w:rsidR="008A30D4" w:rsidRPr="008A30D4">
        <w:rPr>
          <w:rFonts w:eastAsia="SimSun"/>
          <w:color w:val="auto"/>
          <w:lang w:eastAsia="zh-CN"/>
        </w:rPr>
        <w:t>Devine et al., 2002</w:t>
      </w:r>
      <w:r w:rsidR="008A30D4">
        <w:rPr>
          <w:rFonts w:eastAsia="SimSun"/>
          <w:color w:val="auto"/>
          <w:lang w:eastAsia="zh-CN"/>
        </w:rPr>
        <w:t>)</w:t>
      </w:r>
      <w:r w:rsidR="00790D81">
        <w:rPr>
          <w:rFonts w:eastAsia="SimSun"/>
          <w:color w:val="auto"/>
          <w:lang w:eastAsia="zh-CN"/>
        </w:rPr>
        <w:t>, high and low scores were calculated using a median split</w:t>
      </w:r>
      <w:r w:rsidR="003E1EEA">
        <w:rPr>
          <w:rFonts w:eastAsia="SimSun"/>
          <w:color w:val="auto"/>
          <w:lang w:eastAsia="zh-CN"/>
        </w:rPr>
        <w:t>; t</w:t>
      </w:r>
      <w:r w:rsidR="008A30D4">
        <w:rPr>
          <w:rFonts w:eastAsia="SimSun"/>
          <w:color w:val="auto"/>
          <w:lang w:eastAsia="zh-CN"/>
        </w:rPr>
        <w:t>he media</w:t>
      </w:r>
      <w:r w:rsidR="0075209C">
        <w:rPr>
          <w:rFonts w:eastAsia="SimSun"/>
          <w:color w:val="auto"/>
          <w:lang w:eastAsia="zh-CN"/>
        </w:rPr>
        <w:t>n</w:t>
      </w:r>
      <w:r w:rsidR="008A30D4">
        <w:rPr>
          <w:rFonts w:eastAsia="SimSun"/>
          <w:color w:val="auto"/>
          <w:lang w:eastAsia="zh-CN"/>
        </w:rPr>
        <w:t xml:space="preserve"> for </w:t>
      </w:r>
      <w:r w:rsidR="00422D39">
        <w:rPr>
          <w:rFonts w:eastAsia="SimSun"/>
          <w:color w:val="auto"/>
          <w:lang w:eastAsia="zh-CN"/>
        </w:rPr>
        <w:t>E</w:t>
      </w:r>
      <w:r w:rsidR="008A30D4">
        <w:rPr>
          <w:rFonts w:eastAsia="SimSun"/>
          <w:color w:val="auto"/>
          <w:lang w:eastAsia="zh-CN"/>
        </w:rPr>
        <w:t>MS was</w:t>
      </w:r>
      <w:r w:rsidR="00422D39">
        <w:rPr>
          <w:rFonts w:eastAsia="SimSun"/>
          <w:color w:val="auto"/>
          <w:lang w:eastAsia="zh-CN"/>
        </w:rPr>
        <w:t xml:space="preserve"> 5.40 and for IMS was </w:t>
      </w:r>
      <w:r w:rsidR="0075209C">
        <w:rPr>
          <w:rFonts w:eastAsia="SimSun"/>
          <w:color w:val="auto"/>
          <w:lang w:eastAsia="zh-CN"/>
        </w:rPr>
        <w:t>8.2, using these values as reference, participants were labelled as high or low in motivation to respond without prejudice.</w:t>
      </w:r>
      <w:r w:rsidR="003E1EEA">
        <w:rPr>
          <w:rFonts w:eastAsia="SimSun"/>
          <w:color w:val="auto"/>
          <w:lang w:eastAsia="zh-CN"/>
        </w:rPr>
        <w:t xml:space="preserve"> </w:t>
      </w:r>
      <w:bookmarkEnd w:id="72"/>
      <w:r w:rsidRPr="00D40C27">
        <w:rPr>
          <w:rFonts w:eastAsia="SimSun"/>
          <w:color w:val="auto"/>
          <w:lang w:eastAsia="zh-CN"/>
        </w:rPr>
        <w:t>The reliability for most scales was good (</w:t>
      </w:r>
      <w:r w:rsidRPr="00D40C27">
        <w:rPr>
          <w:rFonts w:eastAsia="SimSun"/>
          <w:bCs/>
          <w:color w:val="auto"/>
          <w:lang w:eastAsia="zh-CN"/>
        </w:rPr>
        <w:t>α</w:t>
      </w:r>
      <w:r w:rsidRPr="00D40C27">
        <w:rPr>
          <w:rFonts w:eastAsia="SimSun"/>
          <w:color w:val="auto"/>
          <w:lang w:eastAsia="zh-CN"/>
        </w:rPr>
        <w:t xml:space="preserve"> &gt; .77).</w:t>
      </w:r>
    </w:p>
    <w:p w14:paraId="66700AAE" w14:textId="60E94807" w:rsidR="000F1616" w:rsidRDefault="000F1616" w:rsidP="000F1616">
      <w:pPr>
        <w:pBdr>
          <w:top w:val="none" w:sz="0" w:space="0" w:color="auto"/>
          <w:left w:val="none" w:sz="0" w:space="0" w:color="auto"/>
          <w:bottom w:val="none" w:sz="0" w:space="0" w:color="auto"/>
          <w:right w:val="none" w:sz="0" w:space="0" w:color="auto"/>
          <w:between w:val="none" w:sz="0" w:space="0" w:color="auto"/>
        </w:pBdr>
        <w:ind w:firstLine="851"/>
        <w:rPr>
          <w:rFonts w:eastAsia="SimSun"/>
          <w:bCs/>
          <w:color w:val="auto"/>
          <w:lang w:eastAsia="zh-CN"/>
        </w:rPr>
      </w:pPr>
    </w:p>
    <w:p w14:paraId="707D27DB" w14:textId="0C6EEB4E" w:rsidR="000411C2" w:rsidRDefault="000411C2" w:rsidP="000F1616">
      <w:pPr>
        <w:pBdr>
          <w:top w:val="none" w:sz="0" w:space="0" w:color="auto"/>
          <w:left w:val="none" w:sz="0" w:space="0" w:color="auto"/>
          <w:bottom w:val="none" w:sz="0" w:space="0" w:color="auto"/>
          <w:right w:val="none" w:sz="0" w:space="0" w:color="auto"/>
          <w:between w:val="none" w:sz="0" w:space="0" w:color="auto"/>
        </w:pBdr>
        <w:ind w:firstLine="851"/>
        <w:rPr>
          <w:rFonts w:eastAsia="SimSun"/>
          <w:bCs/>
          <w:color w:val="auto"/>
          <w:lang w:eastAsia="zh-CN"/>
        </w:rPr>
      </w:pPr>
    </w:p>
    <w:p w14:paraId="1645D4CC" w14:textId="77777777" w:rsidR="000411C2" w:rsidRDefault="000411C2" w:rsidP="000F1616">
      <w:pPr>
        <w:pBdr>
          <w:top w:val="none" w:sz="0" w:space="0" w:color="auto"/>
          <w:left w:val="none" w:sz="0" w:space="0" w:color="auto"/>
          <w:bottom w:val="none" w:sz="0" w:space="0" w:color="auto"/>
          <w:right w:val="none" w:sz="0" w:space="0" w:color="auto"/>
          <w:between w:val="none" w:sz="0" w:space="0" w:color="auto"/>
        </w:pBdr>
        <w:ind w:firstLine="851"/>
        <w:rPr>
          <w:rFonts w:eastAsia="SimSun"/>
          <w:bCs/>
          <w:color w:val="auto"/>
          <w:lang w:eastAsia="zh-CN"/>
        </w:rPr>
      </w:pPr>
    </w:p>
    <w:p w14:paraId="75BE9510" w14:textId="77777777" w:rsidR="005B1964" w:rsidRPr="00D40C27" w:rsidRDefault="005B1964" w:rsidP="000F1616">
      <w:pPr>
        <w:pBdr>
          <w:top w:val="none" w:sz="0" w:space="0" w:color="auto"/>
          <w:left w:val="none" w:sz="0" w:space="0" w:color="auto"/>
          <w:bottom w:val="none" w:sz="0" w:space="0" w:color="auto"/>
          <w:right w:val="none" w:sz="0" w:space="0" w:color="auto"/>
          <w:between w:val="none" w:sz="0" w:space="0" w:color="auto"/>
        </w:pBdr>
        <w:ind w:firstLine="851"/>
        <w:rPr>
          <w:rFonts w:eastAsia="SimSun"/>
          <w:bCs/>
          <w:color w:val="auto"/>
          <w:lang w:eastAsia="zh-CN"/>
        </w:rPr>
      </w:pPr>
    </w:p>
    <w:p w14:paraId="2B69715D" w14:textId="77777777" w:rsidR="000F1616" w:rsidRPr="00D40C27" w:rsidRDefault="000F1616" w:rsidP="000F1616">
      <w:pPr>
        <w:pStyle w:val="Tables"/>
        <w:rPr>
          <w:lang w:eastAsia="zh-CN"/>
        </w:rPr>
      </w:pPr>
      <w:bookmarkStart w:id="73" w:name="_Toc12024830"/>
      <w:r w:rsidRPr="00D40C27">
        <w:rPr>
          <w:lang w:eastAsia="zh-CN"/>
        </w:rPr>
        <w:lastRenderedPageBreak/>
        <w:t xml:space="preserve">Table </w:t>
      </w:r>
      <w:r>
        <w:rPr>
          <w:lang w:eastAsia="zh-CN"/>
        </w:rPr>
        <w:t>3.</w:t>
      </w:r>
      <w:r w:rsidRPr="00D40C27">
        <w:rPr>
          <w:lang w:eastAsia="zh-CN"/>
        </w:rPr>
        <w:t>4. Cronbach alphas, mean and normative means of scales</w:t>
      </w:r>
      <w:bookmarkEnd w:id="73"/>
    </w:p>
    <w:tbl>
      <w:tblPr>
        <w:tblW w:w="8490" w:type="dxa"/>
        <w:tblInd w:w="-552" w:type="dxa"/>
        <w:tblLook w:val="04A0" w:firstRow="1" w:lastRow="0" w:firstColumn="1" w:lastColumn="0" w:noHBand="0" w:noVBand="1"/>
      </w:tblPr>
      <w:tblGrid>
        <w:gridCol w:w="1696"/>
        <w:gridCol w:w="2977"/>
        <w:gridCol w:w="851"/>
        <w:gridCol w:w="1417"/>
        <w:gridCol w:w="1559"/>
      </w:tblGrid>
      <w:tr w:rsidR="000F1616" w:rsidRPr="00D40C27" w14:paraId="59B9C644" w14:textId="77777777" w:rsidTr="00014EE0">
        <w:trPr>
          <w:trHeight w:val="480"/>
        </w:trPr>
        <w:tc>
          <w:tcPr>
            <w:tcW w:w="1686" w:type="dxa"/>
            <w:tcBorders>
              <w:top w:val="single" w:sz="4" w:space="0" w:color="auto"/>
              <w:left w:val="nil"/>
              <w:bottom w:val="single" w:sz="4" w:space="0" w:color="auto"/>
              <w:right w:val="nil"/>
            </w:tcBorders>
            <w:shd w:val="clear" w:color="auto" w:fill="auto"/>
            <w:noWrap/>
            <w:vAlign w:val="center"/>
            <w:hideMark/>
          </w:tcPr>
          <w:p w14:paraId="072EBBA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b/>
                <w:bCs/>
              </w:rPr>
            </w:pPr>
            <w:r w:rsidRPr="00D40C27">
              <w:rPr>
                <w:rFonts w:eastAsia="Times New Roman"/>
                <w:b/>
                <w:bCs/>
              </w:rPr>
              <w:t>Questionnaire</w:t>
            </w:r>
          </w:p>
        </w:tc>
        <w:tc>
          <w:tcPr>
            <w:tcW w:w="2977" w:type="dxa"/>
            <w:tcBorders>
              <w:top w:val="single" w:sz="4" w:space="0" w:color="auto"/>
              <w:left w:val="nil"/>
              <w:bottom w:val="single" w:sz="4" w:space="0" w:color="auto"/>
              <w:right w:val="nil"/>
            </w:tcBorders>
            <w:shd w:val="clear" w:color="auto" w:fill="auto"/>
            <w:noWrap/>
            <w:vAlign w:val="center"/>
            <w:hideMark/>
          </w:tcPr>
          <w:p w14:paraId="26E1B85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b/>
                <w:bCs/>
              </w:rPr>
            </w:pPr>
            <w:r w:rsidRPr="00D40C27">
              <w:rPr>
                <w:rFonts w:eastAsia="Times New Roman"/>
                <w:b/>
                <w:bCs/>
              </w:rPr>
              <w:t>Construct</w:t>
            </w:r>
          </w:p>
        </w:tc>
        <w:tc>
          <w:tcPr>
            <w:tcW w:w="851" w:type="dxa"/>
            <w:tcBorders>
              <w:top w:val="single" w:sz="4" w:space="0" w:color="auto"/>
              <w:left w:val="nil"/>
              <w:bottom w:val="single" w:sz="4" w:space="0" w:color="auto"/>
              <w:right w:val="nil"/>
            </w:tcBorders>
            <w:shd w:val="clear" w:color="auto" w:fill="auto"/>
            <w:noWrap/>
            <w:vAlign w:val="center"/>
            <w:hideMark/>
          </w:tcPr>
          <w:p w14:paraId="3C6A47D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b/>
                <w:bCs/>
              </w:rPr>
            </w:pPr>
            <w:r w:rsidRPr="00D40C27">
              <w:rPr>
                <w:rFonts w:eastAsia="Times New Roman"/>
                <w:b/>
                <w:bCs/>
              </w:rPr>
              <w:t>Alpha</w:t>
            </w:r>
          </w:p>
        </w:tc>
        <w:tc>
          <w:tcPr>
            <w:tcW w:w="1417" w:type="dxa"/>
            <w:tcBorders>
              <w:top w:val="single" w:sz="4" w:space="0" w:color="auto"/>
              <w:left w:val="nil"/>
              <w:bottom w:val="single" w:sz="4" w:space="0" w:color="auto"/>
              <w:right w:val="nil"/>
            </w:tcBorders>
            <w:shd w:val="clear" w:color="auto" w:fill="auto"/>
            <w:vAlign w:val="center"/>
            <w:hideMark/>
          </w:tcPr>
          <w:p w14:paraId="5453A3B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b/>
                <w:bCs/>
              </w:rPr>
            </w:pPr>
            <w:r w:rsidRPr="00D40C27">
              <w:rPr>
                <w:rFonts w:eastAsia="Times New Roman"/>
                <w:b/>
                <w:bCs/>
              </w:rPr>
              <w:t>Mean (SD)</w:t>
            </w:r>
          </w:p>
        </w:tc>
        <w:tc>
          <w:tcPr>
            <w:tcW w:w="1559" w:type="dxa"/>
            <w:tcBorders>
              <w:top w:val="single" w:sz="4" w:space="0" w:color="auto"/>
              <w:left w:val="nil"/>
              <w:bottom w:val="single" w:sz="4" w:space="0" w:color="auto"/>
              <w:right w:val="nil"/>
            </w:tcBorders>
            <w:shd w:val="clear" w:color="auto" w:fill="auto"/>
            <w:vAlign w:val="center"/>
            <w:hideMark/>
          </w:tcPr>
          <w:p w14:paraId="27BD0A7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b/>
                <w:bCs/>
              </w:rPr>
            </w:pPr>
            <w:r w:rsidRPr="00D40C27">
              <w:rPr>
                <w:rFonts w:eastAsia="Times New Roman"/>
                <w:b/>
                <w:bCs/>
              </w:rPr>
              <w:t>Normative</w:t>
            </w:r>
          </w:p>
          <w:p w14:paraId="1A4810D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b/>
                <w:bCs/>
              </w:rPr>
            </w:pPr>
            <w:r w:rsidRPr="00D40C27">
              <w:rPr>
                <w:rFonts w:eastAsia="Times New Roman"/>
                <w:b/>
                <w:bCs/>
              </w:rPr>
              <w:t>mean (SD)</w:t>
            </w:r>
          </w:p>
        </w:tc>
      </w:tr>
      <w:tr w:rsidR="000F1616" w:rsidRPr="00D40C27" w14:paraId="407FF01B" w14:textId="77777777" w:rsidTr="00014EE0">
        <w:trPr>
          <w:trHeight w:val="300"/>
        </w:trPr>
        <w:tc>
          <w:tcPr>
            <w:tcW w:w="1686" w:type="dxa"/>
            <w:tcBorders>
              <w:top w:val="nil"/>
              <w:left w:val="nil"/>
              <w:bottom w:val="nil"/>
              <w:right w:val="nil"/>
            </w:tcBorders>
            <w:shd w:val="clear" w:color="auto" w:fill="auto"/>
            <w:noWrap/>
            <w:vAlign w:val="bottom"/>
            <w:hideMark/>
          </w:tcPr>
          <w:p w14:paraId="46F7FC3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CARVAL</w:t>
            </w:r>
          </w:p>
        </w:tc>
        <w:tc>
          <w:tcPr>
            <w:tcW w:w="2977" w:type="dxa"/>
            <w:tcBorders>
              <w:top w:val="nil"/>
              <w:left w:val="nil"/>
              <w:bottom w:val="nil"/>
              <w:right w:val="nil"/>
            </w:tcBorders>
            <w:shd w:val="clear" w:color="auto" w:fill="auto"/>
            <w:noWrap/>
            <w:vAlign w:val="bottom"/>
            <w:hideMark/>
          </w:tcPr>
          <w:p w14:paraId="329397D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Valence of appearance</w:t>
            </w:r>
          </w:p>
        </w:tc>
        <w:tc>
          <w:tcPr>
            <w:tcW w:w="851" w:type="dxa"/>
            <w:tcBorders>
              <w:top w:val="nil"/>
              <w:left w:val="nil"/>
              <w:bottom w:val="nil"/>
              <w:right w:val="nil"/>
            </w:tcBorders>
            <w:shd w:val="clear" w:color="auto" w:fill="auto"/>
            <w:noWrap/>
            <w:vAlign w:val="bottom"/>
            <w:hideMark/>
          </w:tcPr>
          <w:p w14:paraId="633495A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rPr>
            </w:pPr>
            <w:r w:rsidRPr="00D40C27">
              <w:rPr>
                <w:rFonts w:eastAsia="Times New Roman"/>
              </w:rPr>
              <w:t>0.92</w:t>
            </w:r>
          </w:p>
        </w:tc>
        <w:tc>
          <w:tcPr>
            <w:tcW w:w="1417" w:type="dxa"/>
            <w:tcBorders>
              <w:top w:val="nil"/>
              <w:left w:val="nil"/>
              <w:bottom w:val="nil"/>
              <w:right w:val="nil"/>
            </w:tcBorders>
            <w:shd w:val="clear" w:color="auto" w:fill="auto"/>
            <w:noWrap/>
            <w:vAlign w:val="bottom"/>
            <w:hideMark/>
          </w:tcPr>
          <w:p w14:paraId="735E083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19.35(6.30)</w:t>
            </w:r>
          </w:p>
        </w:tc>
        <w:tc>
          <w:tcPr>
            <w:tcW w:w="1559" w:type="dxa"/>
            <w:tcBorders>
              <w:top w:val="nil"/>
              <w:left w:val="nil"/>
              <w:bottom w:val="nil"/>
              <w:right w:val="nil"/>
            </w:tcBorders>
            <w:shd w:val="clear" w:color="auto" w:fill="auto"/>
            <w:noWrap/>
            <w:vAlign w:val="center"/>
            <w:hideMark/>
          </w:tcPr>
          <w:p w14:paraId="796F5E4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19.2(8.0)</w:t>
            </w:r>
            <w:r w:rsidRPr="00D40C27">
              <w:rPr>
                <w:rFonts w:eastAsia="Times New Roman"/>
                <w:vertAlign w:val="superscript"/>
              </w:rPr>
              <w:t>1</w:t>
            </w:r>
          </w:p>
        </w:tc>
      </w:tr>
      <w:tr w:rsidR="000F1616" w:rsidRPr="00D40C27" w14:paraId="6AB073F7" w14:textId="77777777" w:rsidTr="00014EE0">
        <w:trPr>
          <w:trHeight w:val="300"/>
        </w:trPr>
        <w:tc>
          <w:tcPr>
            <w:tcW w:w="1686" w:type="dxa"/>
            <w:tcBorders>
              <w:top w:val="nil"/>
              <w:left w:val="nil"/>
              <w:bottom w:val="nil"/>
              <w:right w:val="nil"/>
            </w:tcBorders>
            <w:shd w:val="clear" w:color="auto" w:fill="auto"/>
            <w:noWrap/>
            <w:vAlign w:val="bottom"/>
            <w:hideMark/>
          </w:tcPr>
          <w:p w14:paraId="072B057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CARSAL</w:t>
            </w:r>
          </w:p>
        </w:tc>
        <w:tc>
          <w:tcPr>
            <w:tcW w:w="2977" w:type="dxa"/>
            <w:tcBorders>
              <w:top w:val="nil"/>
              <w:left w:val="nil"/>
              <w:bottom w:val="nil"/>
              <w:right w:val="nil"/>
            </w:tcBorders>
            <w:shd w:val="clear" w:color="auto" w:fill="auto"/>
            <w:noWrap/>
            <w:vAlign w:val="bottom"/>
            <w:hideMark/>
          </w:tcPr>
          <w:p w14:paraId="187D6EE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Salience of appearance</w:t>
            </w:r>
          </w:p>
        </w:tc>
        <w:tc>
          <w:tcPr>
            <w:tcW w:w="851" w:type="dxa"/>
            <w:tcBorders>
              <w:top w:val="nil"/>
              <w:left w:val="nil"/>
              <w:bottom w:val="nil"/>
              <w:right w:val="nil"/>
            </w:tcBorders>
            <w:shd w:val="clear" w:color="auto" w:fill="auto"/>
            <w:noWrap/>
            <w:vAlign w:val="bottom"/>
            <w:hideMark/>
          </w:tcPr>
          <w:p w14:paraId="1F14C1D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rPr>
            </w:pPr>
            <w:r w:rsidRPr="00D40C27">
              <w:rPr>
                <w:rFonts w:eastAsia="Times New Roman"/>
              </w:rPr>
              <w:t>0.84</w:t>
            </w:r>
          </w:p>
        </w:tc>
        <w:tc>
          <w:tcPr>
            <w:tcW w:w="1417" w:type="dxa"/>
            <w:tcBorders>
              <w:top w:val="nil"/>
              <w:left w:val="nil"/>
              <w:bottom w:val="nil"/>
              <w:right w:val="nil"/>
            </w:tcBorders>
            <w:shd w:val="clear" w:color="auto" w:fill="auto"/>
            <w:noWrap/>
            <w:vAlign w:val="bottom"/>
            <w:hideMark/>
          </w:tcPr>
          <w:p w14:paraId="7A5CAC0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19.81(4.92)</w:t>
            </w:r>
          </w:p>
        </w:tc>
        <w:tc>
          <w:tcPr>
            <w:tcW w:w="1559" w:type="dxa"/>
            <w:tcBorders>
              <w:top w:val="nil"/>
              <w:left w:val="nil"/>
              <w:bottom w:val="nil"/>
              <w:right w:val="nil"/>
            </w:tcBorders>
            <w:shd w:val="clear" w:color="auto" w:fill="auto"/>
            <w:noWrap/>
            <w:vAlign w:val="center"/>
            <w:hideMark/>
          </w:tcPr>
          <w:p w14:paraId="50410D8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20.2(6.7)</w:t>
            </w:r>
            <w:r w:rsidRPr="00D40C27">
              <w:rPr>
                <w:rFonts w:eastAsia="Times New Roman"/>
                <w:vertAlign w:val="superscript"/>
              </w:rPr>
              <w:t>1</w:t>
            </w:r>
          </w:p>
        </w:tc>
      </w:tr>
      <w:tr w:rsidR="000F1616" w:rsidRPr="00D40C27" w14:paraId="5B8409F7" w14:textId="77777777" w:rsidTr="00014EE0">
        <w:trPr>
          <w:trHeight w:val="300"/>
        </w:trPr>
        <w:tc>
          <w:tcPr>
            <w:tcW w:w="1686" w:type="dxa"/>
            <w:vMerge w:val="restart"/>
            <w:tcBorders>
              <w:top w:val="nil"/>
              <w:left w:val="nil"/>
              <w:bottom w:val="nil"/>
              <w:right w:val="nil"/>
            </w:tcBorders>
            <w:shd w:val="clear" w:color="auto" w:fill="auto"/>
            <w:noWrap/>
            <w:vAlign w:val="center"/>
            <w:hideMark/>
          </w:tcPr>
          <w:p w14:paraId="0E5DC3F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DS-R</w:t>
            </w:r>
          </w:p>
        </w:tc>
        <w:tc>
          <w:tcPr>
            <w:tcW w:w="2977" w:type="dxa"/>
            <w:tcBorders>
              <w:top w:val="nil"/>
              <w:left w:val="nil"/>
              <w:bottom w:val="nil"/>
              <w:right w:val="nil"/>
            </w:tcBorders>
            <w:shd w:val="clear" w:color="auto" w:fill="auto"/>
            <w:noWrap/>
            <w:vAlign w:val="bottom"/>
            <w:hideMark/>
          </w:tcPr>
          <w:p w14:paraId="3E33B08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Disgust sensitivity</w:t>
            </w:r>
          </w:p>
        </w:tc>
        <w:tc>
          <w:tcPr>
            <w:tcW w:w="851" w:type="dxa"/>
            <w:tcBorders>
              <w:top w:val="nil"/>
              <w:left w:val="nil"/>
              <w:bottom w:val="nil"/>
              <w:right w:val="nil"/>
            </w:tcBorders>
            <w:shd w:val="clear" w:color="auto" w:fill="auto"/>
            <w:noWrap/>
            <w:vAlign w:val="center"/>
            <w:hideMark/>
          </w:tcPr>
          <w:p w14:paraId="6007DDB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rPr>
            </w:pPr>
            <w:r w:rsidRPr="00D40C27">
              <w:rPr>
                <w:rFonts w:eastAsia="Times New Roman"/>
              </w:rPr>
              <w:t>0.78</w:t>
            </w:r>
          </w:p>
        </w:tc>
        <w:tc>
          <w:tcPr>
            <w:tcW w:w="1417" w:type="dxa"/>
            <w:tcBorders>
              <w:top w:val="nil"/>
              <w:left w:val="nil"/>
              <w:bottom w:val="nil"/>
              <w:right w:val="nil"/>
            </w:tcBorders>
            <w:shd w:val="clear" w:color="auto" w:fill="auto"/>
            <w:noWrap/>
            <w:vAlign w:val="bottom"/>
            <w:hideMark/>
          </w:tcPr>
          <w:p w14:paraId="28D0C76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1.56(0.45)</w:t>
            </w:r>
          </w:p>
        </w:tc>
        <w:tc>
          <w:tcPr>
            <w:tcW w:w="1559" w:type="dxa"/>
            <w:tcBorders>
              <w:top w:val="nil"/>
              <w:left w:val="nil"/>
              <w:bottom w:val="nil"/>
              <w:right w:val="nil"/>
            </w:tcBorders>
            <w:shd w:val="clear" w:color="auto" w:fill="auto"/>
            <w:noWrap/>
            <w:vAlign w:val="center"/>
            <w:hideMark/>
          </w:tcPr>
          <w:p w14:paraId="6C7EE78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lang w:val="en-US"/>
              </w:rPr>
              <w:t>1.67 (.605)</w:t>
            </w:r>
            <w:r w:rsidRPr="00D40C27">
              <w:rPr>
                <w:rFonts w:eastAsia="Times New Roman"/>
                <w:vertAlign w:val="superscript"/>
                <w:lang w:val="en-US"/>
              </w:rPr>
              <w:t>2</w:t>
            </w:r>
          </w:p>
        </w:tc>
      </w:tr>
      <w:tr w:rsidR="000F1616" w:rsidRPr="00D40C27" w14:paraId="7AC6D72F" w14:textId="77777777" w:rsidTr="00014EE0">
        <w:trPr>
          <w:trHeight w:val="300"/>
        </w:trPr>
        <w:tc>
          <w:tcPr>
            <w:tcW w:w="1686" w:type="dxa"/>
            <w:vMerge/>
            <w:tcBorders>
              <w:top w:val="nil"/>
              <w:left w:val="nil"/>
              <w:bottom w:val="nil"/>
              <w:right w:val="nil"/>
            </w:tcBorders>
            <w:vAlign w:val="center"/>
            <w:hideMark/>
          </w:tcPr>
          <w:p w14:paraId="737F3B4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p>
        </w:tc>
        <w:tc>
          <w:tcPr>
            <w:tcW w:w="2977" w:type="dxa"/>
            <w:tcBorders>
              <w:top w:val="nil"/>
              <w:left w:val="nil"/>
              <w:bottom w:val="nil"/>
              <w:right w:val="nil"/>
            </w:tcBorders>
            <w:shd w:val="clear" w:color="auto" w:fill="auto"/>
            <w:noWrap/>
            <w:vAlign w:val="bottom"/>
            <w:hideMark/>
          </w:tcPr>
          <w:p w14:paraId="7312A20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Core Disgust</w:t>
            </w:r>
          </w:p>
        </w:tc>
        <w:tc>
          <w:tcPr>
            <w:tcW w:w="851" w:type="dxa"/>
            <w:tcBorders>
              <w:top w:val="nil"/>
              <w:left w:val="nil"/>
              <w:bottom w:val="nil"/>
              <w:right w:val="nil"/>
            </w:tcBorders>
            <w:shd w:val="clear" w:color="auto" w:fill="auto"/>
            <w:noWrap/>
            <w:vAlign w:val="center"/>
            <w:hideMark/>
          </w:tcPr>
          <w:p w14:paraId="2CDEFB6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p>
        </w:tc>
        <w:tc>
          <w:tcPr>
            <w:tcW w:w="1417" w:type="dxa"/>
            <w:tcBorders>
              <w:top w:val="nil"/>
              <w:left w:val="nil"/>
              <w:bottom w:val="nil"/>
              <w:right w:val="nil"/>
            </w:tcBorders>
            <w:shd w:val="clear" w:color="auto" w:fill="auto"/>
            <w:noWrap/>
            <w:vAlign w:val="bottom"/>
            <w:hideMark/>
          </w:tcPr>
          <w:p w14:paraId="01605B7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1.71(0.49)</w:t>
            </w:r>
          </w:p>
        </w:tc>
        <w:tc>
          <w:tcPr>
            <w:tcW w:w="1559" w:type="dxa"/>
            <w:tcBorders>
              <w:top w:val="nil"/>
              <w:left w:val="nil"/>
              <w:bottom w:val="nil"/>
              <w:right w:val="nil"/>
            </w:tcBorders>
            <w:shd w:val="clear" w:color="auto" w:fill="auto"/>
            <w:noWrap/>
            <w:vAlign w:val="center"/>
            <w:hideMark/>
          </w:tcPr>
          <w:p w14:paraId="68A0C58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lang w:val="en-US"/>
              </w:rPr>
              <w:t>1.93 (.672)</w:t>
            </w:r>
            <w:r w:rsidRPr="00D40C27">
              <w:rPr>
                <w:rFonts w:eastAsia="Times New Roman"/>
                <w:vertAlign w:val="superscript"/>
                <w:lang w:val="en-US"/>
              </w:rPr>
              <w:t xml:space="preserve"> 2</w:t>
            </w:r>
          </w:p>
        </w:tc>
      </w:tr>
      <w:tr w:rsidR="000F1616" w:rsidRPr="00D40C27" w14:paraId="7D7F9500" w14:textId="77777777" w:rsidTr="00014EE0">
        <w:trPr>
          <w:trHeight w:val="300"/>
        </w:trPr>
        <w:tc>
          <w:tcPr>
            <w:tcW w:w="1686" w:type="dxa"/>
            <w:vMerge/>
            <w:tcBorders>
              <w:top w:val="nil"/>
              <w:left w:val="nil"/>
              <w:bottom w:val="nil"/>
              <w:right w:val="nil"/>
            </w:tcBorders>
            <w:vAlign w:val="center"/>
            <w:hideMark/>
          </w:tcPr>
          <w:p w14:paraId="393A172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p>
        </w:tc>
        <w:tc>
          <w:tcPr>
            <w:tcW w:w="2977" w:type="dxa"/>
            <w:tcBorders>
              <w:top w:val="nil"/>
              <w:left w:val="nil"/>
              <w:bottom w:val="nil"/>
              <w:right w:val="nil"/>
            </w:tcBorders>
            <w:shd w:val="clear" w:color="auto" w:fill="auto"/>
            <w:noWrap/>
            <w:vAlign w:val="bottom"/>
            <w:hideMark/>
          </w:tcPr>
          <w:p w14:paraId="04969DA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Animal Disgust</w:t>
            </w:r>
          </w:p>
        </w:tc>
        <w:tc>
          <w:tcPr>
            <w:tcW w:w="851" w:type="dxa"/>
            <w:tcBorders>
              <w:top w:val="nil"/>
              <w:left w:val="nil"/>
              <w:bottom w:val="nil"/>
              <w:right w:val="nil"/>
            </w:tcBorders>
            <w:shd w:val="clear" w:color="auto" w:fill="auto"/>
            <w:noWrap/>
            <w:vAlign w:val="center"/>
            <w:hideMark/>
          </w:tcPr>
          <w:p w14:paraId="212B579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p>
        </w:tc>
        <w:tc>
          <w:tcPr>
            <w:tcW w:w="1417" w:type="dxa"/>
            <w:tcBorders>
              <w:top w:val="nil"/>
              <w:left w:val="nil"/>
              <w:bottom w:val="nil"/>
              <w:right w:val="nil"/>
            </w:tcBorders>
            <w:shd w:val="clear" w:color="auto" w:fill="auto"/>
            <w:noWrap/>
            <w:vAlign w:val="bottom"/>
            <w:hideMark/>
          </w:tcPr>
          <w:p w14:paraId="16CB93E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1.64(0.71)</w:t>
            </w:r>
          </w:p>
        </w:tc>
        <w:tc>
          <w:tcPr>
            <w:tcW w:w="1559" w:type="dxa"/>
            <w:tcBorders>
              <w:top w:val="nil"/>
              <w:left w:val="nil"/>
              <w:bottom w:val="nil"/>
              <w:right w:val="nil"/>
            </w:tcBorders>
            <w:shd w:val="clear" w:color="auto" w:fill="auto"/>
            <w:noWrap/>
            <w:vAlign w:val="center"/>
            <w:hideMark/>
          </w:tcPr>
          <w:p w14:paraId="1AF67F5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lang w:val="en-US"/>
              </w:rPr>
              <w:t>1.64 (.803)</w:t>
            </w:r>
            <w:r w:rsidRPr="00D40C27">
              <w:rPr>
                <w:rFonts w:eastAsia="Times New Roman"/>
                <w:vertAlign w:val="superscript"/>
                <w:lang w:val="en-US"/>
              </w:rPr>
              <w:t xml:space="preserve"> 2</w:t>
            </w:r>
          </w:p>
        </w:tc>
      </w:tr>
      <w:tr w:rsidR="000F1616" w:rsidRPr="00D40C27" w14:paraId="3B14BF67" w14:textId="77777777" w:rsidTr="00014EE0">
        <w:trPr>
          <w:trHeight w:val="300"/>
        </w:trPr>
        <w:tc>
          <w:tcPr>
            <w:tcW w:w="1686" w:type="dxa"/>
            <w:vMerge/>
            <w:tcBorders>
              <w:top w:val="nil"/>
              <w:left w:val="nil"/>
              <w:bottom w:val="nil"/>
              <w:right w:val="nil"/>
            </w:tcBorders>
            <w:vAlign w:val="center"/>
            <w:hideMark/>
          </w:tcPr>
          <w:p w14:paraId="228418E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p>
        </w:tc>
        <w:tc>
          <w:tcPr>
            <w:tcW w:w="2977" w:type="dxa"/>
            <w:tcBorders>
              <w:top w:val="nil"/>
              <w:left w:val="nil"/>
              <w:bottom w:val="nil"/>
              <w:right w:val="nil"/>
            </w:tcBorders>
            <w:shd w:val="clear" w:color="auto" w:fill="auto"/>
            <w:noWrap/>
            <w:vAlign w:val="bottom"/>
            <w:hideMark/>
          </w:tcPr>
          <w:p w14:paraId="40BB87E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Contamination Disgust</w:t>
            </w:r>
          </w:p>
        </w:tc>
        <w:tc>
          <w:tcPr>
            <w:tcW w:w="851" w:type="dxa"/>
            <w:tcBorders>
              <w:top w:val="nil"/>
              <w:left w:val="nil"/>
              <w:bottom w:val="nil"/>
              <w:right w:val="nil"/>
            </w:tcBorders>
            <w:shd w:val="clear" w:color="auto" w:fill="auto"/>
            <w:noWrap/>
            <w:vAlign w:val="center"/>
            <w:hideMark/>
          </w:tcPr>
          <w:p w14:paraId="755A18D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p>
        </w:tc>
        <w:tc>
          <w:tcPr>
            <w:tcW w:w="1417" w:type="dxa"/>
            <w:tcBorders>
              <w:top w:val="nil"/>
              <w:left w:val="nil"/>
              <w:bottom w:val="nil"/>
              <w:right w:val="nil"/>
            </w:tcBorders>
            <w:shd w:val="clear" w:color="auto" w:fill="auto"/>
            <w:noWrap/>
            <w:vAlign w:val="bottom"/>
            <w:hideMark/>
          </w:tcPr>
          <w:p w14:paraId="1C77BB1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1.09(0.68)</w:t>
            </w:r>
          </w:p>
        </w:tc>
        <w:tc>
          <w:tcPr>
            <w:tcW w:w="1559" w:type="dxa"/>
            <w:tcBorders>
              <w:top w:val="nil"/>
              <w:left w:val="nil"/>
              <w:bottom w:val="nil"/>
              <w:right w:val="nil"/>
            </w:tcBorders>
            <w:shd w:val="clear" w:color="auto" w:fill="auto"/>
            <w:noWrap/>
            <w:vAlign w:val="center"/>
            <w:hideMark/>
          </w:tcPr>
          <w:p w14:paraId="3851F44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lang w:val="en-US"/>
              </w:rPr>
              <w:t>1.07 (.722)</w:t>
            </w:r>
            <w:r w:rsidRPr="00D40C27">
              <w:rPr>
                <w:rFonts w:eastAsia="Times New Roman"/>
                <w:vertAlign w:val="superscript"/>
                <w:lang w:val="en-US"/>
              </w:rPr>
              <w:t xml:space="preserve"> 2</w:t>
            </w:r>
          </w:p>
        </w:tc>
      </w:tr>
      <w:tr w:rsidR="000F1616" w:rsidRPr="00D40C27" w14:paraId="5E1CE692" w14:textId="77777777" w:rsidTr="00014EE0">
        <w:trPr>
          <w:trHeight w:val="300"/>
        </w:trPr>
        <w:tc>
          <w:tcPr>
            <w:tcW w:w="1686" w:type="dxa"/>
            <w:tcBorders>
              <w:top w:val="nil"/>
              <w:left w:val="nil"/>
              <w:bottom w:val="nil"/>
              <w:right w:val="nil"/>
            </w:tcBorders>
            <w:shd w:val="clear" w:color="auto" w:fill="auto"/>
            <w:noWrap/>
            <w:vAlign w:val="bottom"/>
            <w:hideMark/>
          </w:tcPr>
          <w:p w14:paraId="25FF9F1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IMS</w:t>
            </w:r>
          </w:p>
        </w:tc>
        <w:tc>
          <w:tcPr>
            <w:tcW w:w="2977" w:type="dxa"/>
            <w:tcBorders>
              <w:top w:val="nil"/>
              <w:left w:val="nil"/>
              <w:bottom w:val="nil"/>
              <w:right w:val="nil"/>
            </w:tcBorders>
            <w:shd w:val="clear" w:color="auto" w:fill="auto"/>
            <w:noWrap/>
            <w:vAlign w:val="bottom"/>
            <w:hideMark/>
          </w:tcPr>
          <w:p w14:paraId="5A864869"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p>
        </w:tc>
        <w:tc>
          <w:tcPr>
            <w:tcW w:w="851" w:type="dxa"/>
            <w:tcBorders>
              <w:top w:val="nil"/>
              <w:left w:val="nil"/>
              <w:bottom w:val="nil"/>
              <w:right w:val="nil"/>
            </w:tcBorders>
            <w:shd w:val="clear" w:color="auto" w:fill="auto"/>
            <w:noWrap/>
            <w:vAlign w:val="center"/>
            <w:hideMark/>
          </w:tcPr>
          <w:p w14:paraId="6C94B9E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rPr>
            </w:pPr>
            <w:r w:rsidRPr="00D40C27">
              <w:rPr>
                <w:rFonts w:eastAsia="Times New Roman"/>
              </w:rPr>
              <w:t>0.77</w:t>
            </w:r>
          </w:p>
        </w:tc>
        <w:tc>
          <w:tcPr>
            <w:tcW w:w="1417" w:type="dxa"/>
            <w:tcBorders>
              <w:top w:val="nil"/>
              <w:left w:val="nil"/>
              <w:bottom w:val="nil"/>
              <w:right w:val="nil"/>
            </w:tcBorders>
            <w:shd w:val="clear" w:color="auto" w:fill="auto"/>
            <w:noWrap/>
            <w:vAlign w:val="bottom"/>
            <w:hideMark/>
          </w:tcPr>
          <w:p w14:paraId="20AE053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6.65(0.74)</w:t>
            </w:r>
          </w:p>
        </w:tc>
        <w:tc>
          <w:tcPr>
            <w:tcW w:w="1559" w:type="dxa"/>
            <w:tcBorders>
              <w:top w:val="nil"/>
              <w:left w:val="nil"/>
              <w:bottom w:val="nil"/>
              <w:right w:val="nil"/>
            </w:tcBorders>
            <w:shd w:val="clear" w:color="auto" w:fill="auto"/>
            <w:noWrap/>
            <w:vAlign w:val="center"/>
            <w:hideMark/>
          </w:tcPr>
          <w:p w14:paraId="4F0A6DA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7.71(1.58)</w:t>
            </w:r>
            <w:r w:rsidRPr="00D40C27">
              <w:rPr>
                <w:rFonts w:eastAsia="Times New Roman"/>
                <w:vertAlign w:val="superscript"/>
              </w:rPr>
              <w:t>3</w:t>
            </w:r>
          </w:p>
        </w:tc>
      </w:tr>
      <w:tr w:rsidR="000F1616" w:rsidRPr="00D40C27" w14:paraId="244A00F1" w14:textId="77777777" w:rsidTr="00014EE0">
        <w:trPr>
          <w:trHeight w:val="300"/>
        </w:trPr>
        <w:tc>
          <w:tcPr>
            <w:tcW w:w="1686" w:type="dxa"/>
            <w:tcBorders>
              <w:top w:val="nil"/>
              <w:left w:val="nil"/>
              <w:bottom w:val="nil"/>
              <w:right w:val="nil"/>
            </w:tcBorders>
            <w:shd w:val="clear" w:color="auto" w:fill="auto"/>
            <w:noWrap/>
            <w:vAlign w:val="bottom"/>
            <w:hideMark/>
          </w:tcPr>
          <w:p w14:paraId="15C65F8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rPr>
            </w:pPr>
          </w:p>
        </w:tc>
        <w:tc>
          <w:tcPr>
            <w:tcW w:w="2977" w:type="dxa"/>
            <w:tcBorders>
              <w:top w:val="nil"/>
              <w:left w:val="nil"/>
              <w:bottom w:val="nil"/>
              <w:right w:val="nil"/>
            </w:tcBorders>
            <w:shd w:val="clear" w:color="auto" w:fill="auto"/>
            <w:noWrap/>
            <w:vAlign w:val="bottom"/>
            <w:hideMark/>
          </w:tcPr>
          <w:p w14:paraId="764ACA5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High Internal motivation</w:t>
            </w:r>
          </w:p>
        </w:tc>
        <w:tc>
          <w:tcPr>
            <w:tcW w:w="851" w:type="dxa"/>
            <w:tcBorders>
              <w:top w:val="nil"/>
              <w:left w:val="nil"/>
              <w:bottom w:val="nil"/>
              <w:right w:val="nil"/>
            </w:tcBorders>
            <w:shd w:val="clear" w:color="auto" w:fill="auto"/>
            <w:noWrap/>
            <w:vAlign w:val="center"/>
            <w:hideMark/>
          </w:tcPr>
          <w:p w14:paraId="2E41CD8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p>
        </w:tc>
        <w:tc>
          <w:tcPr>
            <w:tcW w:w="1417" w:type="dxa"/>
            <w:tcBorders>
              <w:top w:val="nil"/>
              <w:left w:val="nil"/>
              <w:bottom w:val="nil"/>
              <w:right w:val="nil"/>
            </w:tcBorders>
            <w:shd w:val="clear" w:color="auto" w:fill="auto"/>
            <w:noWrap/>
            <w:vAlign w:val="bottom"/>
            <w:hideMark/>
          </w:tcPr>
          <w:p w14:paraId="2D760D4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7.29 (0.17)</w:t>
            </w:r>
          </w:p>
        </w:tc>
        <w:tc>
          <w:tcPr>
            <w:tcW w:w="1559" w:type="dxa"/>
            <w:tcBorders>
              <w:top w:val="nil"/>
              <w:left w:val="nil"/>
              <w:bottom w:val="nil"/>
              <w:right w:val="nil"/>
            </w:tcBorders>
            <w:shd w:val="clear" w:color="auto" w:fill="auto"/>
            <w:noWrap/>
            <w:vAlign w:val="center"/>
            <w:hideMark/>
          </w:tcPr>
          <w:p w14:paraId="24E946B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8.86</w:t>
            </w:r>
            <w:r w:rsidRPr="00D40C27">
              <w:rPr>
                <w:rFonts w:eastAsia="Times New Roman"/>
                <w:vertAlign w:val="superscript"/>
              </w:rPr>
              <w:t>4</w:t>
            </w:r>
          </w:p>
        </w:tc>
      </w:tr>
      <w:tr w:rsidR="000F1616" w:rsidRPr="00D40C27" w14:paraId="702E527B" w14:textId="77777777" w:rsidTr="00014EE0">
        <w:trPr>
          <w:trHeight w:val="300"/>
        </w:trPr>
        <w:tc>
          <w:tcPr>
            <w:tcW w:w="1686" w:type="dxa"/>
            <w:tcBorders>
              <w:top w:val="nil"/>
              <w:left w:val="nil"/>
              <w:bottom w:val="nil"/>
              <w:right w:val="nil"/>
            </w:tcBorders>
            <w:shd w:val="clear" w:color="auto" w:fill="auto"/>
            <w:noWrap/>
            <w:vAlign w:val="bottom"/>
            <w:hideMark/>
          </w:tcPr>
          <w:p w14:paraId="4612F51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rPr>
            </w:pPr>
          </w:p>
        </w:tc>
        <w:tc>
          <w:tcPr>
            <w:tcW w:w="2977" w:type="dxa"/>
            <w:tcBorders>
              <w:top w:val="nil"/>
              <w:left w:val="nil"/>
              <w:bottom w:val="nil"/>
              <w:right w:val="nil"/>
            </w:tcBorders>
            <w:shd w:val="clear" w:color="auto" w:fill="auto"/>
            <w:noWrap/>
            <w:vAlign w:val="bottom"/>
            <w:hideMark/>
          </w:tcPr>
          <w:p w14:paraId="60506D0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Low Internal motivation</w:t>
            </w:r>
          </w:p>
        </w:tc>
        <w:tc>
          <w:tcPr>
            <w:tcW w:w="851" w:type="dxa"/>
            <w:tcBorders>
              <w:top w:val="nil"/>
              <w:left w:val="nil"/>
              <w:bottom w:val="nil"/>
              <w:right w:val="nil"/>
            </w:tcBorders>
            <w:shd w:val="clear" w:color="auto" w:fill="auto"/>
            <w:noWrap/>
            <w:vAlign w:val="center"/>
            <w:hideMark/>
          </w:tcPr>
          <w:p w14:paraId="0872CBC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p>
        </w:tc>
        <w:tc>
          <w:tcPr>
            <w:tcW w:w="1417" w:type="dxa"/>
            <w:tcBorders>
              <w:top w:val="nil"/>
              <w:left w:val="nil"/>
              <w:bottom w:val="nil"/>
              <w:right w:val="nil"/>
            </w:tcBorders>
            <w:shd w:val="clear" w:color="auto" w:fill="auto"/>
            <w:noWrap/>
            <w:vAlign w:val="bottom"/>
            <w:hideMark/>
          </w:tcPr>
          <w:p w14:paraId="37007A4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6.14 (0.62)</w:t>
            </w:r>
          </w:p>
        </w:tc>
        <w:tc>
          <w:tcPr>
            <w:tcW w:w="1559" w:type="dxa"/>
            <w:tcBorders>
              <w:top w:val="nil"/>
              <w:left w:val="nil"/>
              <w:bottom w:val="nil"/>
              <w:right w:val="nil"/>
            </w:tcBorders>
            <w:shd w:val="clear" w:color="auto" w:fill="auto"/>
            <w:noWrap/>
            <w:vAlign w:val="bottom"/>
            <w:hideMark/>
          </w:tcPr>
          <w:p w14:paraId="285F6EE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5.7</w:t>
            </w:r>
            <w:r w:rsidRPr="00D40C27">
              <w:rPr>
                <w:rFonts w:eastAsia="Times New Roman"/>
                <w:vertAlign w:val="superscript"/>
              </w:rPr>
              <w:t>4</w:t>
            </w:r>
          </w:p>
        </w:tc>
      </w:tr>
      <w:tr w:rsidR="000F1616" w:rsidRPr="00D40C27" w14:paraId="0313D6B6" w14:textId="77777777" w:rsidTr="00014EE0">
        <w:trPr>
          <w:trHeight w:val="300"/>
        </w:trPr>
        <w:tc>
          <w:tcPr>
            <w:tcW w:w="1686" w:type="dxa"/>
            <w:tcBorders>
              <w:top w:val="nil"/>
              <w:left w:val="nil"/>
              <w:bottom w:val="nil"/>
              <w:right w:val="nil"/>
            </w:tcBorders>
            <w:shd w:val="clear" w:color="auto" w:fill="auto"/>
            <w:noWrap/>
            <w:vAlign w:val="bottom"/>
            <w:hideMark/>
          </w:tcPr>
          <w:p w14:paraId="3C1F2C39"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EMS</w:t>
            </w:r>
          </w:p>
        </w:tc>
        <w:tc>
          <w:tcPr>
            <w:tcW w:w="2977" w:type="dxa"/>
            <w:tcBorders>
              <w:top w:val="nil"/>
              <w:left w:val="nil"/>
              <w:bottom w:val="nil"/>
              <w:right w:val="nil"/>
            </w:tcBorders>
            <w:shd w:val="clear" w:color="auto" w:fill="auto"/>
            <w:noWrap/>
            <w:vAlign w:val="bottom"/>
            <w:hideMark/>
          </w:tcPr>
          <w:p w14:paraId="12F0642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p>
        </w:tc>
        <w:tc>
          <w:tcPr>
            <w:tcW w:w="851" w:type="dxa"/>
            <w:tcBorders>
              <w:top w:val="nil"/>
              <w:left w:val="nil"/>
              <w:bottom w:val="nil"/>
              <w:right w:val="nil"/>
            </w:tcBorders>
            <w:shd w:val="clear" w:color="auto" w:fill="auto"/>
            <w:noWrap/>
            <w:vAlign w:val="center"/>
            <w:hideMark/>
          </w:tcPr>
          <w:p w14:paraId="2B3EA65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rPr>
            </w:pPr>
            <w:r w:rsidRPr="00D40C27">
              <w:rPr>
                <w:rFonts w:eastAsia="Times New Roman"/>
              </w:rPr>
              <w:t>0.79</w:t>
            </w:r>
          </w:p>
        </w:tc>
        <w:tc>
          <w:tcPr>
            <w:tcW w:w="1417" w:type="dxa"/>
            <w:tcBorders>
              <w:top w:val="nil"/>
              <w:left w:val="nil"/>
              <w:bottom w:val="nil"/>
              <w:right w:val="nil"/>
            </w:tcBorders>
            <w:shd w:val="clear" w:color="auto" w:fill="auto"/>
            <w:noWrap/>
            <w:vAlign w:val="bottom"/>
            <w:hideMark/>
          </w:tcPr>
          <w:p w14:paraId="1D7F918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5.1(1.80);</w:t>
            </w:r>
          </w:p>
        </w:tc>
        <w:tc>
          <w:tcPr>
            <w:tcW w:w="1559" w:type="dxa"/>
            <w:tcBorders>
              <w:top w:val="nil"/>
              <w:left w:val="nil"/>
              <w:bottom w:val="nil"/>
              <w:right w:val="nil"/>
            </w:tcBorders>
            <w:shd w:val="clear" w:color="auto" w:fill="auto"/>
            <w:noWrap/>
            <w:vAlign w:val="center"/>
            <w:hideMark/>
          </w:tcPr>
          <w:p w14:paraId="41FF881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4.27(1.95)</w:t>
            </w:r>
            <w:r w:rsidRPr="00D40C27">
              <w:rPr>
                <w:rFonts w:eastAsia="Times New Roman"/>
                <w:vertAlign w:val="superscript"/>
              </w:rPr>
              <w:t>3</w:t>
            </w:r>
          </w:p>
        </w:tc>
      </w:tr>
      <w:tr w:rsidR="000F1616" w:rsidRPr="00D40C27" w14:paraId="0224A6CE" w14:textId="77777777" w:rsidTr="00014EE0">
        <w:trPr>
          <w:trHeight w:val="300"/>
        </w:trPr>
        <w:tc>
          <w:tcPr>
            <w:tcW w:w="1686" w:type="dxa"/>
            <w:tcBorders>
              <w:top w:val="nil"/>
              <w:left w:val="nil"/>
              <w:bottom w:val="nil"/>
              <w:right w:val="nil"/>
            </w:tcBorders>
            <w:shd w:val="clear" w:color="auto" w:fill="auto"/>
            <w:noWrap/>
            <w:vAlign w:val="bottom"/>
            <w:hideMark/>
          </w:tcPr>
          <w:p w14:paraId="2B20B22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rPr>
            </w:pPr>
          </w:p>
        </w:tc>
        <w:tc>
          <w:tcPr>
            <w:tcW w:w="2977" w:type="dxa"/>
            <w:tcBorders>
              <w:top w:val="nil"/>
              <w:left w:val="nil"/>
              <w:bottom w:val="nil"/>
              <w:right w:val="nil"/>
            </w:tcBorders>
            <w:shd w:val="clear" w:color="auto" w:fill="auto"/>
            <w:noWrap/>
            <w:vAlign w:val="bottom"/>
            <w:hideMark/>
          </w:tcPr>
          <w:p w14:paraId="205E3D5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High External motivation</w:t>
            </w:r>
          </w:p>
        </w:tc>
        <w:tc>
          <w:tcPr>
            <w:tcW w:w="851" w:type="dxa"/>
            <w:tcBorders>
              <w:top w:val="nil"/>
              <w:left w:val="nil"/>
              <w:bottom w:val="nil"/>
              <w:right w:val="nil"/>
            </w:tcBorders>
            <w:shd w:val="clear" w:color="auto" w:fill="auto"/>
            <w:noWrap/>
            <w:vAlign w:val="center"/>
            <w:hideMark/>
          </w:tcPr>
          <w:p w14:paraId="5A63D03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p>
        </w:tc>
        <w:tc>
          <w:tcPr>
            <w:tcW w:w="1417" w:type="dxa"/>
            <w:tcBorders>
              <w:top w:val="nil"/>
              <w:left w:val="nil"/>
              <w:bottom w:val="nil"/>
              <w:right w:val="nil"/>
            </w:tcBorders>
            <w:shd w:val="clear" w:color="auto" w:fill="auto"/>
            <w:noWrap/>
            <w:vAlign w:val="bottom"/>
            <w:hideMark/>
          </w:tcPr>
          <w:p w14:paraId="42372B1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6.73(0.85)</w:t>
            </w:r>
          </w:p>
        </w:tc>
        <w:tc>
          <w:tcPr>
            <w:tcW w:w="1559" w:type="dxa"/>
            <w:tcBorders>
              <w:top w:val="nil"/>
              <w:left w:val="nil"/>
              <w:bottom w:val="nil"/>
              <w:right w:val="nil"/>
            </w:tcBorders>
            <w:shd w:val="clear" w:color="auto" w:fill="auto"/>
            <w:noWrap/>
            <w:vAlign w:val="bottom"/>
            <w:hideMark/>
          </w:tcPr>
          <w:p w14:paraId="597BEC4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7.03</w:t>
            </w:r>
            <w:r w:rsidRPr="00D40C27">
              <w:rPr>
                <w:rFonts w:eastAsia="Times New Roman"/>
                <w:vertAlign w:val="superscript"/>
              </w:rPr>
              <w:t>4</w:t>
            </w:r>
          </w:p>
        </w:tc>
      </w:tr>
      <w:tr w:rsidR="000F1616" w:rsidRPr="00D40C27" w14:paraId="4EF8185C" w14:textId="77777777" w:rsidTr="00014EE0">
        <w:trPr>
          <w:trHeight w:val="300"/>
        </w:trPr>
        <w:tc>
          <w:tcPr>
            <w:tcW w:w="1686" w:type="dxa"/>
            <w:tcBorders>
              <w:top w:val="nil"/>
              <w:left w:val="nil"/>
              <w:right w:val="nil"/>
            </w:tcBorders>
            <w:shd w:val="clear" w:color="auto" w:fill="auto"/>
            <w:noWrap/>
            <w:vAlign w:val="bottom"/>
            <w:hideMark/>
          </w:tcPr>
          <w:p w14:paraId="531FF118"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rPr>
            </w:pPr>
          </w:p>
        </w:tc>
        <w:tc>
          <w:tcPr>
            <w:tcW w:w="2977" w:type="dxa"/>
            <w:tcBorders>
              <w:top w:val="nil"/>
              <w:left w:val="nil"/>
              <w:right w:val="nil"/>
            </w:tcBorders>
            <w:shd w:val="clear" w:color="auto" w:fill="auto"/>
            <w:noWrap/>
            <w:vAlign w:val="bottom"/>
            <w:hideMark/>
          </w:tcPr>
          <w:p w14:paraId="0B7111C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Low External motivation</w:t>
            </w:r>
          </w:p>
        </w:tc>
        <w:tc>
          <w:tcPr>
            <w:tcW w:w="851" w:type="dxa"/>
            <w:tcBorders>
              <w:top w:val="nil"/>
              <w:left w:val="nil"/>
              <w:right w:val="nil"/>
            </w:tcBorders>
            <w:shd w:val="clear" w:color="auto" w:fill="auto"/>
            <w:noWrap/>
            <w:vAlign w:val="center"/>
            <w:hideMark/>
          </w:tcPr>
          <w:p w14:paraId="0BC37A3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p>
        </w:tc>
        <w:tc>
          <w:tcPr>
            <w:tcW w:w="1417" w:type="dxa"/>
            <w:tcBorders>
              <w:top w:val="nil"/>
              <w:left w:val="nil"/>
              <w:right w:val="nil"/>
            </w:tcBorders>
            <w:shd w:val="clear" w:color="auto" w:fill="auto"/>
            <w:noWrap/>
            <w:vAlign w:val="bottom"/>
            <w:hideMark/>
          </w:tcPr>
          <w:p w14:paraId="6533C2E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3.78(1.16)</w:t>
            </w:r>
          </w:p>
        </w:tc>
        <w:tc>
          <w:tcPr>
            <w:tcW w:w="1559" w:type="dxa"/>
            <w:tcBorders>
              <w:top w:val="nil"/>
              <w:left w:val="nil"/>
              <w:right w:val="nil"/>
            </w:tcBorders>
            <w:shd w:val="clear" w:color="auto" w:fill="auto"/>
            <w:noWrap/>
            <w:vAlign w:val="center"/>
            <w:hideMark/>
          </w:tcPr>
          <w:p w14:paraId="0DC80F1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2.24</w:t>
            </w:r>
            <w:r w:rsidRPr="00D40C27">
              <w:rPr>
                <w:rFonts w:eastAsia="Times New Roman"/>
                <w:vertAlign w:val="superscript"/>
              </w:rPr>
              <w:t>4</w:t>
            </w:r>
          </w:p>
        </w:tc>
      </w:tr>
      <w:tr w:rsidR="000F1616" w:rsidRPr="00D40C27" w14:paraId="54B9BD68" w14:textId="77777777" w:rsidTr="00014EE0">
        <w:trPr>
          <w:trHeight w:val="300"/>
        </w:trPr>
        <w:tc>
          <w:tcPr>
            <w:tcW w:w="1686" w:type="dxa"/>
            <w:tcBorders>
              <w:top w:val="nil"/>
              <w:left w:val="nil"/>
              <w:bottom w:val="single" w:sz="4" w:space="0" w:color="auto"/>
              <w:right w:val="nil"/>
            </w:tcBorders>
            <w:shd w:val="clear" w:color="auto" w:fill="auto"/>
            <w:noWrap/>
            <w:vAlign w:val="bottom"/>
            <w:hideMark/>
          </w:tcPr>
          <w:p w14:paraId="1ECB58F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 xml:space="preserve">Explicit Attitudes </w:t>
            </w:r>
          </w:p>
          <w:p w14:paraId="7A1FCF0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p>
        </w:tc>
        <w:tc>
          <w:tcPr>
            <w:tcW w:w="2977" w:type="dxa"/>
            <w:tcBorders>
              <w:top w:val="nil"/>
              <w:left w:val="nil"/>
              <w:bottom w:val="single" w:sz="4" w:space="0" w:color="auto"/>
              <w:right w:val="nil"/>
            </w:tcBorders>
            <w:shd w:val="clear" w:color="auto" w:fill="auto"/>
            <w:noWrap/>
            <w:vAlign w:val="bottom"/>
            <w:hideMark/>
          </w:tcPr>
          <w:p w14:paraId="3155D8D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rPr>
                <w:rFonts w:eastAsia="Times New Roman"/>
              </w:rPr>
            </w:pPr>
            <w:r w:rsidRPr="00D40C27">
              <w:rPr>
                <w:rFonts w:eastAsia="Times New Roman"/>
              </w:rPr>
              <w:t xml:space="preserve">Explicit Attitudes </w:t>
            </w:r>
          </w:p>
        </w:tc>
        <w:tc>
          <w:tcPr>
            <w:tcW w:w="851" w:type="dxa"/>
            <w:tcBorders>
              <w:top w:val="nil"/>
              <w:left w:val="nil"/>
              <w:bottom w:val="single" w:sz="4" w:space="0" w:color="auto"/>
              <w:right w:val="nil"/>
            </w:tcBorders>
            <w:shd w:val="clear" w:color="auto" w:fill="auto"/>
            <w:noWrap/>
            <w:vAlign w:val="bottom"/>
            <w:hideMark/>
          </w:tcPr>
          <w:p w14:paraId="456DA5C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right"/>
              <w:rPr>
                <w:rFonts w:eastAsia="Times New Roman"/>
              </w:rPr>
            </w:pPr>
            <w:r w:rsidRPr="00D40C27">
              <w:rPr>
                <w:rFonts w:eastAsia="Times New Roman"/>
              </w:rPr>
              <w:t>0.93</w:t>
            </w:r>
          </w:p>
        </w:tc>
        <w:tc>
          <w:tcPr>
            <w:tcW w:w="1417" w:type="dxa"/>
            <w:tcBorders>
              <w:top w:val="nil"/>
              <w:left w:val="nil"/>
              <w:bottom w:val="single" w:sz="4" w:space="0" w:color="auto"/>
              <w:right w:val="nil"/>
            </w:tcBorders>
            <w:shd w:val="clear" w:color="auto" w:fill="auto"/>
            <w:noWrap/>
            <w:vAlign w:val="bottom"/>
            <w:hideMark/>
          </w:tcPr>
          <w:p w14:paraId="1A7D70B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5.16(1.23)</w:t>
            </w:r>
          </w:p>
        </w:tc>
        <w:tc>
          <w:tcPr>
            <w:tcW w:w="1559" w:type="dxa"/>
            <w:tcBorders>
              <w:top w:val="nil"/>
              <w:left w:val="nil"/>
              <w:bottom w:val="single" w:sz="4" w:space="0" w:color="auto"/>
              <w:right w:val="nil"/>
            </w:tcBorders>
            <w:shd w:val="clear" w:color="auto" w:fill="auto"/>
            <w:noWrap/>
            <w:vAlign w:val="bottom"/>
            <w:hideMark/>
          </w:tcPr>
          <w:p w14:paraId="59595FB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ind w:firstLine="0"/>
              <w:jc w:val="center"/>
              <w:rPr>
                <w:rFonts w:eastAsia="Times New Roman"/>
              </w:rPr>
            </w:pPr>
            <w:r w:rsidRPr="00D40C27">
              <w:rPr>
                <w:rFonts w:eastAsia="Times New Roman"/>
              </w:rPr>
              <w:t>-</w:t>
            </w:r>
          </w:p>
        </w:tc>
      </w:tr>
    </w:tbl>
    <w:p w14:paraId="74A41505"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eastAsia="SimSun"/>
          <w:color w:val="auto"/>
          <w:sz w:val="20"/>
          <w:szCs w:val="20"/>
          <w:lang w:eastAsia="zh-CN"/>
        </w:rPr>
      </w:pPr>
      <w:r w:rsidRPr="00D40C27">
        <w:rPr>
          <w:rFonts w:eastAsia="SimSun"/>
          <w:color w:val="auto"/>
          <w:sz w:val="20"/>
          <w:szCs w:val="20"/>
          <w:vertAlign w:val="superscript"/>
          <w:lang w:eastAsia="zh-CN"/>
        </w:rPr>
        <w:t>1</w:t>
      </w:r>
      <w:r w:rsidRPr="00D40C27">
        <w:rPr>
          <w:rFonts w:eastAsia="SimSun"/>
          <w:color w:val="auto"/>
          <w:sz w:val="20"/>
          <w:szCs w:val="20"/>
          <w:lang w:eastAsia="zh-CN"/>
        </w:rPr>
        <w:t>Moss &amp; Rosser, 2012</w:t>
      </w:r>
    </w:p>
    <w:p w14:paraId="55C763A4"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eastAsia="SimSun"/>
          <w:color w:val="auto"/>
          <w:sz w:val="20"/>
          <w:szCs w:val="20"/>
          <w:lang w:eastAsia="zh-CN"/>
        </w:rPr>
      </w:pPr>
      <w:r w:rsidRPr="00D40C27">
        <w:rPr>
          <w:rFonts w:eastAsia="SimSun"/>
          <w:color w:val="auto"/>
          <w:sz w:val="20"/>
          <w:szCs w:val="20"/>
          <w:vertAlign w:val="superscript"/>
          <w:lang w:eastAsia="zh-CN"/>
        </w:rPr>
        <w:t>2</w:t>
      </w:r>
      <w:r w:rsidRPr="00D40C27">
        <w:rPr>
          <w:rFonts w:eastAsia="SimSun"/>
          <w:color w:val="auto"/>
          <w:sz w:val="20"/>
          <w:szCs w:val="20"/>
          <w:lang w:eastAsia="zh-CN"/>
        </w:rPr>
        <w:t>Haidt, 2010 (USA data N = 34,442)</w:t>
      </w:r>
    </w:p>
    <w:p w14:paraId="5D466A1C"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eastAsia="SimSun"/>
          <w:color w:val="auto"/>
          <w:sz w:val="20"/>
          <w:szCs w:val="20"/>
          <w:lang w:eastAsia="zh-CN"/>
        </w:rPr>
      </w:pPr>
      <w:r w:rsidRPr="00D40C27">
        <w:rPr>
          <w:rFonts w:eastAsia="SimSun"/>
          <w:color w:val="auto"/>
          <w:sz w:val="20"/>
          <w:szCs w:val="20"/>
          <w:vertAlign w:val="superscript"/>
          <w:lang w:eastAsia="zh-CN"/>
        </w:rPr>
        <w:t>3</w:t>
      </w:r>
      <w:r w:rsidRPr="00D40C27">
        <w:rPr>
          <w:rFonts w:eastAsia="SimSun"/>
          <w:color w:val="auto"/>
          <w:sz w:val="20"/>
          <w:szCs w:val="20"/>
          <w:lang w:eastAsia="zh-CN"/>
        </w:rPr>
        <w:t>Plant and Devine, 1998 (Racial prejudice)</w:t>
      </w:r>
    </w:p>
    <w:p w14:paraId="7161A4B6"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eastAsia="SimSun"/>
          <w:color w:val="auto"/>
          <w:sz w:val="20"/>
          <w:szCs w:val="20"/>
          <w:lang w:val="fr-FR" w:eastAsia="zh-CN"/>
        </w:rPr>
      </w:pPr>
      <w:r w:rsidRPr="00D40C27">
        <w:rPr>
          <w:rFonts w:eastAsia="SimSun"/>
          <w:color w:val="auto"/>
          <w:sz w:val="20"/>
          <w:szCs w:val="20"/>
          <w:vertAlign w:val="superscript"/>
          <w:lang w:val="fr-FR" w:eastAsia="zh-CN"/>
        </w:rPr>
        <w:t>4</w:t>
      </w:r>
      <w:r w:rsidRPr="00D40C27">
        <w:rPr>
          <w:rFonts w:eastAsia="SimSun"/>
          <w:color w:val="auto"/>
          <w:sz w:val="20"/>
          <w:szCs w:val="20"/>
          <w:lang w:val="fr-FR" w:eastAsia="zh-CN"/>
        </w:rPr>
        <w:t>Devine et al., 2002 (Racial prejudice)</w:t>
      </w:r>
    </w:p>
    <w:p w14:paraId="49F8D393" w14:textId="77777777" w:rsidR="000F1616" w:rsidRPr="00CC5522"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Calibri"/>
          <w:color w:val="auto"/>
          <w:sz w:val="20"/>
          <w:szCs w:val="20"/>
          <w:lang w:val="es-419" w:eastAsia="en-US"/>
        </w:rPr>
      </w:pPr>
    </w:p>
    <w:p w14:paraId="69D9992C" w14:textId="4DC5FF71"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851"/>
        <w:rPr>
          <w:rFonts w:eastAsia="SimSun"/>
          <w:bCs/>
          <w:color w:val="auto"/>
          <w:lang w:eastAsia="zh-CN"/>
        </w:rPr>
      </w:pPr>
      <w:r w:rsidRPr="00D40C27">
        <w:rPr>
          <w:rFonts w:eastAsia="SimSun"/>
          <w:bCs/>
          <w:color w:val="auto"/>
          <w:lang w:eastAsia="zh-CN"/>
        </w:rPr>
        <w:t xml:space="preserve">Outliers were assessed using Z scores; values which standard score was +/- 3 were deleted from the dataset. Normality was assessed for all the scales and most values were within acceptable ranges (Z scores &lt; +/- 3). The only scales violating normality assumptions were the implicit motivation to respond without prejudice scale (IMS) and contamination disgust. IMS was negatively skewed and thus it was </w:t>
      </w:r>
      <w:r w:rsidR="00AD5598" w:rsidRPr="00D40C27">
        <w:rPr>
          <w:rFonts w:eastAsia="SimSun"/>
          <w:bCs/>
          <w:color w:val="auto"/>
          <w:lang w:eastAsia="zh-CN"/>
        </w:rPr>
        <w:t>reflected,</w:t>
      </w:r>
      <w:r w:rsidRPr="00D40C27">
        <w:rPr>
          <w:rFonts w:eastAsia="SimSun"/>
          <w:bCs/>
          <w:color w:val="auto"/>
          <w:lang w:eastAsia="zh-CN"/>
        </w:rPr>
        <w:t xml:space="preserve"> and log transformed following the formula ‘Lg10 (k-x)’. The contamination disgust scale was positively skewed and was transformed using the square root transformation method.</w:t>
      </w:r>
    </w:p>
    <w:p w14:paraId="5BD626F7"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b/>
          <w:color w:val="auto"/>
          <w:lang w:eastAsia="zh-CN"/>
        </w:rPr>
      </w:pPr>
    </w:p>
    <w:p w14:paraId="41A1C6D8" w14:textId="77777777" w:rsidR="000F1616" w:rsidRPr="00D40C27" w:rsidRDefault="000F1616" w:rsidP="000F1616">
      <w:pPr>
        <w:pStyle w:val="Heading3"/>
        <w:rPr>
          <w:lang w:eastAsia="zh-CN"/>
        </w:rPr>
      </w:pPr>
      <w:bookmarkStart w:id="74" w:name="_Toc12024649"/>
      <w:r w:rsidRPr="00D40C27">
        <w:rPr>
          <w:lang w:eastAsia="zh-CN"/>
        </w:rPr>
        <w:t>The implicit association test (IAT)</w:t>
      </w:r>
      <w:bookmarkEnd w:id="74"/>
    </w:p>
    <w:p w14:paraId="765622A2" w14:textId="6020D339" w:rsidR="000F1616"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Calibri"/>
          <w:color w:val="auto"/>
          <w:lang w:eastAsia="en-US"/>
        </w:rPr>
      </w:pPr>
      <w:r w:rsidRPr="00D40C27">
        <w:rPr>
          <w:rFonts w:eastAsia="Calibri"/>
          <w:color w:val="auto"/>
          <w:lang w:eastAsia="en-US"/>
        </w:rPr>
        <w:t xml:space="preserve">Results from a two-tailed t-test indicated that there was a significant difference in terms of preferences for faces without, versus with, facial disfigurement, </w:t>
      </w:r>
      <w:r w:rsidRPr="00D40C27">
        <w:rPr>
          <w:rFonts w:eastAsia="SimSun"/>
          <w:bCs/>
          <w:i/>
          <w:color w:val="auto"/>
          <w:lang w:eastAsia="zh-CN"/>
        </w:rPr>
        <w:t>t</w:t>
      </w:r>
      <w:r w:rsidRPr="00D40C27">
        <w:rPr>
          <w:rFonts w:eastAsia="SimSun"/>
          <w:bCs/>
          <w:color w:val="auto"/>
          <w:lang w:eastAsia="zh-CN"/>
        </w:rPr>
        <w:t xml:space="preserve">(488) = -67.39, </w:t>
      </w:r>
      <w:r w:rsidRPr="00D40C27">
        <w:rPr>
          <w:rFonts w:eastAsia="SimSun"/>
          <w:bCs/>
          <w:i/>
          <w:color w:val="auto"/>
          <w:lang w:eastAsia="zh-CN"/>
        </w:rPr>
        <w:t xml:space="preserve">p </w:t>
      </w:r>
      <w:r w:rsidRPr="00D40C27">
        <w:rPr>
          <w:rFonts w:eastAsia="SimSun"/>
          <w:bCs/>
          <w:color w:val="auto"/>
          <w:lang w:eastAsia="zh-CN"/>
        </w:rPr>
        <w:t>&lt; .001</w:t>
      </w:r>
      <w:r w:rsidRPr="00D40C27">
        <w:rPr>
          <w:rFonts w:eastAsia="Calibri"/>
          <w:color w:val="auto"/>
          <w:lang w:eastAsia="en-US"/>
        </w:rPr>
        <w:t xml:space="preserve">. As shown in Figure </w:t>
      </w:r>
      <w:r w:rsidR="000A7152">
        <w:rPr>
          <w:rFonts w:eastAsia="Calibri"/>
          <w:color w:val="auto"/>
          <w:lang w:eastAsia="en-US"/>
        </w:rPr>
        <w:t>3.</w:t>
      </w:r>
      <w:r w:rsidRPr="00D40C27">
        <w:rPr>
          <w:rFonts w:eastAsia="Calibri"/>
          <w:color w:val="auto"/>
          <w:lang w:eastAsia="en-US"/>
        </w:rPr>
        <w:t>1, the hypothesised congruent condition (Person with facial disfigurement/pleasant-Person without facial disfigurement-</w:t>
      </w:r>
      <w:r w:rsidRPr="00D40C27" w:rsidDel="003902F3">
        <w:rPr>
          <w:rFonts w:eastAsia="Calibri"/>
          <w:color w:val="auto"/>
          <w:lang w:eastAsia="en-US"/>
        </w:rPr>
        <w:t xml:space="preserve"> </w:t>
      </w:r>
      <w:r w:rsidRPr="00D40C27">
        <w:rPr>
          <w:rFonts w:eastAsia="Calibri"/>
          <w:color w:val="auto"/>
          <w:lang w:eastAsia="en-US"/>
        </w:rPr>
        <w:t xml:space="preserve">unpleasant) yielded faster reaction times across constructs, </w:t>
      </w:r>
      <w:r w:rsidR="00DC3E68">
        <w:rPr>
          <w:rFonts w:eastAsia="Calibri"/>
          <w:color w:val="auto"/>
          <w:lang w:eastAsia="en-US"/>
        </w:rPr>
        <w:t>suggesting</w:t>
      </w:r>
      <w:r w:rsidR="00DC3E68" w:rsidRPr="00D40C27">
        <w:rPr>
          <w:rFonts w:eastAsia="Calibri"/>
          <w:color w:val="auto"/>
          <w:lang w:eastAsia="en-US"/>
        </w:rPr>
        <w:t xml:space="preserve"> </w:t>
      </w:r>
      <w:r w:rsidRPr="00D40C27">
        <w:rPr>
          <w:rFonts w:eastAsia="Calibri"/>
          <w:color w:val="auto"/>
          <w:lang w:eastAsia="en-US"/>
        </w:rPr>
        <w:t>that participants had preference for images of faces without disfigurement.</w:t>
      </w:r>
      <w:r w:rsidR="005B1964">
        <w:rPr>
          <w:rFonts w:eastAsia="Calibri"/>
          <w:color w:val="auto"/>
          <w:lang w:eastAsia="en-US"/>
        </w:rPr>
        <w:t xml:space="preserve"> See figure 3.1.</w:t>
      </w:r>
    </w:p>
    <w:p w14:paraId="617B9CB5" w14:textId="77777777" w:rsidR="000F1616"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Calibri"/>
          <w:color w:val="auto"/>
          <w:lang w:eastAsia="en-US"/>
        </w:rPr>
      </w:pPr>
    </w:p>
    <w:p w14:paraId="5E37AF55" w14:textId="09C992FA" w:rsidR="000F1616" w:rsidRPr="00FF742F" w:rsidRDefault="000F1616" w:rsidP="000F1616">
      <w:pPr>
        <w:pStyle w:val="Figures"/>
        <w:rPr>
          <w:rFonts w:eastAsia="Calibri"/>
          <w:lang w:eastAsia="en-US"/>
        </w:rPr>
      </w:pPr>
      <w:bookmarkStart w:id="75" w:name="_Toc12024851"/>
      <w:r w:rsidRPr="00D40C27">
        <w:rPr>
          <w:lang w:eastAsia="zh-CN"/>
        </w:rPr>
        <w:t xml:space="preserve">Figure </w:t>
      </w:r>
      <w:r>
        <w:rPr>
          <w:lang w:eastAsia="zh-CN"/>
        </w:rPr>
        <w:t>3.</w:t>
      </w:r>
      <w:r w:rsidRPr="00D40C27">
        <w:rPr>
          <w:lang w:eastAsia="zh-CN"/>
        </w:rPr>
        <w:t>1. Response time differences IAT</w:t>
      </w:r>
      <w:bookmarkEnd w:id="75"/>
      <w:r w:rsidR="00DC610F">
        <w:rPr>
          <w:lang w:eastAsia="zh-CN"/>
        </w:rPr>
        <w:t xml:space="preserve"> (Mean D = </w:t>
      </w:r>
      <w:r w:rsidR="00DC610F" w:rsidRPr="004D2DCA">
        <w:rPr>
          <w:lang w:eastAsia="zh-CN"/>
        </w:rPr>
        <w:t>.96</w:t>
      </w:r>
      <w:r w:rsidR="00DC610F">
        <w:rPr>
          <w:lang w:eastAsia="zh-CN"/>
        </w:rPr>
        <w:t>)</w:t>
      </w:r>
    </w:p>
    <w:p w14:paraId="194E3915" w14:textId="19AA1265" w:rsidR="000F1616" w:rsidRPr="00D40C27" w:rsidRDefault="00D02823"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ascii="Times New Roman" w:eastAsia="Calibri" w:hAnsi="Times New Roman" w:cs="Times New Roman"/>
          <w:color w:val="auto"/>
          <w:sz w:val="24"/>
          <w:szCs w:val="24"/>
          <w:lang w:eastAsia="en-US"/>
        </w:rPr>
      </w:pPr>
      <w:r>
        <w:rPr>
          <w:rFonts w:ascii="Times New Roman" w:eastAsia="Calibri" w:hAnsi="Times New Roman" w:cs="Times New Roman"/>
          <w:noProof/>
          <w:color w:val="auto"/>
          <w:sz w:val="24"/>
          <w:szCs w:val="24"/>
          <w:lang w:val="es-CO" w:eastAsia="es-CO"/>
        </w:rPr>
        <w:drawing>
          <wp:inline distT="0" distB="0" distL="0" distR="0" wp14:anchorId="5E82937A" wp14:editId="03BD8BD5">
            <wp:extent cx="5738495" cy="4582795"/>
            <wp:effectExtent l="0" t="0" r="0" b="0"/>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8495" cy="4582795"/>
                    </a:xfrm>
                    <a:prstGeom prst="rect">
                      <a:avLst/>
                    </a:prstGeom>
                    <a:noFill/>
                    <a:ln>
                      <a:noFill/>
                    </a:ln>
                  </pic:spPr>
                </pic:pic>
              </a:graphicData>
            </a:graphic>
          </wp:inline>
        </w:drawing>
      </w:r>
    </w:p>
    <w:p w14:paraId="68F08F00" w14:textId="77777777" w:rsidR="000F1616" w:rsidRPr="00D40C27" w:rsidRDefault="000F1616" w:rsidP="000F1616">
      <w:pPr>
        <w:pStyle w:val="Heading3"/>
        <w:rPr>
          <w:lang w:eastAsia="zh-CN"/>
        </w:rPr>
      </w:pPr>
      <w:bookmarkStart w:id="76" w:name="_Toc12024650"/>
      <w:r w:rsidRPr="00D40C27">
        <w:rPr>
          <w:lang w:eastAsia="zh-CN"/>
        </w:rPr>
        <w:t>Gender and individual differences</w:t>
      </w:r>
      <w:bookmarkEnd w:id="76"/>
    </w:p>
    <w:p w14:paraId="6FAAF1ED" w14:textId="5387DB65" w:rsidR="000F1616"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bCs/>
          <w:color w:val="auto"/>
          <w:lang w:eastAsia="zh-CN"/>
        </w:rPr>
      </w:pPr>
      <w:r w:rsidRPr="00D40C27">
        <w:rPr>
          <w:rFonts w:eastAsia="SimSun"/>
          <w:bCs/>
          <w:color w:val="auto"/>
          <w:lang w:eastAsia="zh-CN"/>
        </w:rPr>
        <w:t xml:space="preserve">Independent t-tests were conducted to assess gender effects within the dataset. Gender effects were found on the outcome variables of explicit and implicit attitudes towards disfigurement, with males reporting stronger negative implicit, </w:t>
      </w:r>
      <w:r w:rsidRPr="00D40C27">
        <w:rPr>
          <w:rFonts w:eastAsia="SimSun"/>
          <w:bCs/>
          <w:i/>
          <w:color w:val="auto"/>
          <w:lang w:eastAsia="zh-CN"/>
        </w:rPr>
        <w:t>t</w:t>
      </w:r>
      <w:r w:rsidRPr="00D40C27">
        <w:rPr>
          <w:rFonts w:eastAsia="SimSun"/>
          <w:bCs/>
          <w:color w:val="auto"/>
          <w:lang w:eastAsia="zh-CN"/>
        </w:rPr>
        <w:t>(</w:t>
      </w:r>
      <w:r w:rsidR="00456449">
        <w:rPr>
          <w:rFonts w:eastAsia="SimSun"/>
          <w:bCs/>
          <w:color w:val="auto"/>
          <w:lang w:eastAsia="zh-CN"/>
        </w:rPr>
        <w:t>473</w:t>
      </w:r>
      <w:r w:rsidRPr="00D40C27">
        <w:rPr>
          <w:rFonts w:eastAsia="SimSun"/>
          <w:bCs/>
          <w:color w:val="auto"/>
          <w:lang w:eastAsia="zh-CN"/>
        </w:rPr>
        <w:t>) = 2.6</w:t>
      </w:r>
      <w:r w:rsidR="00456449">
        <w:rPr>
          <w:rFonts w:eastAsia="SimSun"/>
          <w:bCs/>
          <w:color w:val="auto"/>
          <w:lang w:eastAsia="zh-CN"/>
        </w:rPr>
        <w:t>1</w:t>
      </w:r>
      <w:r w:rsidRPr="00D40C27">
        <w:rPr>
          <w:rFonts w:eastAsia="SimSun"/>
          <w:bCs/>
          <w:color w:val="auto"/>
          <w:lang w:eastAsia="zh-CN"/>
        </w:rPr>
        <w:t xml:space="preserve">, </w:t>
      </w:r>
      <w:r w:rsidRPr="00D40C27">
        <w:rPr>
          <w:rFonts w:eastAsia="SimSun"/>
          <w:bCs/>
          <w:i/>
          <w:color w:val="auto"/>
          <w:lang w:eastAsia="zh-CN"/>
        </w:rPr>
        <w:t>p</w:t>
      </w:r>
      <w:r w:rsidRPr="00D40C27">
        <w:rPr>
          <w:rFonts w:eastAsia="SimSun"/>
          <w:bCs/>
          <w:color w:val="auto"/>
          <w:lang w:eastAsia="zh-CN"/>
        </w:rPr>
        <w:t xml:space="preserve"> = .00</w:t>
      </w:r>
      <w:r w:rsidR="00456449">
        <w:rPr>
          <w:rFonts w:eastAsia="SimSun"/>
          <w:bCs/>
          <w:color w:val="auto"/>
          <w:lang w:eastAsia="zh-CN"/>
        </w:rPr>
        <w:t>9</w:t>
      </w:r>
      <w:r w:rsidRPr="00D40C27">
        <w:rPr>
          <w:rFonts w:eastAsia="SimSun"/>
          <w:bCs/>
          <w:color w:val="auto"/>
          <w:lang w:eastAsia="zh-CN"/>
        </w:rPr>
        <w:t xml:space="preserve">, and explicit attitudes, </w:t>
      </w:r>
      <w:r w:rsidRPr="00D40C27">
        <w:rPr>
          <w:rFonts w:eastAsia="SimSun"/>
          <w:bCs/>
          <w:i/>
          <w:color w:val="auto"/>
          <w:lang w:eastAsia="zh-CN"/>
        </w:rPr>
        <w:t>t</w:t>
      </w:r>
      <w:r w:rsidRPr="00D40C27">
        <w:rPr>
          <w:rFonts w:eastAsia="SimSun"/>
          <w:bCs/>
          <w:color w:val="auto"/>
          <w:lang w:eastAsia="zh-CN"/>
        </w:rPr>
        <w:t xml:space="preserve">(428) = 2.34, </w:t>
      </w:r>
      <w:r w:rsidRPr="00D40C27">
        <w:rPr>
          <w:rFonts w:eastAsia="SimSun"/>
          <w:bCs/>
          <w:i/>
          <w:color w:val="auto"/>
          <w:lang w:eastAsia="zh-CN"/>
        </w:rPr>
        <w:t>p</w:t>
      </w:r>
      <w:r w:rsidRPr="00D40C27">
        <w:rPr>
          <w:rFonts w:eastAsia="SimSun"/>
          <w:bCs/>
          <w:color w:val="auto"/>
          <w:lang w:eastAsia="zh-CN"/>
        </w:rPr>
        <w:t xml:space="preserve"> = .02, towards FD.  </w:t>
      </w:r>
      <w:r w:rsidR="007252CE">
        <w:rPr>
          <w:rFonts w:eastAsia="SimSun"/>
          <w:bCs/>
          <w:color w:val="auto"/>
          <w:lang w:eastAsia="zh-CN"/>
        </w:rPr>
        <w:t>Compared with their female counterparts, m</w:t>
      </w:r>
      <w:r w:rsidRPr="00D40C27">
        <w:rPr>
          <w:rFonts w:eastAsia="SimSun"/>
          <w:bCs/>
          <w:color w:val="auto"/>
          <w:lang w:eastAsia="zh-CN"/>
        </w:rPr>
        <w:t xml:space="preserve">ales reported lower valence of appearance, </w:t>
      </w:r>
      <w:r w:rsidRPr="00D40C27">
        <w:rPr>
          <w:rFonts w:eastAsia="SimSun"/>
          <w:bCs/>
          <w:i/>
          <w:color w:val="auto"/>
          <w:lang w:eastAsia="zh-CN"/>
        </w:rPr>
        <w:t>t</w:t>
      </w:r>
      <w:r w:rsidRPr="00D40C27">
        <w:rPr>
          <w:rFonts w:eastAsia="SimSun"/>
          <w:bCs/>
          <w:color w:val="auto"/>
          <w:lang w:eastAsia="zh-CN"/>
        </w:rPr>
        <w:t xml:space="preserve">(439) = 2.26, </w:t>
      </w:r>
      <w:r w:rsidRPr="00D40C27">
        <w:rPr>
          <w:rFonts w:eastAsia="SimSun"/>
          <w:bCs/>
          <w:i/>
          <w:color w:val="auto"/>
          <w:lang w:eastAsia="zh-CN"/>
        </w:rPr>
        <w:t>p</w:t>
      </w:r>
      <w:r w:rsidRPr="00D40C27">
        <w:rPr>
          <w:rFonts w:eastAsia="SimSun"/>
          <w:bCs/>
          <w:color w:val="auto"/>
          <w:lang w:eastAsia="zh-CN"/>
        </w:rPr>
        <w:t xml:space="preserve"> = .02, salience of appearance, </w:t>
      </w:r>
      <w:r w:rsidRPr="00D40C27">
        <w:rPr>
          <w:rFonts w:eastAsia="SimSun"/>
          <w:bCs/>
          <w:i/>
          <w:color w:val="auto"/>
          <w:lang w:eastAsia="zh-CN"/>
        </w:rPr>
        <w:t>t</w:t>
      </w:r>
      <w:r w:rsidRPr="00D40C27">
        <w:rPr>
          <w:rFonts w:eastAsia="SimSun"/>
          <w:bCs/>
          <w:color w:val="auto"/>
          <w:lang w:eastAsia="zh-CN"/>
        </w:rPr>
        <w:t xml:space="preserve">(439) = 2.90, </w:t>
      </w:r>
      <w:r w:rsidRPr="00D40C27">
        <w:rPr>
          <w:rFonts w:eastAsia="SimSun"/>
          <w:bCs/>
          <w:i/>
          <w:color w:val="auto"/>
          <w:lang w:eastAsia="zh-CN"/>
        </w:rPr>
        <w:t>p</w:t>
      </w:r>
      <w:r w:rsidRPr="00D40C27">
        <w:rPr>
          <w:rFonts w:eastAsia="SimSun"/>
          <w:bCs/>
          <w:color w:val="auto"/>
          <w:lang w:eastAsia="zh-CN"/>
        </w:rPr>
        <w:t xml:space="preserve"> =.004, implicit motivation to respond without prejudice, </w:t>
      </w:r>
      <w:r w:rsidRPr="00D40C27">
        <w:rPr>
          <w:rFonts w:eastAsia="SimSun"/>
          <w:bCs/>
          <w:i/>
          <w:color w:val="auto"/>
          <w:lang w:eastAsia="zh-CN"/>
        </w:rPr>
        <w:t>t</w:t>
      </w:r>
      <w:r w:rsidRPr="00D40C27">
        <w:rPr>
          <w:rFonts w:eastAsia="SimSun"/>
          <w:bCs/>
          <w:color w:val="auto"/>
          <w:lang w:eastAsia="zh-CN"/>
        </w:rPr>
        <w:t xml:space="preserve">(432) = 5.20, </w:t>
      </w:r>
      <w:r w:rsidRPr="00D40C27">
        <w:rPr>
          <w:rFonts w:eastAsia="SimSun"/>
          <w:bCs/>
          <w:i/>
          <w:color w:val="auto"/>
          <w:lang w:eastAsia="zh-CN"/>
        </w:rPr>
        <w:t>p</w:t>
      </w:r>
      <w:r w:rsidRPr="00D40C27">
        <w:rPr>
          <w:rFonts w:eastAsia="SimSun"/>
          <w:bCs/>
          <w:color w:val="auto"/>
          <w:lang w:eastAsia="zh-CN"/>
        </w:rPr>
        <w:t xml:space="preserve">&lt;.001, core disgust, </w:t>
      </w:r>
      <w:r w:rsidRPr="00D40C27">
        <w:rPr>
          <w:rFonts w:eastAsia="SimSun"/>
          <w:bCs/>
          <w:i/>
          <w:color w:val="auto"/>
          <w:lang w:eastAsia="zh-CN"/>
        </w:rPr>
        <w:t>t</w:t>
      </w:r>
      <w:r w:rsidRPr="00D40C27">
        <w:rPr>
          <w:rFonts w:eastAsia="SimSun"/>
          <w:bCs/>
          <w:color w:val="auto"/>
          <w:lang w:eastAsia="zh-CN"/>
        </w:rPr>
        <w:t>(439) =</w:t>
      </w:r>
      <w:r w:rsidRPr="00D40C27">
        <w:rPr>
          <w:rFonts w:eastAsia="Times New Roman"/>
        </w:rPr>
        <w:t xml:space="preserve"> 4.98</w:t>
      </w:r>
      <w:r w:rsidRPr="00D40C27">
        <w:rPr>
          <w:rFonts w:eastAsia="SimSun"/>
          <w:bCs/>
          <w:color w:val="auto"/>
          <w:lang w:eastAsia="zh-CN"/>
        </w:rPr>
        <w:t xml:space="preserve">, </w:t>
      </w:r>
      <w:r w:rsidRPr="00D40C27">
        <w:rPr>
          <w:rFonts w:eastAsia="SimSun"/>
          <w:bCs/>
          <w:i/>
          <w:color w:val="auto"/>
          <w:lang w:eastAsia="zh-CN"/>
        </w:rPr>
        <w:t>p</w:t>
      </w:r>
      <w:r w:rsidRPr="00D40C27">
        <w:rPr>
          <w:rFonts w:eastAsia="SimSun"/>
          <w:bCs/>
          <w:color w:val="auto"/>
          <w:lang w:eastAsia="zh-CN"/>
        </w:rPr>
        <w:t xml:space="preserve">&lt;.001 and animal disgust, </w:t>
      </w:r>
      <w:r w:rsidRPr="00D40C27">
        <w:rPr>
          <w:rFonts w:eastAsia="SimSun"/>
          <w:bCs/>
          <w:i/>
          <w:color w:val="auto"/>
          <w:lang w:eastAsia="zh-CN"/>
        </w:rPr>
        <w:t>t</w:t>
      </w:r>
      <w:r w:rsidRPr="00D40C27">
        <w:rPr>
          <w:rFonts w:eastAsia="SimSun"/>
          <w:bCs/>
          <w:color w:val="auto"/>
          <w:lang w:eastAsia="zh-CN"/>
        </w:rPr>
        <w:t>(439) =</w:t>
      </w:r>
      <w:r w:rsidRPr="00D40C27">
        <w:rPr>
          <w:rFonts w:eastAsia="Times New Roman"/>
        </w:rPr>
        <w:t xml:space="preserve"> 4.47</w:t>
      </w:r>
      <w:r w:rsidRPr="00D40C27">
        <w:rPr>
          <w:rFonts w:eastAsia="SimSun"/>
          <w:bCs/>
          <w:color w:val="auto"/>
          <w:lang w:eastAsia="zh-CN"/>
        </w:rPr>
        <w:t xml:space="preserve">, </w:t>
      </w:r>
      <w:r w:rsidRPr="00D40C27">
        <w:rPr>
          <w:rFonts w:eastAsia="SimSun"/>
          <w:bCs/>
          <w:i/>
          <w:color w:val="auto"/>
          <w:lang w:eastAsia="zh-CN"/>
        </w:rPr>
        <w:t>p</w:t>
      </w:r>
      <w:r w:rsidRPr="00D40C27">
        <w:rPr>
          <w:rFonts w:eastAsia="SimSun"/>
          <w:bCs/>
          <w:color w:val="auto"/>
          <w:lang w:eastAsia="zh-CN"/>
        </w:rPr>
        <w:t>&lt;.001.</w:t>
      </w:r>
      <w:r w:rsidR="00DC3E68">
        <w:rPr>
          <w:rFonts w:eastAsia="SimSun"/>
          <w:bCs/>
          <w:color w:val="auto"/>
          <w:lang w:eastAsia="zh-CN"/>
        </w:rPr>
        <w:t xml:space="preserve"> After employing Bonferroni correction for multiple tests (i.e., 0.05/9 = </w:t>
      </w:r>
      <w:r w:rsidR="00DC3E68" w:rsidRPr="00DC3E68">
        <w:rPr>
          <w:rFonts w:eastAsia="SimSun"/>
          <w:bCs/>
          <w:color w:val="auto"/>
          <w:lang w:eastAsia="zh-CN"/>
        </w:rPr>
        <w:t>0.005</w:t>
      </w:r>
      <w:r w:rsidR="00DC3E68">
        <w:rPr>
          <w:rFonts w:eastAsia="SimSun"/>
          <w:bCs/>
          <w:color w:val="auto"/>
          <w:lang w:eastAsia="zh-CN"/>
        </w:rPr>
        <w:t>)</w:t>
      </w:r>
      <w:r w:rsidR="00DC610F">
        <w:rPr>
          <w:rFonts w:eastAsia="SimSun"/>
          <w:bCs/>
          <w:color w:val="auto"/>
          <w:lang w:eastAsia="zh-CN"/>
        </w:rPr>
        <w:t xml:space="preserve">, significant values found in IAT effect size, explicit attitudes and </w:t>
      </w:r>
      <w:r w:rsidR="007252CE">
        <w:rPr>
          <w:rFonts w:eastAsia="SimSun"/>
          <w:bCs/>
          <w:color w:val="auto"/>
          <w:lang w:eastAsia="zh-CN"/>
        </w:rPr>
        <w:t xml:space="preserve">valence of </w:t>
      </w:r>
      <w:r w:rsidR="00165934">
        <w:rPr>
          <w:rFonts w:eastAsia="SimSun"/>
          <w:bCs/>
          <w:color w:val="auto"/>
          <w:lang w:eastAsia="zh-CN"/>
        </w:rPr>
        <w:t>appearance</w:t>
      </w:r>
      <w:r w:rsidR="00DC610F">
        <w:rPr>
          <w:rFonts w:eastAsia="SimSun"/>
          <w:bCs/>
          <w:color w:val="auto"/>
          <w:lang w:eastAsia="zh-CN"/>
        </w:rPr>
        <w:t xml:space="preserve"> were lost. Significance was still found in relation to the variables IMS, core disgust and animal disgust.</w:t>
      </w:r>
    </w:p>
    <w:p w14:paraId="0C1005C4" w14:textId="77777777" w:rsidR="005B1964" w:rsidRDefault="005B1964"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bCs/>
          <w:color w:val="auto"/>
          <w:lang w:eastAsia="zh-CN"/>
        </w:rPr>
      </w:pPr>
    </w:p>
    <w:p w14:paraId="5DB9DCA2" w14:textId="77777777" w:rsidR="005B1964" w:rsidRPr="00D40C27" w:rsidRDefault="005B1964" w:rsidP="000F1616">
      <w:pPr>
        <w:pBdr>
          <w:top w:val="none" w:sz="0" w:space="0" w:color="auto"/>
          <w:left w:val="none" w:sz="0" w:space="0" w:color="auto"/>
          <w:bottom w:val="none" w:sz="0" w:space="0" w:color="auto"/>
          <w:right w:val="none" w:sz="0" w:space="0" w:color="auto"/>
          <w:between w:val="none" w:sz="0" w:space="0" w:color="auto"/>
        </w:pBdr>
        <w:ind w:firstLine="0"/>
        <w:rPr>
          <w:rFonts w:eastAsia="SimSun"/>
          <w:bCs/>
          <w:color w:val="auto"/>
          <w:lang w:eastAsia="zh-CN"/>
        </w:rPr>
      </w:pPr>
    </w:p>
    <w:p w14:paraId="70D6E4C4" w14:textId="15230849" w:rsidR="000F1616" w:rsidRPr="00D40C27" w:rsidRDefault="00D02823" w:rsidP="005B1964">
      <w:pPr>
        <w:pBdr>
          <w:top w:val="none" w:sz="0" w:space="0" w:color="auto"/>
          <w:left w:val="none" w:sz="0" w:space="0" w:color="auto"/>
          <w:bottom w:val="none" w:sz="0" w:space="0" w:color="auto"/>
          <w:right w:val="none" w:sz="0" w:space="0" w:color="auto"/>
          <w:between w:val="none" w:sz="0" w:space="0" w:color="auto"/>
        </w:pBdr>
        <w:rPr>
          <w:rFonts w:ascii="Times New Roman" w:eastAsia="Calibri" w:hAnsi="Times New Roman" w:cs="Times New Roman"/>
          <w:color w:val="auto"/>
          <w:sz w:val="24"/>
          <w:szCs w:val="24"/>
          <w:lang w:eastAsia="en-US"/>
        </w:rPr>
      </w:pPr>
      <w:r>
        <w:rPr>
          <w:noProof/>
          <w:lang w:val="es-CO" w:eastAsia="es-CO"/>
        </w:rPr>
        <w:lastRenderedPageBreak/>
        <mc:AlternateContent>
          <mc:Choice Requires="wps">
            <w:drawing>
              <wp:anchor distT="0" distB="0" distL="114300" distR="114300" simplePos="0" relativeHeight="251657216" behindDoc="0" locked="0" layoutInCell="1" allowOverlap="1" wp14:anchorId="526096F2" wp14:editId="6BA0C40B">
                <wp:simplePos x="0" y="0"/>
                <wp:positionH relativeFrom="column">
                  <wp:posOffset>1576705</wp:posOffset>
                </wp:positionH>
                <wp:positionV relativeFrom="paragraph">
                  <wp:posOffset>62865</wp:posOffset>
                </wp:positionV>
                <wp:extent cx="234950" cy="448945"/>
                <wp:effectExtent l="0" t="0" r="0" b="0"/>
                <wp:wrapNone/>
                <wp:docPr id="6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448945"/>
                        </a:xfrm>
                        <a:prstGeom prst="rect">
                          <a:avLst/>
                        </a:prstGeom>
                        <a:noFill/>
                      </wps:spPr>
                      <wps:txbx>
                        <w:txbxContent>
                          <w:p w14:paraId="3EC00D0E" w14:textId="77777777" w:rsidR="004D2DCA" w:rsidRDefault="004D2DCA" w:rsidP="000F1616">
                            <w:r w:rsidRPr="00D40C27">
                              <w:rPr>
                                <w:rFonts w:ascii="Calibri" w:hAnsi="Calibri"/>
                                <w:kern w:val="24"/>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26096F2" id="TextBox 13" o:spid="_x0000_s1028" type="#_x0000_t202" style="position:absolute;left:0;text-align:left;margin-left:124.15pt;margin-top:4.95pt;width:18.5pt;height:3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" filled="f" stroked="f">
                <v:textbox style="mso-fit-shape-to-text:t">
                  <w:txbxContent>
                    <w:p w14:paraId="3EC00D0E" w14:textId="77777777" w:rsidR="004D2DCA" w:rsidRDefault="004D2DCA" w:rsidP="000F1616">
                      <w:r w:rsidRPr="00D40C27">
                        <w:rPr>
                          <w:rFonts w:ascii="Calibri" w:hAnsi="Calibri"/>
                          <w:kern w:val="24"/>
                        </w:rPr>
                        <w:t>*</w:t>
                      </w:r>
                    </w:p>
                  </w:txbxContent>
                </v:textbox>
              </v:shape>
            </w:pict>
          </mc:Fallback>
        </mc:AlternateContent>
      </w:r>
      <w:r>
        <w:rPr>
          <w:noProof/>
          <w:lang w:val="es-CO" w:eastAsia="es-CO"/>
        </w:rPr>
        <mc:AlternateContent>
          <mc:Choice Requires="wps">
            <w:drawing>
              <wp:anchor distT="0" distB="0" distL="114300" distR="114300" simplePos="0" relativeHeight="251656192" behindDoc="0" locked="0" layoutInCell="1" allowOverlap="1" wp14:anchorId="5E8BA3C5" wp14:editId="29764DA0">
                <wp:simplePos x="0" y="0"/>
                <wp:positionH relativeFrom="column">
                  <wp:posOffset>4192270</wp:posOffset>
                </wp:positionH>
                <wp:positionV relativeFrom="paragraph">
                  <wp:posOffset>62865</wp:posOffset>
                </wp:positionV>
                <wp:extent cx="193675" cy="448945"/>
                <wp:effectExtent l="0" t="0" r="0" b="0"/>
                <wp:wrapNone/>
                <wp:docPr id="6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675" cy="448945"/>
                        </a:xfrm>
                        <a:prstGeom prst="rect">
                          <a:avLst/>
                        </a:prstGeom>
                        <a:noFill/>
                      </wps:spPr>
                      <wps:txbx>
                        <w:txbxContent>
                          <w:p w14:paraId="68357D0B" w14:textId="77777777" w:rsidR="004D2DCA" w:rsidRDefault="004D2DCA" w:rsidP="000F1616">
                            <w:r w:rsidRPr="00D40C27">
                              <w:rPr>
                                <w:rFonts w:ascii="Calibri" w:hAnsi="Calibri"/>
                                <w:kern w:val="24"/>
                              </w:rPr>
                              <w: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E8BA3C5" id="TextBox 12" o:spid="_x0000_s1029" type="#_x0000_t202" style="position:absolute;left:0;text-align:left;margin-left:330.1pt;margin-top:4.95pt;width:15.25pt;height:3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" filled="f" stroked="f">
                <v:textbox style="mso-fit-shape-to-text:t">
                  <w:txbxContent>
                    <w:p w14:paraId="68357D0B" w14:textId="77777777" w:rsidR="004D2DCA" w:rsidRDefault="004D2DCA" w:rsidP="000F1616">
                      <w:r w:rsidRPr="00D40C27">
                        <w:rPr>
                          <w:rFonts w:ascii="Calibri" w:hAnsi="Calibri"/>
                          <w:kern w:val="24"/>
                        </w:rPr>
                        <w:t>*</w:t>
                      </w:r>
                    </w:p>
                  </w:txbxContent>
                </v:textbox>
              </v:shape>
            </w:pict>
          </mc:Fallback>
        </mc:AlternateContent>
      </w:r>
      <w:r w:rsidR="005B1964" w:rsidRPr="005B1964">
        <w:rPr>
          <w:noProof/>
        </w:rPr>
        <w:t xml:space="preserve"> </w:t>
      </w:r>
    </w:p>
    <w:p w14:paraId="1D631D38" w14:textId="2FB2C9C5" w:rsidR="000F1616" w:rsidRPr="00D40C27" w:rsidRDefault="000F1616" w:rsidP="00B32D9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lang w:eastAsia="zh-CN"/>
        </w:rPr>
      </w:pPr>
      <w:bookmarkStart w:id="77" w:name="_Toc12024831"/>
      <w:r w:rsidRPr="00D40C27">
        <w:rPr>
          <w:lang w:eastAsia="zh-CN"/>
        </w:rPr>
        <w:t xml:space="preserve">Table </w:t>
      </w:r>
      <w:r>
        <w:rPr>
          <w:lang w:eastAsia="zh-CN"/>
        </w:rPr>
        <w:t>3.</w:t>
      </w:r>
      <w:r w:rsidRPr="00D40C27">
        <w:rPr>
          <w:lang w:eastAsia="zh-CN"/>
        </w:rPr>
        <w:t>5. Mean, Standard Deviations and t values grouped by gender</w:t>
      </w:r>
      <w:bookmarkEnd w:id="77"/>
    </w:p>
    <w:tbl>
      <w:tblPr>
        <w:tblW w:w="10041" w:type="dxa"/>
        <w:tblInd w:w="-907" w:type="dxa"/>
        <w:tblLook w:val="04A0" w:firstRow="1" w:lastRow="0" w:firstColumn="1" w:lastColumn="0" w:noHBand="0" w:noVBand="1"/>
      </w:tblPr>
      <w:tblGrid>
        <w:gridCol w:w="2869"/>
        <w:gridCol w:w="2050"/>
        <w:gridCol w:w="2050"/>
        <w:gridCol w:w="1536"/>
        <w:gridCol w:w="1536"/>
      </w:tblGrid>
      <w:tr w:rsidR="00870988" w:rsidRPr="00D40C27" w14:paraId="6353CCC8" w14:textId="68584531" w:rsidTr="00D71CDF">
        <w:trPr>
          <w:trHeight w:val="330"/>
        </w:trPr>
        <w:tc>
          <w:tcPr>
            <w:tcW w:w="2869" w:type="dxa"/>
            <w:vMerge w:val="restart"/>
            <w:tcBorders>
              <w:top w:val="single" w:sz="4" w:space="0" w:color="auto"/>
              <w:left w:val="nil"/>
              <w:bottom w:val="single" w:sz="4" w:space="0" w:color="000000"/>
              <w:right w:val="nil"/>
            </w:tcBorders>
            <w:shd w:val="clear" w:color="auto" w:fill="auto"/>
            <w:noWrap/>
            <w:vAlign w:val="center"/>
            <w:hideMark/>
          </w:tcPr>
          <w:p w14:paraId="7E64B3B3" w14:textId="77777777" w:rsidR="00870988" w:rsidRPr="00D40C27" w:rsidRDefault="00870988" w:rsidP="009162B4">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Scale</w:t>
            </w:r>
          </w:p>
        </w:tc>
        <w:tc>
          <w:tcPr>
            <w:tcW w:w="2050" w:type="dxa"/>
            <w:tcBorders>
              <w:top w:val="single" w:sz="4" w:space="0" w:color="auto"/>
              <w:left w:val="nil"/>
              <w:bottom w:val="nil"/>
              <w:right w:val="nil"/>
            </w:tcBorders>
            <w:shd w:val="clear" w:color="auto" w:fill="auto"/>
            <w:noWrap/>
            <w:vAlign w:val="center"/>
            <w:hideMark/>
          </w:tcPr>
          <w:p w14:paraId="784EC95E" w14:textId="77777777" w:rsidR="0087098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Male</w:t>
            </w:r>
          </w:p>
        </w:tc>
        <w:tc>
          <w:tcPr>
            <w:tcW w:w="2050" w:type="dxa"/>
            <w:tcBorders>
              <w:top w:val="single" w:sz="4" w:space="0" w:color="auto"/>
              <w:left w:val="nil"/>
              <w:bottom w:val="nil"/>
              <w:right w:val="nil"/>
            </w:tcBorders>
            <w:shd w:val="clear" w:color="auto" w:fill="auto"/>
            <w:noWrap/>
            <w:vAlign w:val="center"/>
            <w:hideMark/>
          </w:tcPr>
          <w:p w14:paraId="0190185C" w14:textId="77777777" w:rsidR="0087098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Female</w:t>
            </w:r>
          </w:p>
        </w:tc>
        <w:tc>
          <w:tcPr>
            <w:tcW w:w="1536" w:type="dxa"/>
            <w:vMerge w:val="restart"/>
            <w:tcBorders>
              <w:top w:val="single" w:sz="4" w:space="0" w:color="auto"/>
              <w:left w:val="nil"/>
              <w:bottom w:val="single" w:sz="4" w:space="0" w:color="000000"/>
              <w:right w:val="nil"/>
            </w:tcBorders>
            <w:shd w:val="clear" w:color="auto" w:fill="auto"/>
            <w:noWrap/>
            <w:vAlign w:val="center"/>
            <w:hideMark/>
          </w:tcPr>
          <w:p w14:paraId="1003229E" w14:textId="77777777" w:rsidR="0087098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t value</w:t>
            </w:r>
          </w:p>
        </w:tc>
        <w:tc>
          <w:tcPr>
            <w:tcW w:w="1536" w:type="dxa"/>
            <w:vMerge w:val="restart"/>
            <w:tcBorders>
              <w:top w:val="single" w:sz="4" w:space="0" w:color="auto"/>
              <w:left w:val="nil"/>
              <w:right w:val="nil"/>
            </w:tcBorders>
            <w:vAlign w:val="center"/>
          </w:tcPr>
          <w:p w14:paraId="1D635AC5" w14:textId="3A8D7FED" w:rsidR="00870988" w:rsidRPr="004D2DCA" w:rsidRDefault="00870988" w:rsidP="00FF742F">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i/>
                <w:iCs/>
                <w:lang w:eastAsia="zh-CN"/>
              </w:rPr>
            </w:pPr>
            <w:r w:rsidRPr="004D2DCA">
              <w:rPr>
                <w:rFonts w:eastAsia="Times New Roman"/>
                <w:i/>
                <w:iCs/>
                <w:lang w:eastAsia="zh-CN"/>
              </w:rPr>
              <w:t>p</w:t>
            </w:r>
          </w:p>
        </w:tc>
      </w:tr>
      <w:tr w:rsidR="00870988" w:rsidRPr="00D40C27" w14:paraId="05EC386A" w14:textId="079DF59C" w:rsidTr="00D71CDF">
        <w:trPr>
          <w:trHeight w:val="300"/>
        </w:trPr>
        <w:tc>
          <w:tcPr>
            <w:tcW w:w="2869" w:type="dxa"/>
            <w:vMerge/>
            <w:tcBorders>
              <w:top w:val="single" w:sz="4" w:space="0" w:color="auto"/>
              <w:left w:val="nil"/>
              <w:bottom w:val="single" w:sz="4" w:space="0" w:color="000000"/>
              <w:right w:val="nil"/>
            </w:tcBorders>
            <w:vAlign w:val="center"/>
            <w:hideMark/>
          </w:tcPr>
          <w:p w14:paraId="20E401A4" w14:textId="77777777" w:rsidR="0087098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2050" w:type="dxa"/>
            <w:tcBorders>
              <w:top w:val="nil"/>
              <w:left w:val="nil"/>
              <w:bottom w:val="single" w:sz="4" w:space="0" w:color="auto"/>
              <w:right w:val="nil"/>
            </w:tcBorders>
            <w:shd w:val="clear" w:color="auto" w:fill="auto"/>
            <w:noWrap/>
            <w:vAlign w:val="center"/>
            <w:hideMark/>
          </w:tcPr>
          <w:p w14:paraId="661FBECD" w14:textId="77777777" w:rsidR="0087098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M (SD)</w:t>
            </w:r>
          </w:p>
        </w:tc>
        <w:tc>
          <w:tcPr>
            <w:tcW w:w="2050" w:type="dxa"/>
            <w:tcBorders>
              <w:top w:val="nil"/>
              <w:left w:val="nil"/>
              <w:bottom w:val="single" w:sz="4" w:space="0" w:color="auto"/>
              <w:right w:val="nil"/>
            </w:tcBorders>
            <w:shd w:val="clear" w:color="auto" w:fill="auto"/>
            <w:noWrap/>
            <w:vAlign w:val="center"/>
            <w:hideMark/>
          </w:tcPr>
          <w:p w14:paraId="6AE7B096" w14:textId="77777777" w:rsidR="0087098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M (SD)</w:t>
            </w:r>
          </w:p>
        </w:tc>
        <w:tc>
          <w:tcPr>
            <w:tcW w:w="1536" w:type="dxa"/>
            <w:vMerge/>
            <w:tcBorders>
              <w:top w:val="single" w:sz="4" w:space="0" w:color="auto"/>
              <w:left w:val="nil"/>
              <w:bottom w:val="single" w:sz="4" w:space="0" w:color="000000"/>
              <w:right w:val="nil"/>
            </w:tcBorders>
            <w:vAlign w:val="center"/>
            <w:hideMark/>
          </w:tcPr>
          <w:p w14:paraId="556E5CD5" w14:textId="77777777" w:rsidR="0087098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1536" w:type="dxa"/>
            <w:vMerge/>
            <w:tcBorders>
              <w:left w:val="nil"/>
              <w:bottom w:val="single" w:sz="4" w:space="0" w:color="000000"/>
              <w:right w:val="nil"/>
            </w:tcBorders>
          </w:tcPr>
          <w:p w14:paraId="51E4246F" w14:textId="77777777" w:rsidR="0087098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r>
      <w:tr w:rsidR="00DC3E68" w:rsidRPr="00D40C27" w14:paraId="1F93BCDE" w14:textId="38568A18" w:rsidTr="00D71CDF">
        <w:trPr>
          <w:trHeight w:val="300"/>
        </w:trPr>
        <w:tc>
          <w:tcPr>
            <w:tcW w:w="2869" w:type="dxa"/>
            <w:tcBorders>
              <w:top w:val="nil"/>
              <w:left w:val="nil"/>
              <w:bottom w:val="nil"/>
              <w:right w:val="nil"/>
            </w:tcBorders>
            <w:shd w:val="clear" w:color="auto" w:fill="auto"/>
            <w:noWrap/>
            <w:vAlign w:val="bottom"/>
          </w:tcPr>
          <w:p w14:paraId="523CF699"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D (IAT)</w:t>
            </w:r>
          </w:p>
        </w:tc>
        <w:tc>
          <w:tcPr>
            <w:tcW w:w="2050" w:type="dxa"/>
            <w:tcBorders>
              <w:top w:val="nil"/>
              <w:left w:val="nil"/>
              <w:bottom w:val="nil"/>
              <w:right w:val="nil"/>
            </w:tcBorders>
            <w:shd w:val="clear" w:color="auto" w:fill="auto"/>
            <w:noWrap/>
            <w:vAlign w:val="bottom"/>
          </w:tcPr>
          <w:p w14:paraId="07CD3F5A"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1.10 (0.66)</w:t>
            </w:r>
          </w:p>
        </w:tc>
        <w:tc>
          <w:tcPr>
            <w:tcW w:w="2050" w:type="dxa"/>
            <w:tcBorders>
              <w:top w:val="nil"/>
              <w:left w:val="nil"/>
              <w:bottom w:val="nil"/>
              <w:right w:val="nil"/>
            </w:tcBorders>
            <w:shd w:val="clear" w:color="auto" w:fill="auto"/>
            <w:noWrap/>
            <w:vAlign w:val="bottom"/>
          </w:tcPr>
          <w:p w14:paraId="68040528"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0.91(0.62)</w:t>
            </w:r>
          </w:p>
        </w:tc>
        <w:tc>
          <w:tcPr>
            <w:tcW w:w="1536" w:type="dxa"/>
            <w:tcBorders>
              <w:top w:val="nil"/>
              <w:left w:val="nil"/>
              <w:bottom w:val="nil"/>
              <w:right w:val="nil"/>
            </w:tcBorders>
            <w:shd w:val="clear" w:color="auto" w:fill="auto"/>
            <w:noWrap/>
            <w:vAlign w:val="bottom"/>
          </w:tcPr>
          <w:p w14:paraId="7D46C8D6" w14:textId="51234609"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2.66</w:t>
            </w:r>
          </w:p>
        </w:tc>
        <w:tc>
          <w:tcPr>
            <w:tcW w:w="1536" w:type="dxa"/>
            <w:tcBorders>
              <w:top w:val="nil"/>
              <w:left w:val="nil"/>
              <w:bottom w:val="nil"/>
              <w:right w:val="nil"/>
            </w:tcBorders>
          </w:tcPr>
          <w:p w14:paraId="6AFC9767" w14:textId="02765189" w:rsidR="00DC3E6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Pr>
                <w:rFonts w:eastAsia="Times New Roman"/>
                <w:lang w:eastAsia="zh-CN"/>
              </w:rPr>
              <w:t>.009</w:t>
            </w:r>
          </w:p>
        </w:tc>
      </w:tr>
      <w:tr w:rsidR="00DC3E68" w:rsidRPr="00D40C27" w14:paraId="02712A6F" w14:textId="77493EB4" w:rsidTr="00D71CDF">
        <w:trPr>
          <w:trHeight w:val="300"/>
        </w:trPr>
        <w:tc>
          <w:tcPr>
            <w:tcW w:w="2869" w:type="dxa"/>
            <w:tcBorders>
              <w:top w:val="nil"/>
              <w:left w:val="nil"/>
              <w:bottom w:val="nil"/>
              <w:right w:val="nil"/>
            </w:tcBorders>
            <w:shd w:val="clear" w:color="auto" w:fill="auto"/>
            <w:noWrap/>
            <w:vAlign w:val="bottom"/>
          </w:tcPr>
          <w:p w14:paraId="01C165B2"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Explicit Attitudes</w:t>
            </w:r>
          </w:p>
        </w:tc>
        <w:tc>
          <w:tcPr>
            <w:tcW w:w="2050" w:type="dxa"/>
            <w:tcBorders>
              <w:top w:val="nil"/>
              <w:left w:val="nil"/>
              <w:bottom w:val="nil"/>
              <w:right w:val="nil"/>
            </w:tcBorders>
            <w:shd w:val="clear" w:color="auto" w:fill="auto"/>
            <w:noWrap/>
            <w:vAlign w:val="bottom"/>
          </w:tcPr>
          <w:p w14:paraId="7367175B"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4.98(1.07)</w:t>
            </w:r>
          </w:p>
        </w:tc>
        <w:tc>
          <w:tcPr>
            <w:tcW w:w="2050" w:type="dxa"/>
            <w:tcBorders>
              <w:top w:val="nil"/>
              <w:left w:val="nil"/>
              <w:bottom w:val="nil"/>
              <w:right w:val="nil"/>
            </w:tcBorders>
            <w:shd w:val="clear" w:color="auto" w:fill="auto"/>
            <w:noWrap/>
            <w:vAlign w:val="bottom"/>
          </w:tcPr>
          <w:p w14:paraId="54F7F904"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5.24(1.00)</w:t>
            </w:r>
          </w:p>
        </w:tc>
        <w:tc>
          <w:tcPr>
            <w:tcW w:w="1536" w:type="dxa"/>
            <w:tcBorders>
              <w:top w:val="nil"/>
              <w:left w:val="nil"/>
              <w:bottom w:val="nil"/>
              <w:right w:val="nil"/>
            </w:tcBorders>
            <w:shd w:val="clear" w:color="auto" w:fill="auto"/>
            <w:noWrap/>
            <w:vAlign w:val="bottom"/>
          </w:tcPr>
          <w:p w14:paraId="48190211" w14:textId="5142B005"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2.34</w:t>
            </w:r>
          </w:p>
        </w:tc>
        <w:tc>
          <w:tcPr>
            <w:tcW w:w="1536" w:type="dxa"/>
            <w:tcBorders>
              <w:top w:val="nil"/>
              <w:left w:val="nil"/>
              <w:bottom w:val="nil"/>
              <w:right w:val="nil"/>
            </w:tcBorders>
          </w:tcPr>
          <w:p w14:paraId="4FF77BFF" w14:textId="619F28B3" w:rsidR="00DC3E6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Pr>
                <w:rFonts w:eastAsia="Times New Roman"/>
                <w:lang w:eastAsia="zh-CN"/>
              </w:rPr>
              <w:t>.02</w:t>
            </w:r>
          </w:p>
        </w:tc>
      </w:tr>
      <w:tr w:rsidR="00DC3E68" w:rsidRPr="00D40C27" w14:paraId="0848D924" w14:textId="645CC22C" w:rsidTr="00D71CDF">
        <w:trPr>
          <w:trHeight w:val="300"/>
        </w:trPr>
        <w:tc>
          <w:tcPr>
            <w:tcW w:w="2869" w:type="dxa"/>
            <w:tcBorders>
              <w:top w:val="nil"/>
              <w:left w:val="nil"/>
              <w:bottom w:val="nil"/>
              <w:right w:val="nil"/>
            </w:tcBorders>
            <w:shd w:val="clear" w:color="auto" w:fill="auto"/>
            <w:noWrap/>
            <w:vAlign w:val="bottom"/>
            <w:hideMark/>
          </w:tcPr>
          <w:p w14:paraId="4A759926"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CARVAL</w:t>
            </w:r>
          </w:p>
        </w:tc>
        <w:tc>
          <w:tcPr>
            <w:tcW w:w="2050" w:type="dxa"/>
            <w:tcBorders>
              <w:top w:val="nil"/>
              <w:left w:val="nil"/>
              <w:bottom w:val="nil"/>
              <w:right w:val="nil"/>
            </w:tcBorders>
            <w:shd w:val="clear" w:color="auto" w:fill="auto"/>
            <w:noWrap/>
            <w:vAlign w:val="bottom"/>
            <w:hideMark/>
          </w:tcPr>
          <w:p w14:paraId="1C8122D2"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18.28 (6.24)</w:t>
            </w:r>
          </w:p>
        </w:tc>
        <w:tc>
          <w:tcPr>
            <w:tcW w:w="2050" w:type="dxa"/>
            <w:tcBorders>
              <w:top w:val="nil"/>
              <w:left w:val="nil"/>
              <w:bottom w:val="nil"/>
              <w:right w:val="nil"/>
            </w:tcBorders>
            <w:shd w:val="clear" w:color="auto" w:fill="auto"/>
            <w:noWrap/>
            <w:vAlign w:val="bottom"/>
            <w:hideMark/>
          </w:tcPr>
          <w:p w14:paraId="21219EDE"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19.77 (6.30)</w:t>
            </w:r>
          </w:p>
        </w:tc>
        <w:tc>
          <w:tcPr>
            <w:tcW w:w="1536" w:type="dxa"/>
            <w:tcBorders>
              <w:top w:val="nil"/>
              <w:left w:val="nil"/>
              <w:bottom w:val="nil"/>
              <w:right w:val="nil"/>
            </w:tcBorders>
            <w:shd w:val="clear" w:color="auto" w:fill="auto"/>
            <w:noWrap/>
            <w:vAlign w:val="bottom"/>
            <w:hideMark/>
          </w:tcPr>
          <w:p w14:paraId="21D8768E" w14:textId="0667871D"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2.26</w:t>
            </w:r>
          </w:p>
        </w:tc>
        <w:tc>
          <w:tcPr>
            <w:tcW w:w="1536" w:type="dxa"/>
            <w:tcBorders>
              <w:top w:val="nil"/>
              <w:left w:val="nil"/>
              <w:bottom w:val="nil"/>
              <w:right w:val="nil"/>
            </w:tcBorders>
          </w:tcPr>
          <w:p w14:paraId="5591F856" w14:textId="2610D432" w:rsidR="00DC3E6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Pr>
                <w:rFonts w:eastAsia="Times New Roman"/>
                <w:lang w:eastAsia="zh-CN"/>
              </w:rPr>
              <w:t>.02</w:t>
            </w:r>
          </w:p>
        </w:tc>
      </w:tr>
      <w:tr w:rsidR="00DC3E68" w:rsidRPr="00D40C27" w14:paraId="4607BF81" w14:textId="5BF0D9BA" w:rsidTr="00D71CDF">
        <w:trPr>
          <w:trHeight w:val="300"/>
        </w:trPr>
        <w:tc>
          <w:tcPr>
            <w:tcW w:w="2869" w:type="dxa"/>
            <w:tcBorders>
              <w:top w:val="nil"/>
              <w:left w:val="nil"/>
              <w:bottom w:val="nil"/>
              <w:right w:val="nil"/>
            </w:tcBorders>
            <w:shd w:val="clear" w:color="auto" w:fill="auto"/>
            <w:noWrap/>
            <w:vAlign w:val="bottom"/>
            <w:hideMark/>
          </w:tcPr>
          <w:p w14:paraId="6DBEEC5A"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CARSAL</w:t>
            </w:r>
          </w:p>
        </w:tc>
        <w:tc>
          <w:tcPr>
            <w:tcW w:w="2050" w:type="dxa"/>
            <w:tcBorders>
              <w:top w:val="nil"/>
              <w:left w:val="nil"/>
              <w:bottom w:val="nil"/>
              <w:right w:val="nil"/>
            </w:tcBorders>
            <w:shd w:val="clear" w:color="auto" w:fill="auto"/>
            <w:noWrap/>
            <w:vAlign w:val="bottom"/>
            <w:hideMark/>
          </w:tcPr>
          <w:p w14:paraId="507E3454"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18.80 (5.13)</w:t>
            </w:r>
          </w:p>
        </w:tc>
        <w:tc>
          <w:tcPr>
            <w:tcW w:w="2050" w:type="dxa"/>
            <w:tcBorders>
              <w:top w:val="nil"/>
              <w:left w:val="nil"/>
              <w:bottom w:val="nil"/>
              <w:right w:val="nil"/>
            </w:tcBorders>
            <w:shd w:val="clear" w:color="auto" w:fill="auto"/>
            <w:noWrap/>
            <w:vAlign w:val="bottom"/>
            <w:hideMark/>
          </w:tcPr>
          <w:p w14:paraId="14AA4945"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20.28(4.51)</w:t>
            </w:r>
          </w:p>
        </w:tc>
        <w:tc>
          <w:tcPr>
            <w:tcW w:w="1536" w:type="dxa"/>
            <w:tcBorders>
              <w:top w:val="nil"/>
              <w:left w:val="nil"/>
              <w:bottom w:val="nil"/>
              <w:right w:val="nil"/>
            </w:tcBorders>
            <w:shd w:val="clear" w:color="auto" w:fill="auto"/>
            <w:noWrap/>
            <w:vAlign w:val="bottom"/>
            <w:hideMark/>
          </w:tcPr>
          <w:p w14:paraId="63C98BDE" w14:textId="4CB7081A"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2.90</w:t>
            </w:r>
            <w:r w:rsidR="00C33405" w:rsidRPr="004D2DCA">
              <w:rPr>
                <w:rFonts w:eastAsia="Times New Roman"/>
                <w:vertAlign w:val="superscript"/>
                <w:lang w:eastAsia="zh-CN"/>
              </w:rPr>
              <w:t>**</w:t>
            </w:r>
          </w:p>
        </w:tc>
        <w:tc>
          <w:tcPr>
            <w:tcW w:w="1536" w:type="dxa"/>
            <w:tcBorders>
              <w:top w:val="nil"/>
              <w:left w:val="nil"/>
              <w:bottom w:val="nil"/>
              <w:right w:val="nil"/>
            </w:tcBorders>
          </w:tcPr>
          <w:p w14:paraId="41DD9048" w14:textId="6978646D" w:rsidR="00DC3E6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Pr>
                <w:rFonts w:eastAsia="Times New Roman"/>
                <w:lang w:eastAsia="zh-CN"/>
              </w:rPr>
              <w:t>.004</w:t>
            </w:r>
          </w:p>
        </w:tc>
      </w:tr>
      <w:tr w:rsidR="00DC3E68" w:rsidRPr="00D40C27" w14:paraId="7766F4FD" w14:textId="6BF50095" w:rsidTr="00D71CDF">
        <w:trPr>
          <w:trHeight w:val="300"/>
        </w:trPr>
        <w:tc>
          <w:tcPr>
            <w:tcW w:w="2869" w:type="dxa"/>
            <w:tcBorders>
              <w:top w:val="nil"/>
              <w:left w:val="nil"/>
              <w:bottom w:val="nil"/>
              <w:right w:val="nil"/>
            </w:tcBorders>
            <w:shd w:val="clear" w:color="auto" w:fill="auto"/>
            <w:noWrap/>
            <w:vAlign w:val="bottom"/>
            <w:hideMark/>
          </w:tcPr>
          <w:p w14:paraId="324A9B5F"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EMS</w:t>
            </w:r>
          </w:p>
        </w:tc>
        <w:tc>
          <w:tcPr>
            <w:tcW w:w="2050" w:type="dxa"/>
            <w:tcBorders>
              <w:top w:val="nil"/>
              <w:left w:val="nil"/>
              <w:bottom w:val="nil"/>
              <w:right w:val="nil"/>
            </w:tcBorders>
            <w:shd w:val="clear" w:color="auto" w:fill="auto"/>
            <w:noWrap/>
            <w:vAlign w:val="bottom"/>
            <w:hideMark/>
          </w:tcPr>
          <w:p w14:paraId="73374760"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5.09(1.73)</w:t>
            </w:r>
          </w:p>
        </w:tc>
        <w:tc>
          <w:tcPr>
            <w:tcW w:w="2050" w:type="dxa"/>
            <w:tcBorders>
              <w:top w:val="nil"/>
              <w:left w:val="nil"/>
              <w:bottom w:val="nil"/>
              <w:right w:val="nil"/>
            </w:tcBorders>
            <w:shd w:val="clear" w:color="auto" w:fill="auto"/>
            <w:noWrap/>
            <w:vAlign w:val="bottom"/>
            <w:hideMark/>
          </w:tcPr>
          <w:p w14:paraId="2ABA3319"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5.21(1.80)</w:t>
            </w:r>
          </w:p>
        </w:tc>
        <w:tc>
          <w:tcPr>
            <w:tcW w:w="1536" w:type="dxa"/>
            <w:tcBorders>
              <w:top w:val="nil"/>
              <w:left w:val="nil"/>
              <w:bottom w:val="nil"/>
              <w:right w:val="nil"/>
            </w:tcBorders>
            <w:shd w:val="clear" w:color="auto" w:fill="auto"/>
            <w:noWrap/>
            <w:vAlign w:val="bottom"/>
            <w:hideMark/>
          </w:tcPr>
          <w:p w14:paraId="44471E6C" w14:textId="24BE9980" w:rsidR="00DC3E68" w:rsidRPr="00D40C27" w:rsidRDefault="00DC3E68" w:rsidP="00FF742F">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0.</w:t>
            </w:r>
            <w:r w:rsidR="00870988">
              <w:rPr>
                <w:rFonts w:eastAsia="Times New Roman"/>
                <w:lang w:eastAsia="zh-CN"/>
              </w:rPr>
              <w:t>35</w:t>
            </w:r>
            <w:r w:rsidR="00DC610F" w:rsidRPr="004D2DCA">
              <w:rPr>
                <w:rFonts w:eastAsia="Times New Roman"/>
                <w:color w:val="FFFFFF" w:themeColor="background1"/>
                <w:lang w:eastAsia="zh-CN"/>
              </w:rPr>
              <w:t>.</w:t>
            </w:r>
            <w:r w:rsidR="00870988">
              <w:rPr>
                <w:rFonts w:eastAsia="Times New Roman"/>
                <w:lang w:eastAsia="zh-CN"/>
              </w:rPr>
              <w:t xml:space="preserve"> </w:t>
            </w:r>
          </w:p>
        </w:tc>
        <w:tc>
          <w:tcPr>
            <w:tcW w:w="1536" w:type="dxa"/>
            <w:tcBorders>
              <w:top w:val="nil"/>
              <w:left w:val="nil"/>
              <w:bottom w:val="nil"/>
              <w:right w:val="nil"/>
            </w:tcBorders>
          </w:tcPr>
          <w:p w14:paraId="31243995" w14:textId="2ACA183E" w:rsidR="00DC3E68" w:rsidRPr="00D40C27" w:rsidRDefault="0087098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Pr>
                <w:rFonts w:eastAsia="Times New Roman"/>
                <w:lang w:eastAsia="zh-CN"/>
              </w:rPr>
              <w:t>.55</w:t>
            </w:r>
          </w:p>
        </w:tc>
      </w:tr>
      <w:tr w:rsidR="00DC3E68" w:rsidRPr="00D40C27" w14:paraId="2BFE3368" w14:textId="55C1E0DE" w:rsidTr="00D71CDF">
        <w:trPr>
          <w:trHeight w:val="300"/>
        </w:trPr>
        <w:tc>
          <w:tcPr>
            <w:tcW w:w="2869" w:type="dxa"/>
            <w:tcBorders>
              <w:top w:val="nil"/>
              <w:left w:val="nil"/>
              <w:bottom w:val="nil"/>
              <w:right w:val="nil"/>
            </w:tcBorders>
            <w:shd w:val="clear" w:color="auto" w:fill="auto"/>
            <w:noWrap/>
            <w:vAlign w:val="bottom"/>
            <w:hideMark/>
          </w:tcPr>
          <w:p w14:paraId="43D1935C"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IMS</w:t>
            </w:r>
          </w:p>
        </w:tc>
        <w:tc>
          <w:tcPr>
            <w:tcW w:w="2050" w:type="dxa"/>
            <w:tcBorders>
              <w:top w:val="nil"/>
              <w:left w:val="nil"/>
              <w:bottom w:val="nil"/>
              <w:right w:val="nil"/>
            </w:tcBorders>
            <w:shd w:val="clear" w:color="auto" w:fill="auto"/>
            <w:noWrap/>
            <w:vAlign w:val="bottom"/>
            <w:hideMark/>
          </w:tcPr>
          <w:p w14:paraId="5A0EF73A"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6.37(0.84)</w:t>
            </w:r>
          </w:p>
        </w:tc>
        <w:tc>
          <w:tcPr>
            <w:tcW w:w="2050" w:type="dxa"/>
            <w:tcBorders>
              <w:top w:val="nil"/>
              <w:left w:val="nil"/>
              <w:bottom w:val="nil"/>
              <w:right w:val="nil"/>
            </w:tcBorders>
            <w:shd w:val="clear" w:color="auto" w:fill="auto"/>
            <w:noWrap/>
            <w:vAlign w:val="bottom"/>
            <w:hideMark/>
          </w:tcPr>
          <w:p w14:paraId="0B2F5EDD"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6.77(0.66)</w:t>
            </w:r>
          </w:p>
        </w:tc>
        <w:tc>
          <w:tcPr>
            <w:tcW w:w="1536" w:type="dxa"/>
            <w:tcBorders>
              <w:top w:val="nil"/>
              <w:left w:val="nil"/>
              <w:bottom w:val="nil"/>
              <w:right w:val="nil"/>
            </w:tcBorders>
            <w:shd w:val="clear" w:color="auto" w:fill="auto"/>
            <w:noWrap/>
            <w:vAlign w:val="bottom"/>
            <w:hideMark/>
          </w:tcPr>
          <w:p w14:paraId="33570241"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5.20</w:t>
            </w:r>
            <w:r w:rsidRPr="00D40C27">
              <w:rPr>
                <w:rFonts w:eastAsia="Times New Roman"/>
                <w:vertAlign w:val="superscript"/>
                <w:lang w:eastAsia="zh-CN"/>
              </w:rPr>
              <w:t>**</w:t>
            </w:r>
          </w:p>
        </w:tc>
        <w:tc>
          <w:tcPr>
            <w:tcW w:w="1536" w:type="dxa"/>
            <w:tcBorders>
              <w:top w:val="nil"/>
              <w:left w:val="nil"/>
              <w:bottom w:val="nil"/>
              <w:right w:val="nil"/>
            </w:tcBorders>
          </w:tcPr>
          <w:p w14:paraId="09DC9964" w14:textId="19DAD108" w:rsidR="00DC3E68" w:rsidRPr="00D40C27" w:rsidRDefault="00503E7B"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Pr>
                <w:rFonts w:eastAsia="SimSun"/>
                <w:bCs/>
                <w:color w:val="auto"/>
                <w:lang w:eastAsia="zh-CN"/>
              </w:rPr>
              <w:t>&lt;</w:t>
            </w:r>
            <w:r w:rsidR="00870988" w:rsidRPr="00D40C27">
              <w:rPr>
                <w:rFonts w:eastAsia="SimSun"/>
                <w:bCs/>
                <w:color w:val="auto"/>
                <w:lang w:eastAsia="zh-CN"/>
              </w:rPr>
              <w:t>.001</w:t>
            </w:r>
          </w:p>
        </w:tc>
      </w:tr>
      <w:tr w:rsidR="00DC3E68" w:rsidRPr="00D40C27" w14:paraId="444A9FC9" w14:textId="6EF544A7" w:rsidTr="00D71CDF">
        <w:trPr>
          <w:trHeight w:val="300"/>
        </w:trPr>
        <w:tc>
          <w:tcPr>
            <w:tcW w:w="2869" w:type="dxa"/>
            <w:tcBorders>
              <w:top w:val="nil"/>
              <w:left w:val="nil"/>
              <w:bottom w:val="nil"/>
              <w:right w:val="nil"/>
            </w:tcBorders>
            <w:shd w:val="clear" w:color="auto" w:fill="auto"/>
            <w:noWrap/>
            <w:vAlign w:val="bottom"/>
            <w:hideMark/>
          </w:tcPr>
          <w:p w14:paraId="5206F4AC"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Core Disgust</w:t>
            </w:r>
          </w:p>
        </w:tc>
        <w:tc>
          <w:tcPr>
            <w:tcW w:w="2050" w:type="dxa"/>
            <w:tcBorders>
              <w:top w:val="nil"/>
              <w:left w:val="nil"/>
              <w:bottom w:val="nil"/>
              <w:right w:val="nil"/>
            </w:tcBorders>
            <w:shd w:val="clear" w:color="auto" w:fill="auto"/>
            <w:noWrap/>
            <w:vAlign w:val="bottom"/>
            <w:hideMark/>
          </w:tcPr>
          <w:p w14:paraId="6FE546CB"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1.49(0.48)</w:t>
            </w:r>
          </w:p>
        </w:tc>
        <w:tc>
          <w:tcPr>
            <w:tcW w:w="2050" w:type="dxa"/>
            <w:tcBorders>
              <w:top w:val="nil"/>
              <w:left w:val="nil"/>
              <w:bottom w:val="nil"/>
              <w:right w:val="nil"/>
            </w:tcBorders>
            <w:shd w:val="clear" w:color="auto" w:fill="auto"/>
            <w:noWrap/>
            <w:vAlign w:val="bottom"/>
            <w:hideMark/>
          </w:tcPr>
          <w:p w14:paraId="49D9D18E"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1.74(0.48)</w:t>
            </w:r>
          </w:p>
        </w:tc>
        <w:tc>
          <w:tcPr>
            <w:tcW w:w="1536" w:type="dxa"/>
            <w:tcBorders>
              <w:top w:val="nil"/>
              <w:left w:val="nil"/>
              <w:bottom w:val="nil"/>
              <w:right w:val="nil"/>
            </w:tcBorders>
            <w:shd w:val="clear" w:color="auto" w:fill="auto"/>
            <w:noWrap/>
            <w:vAlign w:val="bottom"/>
            <w:hideMark/>
          </w:tcPr>
          <w:p w14:paraId="44491F82"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4.98</w:t>
            </w:r>
            <w:r w:rsidRPr="00D40C27">
              <w:rPr>
                <w:rFonts w:eastAsia="Times New Roman"/>
                <w:vertAlign w:val="superscript"/>
                <w:lang w:eastAsia="zh-CN"/>
              </w:rPr>
              <w:t>**</w:t>
            </w:r>
          </w:p>
        </w:tc>
        <w:tc>
          <w:tcPr>
            <w:tcW w:w="1536" w:type="dxa"/>
            <w:tcBorders>
              <w:top w:val="nil"/>
              <w:left w:val="nil"/>
              <w:bottom w:val="nil"/>
              <w:right w:val="nil"/>
            </w:tcBorders>
          </w:tcPr>
          <w:p w14:paraId="5257A4C4" w14:textId="482A9F7B" w:rsidR="00DC3E68" w:rsidRPr="00D40C27" w:rsidRDefault="00503E7B"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Pr>
                <w:rFonts w:eastAsia="SimSun"/>
                <w:bCs/>
                <w:color w:val="auto"/>
                <w:lang w:eastAsia="zh-CN"/>
              </w:rPr>
              <w:t>&lt;</w:t>
            </w:r>
            <w:r w:rsidRPr="00D40C27">
              <w:rPr>
                <w:rFonts w:eastAsia="SimSun"/>
                <w:bCs/>
                <w:color w:val="auto"/>
                <w:lang w:eastAsia="zh-CN"/>
              </w:rPr>
              <w:t>.001</w:t>
            </w:r>
          </w:p>
        </w:tc>
      </w:tr>
      <w:tr w:rsidR="00DC3E68" w:rsidRPr="00D40C27" w14:paraId="2BCA241C" w14:textId="0758D4D7" w:rsidTr="00D71CDF">
        <w:trPr>
          <w:trHeight w:val="300"/>
        </w:trPr>
        <w:tc>
          <w:tcPr>
            <w:tcW w:w="2869" w:type="dxa"/>
            <w:tcBorders>
              <w:top w:val="nil"/>
              <w:left w:val="nil"/>
              <w:right w:val="nil"/>
            </w:tcBorders>
            <w:shd w:val="clear" w:color="auto" w:fill="auto"/>
            <w:noWrap/>
            <w:vAlign w:val="bottom"/>
            <w:hideMark/>
          </w:tcPr>
          <w:p w14:paraId="7DE0A886"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Animal Disgust</w:t>
            </w:r>
          </w:p>
        </w:tc>
        <w:tc>
          <w:tcPr>
            <w:tcW w:w="2050" w:type="dxa"/>
            <w:tcBorders>
              <w:top w:val="nil"/>
              <w:left w:val="nil"/>
              <w:right w:val="nil"/>
            </w:tcBorders>
            <w:shd w:val="clear" w:color="auto" w:fill="auto"/>
            <w:noWrap/>
            <w:vAlign w:val="bottom"/>
            <w:hideMark/>
          </w:tcPr>
          <w:p w14:paraId="2EAE19F6"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1.37(0.61)</w:t>
            </w:r>
          </w:p>
        </w:tc>
        <w:tc>
          <w:tcPr>
            <w:tcW w:w="2050" w:type="dxa"/>
            <w:tcBorders>
              <w:top w:val="nil"/>
              <w:left w:val="nil"/>
              <w:right w:val="nil"/>
            </w:tcBorders>
            <w:shd w:val="clear" w:color="auto" w:fill="auto"/>
            <w:noWrap/>
            <w:vAlign w:val="bottom"/>
            <w:hideMark/>
          </w:tcPr>
          <w:p w14:paraId="6826C0D1"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1.69(0.69)</w:t>
            </w:r>
          </w:p>
        </w:tc>
        <w:tc>
          <w:tcPr>
            <w:tcW w:w="1536" w:type="dxa"/>
            <w:tcBorders>
              <w:top w:val="nil"/>
              <w:left w:val="nil"/>
              <w:right w:val="nil"/>
            </w:tcBorders>
            <w:shd w:val="clear" w:color="auto" w:fill="auto"/>
            <w:noWrap/>
            <w:vAlign w:val="bottom"/>
            <w:hideMark/>
          </w:tcPr>
          <w:p w14:paraId="31BFF296"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4.47</w:t>
            </w:r>
            <w:r w:rsidRPr="00D40C27">
              <w:rPr>
                <w:rFonts w:eastAsia="Times New Roman"/>
                <w:vertAlign w:val="superscript"/>
                <w:lang w:eastAsia="zh-CN"/>
              </w:rPr>
              <w:t>**</w:t>
            </w:r>
          </w:p>
        </w:tc>
        <w:tc>
          <w:tcPr>
            <w:tcW w:w="1536" w:type="dxa"/>
            <w:tcBorders>
              <w:top w:val="nil"/>
              <w:left w:val="nil"/>
              <w:right w:val="nil"/>
            </w:tcBorders>
          </w:tcPr>
          <w:p w14:paraId="75E9E337" w14:textId="5A3BFA0B" w:rsidR="00DC3E68" w:rsidRPr="00D40C27" w:rsidRDefault="00503E7B"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Pr>
                <w:rFonts w:eastAsia="SimSun"/>
                <w:bCs/>
                <w:color w:val="auto"/>
                <w:lang w:eastAsia="zh-CN"/>
              </w:rPr>
              <w:t>&lt;</w:t>
            </w:r>
            <w:r w:rsidRPr="00D40C27">
              <w:rPr>
                <w:rFonts w:eastAsia="SimSun"/>
                <w:bCs/>
                <w:color w:val="auto"/>
                <w:lang w:eastAsia="zh-CN"/>
              </w:rPr>
              <w:t>.001</w:t>
            </w:r>
          </w:p>
        </w:tc>
      </w:tr>
      <w:tr w:rsidR="00DC3E68" w:rsidRPr="00D40C27" w14:paraId="645A5C2E" w14:textId="28BEAE24" w:rsidTr="00D71CDF">
        <w:trPr>
          <w:trHeight w:val="250"/>
        </w:trPr>
        <w:tc>
          <w:tcPr>
            <w:tcW w:w="2869" w:type="dxa"/>
            <w:tcBorders>
              <w:top w:val="nil"/>
              <w:left w:val="nil"/>
              <w:bottom w:val="single" w:sz="4" w:space="0" w:color="auto"/>
              <w:right w:val="nil"/>
            </w:tcBorders>
            <w:shd w:val="clear" w:color="auto" w:fill="auto"/>
            <w:vAlign w:val="bottom"/>
            <w:hideMark/>
          </w:tcPr>
          <w:p w14:paraId="04D801D2"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contextualSpacing/>
              <w:rPr>
                <w:rFonts w:eastAsia="Times New Roman"/>
                <w:lang w:eastAsia="zh-CN"/>
              </w:rPr>
            </w:pPr>
            <w:r w:rsidRPr="00D40C27">
              <w:rPr>
                <w:rFonts w:eastAsia="Times New Roman"/>
                <w:lang w:eastAsia="zh-CN"/>
              </w:rPr>
              <w:t>Contamination Disgust</w:t>
            </w:r>
          </w:p>
        </w:tc>
        <w:tc>
          <w:tcPr>
            <w:tcW w:w="2050" w:type="dxa"/>
            <w:tcBorders>
              <w:top w:val="nil"/>
              <w:left w:val="nil"/>
              <w:bottom w:val="single" w:sz="4" w:space="0" w:color="auto"/>
              <w:right w:val="nil"/>
            </w:tcBorders>
            <w:shd w:val="clear" w:color="auto" w:fill="auto"/>
            <w:noWrap/>
            <w:vAlign w:val="bottom"/>
            <w:hideMark/>
          </w:tcPr>
          <w:p w14:paraId="6DCA78E1"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1.06(0.65)</w:t>
            </w:r>
          </w:p>
        </w:tc>
        <w:tc>
          <w:tcPr>
            <w:tcW w:w="2050" w:type="dxa"/>
            <w:tcBorders>
              <w:top w:val="nil"/>
              <w:left w:val="nil"/>
              <w:bottom w:val="single" w:sz="4" w:space="0" w:color="auto"/>
              <w:right w:val="nil"/>
            </w:tcBorders>
            <w:shd w:val="clear" w:color="auto" w:fill="auto"/>
            <w:noWrap/>
            <w:vAlign w:val="bottom"/>
            <w:hideMark/>
          </w:tcPr>
          <w:p w14:paraId="0B8C344C"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1.08(0.69)</w:t>
            </w:r>
          </w:p>
        </w:tc>
        <w:tc>
          <w:tcPr>
            <w:tcW w:w="1536" w:type="dxa"/>
            <w:tcBorders>
              <w:top w:val="nil"/>
              <w:left w:val="nil"/>
              <w:bottom w:val="single" w:sz="4" w:space="0" w:color="auto"/>
              <w:right w:val="nil"/>
            </w:tcBorders>
            <w:shd w:val="clear" w:color="auto" w:fill="auto"/>
            <w:noWrap/>
            <w:vAlign w:val="bottom"/>
            <w:hideMark/>
          </w:tcPr>
          <w:p w14:paraId="1CBEF219" w14:textId="77777777" w:rsidR="00DC3E68" w:rsidRPr="00D40C27" w:rsidRDefault="00DC3E68"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0.71</w:t>
            </w:r>
          </w:p>
        </w:tc>
        <w:tc>
          <w:tcPr>
            <w:tcW w:w="1536" w:type="dxa"/>
            <w:tcBorders>
              <w:top w:val="nil"/>
              <w:left w:val="nil"/>
              <w:bottom w:val="single" w:sz="4" w:space="0" w:color="auto"/>
              <w:right w:val="nil"/>
            </w:tcBorders>
          </w:tcPr>
          <w:p w14:paraId="362B69FB" w14:textId="6C7F4FAB" w:rsidR="00DC3E68" w:rsidRPr="00D40C27" w:rsidRDefault="00503E7B"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Pr>
                <w:rFonts w:eastAsia="Times New Roman"/>
                <w:lang w:eastAsia="zh-CN"/>
              </w:rPr>
              <w:t>.30</w:t>
            </w:r>
          </w:p>
        </w:tc>
      </w:tr>
    </w:tbl>
    <w:p w14:paraId="58FD30D7" w14:textId="77777777" w:rsidR="001C2FAD" w:rsidRPr="004D2DCA" w:rsidRDefault="000F1616" w:rsidP="001C2FA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eastAsia="Times New Roman"/>
          <w:sz w:val="20"/>
          <w:szCs w:val="20"/>
          <w:lang w:eastAsia="zh-CN"/>
        </w:rPr>
      </w:pPr>
      <w:r w:rsidRPr="004D2DCA">
        <w:rPr>
          <w:rFonts w:eastAsia="Times New Roman"/>
          <w:sz w:val="20"/>
          <w:szCs w:val="20"/>
          <w:lang w:eastAsia="zh-CN"/>
        </w:rPr>
        <w:t xml:space="preserve">Note. </w:t>
      </w:r>
      <w:r w:rsidR="001C2FAD" w:rsidRPr="004D2DCA">
        <w:rPr>
          <w:rFonts w:ascii="Tahoma" w:eastAsia="Times New Roman" w:hAnsi="Tahoma" w:cs="Tahoma"/>
          <w:sz w:val="20"/>
          <w:szCs w:val="20"/>
          <w:vertAlign w:val="superscript"/>
          <w:lang w:eastAsia="zh-CN"/>
        </w:rPr>
        <w:t>⁎</w:t>
      </w:r>
      <w:r w:rsidR="001C2FAD" w:rsidRPr="004D2DCA">
        <w:rPr>
          <w:rFonts w:eastAsia="Times New Roman"/>
          <w:sz w:val="20"/>
          <w:szCs w:val="20"/>
          <w:lang w:eastAsia="zh-CN"/>
        </w:rPr>
        <w:t xml:space="preserve">.005 (the alpha-criterion for each test due to Bonferroni's correction) </w:t>
      </w:r>
    </w:p>
    <w:p w14:paraId="096DBAB4" w14:textId="6AE1AE4E" w:rsidR="000F1616" w:rsidRDefault="001C2FAD"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Times New Roman"/>
          <w:lang w:eastAsia="zh-CN"/>
        </w:rPr>
      </w:pPr>
      <w:r w:rsidRPr="004D2DCA">
        <w:rPr>
          <w:rFonts w:eastAsia="Times New Roman"/>
          <w:sz w:val="20"/>
          <w:szCs w:val="20"/>
          <w:vertAlign w:val="superscript"/>
          <w:lang w:eastAsia="zh-CN"/>
        </w:rPr>
        <w:t>*</w:t>
      </w:r>
      <w:r w:rsidR="000F1616" w:rsidRPr="004D2DCA">
        <w:rPr>
          <w:rFonts w:eastAsia="Times New Roman"/>
          <w:sz w:val="20"/>
          <w:szCs w:val="20"/>
          <w:vertAlign w:val="superscript"/>
          <w:lang w:eastAsia="zh-CN"/>
        </w:rPr>
        <w:t>*</w:t>
      </w:r>
      <w:r w:rsidR="00503E7B" w:rsidRPr="004D2DCA">
        <w:rPr>
          <w:rFonts w:eastAsia="Times New Roman"/>
          <w:sz w:val="20"/>
          <w:szCs w:val="20"/>
          <w:lang w:eastAsia="zh-CN"/>
        </w:rPr>
        <w:t>Significant after Bonferroni correction</w:t>
      </w:r>
      <w:r w:rsidRPr="004D2DCA">
        <w:rPr>
          <w:rFonts w:eastAsia="Times New Roman"/>
          <w:sz w:val="20"/>
          <w:szCs w:val="20"/>
          <w:lang w:eastAsia="zh-CN"/>
        </w:rPr>
        <w:t xml:space="preserve"> </w:t>
      </w:r>
    </w:p>
    <w:p w14:paraId="51A03161" w14:textId="77777777" w:rsidR="000F1616" w:rsidRPr="00D40C27" w:rsidRDefault="000F1616" w:rsidP="000F1616">
      <w:pPr>
        <w:pStyle w:val="Heading3"/>
        <w:rPr>
          <w:lang w:eastAsia="en-US"/>
        </w:rPr>
      </w:pPr>
      <w:bookmarkStart w:id="78" w:name="_Toc12024651"/>
      <w:r w:rsidRPr="00D40C27">
        <w:rPr>
          <w:lang w:eastAsia="en-US"/>
        </w:rPr>
        <w:t>Correlation analysis</w:t>
      </w:r>
      <w:bookmarkEnd w:id="78"/>
    </w:p>
    <w:p w14:paraId="1AED24D8" w14:textId="4EAF17C9" w:rsidR="000E46E2" w:rsidRDefault="000F1616" w:rsidP="000E46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Calibri"/>
          <w:color w:val="auto"/>
          <w:lang w:eastAsia="en-US"/>
        </w:rPr>
      </w:pPr>
      <w:r w:rsidRPr="00D40C27">
        <w:rPr>
          <w:rFonts w:eastAsia="Calibri"/>
          <w:color w:val="auto"/>
          <w:lang w:eastAsia="en-US"/>
        </w:rPr>
        <w:t xml:space="preserve">A Pearson correlation analysis was conducted in order to assess the relationship between the variables (see Table </w:t>
      </w:r>
      <w:r w:rsidR="00E82634">
        <w:rPr>
          <w:rFonts w:eastAsia="Calibri"/>
          <w:color w:val="auto"/>
          <w:lang w:eastAsia="en-US"/>
        </w:rPr>
        <w:t>3.</w:t>
      </w:r>
      <w:r w:rsidRPr="00D40C27">
        <w:rPr>
          <w:rFonts w:eastAsia="Calibri"/>
          <w:color w:val="auto"/>
          <w:lang w:eastAsia="en-US"/>
        </w:rPr>
        <w:t xml:space="preserve">6). There was a significant correlation between the outcome variables of implicit </w:t>
      </w:r>
      <w:r w:rsidR="000E46E2">
        <w:rPr>
          <w:rFonts w:eastAsia="Calibri"/>
          <w:color w:val="auto"/>
          <w:lang w:eastAsia="en-US"/>
        </w:rPr>
        <w:t>attitudes (IAT effect size)</w:t>
      </w:r>
      <w:r w:rsidR="000E46E2" w:rsidRPr="00D40C27">
        <w:rPr>
          <w:rFonts w:eastAsia="Calibri"/>
          <w:color w:val="auto"/>
          <w:lang w:eastAsia="en-US"/>
        </w:rPr>
        <w:t xml:space="preserve"> </w:t>
      </w:r>
      <w:r w:rsidRPr="00D40C27">
        <w:rPr>
          <w:rFonts w:eastAsia="Calibri"/>
          <w:color w:val="auto"/>
          <w:lang w:eastAsia="en-US"/>
        </w:rPr>
        <w:t xml:space="preserve">and explicit attitudes, </w:t>
      </w:r>
      <w:r w:rsidRPr="00D40C27">
        <w:rPr>
          <w:rFonts w:eastAsia="SimSun"/>
          <w:i/>
          <w:noProof/>
          <w:color w:val="auto"/>
        </w:rPr>
        <w:t>r</w:t>
      </w:r>
      <w:r w:rsidRPr="00D40C27">
        <w:rPr>
          <w:rFonts w:eastAsia="SimSun"/>
          <w:iCs/>
          <w:noProof/>
          <w:color w:val="auto"/>
        </w:rPr>
        <w:t xml:space="preserve">(391) </w:t>
      </w:r>
      <w:r w:rsidRPr="00D40C27">
        <w:rPr>
          <w:rFonts w:eastAsia="SimSun"/>
          <w:color w:val="auto"/>
          <w:lang w:eastAsia="zh-CN"/>
        </w:rPr>
        <w:t>=</w:t>
      </w:r>
      <w:r w:rsidR="00BD6324">
        <w:rPr>
          <w:rFonts w:eastAsia="SimSun"/>
          <w:color w:val="auto"/>
          <w:lang w:eastAsia="zh-CN"/>
        </w:rPr>
        <w:t xml:space="preserve"> </w:t>
      </w:r>
      <w:r w:rsidR="00995C98">
        <w:rPr>
          <w:rFonts w:eastAsia="SimSun"/>
          <w:color w:val="auto"/>
          <w:lang w:eastAsia="zh-CN"/>
        </w:rPr>
        <w:t>-</w:t>
      </w:r>
      <w:r w:rsidRPr="00D40C27">
        <w:rPr>
          <w:rFonts w:eastAsia="Times New Roman"/>
        </w:rPr>
        <w:t>.11</w:t>
      </w:r>
      <w:r w:rsidRPr="00D40C27">
        <w:rPr>
          <w:rFonts w:eastAsia="SimSun"/>
          <w:color w:val="auto"/>
          <w:lang w:eastAsia="zh-CN"/>
        </w:rPr>
        <w:t xml:space="preserve">, </w:t>
      </w:r>
      <w:r w:rsidRPr="00D40C27">
        <w:rPr>
          <w:rFonts w:eastAsia="SimSun"/>
          <w:i/>
          <w:color w:val="auto"/>
          <w:lang w:eastAsia="zh-CN"/>
        </w:rPr>
        <w:t>p =</w:t>
      </w:r>
      <w:r w:rsidRPr="00D40C27">
        <w:rPr>
          <w:rFonts w:eastAsia="SimSun"/>
          <w:color w:val="auto"/>
          <w:lang w:eastAsia="zh-CN"/>
        </w:rPr>
        <w:t>.02</w:t>
      </w:r>
      <w:r w:rsidR="000E46E2">
        <w:rPr>
          <w:rFonts w:eastAsia="SimSun"/>
          <w:color w:val="auto"/>
          <w:lang w:eastAsia="zh-CN"/>
        </w:rPr>
        <w:t>, however this became non-significant after correcting for multiple tests.</w:t>
      </w:r>
      <w:r w:rsidRPr="00D40C27">
        <w:rPr>
          <w:rFonts w:eastAsia="Calibri"/>
          <w:color w:val="auto"/>
          <w:lang w:eastAsia="en-US"/>
        </w:rPr>
        <w:t xml:space="preserve"> Higher IAT effect sizes were associated with lower EMS, </w:t>
      </w:r>
      <w:r w:rsidRPr="00D40C27">
        <w:rPr>
          <w:rFonts w:eastAsia="SimSun"/>
          <w:i/>
          <w:noProof/>
          <w:color w:val="auto"/>
        </w:rPr>
        <w:t>r</w:t>
      </w:r>
      <w:r w:rsidRPr="00D40C27">
        <w:rPr>
          <w:rFonts w:eastAsia="SimSun"/>
          <w:iCs/>
          <w:noProof/>
          <w:color w:val="auto"/>
        </w:rPr>
        <w:t>(400)</w:t>
      </w:r>
      <w:r w:rsidRPr="00D40C27">
        <w:rPr>
          <w:rFonts w:eastAsia="SimSun"/>
          <w:noProof/>
          <w:color w:val="auto"/>
        </w:rPr>
        <w:t xml:space="preserve"> </w:t>
      </w:r>
      <w:r w:rsidRPr="00D40C27">
        <w:rPr>
          <w:rFonts w:eastAsia="SimSun"/>
          <w:color w:val="auto"/>
          <w:lang w:eastAsia="zh-CN"/>
        </w:rPr>
        <w:t>= -</w:t>
      </w:r>
      <w:r w:rsidRPr="00D40C27">
        <w:rPr>
          <w:rFonts w:eastAsia="Times New Roman"/>
        </w:rPr>
        <w:t>.14</w:t>
      </w:r>
      <w:r w:rsidRPr="00D40C27">
        <w:rPr>
          <w:rFonts w:eastAsia="SimSun"/>
          <w:color w:val="auto"/>
          <w:lang w:eastAsia="zh-CN"/>
        </w:rPr>
        <w:t xml:space="preserve">, </w:t>
      </w:r>
      <w:r w:rsidRPr="00D40C27">
        <w:rPr>
          <w:rFonts w:eastAsia="SimSun"/>
          <w:i/>
          <w:color w:val="auto"/>
          <w:lang w:eastAsia="zh-CN"/>
        </w:rPr>
        <w:t xml:space="preserve">p </w:t>
      </w:r>
      <w:r w:rsidRPr="00D40C27">
        <w:rPr>
          <w:rFonts w:eastAsia="SimSun"/>
          <w:color w:val="auto"/>
          <w:lang w:eastAsia="zh-CN"/>
        </w:rPr>
        <w:t>=.005</w:t>
      </w:r>
      <w:r w:rsidRPr="00D40C27">
        <w:rPr>
          <w:rFonts w:eastAsia="Calibri"/>
          <w:color w:val="auto"/>
          <w:lang w:eastAsia="en-US"/>
        </w:rPr>
        <w:t>, lower IMS</w:t>
      </w:r>
      <w:r w:rsidRPr="004D2DCA">
        <w:rPr>
          <w:rStyle w:val="FootnoteReference"/>
        </w:rPr>
        <w:footnoteReference w:id="1"/>
      </w:r>
      <w:r w:rsidRPr="00D40C27">
        <w:rPr>
          <w:rFonts w:eastAsia="Calibri"/>
          <w:color w:val="auto"/>
          <w:lang w:eastAsia="en-US"/>
        </w:rPr>
        <w:t xml:space="preserve">, </w:t>
      </w:r>
      <w:r w:rsidRPr="00D40C27">
        <w:rPr>
          <w:rFonts w:eastAsia="SimSun"/>
          <w:i/>
          <w:noProof/>
          <w:color w:val="auto"/>
        </w:rPr>
        <w:t>r</w:t>
      </w:r>
      <w:r w:rsidRPr="00D40C27">
        <w:rPr>
          <w:rFonts w:eastAsia="SimSun"/>
          <w:iCs/>
          <w:noProof/>
          <w:color w:val="auto"/>
        </w:rPr>
        <w:t>(393)</w:t>
      </w:r>
      <w:r w:rsidRPr="00D40C27">
        <w:rPr>
          <w:rFonts w:eastAsia="SimSun"/>
          <w:noProof/>
          <w:color w:val="auto"/>
        </w:rPr>
        <w:t xml:space="preserve"> </w:t>
      </w:r>
      <w:r w:rsidRPr="00D40C27">
        <w:rPr>
          <w:rFonts w:eastAsia="SimSun"/>
          <w:color w:val="auto"/>
          <w:lang w:eastAsia="zh-CN"/>
        </w:rPr>
        <w:t xml:space="preserve">= </w:t>
      </w:r>
      <w:r w:rsidRPr="00D40C27">
        <w:rPr>
          <w:rFonts w:eastAsia="Times New Roman"/>
        </w:rPr>
        <w:t>.13</w:t>
      </w:r>
      <w:r w:rsidRPr="00D40C27">
        <w:rPr>
          <w:rFonts w:eastAsia="SimSun"/>
          <w:color w:val="auto"/>
          <w:lang w:eastAsia="zh-CN"/>
        </w:rPr>
        <w:t xml:space="preserve">, </w:t>
      </w:r>
      <w:r w:rsidRPr="00D40C27">
        <w:rPr>
          <w:rFonts w:eastAsia="SimSun"/>
          <w:i/>
          <w:color w:val="auto"/>
          <w:lang w:eastAsia="zh-CN"/>
        </w:rPr>
        <w:t xml:space="preserve">p </w:t>
      </w:r>
      <w:r w:rsidRPr="00D40C27">
        <w:rPr>
          <w:rFonts w:eastAsia="Times New Roman"/>
        </w:rPr>
        <w:t>≤</w:t>
      </w:r>
      <w:r w:rsidRPr="00D40C27">
        <w:rPr>
          <w:rFonts w:eastAsia="SimSun"/>
          <w:color w:val="auto"/>
          <w:lang w:eastAsia="zh-CN"/>
        </w:rPr>
        <w:t>.001</w:t>
      </w:r>
      <w:r w:rsidRPr="00D40C27">
        <w:rPr>
          <w:rFonts w:eastAsia="Calibri"/>
          <w:color w:val="auto"/>
          <w:lang w:eastAsia="en-US"/>
        </w:rPr>
        <w:t xml:space="preserve">, and </w:t>
      </w:r>
      <w:r w:rsidR="00F14A3D">
        <w:rPr>
          <w:rFonts w:eastAsia="Calibri"/>
          <w:color w:val="auto"/>
          <w:lang w:eastAsia="en-US"/>
        </w:rPr>
        <w:t>higher</w:t>
      </w:r>
      <w:r w:rsidR="00F14A3D" w:rsidRPr="00D40C27">
        <w:rPr>
          <w:rFonts w:eastAsia="Calibri"/>
          <w:color w:val="auto"/>
          <w:lang w:eastAsia="en-US"/>
        </w:rPr>
        <w:t xml:space="preserve"> </w:t>
      </w:r>
      <w:r w:rsidRPr="00D40C27">
        <w:rPr>
          <w:rFonts w:eastAsia="Calibri"/>
          <w:color w:val="auto"/>
          <w:lang w:eastAsia="en-US"/>
        </w:rPr>
        <w:t xml:space="preserve">contamination disgust, </w:t>
      </w:r>
      <w:r w:rsidRPr="00D40C27">
        <w:rPr>
          <w:rFonts w:eastAsia="SimSun"/>
          <w:i/>
          <w:noProof/>
          <w:color w:val="auto"/>
        </w:rPr>
        <w:t>r</w:t>
      </w:r>
      <w:r w:rsidRPr="00D40C27">
        <w:rPr>
          <w:rFonts w:eastAsia="SimSun"/>
          <w:iCs/>
          <w:noProof/>
          <w:color w:val="auto"/>
        </w:rPr>
        <w:t>(424)</w:t>
      </w:r>
      <w:r w:rsidRPr="00D40C27">
        <w:rPr>
          <w:rFonts w:eastAsia="SimSun"/>
          <w:noProof/>
          <w:color w:val="auto"/>
        </w:rPr>
        <w:t xml:space="preserve"> </w:t>
      </w:r>
      <w:r w:rsidRPr="00D40C27">
        <w:rPr>
          <w:rFonts w:eastAsia="SimSun"/>
          <w:color w:val="auto"/>
          <w:lang w:eastAsia="zh-CN"/>
        </w:rPr>
        <w:t xml:space="preserve">= </w:t>
      </w:r>
      <w:r w:rsidRPr="00D40C27">
        <w:rPr>
          <w:rFonts w:eastAsia="Times New Roman"/>
        </w:rPr>
        <w:t>.15</w:t>
      </w:r>
      <w:r w:rsidRPr="00D40C27">
        <w:rPr>
          <w:rFonts w:eastAsia="SimSun"/>
          <w:color w:val="auto"/>
          <w:lang w:eastAsia="zh-CN"/>
        </w:rPr>
        <w:t xml:space="preserve">, </w:t>
      </w:r>
      <w:r w:rsidRPr="00D40C27">
        <w:rPr>
          <w:rFonts w:eastAsia="SimSun"/>
          <w:i/>
          <w:color w:val="auto"/>
          <w:lang w:eastAsia="zh-CN"/>
        </w:rPr>
        <w:t xml:space="preserve">p </w:t>
      </w:r>
      <w:r w:rsidRPr="00D40C27">
        <w:rPr>
          <w:rFonts w:eastAsia="SimSun"/>
          <w:color w:val="auto"/>
          <w:lang w:eastAsia="zh-CN"/>
        </w:rPr>
        <w:t>=.003</w:t>
      </w:r>
      <w:r w:rsidRPr="00D40C27">
        <w:rPr>
          <w:rFonts w:eastAsia="Calibri"/>
          <w:color w:val="auto"/>
          <w:lang w:eastAsia="en-US"/>
        </w:rPr>
        <w:t xml:space="preserve">.  Favourable explicit attitudes towards FD were associated with higher IMS, </w:t>
      </w:r>
      <w:r w:rsidRPr="00D40C27">
        <w:rPr>
          <w:rFonts w:eastAsia="SimSun"/>
          <w:i/>
          <w:noProof/>
          <w:color w:val="auto"/>
        </w:rPr>
        <w:t>r</w:t>
      </w:r>
      <w:r w:rsidRPr="00D40C27">
        <w:rPr>
          <w:rFonts w:eastAsia="SimSun"/>
          <w:iCs/>
          <w:noProof/>
          <w:color w:val="auto"/>
        </w:rPr>
        <w:t>(443)</w:t>
      </w:r>
      <w:r w:rsidRPr="00D40C27">
        <w:rPr>
          <w:rFonts w:eastAsia="SimSun"/>
          <w:noProof/>
          <w:color w:val="auto"/>
        </w:rPr>
        <w:t xml:space="preserve"> </w:t>
      </w:r>
      <w:r w:rsidRPr="00D40C27">
        <w:rPr>
          <w:rFonts w:eastAsia="SimSun"/>
          <w:color w:val="auto"/>
          <w:lang w:eastAsia="zh-CN"/>
        </w:rPr>
        <w:t>= -</w:t>
      </w:r>
      <w:r w:rsidRPr="00D40C27">
        <w:rPr>
          <w:rFonts w:eastAsia="Times New Roman"/>
        </w:rPr>
        <w:t>.18</w:t>
      </w:r>
      <w:r w:rsidRPr="00D40C27">
        <w:rPr>
          <w:rFonts w:eastAsia="SimSun"/>
          <w:color w:val="auto"/>
          <w:lang w:eastAsia="zh-CN"/>
        </w:rPr>
        <w:t xml:space="preserve">, </w:t>
      </w:r>
      <w:r w:rsidRPr="00D40C27">
        <w:rPr>
          <w:rFonts w:eastAsia="SimSun"/>
          <w:i/>
          <w:color w:val="auto"/>
          <w:lang w:eastAsia="zh-CN"/>
        </w:rPr>
        <w:t xml:space="preserve">p </w:t>
      </w:r>
      <w:r w:rsidRPr="00D40C27">
        <w:rPr>
          <w:rFonts w:eastAsia="Times New Roman"/>
        </w:rPr>
        <w:t>≤</w:t>
      </w:r>
      <w:r w:rsidRPr="00D40C27">
        <w:rPr>
          <w:rFonts w:eastAsia="SimSun"/>
          <w:color w:val="auto"/>
          <w:lang w:eastAsia="zh-CN"/>
        </w:rPr>
        <w:t>.001,</w:t>
      </w:r>
      <w:r w:rsidRPr="00D40C27">
        <w:rPr>
          <w:rFonts w:eastAsia="Calibri"/>
          <w:color w:val="auto"/>
          <w:lang w:eastAsia="en-US"/>
        </w:rPr>
        <w:t xml:space="preserve"> and higher salience of appearance</w:t>
      </w:r>
      <w:r w:rsidR="008D58F0">
        <w:rPr>
          <w:rFonts w:eastAsia="Calibri"/>
          <w:color w:val="auto"/>
          <w:lang w:eastAsia="en-US"/>
        </w:rPr>
        <w:t xml:space="preserve">, </w:t>
      </w:r>
      <w:r w:rsidRPr="00D40C27">
        <w:rPr>
          <w:rFonts w:eastAsia="SimSun"/>
          <w:i/>
          <w:noProof/>
          <w:color w:val="auto"/>
        </w:rPr>
        <w:t>r</w:t>
      </w:r>
      <w:r w:rsidRPr="00D40C27">
        <w:rPr>
          <w:rFonts w:eastAsia="SimSun"/>
          <w:iCs/>
          <w:noProof/>
          <w:color w:val="auto"/>
        </w:rPr>
        <w:t>(443)</w:t>
      </w:r>
      <w:r w:rsidRPr="00D40C27">
        <w:rPr>
          <w:rFonts w:eastAsia="SimSun"/>
          <w:noProof/>
          <w:color w:val="auto"/>
        </w:rPr>
        <w:t xml:space="preserve"> </w:t>
      </w:r>
      <w:r w:rsidRPr="00D40C27">
        <w:rPr>
          <w:rFonts w:eastAsia="SimSun"/>
          <w:color w:val="auto"/>
          <w:lang w:eastAsia="zh-CN"/>
        </w:rPr>
        <w:t xml:space="preserve">= </w:t>
      </w:r>
      <w:r w:rsidRPr="00D40C27">
        <w:rPr>
          <w:rFonts w:eastAsia="Times New Roman"/>
        </w:rPr>
        <w:t>.128</w:t>
      </w:r>
      <w:r w:rsidRPr="00D40C27">
        <w:rPr>
          <w:rFonts w:eastAsia="SimSun"/>
          <w:color w:val="auto"/>
          <w:lang w:eastAsia="zh-CN"/>
        </w:rPr>
        <w:t xml:space="preserve">, </w:t>
      </w:r>
      <w:r w:rsidRPr="00D40C27">
        <w:rPr>
          <w:rFonts w:eastAsia="SimSun"/>
          <w:i/>
          <w:color w:val="auto"/>
          <w:lang w:eastAsia="zh-CN"/>
        </w:rPr>
        <w:t xml:space="preserve">p </w:t>
      </w:r>
      <w:r w:rsidRPr="00D40C27">
        <w:rPr>
          <w:rFonts w:eastAsia="Times New Roman"/>
        </w:rPr>
        <w:t>=</w:t>
      </w:r>
      <w:r w:rsidRPr="00D40C27">
        <w:rPr>
          <w:rFonts w:eastAsia="SimSun"/>
          <w:color w:val="auto"/>
          <w:lang w:eastAsia="zh-CN"/>
        </w:rPr>
        <w:t>.008</w:t>
      </w:r>
      <w:r w:rsidR="008D58F0">
        <w:rPr>
          <w:rFonts w:eastAsia="Calibri"/>
          <w:color w:val="auto"/>
          <w:lang w:eastAsia="en-US"/>
        </w:rPr>
        <w:t>;</w:t>
      </w:r>
      <w:r w:rsidR="00BD6324">
        <w:rPr>
          <w:rFonts w:eastAsia="Calibri"/>
          <w:color w:val="auto"/>
          <w:lang w:eastAsia="en-US"/>
        </w:rPr>
        <w:t xml:space="preserve"> however the later became non-significant after employing Bonferroni correction</w:t>
      </w:r>
      <w:r w:rsidRPr="00D40C27">
        <w:rPr>
          <w:rFonts w:eastAsia="Calibri"/>
          <w:color w:val="auto"/>
          <w:lang w:eastAsia="en-US"/>
        </w:rPr>
        <w:t xml:space="preserve">. Significant correlations between appearance related variables and disgust sensitivity were also found. </w:t>
      </w:r>
      <w:r w:rsidR="00BD6324">
        <w:rPr>
          <w:rFonts w:eastAsia="Calibri"/>
          <w:color w:val="auto"/>
          <w:lang w:eastAsia="en-US"/>
        </w:rPr>
        <w:t>V</w:t>
      </w:r>
      <w:r w:rsidRPr="00D40C27">
        <w:rPr>
          <w:rFonts w:eastAsia="Calibri"/>
          <w:color w:val="auto"/>
          <w:lang w:eastAsia="en-US"/>
        </w:rPr>
        <w:t xml:space="preserve">alence of appearance was correlated with higher core, </w:t>
      </w:r>
      <w:r w:rsidRPr="00D40C27">
        <w:rPr>
          <w:rFonts w:eastAsia="SimSun"/>
          <w:i/>
          <w:noProof/>
          <w:color w:val="auto"/>
        </w:rPr>
        <w:t>r</w:t>
      </w:r>
      <w:r w:rsidRPr="00D40C27">
        <w:rPr>
          <w:rFonts w:eastAsia="SimSun"/>
          <w:iCs/>
          <w:noProof/>
          <w:color w:val="auto"/>
        </w:rPr>
        <w:t>(443)</w:t>
      </w:r>
      <w:r w:rsidRPr="00D40C27">
        <w:rPr>
          <w:rFonts w:eastAsia="SimSun"/>
          <w:noProof/>
          <w:color w:val="auto"/>
        </w:rPr>
        <w:t xml:space="preserve"> </w:t>
      </w:r>
      <w:r w:rsidRPr="00D40C27">
        <w:rPr>
          <w:rFonts w:eastAsia="SimSun"/>
          <w:color w:val="auto"/>
          <w:lang w:eastAsia="zh-CN"/>
        </w:rPr>
        <w:t xml:space="preserve">= </w:t>
      </w:r>
      <w:r w:rsidRPr="00D40C27">
        <w:rPr>
          <w:rFonts w:eastAsia="Times New Roman"/>
        </w:rPr>
        <w:t>.11</w:t>
      </w:r>
      <w:r w:rsidRPr="00D40C27">
        <w:rPr>
          <w:rFonts w:eastAsia="SimSun"/>
          <w:color w:val="auto"/>
          <w:lang w:eastAsia="zh-CN"/>
        </w:rPr>
        <w:t xml:space="preserve">, </w:t>
      </w:r>
      <w:r w:rsidRPr="00D40C27">
        <w:rPr>
          <w:rFonts w:eastAsia="SimSun"/>
          <w:i/>
          <w:color w:val="auto"/>
          <w:lang w:eastAsia="zh-CN"/>
        </w:rPr>
        <w:t xml:space="preserve">p </w:t>
      </w:r>
      <w:r w:rsidRPr="00D40C27">
        <w:rPr>
          <w:rFonts w:eastAsia="Times New Roman"/>
        </w:rPr>
        <w:t>=</w:t>
      </w:r>
      <w:r w:rsidRPr="00D40C27">
        <w:rPr>
          <w:rFonts w:eastAsia="SimSun"/>
          <w:color w:val="auto"/>
          <w:lang w:eastAsia="zh-CN"/>
        </w:rPr>
        <w:t>.01</w:t>
      </w:r>
      <w:r w:rsidRPr="00D40C27">
        <w:rPr>
          <w:rFonts w:eastAsia="Calibri"/>
          <w:color w:val="auto"/>
          <w:lang w:eastAsia="en-US"/>
        </w:rPr>
        <w:t xml:space="preserve">, and animal reminder disgust sensitivity, </w:t>
      </w:r>
      <w:r w:rsidRPr="00D40C27">
        <w:rPr>
          <w:rFonts w:eastAsia="SimSun"/>
          <w:i/>
          <w:noProof/>
          <w:color w:val="auto"/>
        </w:rPr>
        <w:t>r</w:t>
      </w:r>
      <w:r w:rsidRPr="00D40C27">
        <w:rPr>
          <w:rFonts w:eastAsia="SimSun"/>
          <w:iCs/>
          <w:noProof/>
          <w:color w:val="auto"/>
        </w:rPr>
        <w:t>(443)</w:t>
      </w:r>
      <w:r w:rsidRPr="00D40C27">
        <w:rPr>
          <w:rFonts w:eastAsia="SimSun"/>
          <w:noProof/>
          <w:color w:val="auto"/>
        </w:rPr>
        <w:t xml:space="preserve"> </w:t>
      </w:r>
      <w:r w:rsidRPr="00D40C27">
        <w:rPr>
          <w:rFonts w:eastAsia="SimSun"/>
          <w:color w:val="auto"/>
          <w:lang w:eastAsia="zh-CN"/>
        </w:rPr>
        <w:t xml:space="preserve">= </w:t>
      </w:r>
      <w:r w:rsidRPr="00D40C27">
        <w:rPr>
          <w:rFonts w:eastAsia="Times New Roman"/>
        </w:rPr>
        <w:t>.09</w:t>
      </w:r>
      <w:r w:rsidRPr="00D40C27">
        <w:rPr>
          <w:rFonts w:eastAsia="SimSun"/>
          <w:color w:val="auto"/>
          <w:lang w:eastAsia="zh-CN"/>
        </w:rPr>
        <w:t xml:space="preserve">, </w:t>
      </w:r>
      <w:r w:rsidRPr="00D40C27">
        <w:rPr>
          <w:rFonts w:eastAsia="SimSun"/>
          <w:i/>
          <w:color w:val="auto"/>
          <w:lang w:eastAsia="zh-CN"/>
        </w:rPr>
        <w:t xml:space="preserve">p </w:t>
      </w:r>
      <w:r w:rsidRPr="00D40C27">
        <w:rPr>
          <w:rFonts w:eastAsia="Times New Roman"/>
        </w:rPr>
        <w:t>=</w:t>
      </w:r>
      <w:r w:rsidRPr="00D40C27">
        <w:rPr>
          <w:rFonts w:eastAsia="SimSun"/>
          <w:color w:val="auto"/>
          <w:lang w:eastAsia="zh-CN"/>
        </w:rPr>
        <w:t>.03</w:t>
      </w:r>
      <w:r w:rsidRPr="00D40C27">
        <w:rPr>
          <w:rFonts w:eastAsia="Calibri"/>
          <w:color w:val="auto"/>
          <w:lang w:eastAsia="en-US"/>
        </w:rPr>
        <w:t>,</w:t>
      </w:r>
      <w:r w:rsidR="00BD6324">
        <w:rPr>
          <w:rFonts w:eastAsia="Calibri"/>
          <w:color w:val="auto"/>
          <w:lang w:eastAsia="en-US"/>
        </w:rPr>
        <w:t xml:space="preserve"> although these correlations ceased to be significant after correcting for multiple tests.</w:t>
      </w:r>
      <w:r w:rsidRPr="00D40C27">
        <w:rPr>
          <w:rFonts w:eastAsia="Calibri"/>
          <w:color w:val="auto"/>
          <w:lang w:eastAsia="en-US"/>
        </w:rPr>
        <w:t xml:space="preserve"> </w:t>
      </w:r>
      <w:r w:rsidR="00BD6324">
        <w:rPr>
          <w:rFonts w:eastAsia="Calibri"/>
          <w:color w:val="auto"/>
          <w:lang w:eastAsia="en-US"/>
        </w:rPr>
        <w:t>Lastly, s</w:t>
      </w:r>
      <w:r w:rsidRPr="00D40C27">
        <w:rPr>
          <w:rFonts w:eastAsia="Calibri"/>
          <w:color w:val="auto"/>
          <w:lang w:eastAsia="en-US"/>
        </w:rPr>
        <w:t xml:space="preserve">alience of appearance was positively correlated with core, </w:t>
      </w:r>
      <w:r w:rsidRPr="00D40C27">
        <w:rPr>
          <w:rFonts w:eastAsia="SimSun"/>
          <w:i/>
          <w:noProof/>
          <w:color w:val="auto"/>
        </w:rPr>
        <w:t>r</w:t>
      </w:r>
      <w:r w:rsidRPr="00D40C27">
        <w:rPr>
          <w:rFonts w:eastAsia="SimSun"/>
          <w:iCs/>
          <w:noProof/>
          <w:color w:val="auto"/>
        </w:rPr>
        <w:t>(443)</w:t>
      </w:r>
      <w:r w:rsidRPr="00D40C27">
        <w:rPr>
          <w:rFonts w:eastAsia="SimSun"/>
          <w:noProof/>
          <w:color w:val="auto"/>
        </w:rPr>
        <w:t xml:space="preserve"> </w:t>
      </w:r>
      <w:r w:rsidRPr="00D40C27">
        <w:rPr>
          <w:rFonts w:eastAsia="SimSun"/>
          <w:color w:val="auto"/>
          <w:lang w:eastAsia="zh-CN"/>
        </w:rPr>
        <w:t xml:space="preserve">= </w:t>
      </w:r>
      <w:r w:rsidRPr="00D40C27">
        <w:rPr>
          <w:rFonts w:eastAsia="Times New Roman"/>
        </w:rPr>
        <w:t>.20</w:t>
      </w:r>
      <w:r w:rsidRPr="00D40C27">
        <w:rPr>
          <w:rFonts w:eastAsia="SimSun"/>
          <w:color w:val="auto"/>
          <w:lang w:eastAsia="zh-CN"/>
        </w:rPr>
        <w:t xml:space="preserve">, </w:t>
      </w:r>
      <w:r w:rsidRPr="00D40C27">
        <w:rPr>
          <w:rFonts w:eastAsia="SimSun"/>
          <w:i/>
          <w:color w:val="auto"/>
          <w:lang w:eastAsia="zh-CN"/>
        </w:rPr>
        <w:t xml:space="preserve">p </w:t>
      </w:r>
      <w:r w:rsidRPr="00D40C27">
        <w:rPr>
          <w:rFonts w:eastAsia="Times New Roman"/>
        </w:rPr>
        <w:t>≤</w:t>
      </w:r>
      <w:r w:rsidRPr="00D40C27">
        <w:rPr>
          <w:rFonts w:eastAsia="SimSun"/>
          <w:color w:val="auto"/>
          <w:lang w:eastAsia="zh-CN"/>
        </w:rPr>
        <w:t>.001</w:t>
      </w:r>
      <w:r w:rsidRPr="00D40C27">
        <w:rPr>
          <w:rFonts w:eastAsia="Calibri"/>
          <w:color w:val="auto"/>
          <w:lang w:eastAsia="en-US"/>
        </w:rPr>
        <w:t xml:space="preserve">, animal, </w:t>
      </w:r>
      <w:r w:rsidRPr="00D40C27">
        <w:rPr>
          <w:rFonts w:eastAsia="SimSun"/>
          <w:i/>
          <w:noProof/>
          <w:color w:val="auto"/>
        </w:rPr>
        <w:t>r</w:t>
      </w:r>
      <w:r w:rsidRPr="00D40C27">
        <w:rPr>
          <w:rFonts w:eastAsia="SimSun"/>
          <w:iCs/>
          <w:noProof/>
          <w:color w:val="auto"/>
        </w:rPr>
        <w:t>(443)</w:t>
      </w:r>
      <w:r w:rsidRPr="00D40C27">
        <w:rPr>
          <w:rFonts w:eastAsia="SimSun"/>
          <w:noProof/>
          <w:color w:val="auto"/>
        </w:rPr>
        <w:t xml:space="preserve"> </w:t>
      </w:r>
      <w:r w:rsidRPr="00D40C27">
        <w:rPr>
          <w:rFonts w:eastAsia="SimSun"/>
          <w:color w:val="auto"/>
          <w:lang w:eastAsia="zh-CN"/>
        </w:rPr>
        <w:t xml:space="preserve">= </w:t>
      </w:r>
      <w:r w:rsidRPr="00D40C27">
        <w:rPr>
          <w:rFonts w:eastAsia="Times New Roman"/>
        </w:rPr>
        <w:t>.13</w:t>
      </w:r>
      <w:r w:rsidRPr="00D40C27">
        <w:rPr>
          <w:rFonts w:eastAsia="SimSun"/>
          <w:color w:val="auto"/>
          <w:lang w:eastAsia="zh-CN"/>
        </w:rPr>
        <w:t xml:space="preserve">, </w:t>
      </w:r>
      <w:r w:rsidRPr="00D40C27">
        <w:rPr>
          <w:rFonts w:eastAsia="SimSun"/>
          <w:i/>
          <w:color w:val="auto"/>
          <w:lang w:eastAsia="zh-CN"/>
        </w:rPr>
        <w:t xml:space="preserve">p </w:t>
      </w:r>
      <w:r w:rsidRPr="00D40C27">
        <w:rPr>
          <w:rFonts w:eastAsia="Times New Roman"/>
        </w:rPr>
        <w:t>=</w:t>
      </w:r>
      <w:r w:rsidRPr="00D40C27">
        <w:rPr>
          <w:rFonts w:eastAsia="SimSun"/>
          <w:color w:val="auto"/>
          <w:lang w:eastAsia="zh-CN"/>
        </w:rPr>
        <w:t>.003</w:t>
      </w:r>
      <w:r w:rsidRPr="00D40C27">
        <w:rPr>
          <w:rFonts w:eastAsia="Calibri"/>
          <w:color w:val="auto"/>
          <w:lang w:eastAsia="en-US"/>
        </w:rPr>
        <w:t xml:space="preserve">, and contamination disgust sensitivity, </w:t>
      </w:r>
      <w:r w:rsidRPr="00D40C27">
        <w:rPr>
          <w:rFonts w:eastAsia="SimSun"/>
          <w:i/>
          <w:noProof/>
          <w:color w:val="auto"/>
        </w:rPr>
        <w:t>r</w:t>
      </w:r>
      <w:r w:rsidRPr="00D40C27">
        <w:rPr>
          <w:rFonts w:eastAsia="SimSun"/>
          <w:iCs/>
          <w:noProof/>
          <w:color w:val="auto"/>
        </w:rPr>
        <w:t>(443)</w:t>
      </w:r>
      <w:r w:rsidRPr="00D40C27">
        <w:rPr>
          <w:rFonts w:eastAsia="SimSun"/>
          <w:noProof/>
          <w:color w:val="auto"/>
        </w:rPr>
        <w:t xml:space="preserve"> </w:t>
      </w:r>
      <w:r w:rsidRPr="00D40C27">
        <w:rPr>
          <w:rFonts w:eastAsia="SimSun"/>
          <w:color w:val="auto"/>
          <w:lang w:eastAsia="zh-CN"/>
        </w:rPr>
        <w:t xml:space="preserve">= </w:t>
      </w:r>
      <w:r w:rsidRPr="00D40C27">
        <w:rPr>
          <w:rFonts w:eastAsia="Times New Roman"/>
        </w:rPr>
        <w:t>.17</w:t>
      </w:r>
      <w:r w:rsidRPr="00D40C27">
        <w:rPr>
          <w:rFonts w:eastAsia="SimSun"/>
          <w:color w:val="auto"/>
          <w:lang w:eastAsia="zh-CN"/>
        </w:rPr>
        <w:t xml:space="preserve">, </w:t>
      </w:r>
      <w:r w:rsidRPr="00D40C27">
        <w:rPr>
          <w:rFonts w:eastAsia="SimSun"/>
          <w:i/>
          <w:color w:val="auto"/>
          <w:lang w:eastAsia="zh-CN"/>
        </w:rPr>
        <w:t>p</w:t>
      </w:r>
      <w:r w:rsidRPr="00D40C27">
        <w:rPr>
          <w:rFonts w:eastAsia="Times New Roman"/>
        </w:rPr>
        <w:t xml:space="preserve"> ≤</w:t>
      </w:r>
      <w:r w:rsidRPr="00D40C27">
        <w:rPr>
          <w:rFonts w:eastAsia="SimSun"/>
          <w:color w:val="auto"/>
          <w:lang w:eastAsia="zh-CN"/>
        </w:rPr>
        <w:t>.001</w:t>
      </w:r>
      <w:r w:rsidRPr="00D40C27">
        <w:rPr>
          <w:rFonts w:eastAsia="Calibri"/>
          <w:color w:val="auto"/>
          <w:lang w:eastAsia="en-US"/>
        </w:rPr>
        <w:t xml:space="preserve">. </w:t>
      </w:r>
    </w:p>
    <w:p w14:paraId="5CAACC2F" w14:textId="6E2CA605" w:rsidR="00C33405" w:rsidRDefault="00C33405" w:rsidP="000E46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Calibri"/>
          <w:color w:val="auto"/>
          <w:lang w:eastAsia="en-US"/>
        </w:rPr>
      </w:pPr>
    </w:p>
    <w:p w14:paraId="41E9FD89" w14:textId="48B04404" w:rsidR="00C33405" w:rsidRDefault="00C33405" w:rsidP="000E46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Calibri"/>
          <w:color w:val="auto"/>
          <w:lang w:eastAsia="en-US"/>
        </w:rPr>
      </w:pPr>
    </w:p>
    <w:p w14:paraId="2D2E1FBA" w14:textId="77777777" w:rsidR="00C33405" w:rsidRPr="00D40C27" w:rsidRDefault="00C33405" w:rsidP="000E46E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Times New Roman"/>
          <w:lang w:eastAsia="zh-CN"/>
        </w:rPr>
      </w:pPr>
    </w:p>
    <w:p w14:paraId="6F2F5ADB" w14:textId="6D579AA1" w:rsidR="000F1616" w:rsidRPr="00D40C27" w:rsidRDefault="000F1616" w:rsidP="000F1616">
      <w:pPr>
        <w:pStyle w:val="Tables"/>
        <w:rPr>
          <w:lang w:eastAsia="en-US"/>
        </w:rPr>
      </w:pPr>
      <w:bookmarkStart w:id="79" w:name="_Toc12024832"/>
      <w:r w:rsidRPr="00D40C27">
        <w:rPr>
          <w:lang w:eastAsia="en-US"/>
        </w:rPr>
        <w:t xml:space="preserve">Table </w:t>
      </w:r>
      <w:r>
        <w:rPr>
          <w:lang w:eastAsia="en-US"/>
        </w:rPr>
        <w:t>3.</w:t>
      </w:r>
      <w:r w:rsidRPr="00D40C27">
        <w:rPr>
          <w:lang w:eastAsia="en-US"/>
        </w:rPr>
        <w:t>6. Correlation matrix</w:t>
      </w:r>
      <w:bookmarkEnd w:id="79"/>
      <w:r w:rsidR="00BD6324">
        <w:rPr>
          <w:lang w:eastAsia="en-US"/>
        </w:rPr>
        <w:t xml:space="preserve"> (N=487</w:t>
      </w:r>
      <w:r w:rsidR="008D58F0">
        <w:rPr>
          <w:lang w:eastAsia="en-US"/>
        </w:rPr>
        <w:t>)</w:t>
      </w:r>
    </w:p>
    <w:tbl>
      <w:tblPr>
        <w:tblpPr w:leftFromText="180" w:rightFromText="180" w:vertAnchor="text" w:tblpY="1"/>
        <w:tblOverlap w:val="never"/>
        <w:tblW w:w="9328" w:type="dxa"/>
        <w:tblLook w:val="04A0" w:firstRow="1" w:lastRow="0" w:firstColumn="1" w:lastColumn="0" w:noHBand="0" w:noVBand="1"/>
      </w:tblPr>
      <w:tblGrid>
        <w:gridCol w:w="2400"/>
        <w:gridCol w:w="866"/>
        <w:gridCol w:w="866"/>
        <w:gridCol w:w="866"/>
        <w:gridCol w:w="866"/>
        <w:gridCol w:w="866"/>
        <w:gridCol w:w="866"/>
        <w:gridCol w:w="866"/>
        <w:gridCol w:w="866"/>
      </w:tblGrid>
      <w:tr w:rsidR="000F1616" w:rsidRPr="00D40C27" w14:paraId="0DE6B028" w14:textId="77777777" w:rsidTr="004D2DCA">
        <w:trPr>
          <w:trHeight w:val="263"/>
        </w:trPr>
        <w:tc>
          <w:tcPr>
            <w:tcW w:w="2400" w:type="dxa"/>
            <w:tcBorders>
              <w:top w:val="single" w:sz="4" w:space="0" w:color="auto"/>
              <w:left w:val="nil"/>
              <w:bottom w:val="nil"/>
              <w:right w:val="nil"/>
            </w:tcBorders>
            <w:shd w:val="clear" w:color="auto" w:fill="auto"/>
            <w:vAlign w:val="bottom"/>
            <w:hideMark/>
          </w:tcPr>
          <w:p w14:paraId="06BD8171"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rPr>
                <w:rFonts w:eastAsia="Times New Roman"/>
                <w:color w:val="333399"/>
              </w:rPr>
            </w:pPr>
            <w:bookmarkStart w:id="80" w:name="_Hlk6233805"/>
            <w:r w:rsidRPr="00D40C27">
              <w:rPr>
                <w:rFonts w:eastAsia="Times New Roman"/>
                <w:color w:val="333399"/>
              </w:rPr>
              <w:lastRenderedPageBreak/>
              <w:t> </w:t>
            </w:r>
          </w:p>
        </w:tc>
        <w:tc>
          <w:tcPr>
            <w:tcW w:w="866" w:type="dxa"/>
            <w:tcBorders>
              <w:top w:val="single" w:sz="4" w:space="0" w:color="auto"/>
              <w:left w:val="nil"/>
              <w:bottom w:val="single" w:sz="4" w:space="0" w:color="auto"/>
              <w:right w:val="nil"/>
            </w:tcBorders>
            <w:shd w:val="clear" w:color="auto" w:fill="auto"/>
            <w:vAlign w:val="bottom"/>
            <w:hideMark/>
          </w:tcPr>
          <w:p w14:paraId="2F1B8586"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color w:val="auto"/>
              </w:rPr>
            </w:pPr>
            <w:r w:rsidRPr="00D40C27">
              <w:rPr>
                <w:rFonts w:eastAsia="Times New Roman"/>
                <w:color w:val="auto"/>
              </w:rPr>
              <w:t>1. D IAT</w:t>
            </w:r>
          </w:p>
        </w:tc>
        <w:tc>
          <w:tcPr>
            <w:tcW w:w="866" w:type="dxa"/>
            <w:tcBorders>
              <w:top w:val="single" w:sz="4" w:space="0" w:color="auto"/>
              <w:left w:val="nil"/>
              <w:bottom w:val="single" w:sz="4" w:space="0" w:color="auto"/>
              <w:right w:val="nil"/>
            </w:tcBorders>
            <w:shd w:val="clear" w:color="auto" w:fill="auto"/>
            <w:vAlign w:val="bottom"/>
            <w:hideMark/>
          </w:tcPr>
          <w:p w14:paraId="4DDE255E"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color w:val="auto"/>
              </w:rPr>
            </w:pPr>
            <w:r w:rsidRPr="00D40C27">
              <w:rPr>
                <w:rFonts w:eastAsia="Times New Roman"/>
                <w:color w:val="auto"/>
              </w:rPr>
              <w:t>2</w:t>
            </w:r>
          </w:p>
        </w:tc>
        <w:tc>
          <w:tcPr>
            <w:tcW w:w="866" w:type="dxa"/>
            <w:tcBorders>
              <w:top w:val="single" w:sz="4" w:space="0" w:color="auto"/>
              <w:left w:val="nil"/>
              <w:bottom w:val="single" w:sz="4" w:space="0" w:color="auto"/>
              <w:right w:val="nil"/>
            </w:tcBorders>
            <w:shd w:val="clear" w:color="auto" w:fill="auto"/>
            <w:vAlign w:val="bottom"/>
            <w:hideMark/>
          </w:tcPr>
          <w:p w14:paraId="5E4C701F"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color w:val="auto"/>
              </w:rPr>
            </w:pPr>
            <w:r w:rsidRPr="00D40C27">
              <w:rPr>
                <w:rFonts w:eastAsia="Times New Roman"/>
                <w:color w:val="auto"/>
              </w:rPr>
              <w:t>3</w:t>
            </w:r>
          </w:p>
        </w:tc>
        <w:tc>
          <w:tcPr>
            <w:tcW w:w="866" w:type="dxa"/>
            <w:tcBorders>
              <w:top w:val="single" w:sz="4" w:space="0" w:color="auto"/>
              <w:left w:val="nil"/>
              <w:bottom w:val="single" w:sz="4" w:space="0" w:color="auto"/>
              <w:right w:val="nil"/>
            </w:tcBorders>
            <w:shd w:val="clear" w:color="auto" w:fill="auto"/>
            <w:vAlign w:val="bottom"/>
            <w:hideMark/>
          </w:tcPr>
          <w:p w14:paraId="35764176"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color w:val="auto"/>
              </w:rPr>
            </w:pPr>
            <w:r w:rsidRPr="00D40C27">
              <w:rPr>
                <w:rFonts w:eastAsia="Times New Roman"/>
                <w:color w:val="auto"/>
              </w:rPr>
              <w:t>4</w:t>
            </w:r>
          </w:p>
        </w:tc>
        <w:tc>
          <w:tcPr>
            <w:tcW w:w="866" w:type="dxa"/>
            <w:tcBorders>
              <w:top w:val="single" w:sz="4" w:space="0" w:color="auto"/>
              <w:left w:val="nil"/>
              <w:bottom w:val="single" w:sz="4" w:space="0" w:color="auto"/>
              <w:right w:val="nil"/>
            </w:tcBorders>
            <w:shd w:val="clear" w:color="auto" w:fill="auto"/>
            <w:vAlign w:val="bottom"/>
            <w:hideMark/>
          </w:tcPr>
          <w:p w14:paraId="14BA0A6F"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color w:val="auto"/>
              </w:rPr>
            </w:pPr>
            <w:r w:rsidRPr="00D40C27">
              <w:rPr>
                <w:rFonts w:eastAsia="Times New Roman"/>
                <w:color w:val="auto"/>
              </w:rPr>
              <w:t>5</w:t>
            </w:r>
          </w:p>
        </w:tc>
        <w:tc>
          <w:tcPr>
            <w:tcW w:w="866" w:type="dxa"/>
            <w:tcBorders>
              <w:top w:val="single" w:sz="4" w:space="0" w:color="auto"/>
              <w:left w:val="nil"/>
              <w:bottom w:val="single" w:sz="4" w:space="0" w:color="auto"/>
              <w:right w:val="nil"/>
            </w:tcBorders>
            <w:shd w:val="clear" w:color="auto" w:fill="auto"/>
            <w:vAlign w:val="bottom"/>
            <w:hideMark/>
          </w:tcPr>
          <w:p w14:paraId="402F1180"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color w:val="auto"/>
              </w:rPr>
            </w:pPr>
            <w:r w:rsidRPr="00D40C27">
              <w:rPr>
                <w:rFonts w:eastAsia="Times New Roman"/>
                <w:color w:val="auto"/>
              </w:rPr>
              <w:t>6</w:t>
            </w:r>
          </w:p>
        </w:tc>
        <w:tc>
          <w:tcPr>
            <w:tcW w:w="866" w:type="dxa"/>
            <w:tcBorders>
              <w:top w:val="single" w:sz="4" w:space="0" w:color="auto"/>
              <w:left w:val="nil"/>
              <w:bottom w:val="single" w:sz="4" w:space="0" w:color="auto"/>
              <w:right w:val="nil"/>
            </w:tcBorders>
            <w:shd w:val="clear" w:color="auto" w:fill="auto"/>
            <w:vAlign w:val="bottom"/>
            <w:hideMark/>
          </w:tcPr>
          <w:p w14:paraId="68BF38C9"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color w:val="auto"/>
              </w:rPr>
            </w:pPr>
            <w:r w:rsidRPr="00D40C27">
              <w:rPr>
                <w:rFonts w:eastAsia="Times New Roman"/>
                <w:color w:val="auto"/>
              </w:rPr>
              <w:t>7</w:t>
            </w:r>
          </w:p>
        </w:tc>
        <w:tc>
          <w:tcPr>
            <w:tcW w:w="866" w:type="dxa"/>
            <w:tcBorders>
              <w:top w:val="single" w:sz="4" w:space="0" w:color="auto"/>
              <w:left w:val="nil"/>
              <w:bottom w:val="single" w:sz="4" w:space="0" w:color="auto"/>
              <w:right w:val="nil"/>
            </w:tcBorders>
            <w:shd w:val="clear" w:color="auto" w:fill="auto"/>
            <w:vAlign w:val="bottom"/>
            <w:hideMark/>
          </w:tcPr>
          <w:p w14:paraId="0AF25655"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center"/>
              <w:rPr>
                <w:rFonts w:eastAsia="Times New Roman"/>
                <w:color w:val="auto"/>
              </w:rPr>
            </w:pPr>
            <w:r w:rsidRPr="00D40C27">
              <w:rPr>
                <w:rFonts w:eastAsia="Times New Roman"/>
                <w:color w:val="auto"/>
              </w:rPr>
              <w:t>8</w:t>
            </w:r>
          </w:p>
        </w:tc>
      </w:tr>
      <w:tr w:rsidR="000F1616" w:rsidRPr="00D40C27" w14:paraId="479C672E" w14:textId="77777777" w:rsidTr="004D2DCA">
        <w:trPr>
          <w:trHeight w:val="263"/>
        </w:trPr>
        <w:tc>
          <w:tcPr>
            <w:tcW w:w="2400" w:type="dxa"/>
            <w:tcBorders>
              <w:top w:val="single" w:sz="4" w:space="0" w:color="auto"/>
              <w:left w:val="nil"/>
              <w:bottom w:val="nil"/>
              <w:right w:val="nil"/>
            </w:tcBorders>
            <w:shd w:val="clear" w:color="auto" w:fill="auto"/>
            <w:hideMark/>
          </w:tcPr>
          <w:p w14:paraId="6600A7A0"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rPr>
                <w:rFonts w:eastAsia="Times New Roman"/>
                <w:color w:val="auto"/>
              </w:rPr>
            </w:pPr>
            <w:r w:rsidRPr="00D40C27">
              <w:rPr>
                <w:rFonts w:eastAsia="Times New Roman"/>
                <w:color w:val="auto"/>
              </w:rPr>
              <w:t>2. Explicit Attitudes</w:t>
            </w:r>
          </w:p>
        </w:tc>
        <w:tc>
          <w:tcPr>
            <w:tcW w:w="866" w:type="dxa"/>
            <w:tcBorders>
              <w:top w:val="nil"/>
              <w:left w:val="nil"/>
              <w:bottom w:val="nil"/>
              <w:right w:val="nil"/>
            </w:tcBorders>
            <w:shd w:val="clear" w:color="auto" w:fill="auto"/>
            <w:noWrap/>
            <w:hideMark/>
          </w:tcPr>
          <w:p w14:paraId="422B8EB3" w14:textId="5F798290" w:rsidR="000F1616" w:rsidRPr="00D40C27" w:rsidRDefault="00995C98">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Pr>
                <w:rFonts w:eastAsia="Times New Roman"/>
                <w:color w:val="auto"/>
              </w:rPr>
              <w:t>-</w:t>
            </w:r>
            <w:r w:rsidR="000F1616" w:rsidRPr="00D40C27">
              <w:rPr>
                <w:rFonts w:eastAsia="Times New Roman"/>
                <w:color w:val="auto"/>
              </w:rPr>
              <w:t>.110</w:t>
            </w:r>
          </w:p>
        </w:tc>
        <w:tc>
          <w:tcPr>
            <w:tcW w:w="866" w:type="dxa"/>
            <w:tcBorders>
              <w:top w:val="nil"/>
              <w:left w:val="nil"/>
              <w:bottom w:val="nil"/>
              <w:right w:val="nil"/>
            </w:tcBorders>
            <w:shd w:val="clear" w:color="auto" w:fill="auto"/>
            <w:noWrap/>
            <w:hideMark/>
          </w:tcPr>
          <w:p w14:paraId="1C0E403F"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69C374D8"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0A667902"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183D02D8"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77A2C606"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3A93BECE"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510BAA98"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r>
      <w:tr w:rsidR="000F1616" w:rsidRPr="00D40C27" w14:paraId="348BCE37" w14:textId="77777777" w:rsidTr="004D2DCA">
        <w:trPr>
          <w:trHeight w:val="263"/>
        </w:trPr>
        <w:tc>
          <w:tcPr>
            <w:tcW w:w="2400" w:type="dxa"/>
            <w:tcBorders>
              <w:top w:val="nil"/>
              <w:left w:val="nil"/>
              <w:bottom w:val="nil"/>
              <w:right w:val="nil"/>
            </w:tcBorders>
            <w:shd w:val="clear" w:color="auto" w:fill="auto"/>
            <w:hideMark/>
          </w:tcPr>
          <w:p w14:paraId="562F2102"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rPr>
                <w:rFonts w:eastAsia="Times New Roman"/>
                <w:color w:val="auto"/>
              </w:rPr>
            </w:pPr>
            <w:r w:rsidRPr="00D40C27">
              <w:rPr>
                <w:rFonts w:eastAsia="Times New Roman"/>
                <w:color w:val="auto"/>
              </w:rPr>
              <w:t>3. Valence (CARVAL)</w:t>
            </w:r>
          </w:p>
        </w:tc>
        <w:tc>
          <w:tcPr>
            <w:tcW w:w="866" w:type="dxa"/>
            <w:tcBorders>
              <w:top w:val="nil"/>
              <w:left w:val="nil"/>
              <w:bottom w:val="nil"/>
              <w:right w:val="nil"/>
            </w:tcBorders>
            <w:shd w:val="clear" w:color="auto" w:fill="auto"/>
            <w:noWrap/>
            <w:hideMark/>
          </w:tcPr>
          <w:p w14:paraId="691226A3"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-.099</w:t>
            </w:r>
          </w:p>
        </w:tc>
        <w:tc>
          <w:tcPr>
            <w:tcW w:w="866" w:type="dxa"/>
            <w:tcBorders>
              <w:top w:val="nil"/>
              <w:left w:val="nil"/>
              <w:bottom w:val="nil"/>
              <w:right w:val="nil"/>
            </w:tcBorders>
            <w:shd w:val="clear" w:color="auto" w:fill="auto"/>
            <w:noWrap/>
            <w:hideMark/>
          </w:tcPr>
          <w:p w14:paraId="78611E0B"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-0.05</w:t>
            </w:r>
          </w:p>
        </w:tc>
        <w:tc>
          <w:tcPr>
            <w:tcW w:w="866" w:type="dxa"/>
            <w:tcBorders>
              <w:top w:val="nil"/>
              <w:left w:val="nil"/>
              <w:bottom w:val="nil"/>
              <w:right w:val="nil"/>
            </w:tcBorders>
            <w:shd w:val="clear" w:color="auto" w:fill="auto"/>
            <w:noWrap/>
            <w:hideMark/>
          </w:tcPr>
          <w:p w14:paraId="40CA7C3D"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330D0DE6"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16DAECF3"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67C0E930"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6EBEB824"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25AB37E3"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r>
      <w:tr w:rsidR="000F1616" w:rsidRPr="00D40C27" w14:paraId="12F4ADD9" w14:textId="77777777" w:rsidTr="004D2DCA">
        <w:trPr>
          <w:trHeight w:val="263"/>
        </w:trPr>
        <w:tc>
          <w:tcPr>
            <w:tcW w:w="2400" w:type="dxa"/>
            <w:tcBorders>
              <w:top w:val="nil"/>
              <w:left w:val="nil"/>
              <w:bottom w:val="nil"/>
              <w:right w:val="nil"/>
            </w:tcBorders>
            <w:shd w:val="clear" w:color="auto" w:fill="auto"/>
            <w:hideMark/>
          </w:tcPr>
          <w:p w14:paraId="7272EA25"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rPr>
                <w:rFonts w:eastAsia="Times New Roman"/>
                <w:color w:val="auto"/>
              </w:rPr>
            </w:pPr>
            <w:r w:rsidRPr="00D40C27">
              <w:rPr>
                <w:rFonts w:eastAsia="Times New Roman"/>
                <w:color w:val="auto"/>
              </w:rPr>
              <w:t>4. Salience (CARSAL)</w:t>
            </w:r>
          </w:p>
        </w:tc>
        <w:tc>
          <w:tcPr>
            <w:tcW w:w="866" w:type="dxa"/>
            <w:tcBorders>
              <w:top w:val="nil"/>
              <w:left w:val="nil"/>
              <w:bottom w:val="nil"/>
              <w:right w:val="nil"/>
            </w:tcBorders>
            <w:shd w:val="clear" w:color="auto" w:fill="auto"/>
            <w:noWrap/>
            <w:hideMark/>
          </w:tcPr>
          <w:p w14:paraId="3D8D894C"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-0.04</w:t>
            </w:r>
          </w:p>
        </w:tc>
        <w:tc>
          <w:tcPr>
            <w:tcW w:w="866" w:type="dxa"/>
            <w:tcBorders>
              <w:top w:val="nil"/>
              <w:left w:val="nil"/>
              <w:bottom w:val="nil"/>
              <w:right w:val="nil"/>
            </w:tcBorders>
            <w:shd w:val="clear" w:color="auto" w:fill="auto"/>
            <w:noWrap/>
            <w:hideMark/>
          </w:tcPr>
          <w:p w14:paraId="79D90C30" w14:textId="5392BF61"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.128</w:t>
            </w:r>
          </w:p>
        </w:tc>
        <w:tc>
          <w:tcPr>
            <w:tcW w:w="866" w:type="dxa"/>
            <w:tcBorders>
              <w:top w:val="nil"/>
              <w:left w:val="nil"/>
              <w:bottom w:val="nil"/>
              <w:right w:val="nil"/>
            </w:tcBorders>
            <w:shd w:val="clear" w:color="auto" w:fill="auto"/>
            <w:noWrap/>
            <w:hideMark/>
          </w:tcPr>
          <w:p w14:paraId="16B576A4"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0.25</w:t>
            </w:r>
            <w:r w:rsidRPr="00D40C27">
              <w:rPr>
                <w:rFonts w:eastAsia="Times New Roman"/>
                <w:color w:val="auto"/>
                <w:vertAlign w:val="superscript"/>
              </w:rPr>
              <w:t>**</w:t>
            </w:r>
          </w:p>
        </w:tc>
        <w:tc>
          <w:tcPr>
            <w:tcW w:w="866" w:type="dxa"/>
            <w:tcBorders>
              <w:top w:val="nil"/>
              <w:left w:val="nil"/>
              <w:bottom w:val="nil"/>
              <w:right w:val="nil"/>
            </w:tcBorders>
            <w:shd w:val="clear" w:color="auto" w:fill="auto"/>
            <w:noWrap/>
            <w:hideMark/>
          </w:tcPr>
          <w:p w14:paraId="4A9525F4"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56DDDA34"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1808F18F"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2A27A74F"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4E4A498E"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r>
      <w:tr w:rsidR="000F1616" w:rsidRPr="00D40C27" w14:paraId="41887027" w14:textId="77777777" w:rsidTr="004D2DCA">
        <w:trPr>
          <w:trHeight w:val="263"/>
        </w:trPr>
        <w:tc>
          <w:tcPr>
            <w:tcW w:w="2400" w:type="dxa"/>
            <w:tcBorders>
              <w:top w:val="nil"/>
              <w:left w:val="nil"/>
              <w:bottom w:val="nil"/>
              <w:right w:val="nil"/>
            </w:tcBorders>
            <w:shd w:val="clear" w:color="auto" w:fill="auto"/>
            <w:hideMark/>
          </w:tcPr>
          <w:p w14:paraId="4FBE0877"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rPr>
                <w:rFonts w:eastAsia="Times New Roman"/>
                <w:color w:val="auto"/>
              </w:rPr>
            </w:pPr>
            <w:r w:rsidRPr="00D40C27">
              <w:rPr>
                <w:rFonts w:eastAsia="Times New Roman"/>
                <w:color w:val="auto"/>
              </w:rPr>
              <w:t>5. EMS</w:t>
            </w:r>
          </w:p>
        </w:tc>
        <w:tc>
          <w:tcPr>
            <w:tcW w:w="866" w:type="dxa"/>
            <w:tcBorders>
              <w:top w:val="nil"/>
              <w:left w:val="nil"/>
              <w:bottom w:val="nil"/>
              <w:right w:val="nil"/>
            </w:tcBorders>
            <w:shd w:val="clear" w:color="auto" w:fill="auto"/>
            <w:noWrap/>
            <w:hideMark/>
          </w:tcPr>
          <w:p w14:paraId="4857A4A2" w14:textId="3934CB2F"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.140</w:t>
            </w:r>
            <w:r w:rsidRPr="00D40C27">
              <w:rPr>
                <w:rFonts w:eastAsia="Times New Roman"/>
                <w:color w:val="auto"/>
                <w:vertAlign w:val="superscript"/>
              </w:rPr>
              <w:t>**</w:t>
            </w:r>
          </w:p>
        </w:tc>
        <w:tc>
          <w:tcPr>
            <w:tcW w:w="866" w:type="dxa"/>
            <w:tcBorders>
              <w:top w:val="nil"/>
              <w:left w:val="nil"/>
              <w:bottom w:val="nil"/>
              <w:right w:val="nil"/>
            </w:tcBorders>
            <w:shd w:val="clear" w:color="auto" w:fill="auto"/>
            <w:noWrap/>
            <w:hideMark/>
          </w:tcPr>
          <w:p w14:paraId="6553A7CD"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0.05</w:t>
            </w:r>
          </w:p>
        </w:tc>
        <w:tc>
          <w:tcPr>
            <w:tcW w:w="866" w:type="dxa"/>
            <w:tcBorders>
              <w:top w:val="nil"/>
              <w:left w:val="nil"/>
              <w:bottom w:val="nil"/>
              <w:right w:val="nil"/>
            </w:tcBorders>
            <w:shd w:val="clear" w:color="auto" w:fill="auto"/>
            <w:noWrap/>
            <w:hideMark/>
          </w:tcPr>
          <w:p w14:paraId="55595237"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-0.05</w:t>
            </w:r>
          </w:p>
        </w:tc>
        <w:tc>
          <w:tcPr>
            <w:tcW w:w="866" w:type="dxa"/>
            <w:tcBorders>
              <w:top w:val="nil"/>
              <w:left w:val="nil"/>
              <w:bottom w:val="nil"/>
              <w:right w:val="nil"/>
            </w:tcBorders>
            <w:shd w:val="clear" w:color="auto" w:fill="auto"/>
            <w:noWrap/>
            <w:hideMark/>
          </w:tcPr>
          <w:p w14:paraId="5EB3F3A7" w14:textId="3FC4C9C0"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.169</w:t>
            </w:r>
          </w:p>
        </w:tc>
        <w:tc>
          <w:tcPr>
            <w:tcW w:w="866" w:type="dxa"/>
            <w:tcBorders>
              <w:top w:val="nil"/>
              <w:left w:val="nil"/>
              <w:bottom w:val="nil"/>
              <w:right w:val="nil"/>
            </w:tcBorders>
            <w:shd w:val="clear" w:color="auto" w:fill="auto"/>
            <w:noWrap/>
            <w:hideMark/>
          </w:tcPr>
          <w:p w14:paraId="3897282F"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19ED56BD"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412544F6"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4DD362F7"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r>
      <w:tr w:rsidR="000F1616" w:rsidRPr="00D40C27" w14:paraId="76082022" w14:textId="77777777" w:rsidTr="004D2DCA">
        <w:trPr>
          <w:trHeight w:val="263"/>
        </w:trPr>
        <w:tc>
          <w:tcPr>
            <w:tcW w:w="2400" w:type="dxa"/>
            <w:tcBorders>
              <w:top w:val="nil"/>
              <w:left w:val="nil"/>
              <w:bottom w:val="nil"/>
              <w:right w:val="nil"/>
            </w:tcBorders>
            <w:shd w:val="clear" w:color="auto" w:fill="auto"/>
            <w:hideMark/>
          </w:tcPr>
          <w:p w14:paraId="2A435A84"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rPr>
                <w:rFonts w:eastAsia="Times New Roman"/>
                <w:color w:val="auto"/>
              </w:rPr>
            </w:pPr>
            <w:r w:rsidRPr="00D40C27">
              <w:rPr>
                <w:rFonts w:eastAsia="Times New Roman"/>
                <w:color w:val="auto"/>
              </w:rPr>
              <w:t>6. IMS</w:t>
            </w:r>
          </w:p>
        </w:tc>
        <w:tc>
          <w:tcPr>
            <w:tcW w:w="866" w:type="dxa"/>
            <w:tcBorders>
              <w:top w:val="nil"/>
              <w:left w:val="nil"/>
              <w:bottom w:val="nil"/>
              <w:right w:val="nil"/>
            </w:tcBorders>
            <w:shd w:val="clear" w:color="auto" w:fill="auto"/>
            <w:noWrap/>
            <w:hideMark/>
          </w:tcPr>
          <w:p w14:paraId="74F44554" w14:textId="44371EAF"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.120</w:t>
            </w:r>
            <w:r w:rsidRPr="00D40C27">
              <w:rPr>
                <w:rFonts w:eastAsia="Times New Roman"/>
                <w:color w:val="auto"/>
                <w:vertAlign w:val="superscript"/>
              </w:rPr>
              <w:t>*</w:t>
            </w:r>
            <w:r w:rsidR="008D58F0">
              <w:rPr>
                <w:rFonts w:eastAsia="Times New Roman"/>
                <w:color w:val="auto"/>
                <w:vertAlign w:val="superscript"/>
              </w:rPr>
              <w:t>*</w:t>
            </w:r>
          </w:p>
        </w:tc>
        <w:tc>
          <w:tcPr>
            <w:tcW w:w="866" w:type="dxa"/>
            <w:tcBorders>
              <w:top w:val="nil"/>
              <w:left w:val="nil"/>
              <w:bottom w:val="nil"/>
              <w:right w:val="nil"/>
            </w:tcBorders>
            <w:shd w:val="clear" w:color="auto" w:fill="auto"/>
            <w:noWrap/>
            <w:hideMark/>
          </w:tcPr>
          <w:p w14:paraId="5A149D60"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-.189</w:t>
            </w:r>
            <w:r w:rsidRPr="00D40C27">
              <w:rPr>
                <w:rFonts w:eastAsia="Times New Roman"/>
                <w:color w:val="auto"/>
                <w:vertAlign w:val="superscript"/>
              </w:rPr>
              <w:t>**</w:t>
            </w:r>
          </w:p>
        </w:tc>
        <w:tc>
          <w:tcPr>
            <w:tcW w:w="866" w:type="dxa"/>
            <w:tcBorders>
              <w:top w:val="nil"/>
              <w:left w:val="nil"/>
              <w:bottom w:val="nil"/>
              <w:right w:val="nil"/>
            </w:tcBorders>
            <w:shd w:val="clear" w:color="auto" w:fill="auto"/>
            <w:noWrap/>
            <w:hideMark/>
          </w:tcPr>
          <w:p w14:paraId="63E66170"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-0.04</w:t>
            </w:r>
          </w:p>
        </w:tc>
        <w:tc>
          <w:tcPr>
            <w:tcW w:w="866" w:type="dxa"/>
            <w:tcBorders>
              <w:top w:val="nil"/>
              <w:left w:val="nil"/>
              <w:bottom w:val="nil"/>
              <w:right w:val="nil"/>
            </w:tcBorders>
            <w:shd w:val="clear" w:color="auto" w:fill="auto"/>
            <w:noWrap/>
            <w:hideMark/>
          </w:tcPr>
          <w:p w14:paraId="1834DF4E" w14:textId="7B7C9899"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-.134</w:t>
            </w:r>
          </w:p>
        </w:tc>
        <w:tc>
          <w:tcPr>
            <w:tcW w:w="866" w:type="dxa"/>
            <w:tcBorders>
              <w:top w:val="nil"/>
              <w:left w:val="nil"/>
              <w:bottom w:val="nil"/>
              <w:right w:val="nil"/>
            </w:tcBorders>
            <w:shd w:val="clear" w:color="auto" w:fill="auto"/>
            <w:noWrap/>
            <w:hideMark/>
          </w:tcPr>
          <w:p w14:paraId="3F67701A"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-0.09</w:t>
            </w:r>
          </w:p>
        </w:tc>
        <w:tc>
          <w:tcPr>
            <w:tcW w:w="866" w:type="dxa"/>
            <w:tcBorders>
              <w:top w:val="nil"/>
              <w:left w:val="nil"/>
              <w:bottom w:val="nil"/>
              <w:right w:val="nil"/>
            </w:tcBorders>
            <w:shd w:val="clear" w:color="auto" w:fill="auto"/>
            <w:noWrap/>
            <w:hideMark/>
          </w:tcPr>
          <w:p w14:paraId="7E447B32"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243720A1"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71EB96E1"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r>
      <w:tr w:rsidR="000F1616" w:rsidRPr="00D40C27" w14:paraId="684BE6B1" w14:textId="77777777" w:rsidTr="004D2DCA">
        <w:trPr>
          <w:trHeight w:val="263"/>
        </w:trPr>
        <w:tc>
          <w:tcPr>
            <w:tcW w:w="2400" w:type="dxa"/>
            <w:tcBorders>
              <w:top w:val="nil"/>
              <w:left w:val="nil"/>
              <w:bottom w:val="nil"/>
              <w:right w:val="nil"/>
            </w:tcBorders>
            <w:shd w:val="clear" w:color="auto" w:fill="auto"/>
            <w:hideMark/>
          </w:tcPr>
          <w:p w14:paraId="30C5B5DC"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rPr>
                <w:rFonts w:eastAsia="Times New Roman"/>
                <w:color w:val="auto"/>
              </w:rPr>
            </w:pPr>
            <w:r w:rsidRPr="00D40C27">
              <w:rPr>
                <w:rFonts w:eastAsia="Times New Roman"/>
                <w:color w:val="auto"/>
              </w:rPr>
              <w:t>7. Core Disgust</w:t>
            </w:r>
          </w:p>
        </w:tc>
        <w:tc>
          <w:tcPr>
            <w:tcW w:w="866" w:type="dxa"/>
            <w:tcBorders>
              <w:top w:val="nil"/>
              <w:left w:val="nil"/>
              <w:bottom w:val="nil"/>
              <w:right w:val="nil"/>
            </w:tcBorders>
            <w:shd w:val="clear" w:color="auto" w:fill="auto"/>
            <w:noWrap/>
            <w:hideMark/>
          </w:tcPr>
          <w:p w14:paraId="2BDE75FD"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0.01</w:t>
            </w:r>
          </w:p>
        </w:tc>
        <w:tc>
          <w:tcPr>
            <w:tcW w:w="866" w:type="dxa"/>
            <w:tcBorders>
              <w:top w:val="nil"/>
              <w:left w:val="nil"/>
              <w:bottom w:val="nil"/>
              <w:right w:val="nil"/>
            </w:tcBorders>
            <w:shd w:val="clear" w:color="auto" w:fill="auto"/>
            <w:noWrap/>
            <w:hideMark/>
          </w:tcPr>
          <w:p w14:paraId="1061462D"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0.044</w:t>
            </w:r>
          </w:p>
        </w:tc>
        <w:tc>
          <w:tcPr>
            <w:tcW w:w="866" w:type="dxa"/>
            <w:tcBorders>
              <w:top w:val="nil"/>
              <w:left w:val="nil"/>
              <w:bottom w:val="nil"/>
              <w:right w:val="nil"/>
            </w:tcBorders>
            <w:shd w:val="clear" w:color="auto" w:fill="auto"/>
            <w:noWrap/>
            <w:hideMark/>
          </w:tcPr>
          <w:p w14:paraId="7ECDE8F6" w14:textId="75F71B3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.112</w:t>
            </w:r>
          </w:p>
        </w:tc>
        <w:tc>
          <w:tcPr>
            <w:tcW w:w="866" w:type="dxa"/>
            <w:tcBorders>
              <w:top w:val="nil"/>
              <w:left w:val="nil"/>
              <w:bottom w:val="nil"/>
              <w:right w:val="nil"/>
            </w:tcBorders>
            <w:shd w:val="clear" w:color="auto" w:fill="auto"/>
            <w:noWrap/>
            <w:hideMark/>
          </w:tcPr>
          <w:p w14:paraId="3C6F238C"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.209</w:t>
            </w:r>
            <w:r w:rsidRPr="00D40C27">
              <w:rPr>
                <w:rFonts w:eastAsia="Times New Roman"/>
                <w:color w:val="auto"/>
                <w:vertAlign w:val="superscript"/>
              </w:rPr>
              <w:t>**</w:t>
            </w:r>
          </w:p>
        </w:tc>
        <w:tc>
          <w:tcPr>
            <w:tcW w:w="866" w:type="dxa"/>
            <w:tcBorders>
              <w:top w:val="nil"/>
              <w:left w:val="nil"/>
              <w:bottom w:val="nil"/>
              <w:right w:val="nil"/>
            </w:tcBorders>
            <w:shd w:val="clear" w:color="auto" w:fill="auto"/>
            <w:noWrap/>
            <w:hideMark/>
          </w:tcPr>
          <w:p w14:paraId="0EB38735"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.212</w:t>
            </w:r>
            <w:r w:rsidRPr="00D40C27">
              <w:rPr>
                <w:rFonts w:eastAsia="Times New Roman"/>
                <w:color w:val="auto"/>
                <w:vertAlign w:val="superscript"/>
              </w:rPr>
              <w:t>**</w:t>
            </w:r>
          </w:p>
        </w:tc>
        <w:tc>
          <w:tcPr>
            <w:tcW w:w="866" w:type="dxa"/>
            <w:tcBorders>
              <w:top w:val="nil"/>
              <w:left w:val="nil"/>
              <w:bottom w:val="nil"/>
              <w:right w:val="nil"/>
            </w:tcBorders>
            <w:shd w:val="clear" w:color="auto" w:fill="auto"/>
            <w:noWrap/>
            <w:hideMark/>
          </w:tcPr>
          <w:p w14:paraId="1856AB76"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-0.01</w:t>
            </w:r>
          </w:p>
        </w:tc>
        <w:tc>
          <w:tcPr>
            <w:tcW w:w="866" w:type="dxa"/>
            <w:tcBorders>
              <w:top w:val="nil"/>
              <w:left w:val="nil"/>
              <w:bottom w:val="nil"/>
              <w:right w:val="nil"/>
            </w:tcBorders>
            <w:shd w:val="clear" w:color="auto" w:fill="auto"/>
            <w:noWrap/>
            <w:hideMark/>
          </w:tcPr>
          <w:p w14:paraId="4FFC91FA"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c>
          <w:tcPr>
            <w:tcW w:w="866" w:type="dxa"/>
            <w:tcBorders>
              <w:top w:val="nil"/>
              <w:left w:val="nil"/>
              <w:bottom w:val="nil"/>
              <w:right w:val="nil"/>
            </w:tcBorders>
            <w:shd w:val="clear" w:color="auto" w:fill="auto"/>
            <w:noWrap/>
            <w:hideMark/>
          </w:tcPr>
          <w:p w14:paraId="277901EF"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r>
      <w:tr w:rsidR="000F1616" w:rsidRPr="00D40C27" w14:paraId="01C7D2DD" w14:textId="77777777" w:rsidTr="004D2DCA">
        <w:trPr>
          <w:trHeight w:val="263"/>
        </w:trPr>
        <w:tc>
          <w:tcPr>
            <w:tcW w:w="2400" w:type="dxa"/>
            <w:tcBorders>
              <w:top w:val="nil"/>
              <w:left w:val="nil"/>
              <w:bottom w:val="nil"/>
              <w:right w:val="nil"/>
            </w:tcBorders>
            <w:shd w:val="clear" w:color="auto" w:fill="auto"/>
            <w:hideMark/>
          </w:tcPr>
          <w:p w14:paraId="42DE0F55"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rPr>
                <w:rFonts w:eastAsia="Times New Roman"/>
                <w:color w:val="auto"/>
              </w:rPr>
            </w:pPr>
            <w:r w:rsidRPr="00D40C27">
              <w:rPr>
                <w:rFonts w:eastAsia="Times New Roman"/>
                <w:color w:val="auto"/>
              </w:rPr>
              <w:t>8. Animal Disgust</w:t>
            </w:r>
          </w:p>
        </w:tc>
        <w:tc>
          <w:tcPr>
            <w:tcW w:w="866" w:type="dxa"/>
            <w:tcBorders>
              <w:top w:val="nil"/>
              <w:left w:val="nil"/>
              <w:bottom w:val="nil"/>
              <w:right w:val="nil"/>
            </w:tcBorders>
            <w:shd w:val="clear" w:color="auto" w:fill="auto"/>
            <w:noWrap/>
            <w:hideMark/>
          </w:tcPr>
          <w:p w14:paraId="5BFF1375"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-0.02</w:t>
            </w:r>
          </w:p>
        </w:tc>
        <w:tc>
          <w:tcPr>
            <w:tcW w:w="866" w:type="dxa"/>
            <w:tcBorders>
              <w:top w:val="nil"/>
              <w:left w:val="nil"/>
              <w:bottom w:val="nil"/>
              <w:right w:val="nil"/>
            </w:tcBorders>
            <w:shd w:val="clear" w:color="auto" w:fill="auto"/>
            <w:noWrap/>
            <w:hideMark/>
          </w:tcPr>
          <w:p w14:paraId="639A58B4"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0.040</w:t>
            </w:r>
          </w:p>
        </w:tc>
        <w:tc>
          <w:tcPr>
            <w:tcW w:w="866" w:type="dxa"/>
            <w:tcBorders>
              <w:top w:val="nil"/>
              <w:left w:val="nil"/>
              <w:bottom w:val="nil"/>
              <w:right w:val="nil"/>
            </w:tcBorders>
            <w:shd w:val="clear" w:color="auto" w:fill="auto"/>
            <w:noWrap/>
            <w:hideMark/>
          </w:tcPr>
          <w:p w14:paraId="3349CC21" w14:textId="23DC1414"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.099</w:t>
            </w:r>
          </w:p>
        </w:tc>
        <w:tc>
          <w:tcPr>
            <w:tcW w:w="866" w:type="dxa"/>
            <w:tcBorders>
              <w:top w:val="nil"/>
              <w:left w:val="nil"/>
              <w:bottom w:val="nil"/>
              <w:right w:val="nil"/>
            </w:tcBorders>
            <w:shd w:val="clear" w:color="auto" w:fill="auto"/>
            <w:noWrap/>
            <w:hideMark/>
          </w:tcPr>
          <w:p w14:paraId="3128E68E"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.139</w:t>
            </w:r>
            <w:r w:rsidRPr="00D40C27">
              <w:rPr>
                <w:rFonts w:eastAsia="Times New Roman"/>
                <w:color w:val="auto"/>
                <w:vertAlign w:val="superscript"/>
              </w:rPr>
              <w:t>**</w:t>
            </w:r>
          </w:p>
        </w:tc>
        <w:tc>
          <w:tcPr>
            <w:tcW w:w="866" w:type="dxa"/>
            <w:tcBorders>
              <w:top w:val="nil"/>
              <w:left w:val="nil"/>
              <w:bottom w:val="nil"/>
              <w:right w:val="nil"/>
            </w:tcBorders>
            <w:shd w:val="clear" w:color="auto" w:fill="auto"/>
            <w:noWrap/>
            <w:hideMark/>
          </w:tcPr>
          <w:p w14:paraId="0921A3E4"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.190</w:t>
            </w:r>
            <w:r w:rsidRPr="00D40C27">
              <w:rPr>
                <w:rFonts w:eastAsia="Times New Roman"/>
                <w:color w:val="auto"/>
                <w:vertAlign w:val="superscript"/>
              </w:rPr>
              <w:t>**</w:t>
            </w:r>
          </w:p>
        </w:tc>
        <w:tc>
          <w:tcPr>
            <w:tcW w:w="866" w:type="dxa"/>
            <w:tcBorders>
              <w:top w:val="nil"/>
              <w:left w:val="nil"/>
              <w:bottom w:val="nil"/>
              <w:right w:val="nil"/>
            </w:tcBorders>
            <w:shd w:val="clear" w:color="auto" w:fill="auto"/>
            <w:noWrap/>
            <w:hideMark/>
          </w:tcPr>
          <w:p w14:paraId="6A990E2F"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-0.01</w:t>
            </w:r>
          </w:p>
        </w:tc>
        <w:tc>
          <w:tcPr>
            <w:tcW w:w="866" w:type="dxa"/>
            <w:tcBorders>
              <w:top w:val="nil"/>
              <w:left w:val="nil"/>
              <w:bottom w:val="nil"/>
              <w:right w:val="nil"/>
            </w:tcBorders>
            <w:shd w:val="clear" w:color="auto" w:fill="auto"/>
            <w:noWrap/>
            <w:hideMark/>
          </w:tcPr>
          <w:p w14:paraId="0CC20F4C"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.473</w:t>
            </w:r>
            <w:r w:rsidRPr="00D40C27">
              <w:rPr>
                <w:rFonts w:eastAsia="Times New Roman"/>
                <w:color w:val="auto"/>
                <w:vertAlign w:val="superscript"/>
              </w:rPr>
              <w:t>**</w:t>
            </w:r>
          </w:p>
        </w:tc>
        <w:tc>
          <w:tcPr>
            <w:tcW w:w="866" w:type="dxa"/>
            <w:tcBorders>
              <w:top w:val="nil"/>
              <w:left w:val="nil"/>
              <w:bottom w:val="nil"/>
              <w:right w:val="nil"/>
            </w:tcBorders>
            <w:shd w:val="clear" w:color="auto" w:fill="auto"/>
            <w:noWrap/>
            <w:hideMark/>
          </w:tcPr>
          <w:p w14:paraId="0BD19182"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p>
        </w:tc>
      </w:tr>
      <w:tr w:rsidR="000F1616" w:rsidRPr="00D40C27" w14:paraId="510BE29D" w14:textId="77777777" w:rsidTr="004D2DCA">
        <w:trPr>
          <w:trHeight w:val="263"/>
        </w:trPr>
        <w:tc>
          <w:tcPr>
            <w:tcW w:w="2400" w:type="dxa"/>
            <w:tcBorders>
              <w:top w:val="nil"/>
              <w:left w:val="nil"/>
              <w:bottom w:val="single" w:sz="4" w:space="0" w:color="auto"/>
              <w:right w:val="nil"/>
            </w:tcBorders>
            <w:shd w:val="clear" w:color="auto" w:fill="auto"/>
            <w:hideMark/>
          </w:tcPr>
          <w:p w14:paraId="69F12952"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rPr>
                <w:rFonts w:eastAsia="Times New Roman"/>
                <w:color w:val="auto"/>
              </w:rPr>
            </w:pPr>
            <w:r w:rsidRPr="00D40C27">
              <w:rPr>
                <w:rFonts w:eastAsia="Times New Roman"/>
                <w:color w:val="auto"/>
              </w:rPr>
              <w:t>9. Contamination Disgust</w:t>
            </w:r>
          </w:p>
        </w:tc>
        <w:tc>
          <w:tcPr>
            <w:tcW w:w="866" w:type="dxa"/>
            <w:tcBorders>
              <w:top w:val="nil"/>
              <w:left w:val="nil"/>
              <w:bottom w:val="single" w:sz="4" w:space="0" w:color="auto"/>
              <w:right w:val="nil"/>
            </w:tcBorders>
            <w:shd w:val="clear" w:color="auto" w:fill="auto"/>
            <w:noWrap/>
            <w:hideMark/>
          </w:tcPr>
          <w:p w14:paraId="63CB221B"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.148</w:t>
            </w:r>
            <w:r w:rsidRPr="00D40C27">
              <w:rPr>
                <w:rFonts w:eastAsia="Times New Roman"/>
                <w:color w:val="auto"/>
                <w:vertAlign w:val="superscript"/>
              </w:rPr>
              <w:t>**</w:t>
            </w:r>
          </w:p>
        </w:tc>
        <w:tc>
          <w:tcPr>
            <w:tcW w:w="866" w:type="dxa"/>
            <w:tcBorders>
              <w:top w:val="nil"/>
              <w:left w:val="nil"/>
              <w:bottom w:val="single" w:sz="4" w:space="0" w:color="auto"/>
              <w:right w:val="nil"/>
            </w:tcBorders>
            <w:shd w:val="clear" w:color="auto" w:fill="auto"/>
            <w:noWrap/>
            <w:hideMark/>
          </w:tcPr>
          <w:p w14:paraId="02E84532"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-0.016</w:t>
            </w:r>
          </w:p>
        </w:tc>
        <w:tc>
          <w:tcPr>
            <w:tcW w:w="866" w:type="dxa"/>
            <w:tcBorders>
              <w:top w:val="nil"/>
              <w:left w:val="nil"/>
              <w:bottom w:val="single" w:sz="4" w:space="0" w:color="auto"/>
              <w:right w:val="nil"/>
            </w:tcBorders>
            <w:shd w:val="clear" w:color="auto" w:fill="auto"/>
            <w:noWrap/>
            <w:hideMark/>
          </w:tcPr>
          <w:p w14:paraId="23B34B69"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0.03</w:t>
            </w:r>
          </w:p>
        </w:tc>
        <w:tc>
          <w:tcPr>
            <w:tcW w:w="866" w:type="dxa"/>
            <w:tcBorders>
              <w:top w:val="nil"/>
              <w:left w:val="nil"/>
              <w:bottom w:val="single" w:sz="4" w:space="0" w:color="auto"/>
              <w:right w:val="nil"/>
            </w:tcBorders>
            <w:shd w:val="clear" w:color="auto" w:fill="auto"/>
            <w:noWrap/>
            <w:hideMark/>
          </w:tcPr>
          <w:p w14:paraId="3060B01F"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.161</w:t>
            </w:r>
            <w:r w:rsidRPr="00D40C27">
              <w:rPr>
                <w:rFonts w:eastAsia="Times New Roman"/>
                <w:color w:val="auto"/>
                <w:vertAlign w:val="superscript"/>
              </w:rPr>
              <w:t>**</w:t>
            </w:r>
          </w:p>
        </w:tc>
        <w:tc>
          <w:tcPr>
            <w:tcW w:w="866" w:type="dxa"/>
            <w:tcBorders>
              <w:top w:val="nil"/>
              <w:left w:val="nil"/>
              <w:bottom w:val="single" w:sz="4" w:space="0" w:color="auto"/>
              <w:right w:val="nil"/>
            </w:tcBorders>
            <w:shd w:val="clear" w:color="auto" w:fill="auto"/>
            <w:noWrap/>
            <w:hideMark/>
          </w:tcPr>
          <w:p w14:paraId="08516FDB"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-0.01</w:t>
            </w:r>
          </w:p>
        </w:tc>
        <w:tc>
          <w:tcPr>
            <w:tcW w:w="866" w:type="dxa"/>
            <w:tcBorders>
              <w:top w:val="nil"/>
              <w:left w:val="nil"/>
              <w:bottom w:val="single" w:sz="4" w:space="0" w:color="auto"/>
              <w:right w:val="nil"/>
            </w:tcBorders>
            <w:shd w:val="clear" w:color="auto" w:fill="auto"/>
            <w:noWrap/>
            <w:hideMark/>
          </w:tcPr>
          <w:p w14:paraId="373CC8D3" w14:textId="4CFB09EC"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.097</w:t>
            </w:r>
          </w:p>
        </w:tc>
        <w:tc>
          <w:tcPr>
            <w:tcW w:w="866" w:type="dxa"/>
            <w:tcBorders>
              <w:top w:val="nil"/>
              <w:left w:val="nil"/>
              <w:bottom w:val="single" w:sz="4" w:space="0" w:color="auto"/>
              <w:right w:val="nil"/>
            </w:tcBorders>
            <w:shd w:val="clear" w:color="auto" w:fill="auto"/>
            <w:noWrap/>
            <w:hideMark/>
          </w:tcPr>
          <w:p w14:paraId="31F11D32"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.171</w:t>
            </w:r>
            <w:r w:rsidRPr="00D40C27">
              <w:rPr>
                <w:rFonts w:eastAsia="Times New Roman"/>
                <w:color w:val="auto"/>
                <w:vertAlign w:val="superscript"/>
              </w:rPr>
              <w:t>**</w:t>
            </w:r>
          </w:p>
        </w:tc>
        <w:tc>
          <w:tcPr>
            <w:tcW w:w="866" w:type="dxa"/>
            <w:tcBorders>
              <w:top w:val="nil"/>
              <w:left w:val="nil"/>
              <w:bottom w:val="single" w:sz="4" w:space="0" w:color="auto"/>
              <w:right w:val="nil"/>
            </w:tcBorders>
            <w:shd w:val="clear" w:color="auto" w:fill="auto"/>
            <w:noWrap/>
            <w:hideMark/>
          </w:tcPr>
          <w:p w14:paraId="09F9D924" w14:textId="77777777" w:rsidR="000F1616" w:rsidRPr="00D40C27" w:rsidRDefault="000F1616">
            <w:pPr>
              <w:pBdr>
                <w:top w:val="none" w:sz="0" w:space="0" w:color="auto"/>
                <w:left w:val="none" w:sz="0" w:space="0" w:color="auto"/>
                <w:bottom w:val="none" w:sz="0" w:space="0" w:color="auto"/>
                <w:right w:val="none" w:sz="0" w:space="0" w:color="auto"/>
                <w:between w:val="none" w:sz="0" w:space="0" w:color="auto"/>
              </w:pBdr>
              <w:ind w:firstLine="0"/>
              <w:jc w:val="right"/>
              <w:rPr>
                <w:rFonts w:eastAsia="Times New Roman"/>
                <w:color w:val="auto"/>
              </w:rPr>
            </w:pPr>
            <w:r w:rsidRPr="00D40C27">
              <w:rPr>
                <w:rFonts w:eastAsia="Times New Roman"/>
                <w:color w:val="auto"/>
              </w:rPr>
              <w:t>.968</w:t>
            </w:r>
            <w:r w:rsidRPr="00D40C27">
              <w:rPr>
                <w:rFonts w:eastAsia="Times New Roman"/>
                <w:color w:val="auto"/>
                <w:vertAlign w:val="superscript"/>
              </w:rPr>
              <w:t>**</w:t>
            </w:r>
          </w:p>
        </w:tc>
      </w:tr>
    </w:tbl>
    <w:bookmarkEnd w:id="80"/>
    <w:p w14:paraId="4307BED7" w14:textId="77777777" w:rsidR="008D58F0" w:rsidRPr="004D2DCA" w:rsidRDefault="008D58F0" w:rsidP="008D58F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eastAsia="Times New Roman"/>
          <w:sz w:val="20"/>
          <w:szCs w:val="20"/>
          <w:lang w:eastAsia="zh-CN"/>
        </w:rPr>
      </w:pPr>
      <w:r w:rsidRPr="00D40C27">
        <w:rPr>
          <w:rFonts w:eastAsia="Times New Roman"/>
          <w:lang w:eastAsia="zh-CN"/>
        </w:rPr>
        <w:t xml:space="preserve">Note. </w:t>
      </w:r>
      <w:r w:rsidRPr="00A3394C">
        <w:rPr>
          <w:rFonts w:ascii="Tahoma" w:eastAsia="Times New Roman" w:hAnsi="Tahoma" w:cs="Tahoma"/>
          <w:vertAlign w:val="superscript"/>
          <w:lang w:eastAsia="zh-CN"/>
        </w:rPr>
        <w:t>⁎</w:t>
      </w:r>
      <w:r w:rsidRPr="004D2DCA">
        <w:rPr>
          <w:rFonts w:eastAsia="Times New Roman"/>
          <w:sz w:val="20"/>
          <w:szCs w:val="20"/>
          <w:lang w:eastAsia="zh-CN"/>
        </w:rPr>
        <w:t xml:space="preserve">.005 (the alpha-criterion for each test due to Bonferroni's correction) </w:t>
      </w:r>
    </w:p>
    <w:p w14:paraId="1B310FC8" w14:textId="44525415" w:rsidR="008D58F0" w:rsidRPr="004D2DCA" w:rsidRDefault="00C33405" w:rsidP="008D58F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Times New Roman"/>
          <w:sz w:val="20"/>
          <w:szCs w:val="20"/>
          <w:lang w:eastAsia="zh-CN"/>
        </w:rPr>
      </w:pPr>
      <w:r w:rsidRPr="004D2DCA">
        <w:rPr>
          <w:rFonts w:eastAsia="Times New Roman"/>
          <w:sz w:val="20"/>
          <w:szCs w:val="20"/>
          <w:vertAlign w:val="superscript"/>
          <w:lang w:eastAsia="zh-CN"/>
        </w:rPr>
        <w:t xml:space="preserve">               </w:t>
      </w:r>
      <w:r w:rsidR="008D58F0" w:rsidRPr="004D2DCA">
        <w:rPr>
          <w:rFonts w:eastAsia="Times New Roman"/>
          <w:sz w:val="20"/>
          <w:szCs w:val="20"/>
          <w:vertAlign w:val="superscript"/>
          <w:lang w:eastAsia="zh-CN"/>
        </w:rPr>
        <w:t>**</w:t>
      </w:r>
      <w:r w:rsidR="008D58F0" w:rsidRPr="004D2DCA">
        <w:rPr>
          <w:rFonts w:eastAsia="Times New Roman"/>
          <w:sz w:val="20"/>
          <w:szCs w:val="20"/>
          <w:lang w:eastAsia="zh-CN"/>
        </w:rPr>
        <w:t xml:space="preserve">Significant after Bonferroni correction </w:t>
      </w:r>
    </w:p>
    <w:p w14:paraId="7674FA30"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jc w:val="center"/>
        <w:rPr>
          <w:rFonts w:eastAsia="Calibri"/>
          <w:b/>
          <w:color w:val="auto"/>
          <w:lang w:eastAsia="en-US"/>
        </w:rPr>
      </w:pPr>
    </w:p>
    <w:p w14:paraId="00AF0405" w14:textId="77777777" w:rsidR="000F1616" w:rsidRPr="00D40C27" w:rsidRDefault="000F1616" w:rsidP="007A3FE4">
      <w:pPr>
        <w:pStyle w:val="Heading2"/>
      </w:pPr>
      <w:bookmarkStart w:id="81" w:name="_Toc12024652"/>
      <w:r w:rsidRPr="00D40C27">
        <w:t>Discussion</w:t>
      </w:r>
      <w:bookmarkEnd w:id="81"/>
    </w:p>
    <w:p w14:paraId="5539DB9A" w14:textId="09720008"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Calibri"/>
          <w:color w:val="auto"/>
          <w:lang w:eastAsia="en-US"/>
        </w:rPr>
      </w:pPr>
      <w:r w:rsidRPr="00D40C27">
        <w:rPr>
          <w:rFonts w:eastAsia="Calibri"/>
          <w:color w:val="auto"/>
          <w:lang w:eastAsia="en-US"/>
        </w:rPr>
        <w:t xml:space="preserve">This study aimed to explore the relationships between implicit and explicit attitudes towards FD and pre-dispositional variables of disgust sensitivity, </w:t>
      </w:r>
      <w:r w:rsidR="006660A4">
        <w:rPr>
          <w:rFonts w:eastAsia="Calibri"/>
          <w:color w:val="auto"/>
          <w:lang w:eastAsia="en-US"/>
        </w:rPr>
        <w:t>appearance valence,</w:t>
      </w:r>
      <w:r w:rsidRPr="00D40C27">
        <w:rPr>
          <w:rFonts w:eastAsia="Calibri"/>
          <w:color w:val="auto"/>
          <w:lang w:eastAsia="en-US"/>
        </w:rPr>
        <w:t xml:space="preserve"> salience of appearance and motivations to respond without prejudice</w:t>
      </w:r>
      <w:r w:rsidR="006660A4" w:rsidRPr="00D40C27">
        <w:rPr>
          <w:rFonts w:eastAsia="Calibri"/>
          <w:color w:val="auto"/>
          <w:lang w:eastAsia="en-US"/>
        </w:rPr>
        <w:t xml:space="preserve">. </w:t>
      </w:r>
      <w:r w:rsidRPr="00D40C27">
        <w:rPr>
          <w:rFonts w:eastAsia="Calibri"/>
          <w:color w:val="auto"/>
          <w:lang w:eastAsia="en-US"/>
        </w:rPr>
        <w:t xml:space="preserve"> </w:t>
      </w:r>
      <w:r w:rsidR="00AD5598">
        <w:rPr>
          <w:rFonts w:eastAsia="Calibri"/>
          <w:color w:val="auto"/>
          <w:lang w:eastAsia="en-US"/>
        </w:rPr>
        <w:t>In line with the literature</w:t>
      </w:r>
      <w:r w:rsidR="00246486">
        <w:rPr>
          <w:rFonts w:eastAsia="Calibri"/>
          <w:color w:val="auto"/>
          <w:lang w:eastAsia="en-US"/>
        </w:rPr>
        <w:t>,</w:t>
      </w:r>
      <w:r w:rsidR="002C7D98">
        <w:rPr>
          <w:rFonts w:eastAsia="Calibri"/>
          <w:color w:val="auto"/>
          <w:lang w:eastAsia="en-US"/>
        </w:rPr>
        <w:t xml:space="preserve"> the first hypothesis</w:t>
      </w:r>
      <w:r w:rsidR="00AD5598">
        <w:rPr>
          <w:rFonts w:eastAsia="Calibri"/>
          <w:color w:val="auto"/>
          <w:lang w:eastAsia="en-US"/>
        </w:rPr>
        <w:t xml:space="preserve"> anticipated </w:t>
      </w:r>
      <w:r w:rsidRPr="00D40C27">
        <w:rPr>
          <w:rFonts w:eastAsia="Calibri"/>
          <w:color w:val="auto"/>
          <w:lang w:eastAsia="en-US"/>
        </w:rPr>
        <w:t xml:space="preserve">that participants would show preference for faces without disfigurement in both explicit and implicit </w:t>
      </w:r>
      <w:r w:rsidR="008A6291">
        <w:rPr>
          <w:rFonts w:eastAsia="Calibri"/>
          <w:color w:val="auto"/>
          <w:lang w:eastAsia="en-US"/>
        </w:rPr>
        <w:t xml:space="preserve">attitudinal </w:t>
      </w:r>
      <w:r w:rsidRPr="00D40C27">
        <w:rPr>
          <w:rFonts w:eastAsia="Calibri"/>
          <w:color w:val="auto"/>
          <w:lang w:eastAsia="en-US"/>
        </w:rPr>
        <w:t xml:space="preserve">measures. </w:t>
      </w:r>
      <w:r w:rsidR="00246486">
        <w:rPr>
          <w:rFonts w:eastAsia="Calibri"/>
          <w:color w:val="auto"/>
          <w:lang w:eastAsia="en-US"/>
        </w:rPr>
        <w:t>Secondly, gender differences regarding attitudes towards FD, levels of disgust sensitivity and appearance valence and salience w</w:t>
      </w:r>
      <w:r w:rsidR="00595EBD">
        <w:rPr>
          <w:rFonts w:eastAsia="Calibri"/>
          <w:color w:val="auto"/>
          <w:lang w:eastAsia="en-US"/>
        </w:rPr>
        <w:t>ere</w:t>
      </w:r>
      <w:r w:rsidR="00246486">
        <w:rPr>
          <w:rFonts w:eastAsia="Calibri"/>
          <w:color w:val="auto"/>
          <w:lang w:eastAsia="en-US"/>
        </w:rPr>
        <w:t xml:space="preserve"> hypothesised. Thirdly, it was anticipated that </w:t>
      </w:r>
      <w:r w:rsidR="00995C98">
        <w:rPr>
          <w:rFonts w:eastAsia="Calibri"/>
          <w:color w:val="auto"/>
          <w:lang w:eastAsia="en-US"/>
        </w:rPr>
        <w:t>higher</w:t>
      </w:r>
      <w:r w:rsidRPr="00D40C27">
        <w:rPr>
          <w:rFonts w:eastAsia="Calibri"/>
          <w:color w:val="auto"/>
          <w:lang w:eastAsia="en-US"/>
        </w:rPr>
        <w:t xml:space="preserve"> </w:t>
      </w:r>
      <w:r w:rsidR="00995C98">
        <w:rPr>
          <w:rFonts w:eastAsia="Calibri"/>
          <w:color w:val="auto"/>
          <w:lang w:eastAsia="en-US"/>
        </w:rPr>
        <w:t xml:space="preserve">levels of </w:t>
      </w:r>
      <w:r w:rsidR="005C50E6">
        <w:rPr>
          <w:rFonts w:eastAsia="Calibri"/>
          <w:color w:val="auto"/>
          <w:lang w:eastAsia="en-US"/>
        </w:rPr>
        <w:t xml:space="preserve">salience and valence of </w:t>
      </w:r>
      <w:r w:rsidR="008A6291">
        <w:rPr>
          <w:rFonts w:eastAsia="Calibri"/>
          <w:color w:val="auto"/>
          <w:lang w:eastAsia="en-US"/>
        </w:rPr>
        <w:t>appearance</w:t>
      </w:r>
      <w:r w:rsidRPr="00D40C27">
        <w:rPr>
          <w:rFonts w:eastAsia="Calibri"/>
          <w:color w:val="auto"/>
          <w:lang w:eastAsia="en-US"/>
        </w:rPr>
        <w:t xml:space="preserve"> would be</w:t>
      </w:r>
      <w:r w:rsidR="00246486">
        <w:rPr>
          <w:rFonts w:eastAsia="Calibri"/>
          <w:color w:val="auto"/>
          <w:lang w:eastAsia="en-US"/>
        </w:rPr>
        <w:t xml:space="preserve"> associated with</w:t>
      </w:r>
      <w:r w:rsidRPr="00D40C27">
        <w:rPr>
          <w:rFonts w:eastAsia="Calibri"/>
          <w:color w:val="auto"/>
          <w:lang w:eastAsia="en-US"/>
        </w:rPr>
        <w:t xml:space="preserve"> greater </w:t>
      </w:r>
      <w:r w:rsidR="00246486">
        <w:rPr>
          <w:rFonts w:eastAsia="Calibri"/>
          <w:color w:val="auto"/>
          <w:lang w:eastAsia="en-US"/>
        </w:rPr>
        <w:t>negative attitudes towards FD</w:t>
      </w:r>
      <w:r w:rsidR="00FB0CDE">
        <w:rPr>
          <w:rFonts w:eastAsia="Calibri"/>
          <w:color w:val="auto"/>
          <w:lang w:eastAsia="en-US"/>
        </w:rPr>
        <w:t>.</w:t>
      </w:r>
      <w:r w:rsidR="008A6291">
        <w:rPr>
          <w:rFonts w:eastAsia="Calibri"/>
          <w:color w:val="auto"/>
          <w:lang w:eastAsia="en-US"/>
        </w:rPr>
        <w:t xml:space="preserve"> The </w:t>
      </w:r>
      <w:r w:rsidR="00246486">
        <w:rPr>
          <w:rFonts w:eastAsia="Calibri"/>
          <w:color w:val="auto"/>
          <w:lang w:eastAsia="en-US"/>
        </w:rPr>
        <w:t>fourth</w:t>
      </w:r>
      <w:r w:rsidR="008A6291">
        <w:rPr>
          <w:rFonts w:eastAsia="Calibri"/>
          <w:color w:val="auto"/>
          <w:lang w:eastAsia="en-US"/>
        </w:rPr>
        <w:t xml:space="preserve"> hypothesis suggested that individuals with higher sensitivity to disgust cues would </w:t>
      </w:r>
      <w:r w:rsidR="00246486">
        <w:rPr>
          <w:rFonts w:eastAsia="Calibri"/>
          <w:color w:val="auto"/>
          <w:lang w:eastAsia="en-US"/>
        </w:rPr>
        <w:t xml:space="preserve">also show </w:t>
      </w:r>
      <w:r w:rsidR="002C7D98">
        <w:rPr>
          <w:rFonts w:eastAsia="Calibri"/>
          <w:color w:val="auto"/>
          <w:lang w:eastAsia="en-US"/>
        </w:rPr>
        <w:t xml:space="preserve">more negative attitudes towards FD. Finally, it was hypothesised that </w:t>
      </w:r>
      <w:r w:rsidRPr="00D40C27">
        <w:rPr>
          <w:rFonts w:eastAsia="Calibri"/>
          <w:color w:val="auto"/>
          <w:lang w:eastAsia="en-US"/>
        </w:rPr>
        <w:t>high internal</w:t>
      </w:r>
      <w:r w:rsidR="00995C98">
        <w:rPr>
          <w:rFonts w:eastAsia="Calibri"/>
          <w:color w:val="auto"/>
          <w:lang w:eastAsia="en-US"/>
        </w:rPr>
        <w:t>/low external</w:t>
      </w:r>
      <w:r w:rsidRPr="00D40C27">
        <w:rPr>
          <w:rFonts w:eastAsia="Calibri"/>
          <w:color w:val="auto"/>
          <w:lang w:eastAsia="en-US"/>
        </w:rPr>
        <w:t xml:space="preserve"> motivation to respond without prejudice would be associated with negative attitudes towards </w:t>
      </w:r>
      <w:r w:rsidR="002C7D98">
        <w:rPr>
          <w:rFonts w:eastAsia="Calibri"/>
          <w:color w:val="auto"/>
          <w:lang w:eastAsia="en-US"/>
        </w:rPr>
        <w:t>FD</w:t>
      </w:r>
      <w:r w:rsidRPr="00D40C27">
        <w:rPr>
          <w:rFonts w:eastAsia="Calibri"/>
          <w:color w:val="auto"/>
          <w:lang w:eastAsia="en-US"/>
        </w:rPr>
        <w:t xml:space="preserve">. </w:t>
      </w:r>
    </w:p>
    <w:p w14:paraId="27AA8E19" w14:textId="42FD9315"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Calibri"/>
          <w:color w:val="auto"/>
          <w:lang w:eastAsia="en-US"/>
        </w:rPr>
      </w:pPr>
      <w:r w:rsidRPr="00D40C27">
        <w:rPr>
          <w:rFonts w:eastAsia="Calibri"/>
          <w:color w:val="auto"/>
          <w:lang w:eastAsia="en-US"/>
        </w:rPr>
        <w:t>In support of our first hypothesis, participants showed significantly faster reaction times in the hypothesised congruent condition (i.e.</w:t>
      </w:r>
      <w:r w:rsidR="00995C98">
        <w:rPr>
          <w:rFonts w:eastAsia="Calibri"/>
          <w:color w:val="auto"/>
          <w:lang w:eastAsia="en-US"/>
        </w:rPr>
        <w:t>,</w:t>
      </w:r>
      <w:r w:rsidRPr="00D40C27">
        <w:rPr>
          <w:rFonts w:eastAsia="Calibri"/>
          <w:color w:val="auto"/>
          <w:lang w:eastAsia="en-US"/>
        </w:rPr>
        <w:t xml:space="preserve"> facial disfigurement-unpleasant words/ Non- facial disfigurement-pleasant words), suggesting </w:t>
      </w:r>
      <w:r w:rsidR="00B32D9C">
        <w:rPr>
          <w:rFonts w:eastAsia="Calibri"/>
          <w:color w:val="auto"/>
          <w:lang w:eastAsia="en-US"/>
        </w:rPr>
        <w:t xml:space="preserve">an </w:t>
      </w:r>
      <w:r w:rsidRPr="00D40C27">
        <w:rPr>
          <w:rFonts w:eastAsia="Calibri"/>
          <w:color w:val="auto"/>
          <w:lang w:eastAsia="en-US"/>
        </w:rPr>
        <w:t xml:space="preserve">implicit preference for faces without disfigurement in this sample. These results corroborate findings from studies using the IAT to examine implicit attitudes towards FD </w:t>
      </w:r>
      <w:r w:rsidRPr="00D40C27">
        <w:rPr>
          <w:rFonts w:eastAsia="Calibri"/>
          <w:noProof/>
          <w:color w:val="auto"/>
          <w:lang w:eastAsia="en-US"/>
        </w:rPr>
        <w:t>(Grandfield et al., 2005; Stone &amp; Wright, 2012)</w:t>
      </w:r>
      <w:r w:rsidRPr="00D40C27">
        <w:rPr>
          <w:rFonts w:eastAsia="Calibri"/>
          <w:color w:val="auto"/>
          <w:lang w:eastAsia="en-US"/>
        </w:rPr>
        <w:t xml:space="preserve"> and other groups typically targeted by stigma and </w:t>
      </w:r>
      <w:r w:rsidRPr="00D40C27">
        <w:rPr>
          <w:rFonts w:eastAsia="Calibri"/>
          <w:color w:val="auto"/>
          <w:lang w:eastAsia="en-US"/>
        </w:rPr>
        <w:lastRenderedPageBreak/>
        <w:t xml:space="preserve">prejudice, such as anti-fat bias </w:t>
      </w:r>
      <w:r w:rsidRPr="00D40C27">
        <w:rPr>
          <w:rFonts w:eastAsia="Calibri"/>
          <w:noProof/>
          <w:color w:val="auto"/>
          <w:lang w:eastAsia="en-US"/>
        </w:rPr>
        <w:t>(Teachman et al., 2003)</w:t>
      </w:r>
      <w:r w:rsidRPr="00D40C27">
        <w:rPr>
          <w:rFonts w:eastAsia="Calibri"/>
          <w:color w:val="auto"/>
          <w:lang w:eastAsia="en-US"/>
        </w:rPr>
        <w:t xml:space="preserve"> and racism </w:t>
      </w:r>
      <w:r w:rsidRPr="00D40C27">
        <w:rPr>
          <w:rFonts w:eastAsia="Calibri"/>
          <w:noProof/>
          <w:color w:val="auto"/>
          <w:lang w:eastAsia="en-US"/>
        </w:rPr>
        <w:t>(Stanley, Sokol-Hessner, Banaji, &amp; Phelps, 2011)</w:t>
      </w:r>
      <w:r w:rsidRPr="00D40C27">
        <w:rPr>
          <w:rFonts w:eastAsia="Calibri"/>
          <w:color w:val="auto"/>
          <w:lang w:eastAsia="en-US"/>
        </w:rPr>
        <w:t xml:space="preserve">. </w:t>
      </w:r>
    </w:p>
    <w:p w14:paraId="551A0A48" w14:textId="6D6E6248"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Calibri"/>
          <w:color w:val="auto"/>
          <w:lang w:eastAsia="en-US"/>
        </w:rPr>
      </w:pPr>
      <w:r w:rsidRPr="00D40C27">
        <w:rPr>
          <w:rFonts w:eastAsia="Calibri"/>
          <w:color w:val="auto"/>
          <w:lang w:eastAsia="en-US"/>
        </w:rPr>
        <w:t>Interestingly, explicit evaluations of FD were not clearly negative, with all of the items’ mean score being between 5.35 and 6.22 out of a total possible of 10. These results are much like explicit reports in Grandfield et al</w:t>
      </w:r>
      <w:r w:rsidR="00AF776D">
        <w:rPr>
          <w:rFonts w:eastAsia="Calibri"/>
          <w:color w:val="auto"/>
          <w:lang w:eastAsia="en-US"/>
        </w:rPr>
        <w:t>.</w:t>
      </w:r>
      <w:r w:rsidRPr="00D40C27">
        <w:rPr>
          <w:rFonts w:eastAsia="Calibri"/>
          <w:color w:val="auto"/>
          <w:lang w:eastAsia="en-US"/>
        </w:rPr>
        <w:t xml:space="preserve"> </w:t>
      </w:r>
      <w:r w:rsidRPr="00D40C27">
        <w:rPr>
          <w:rFonts w:eastAsia="Calibri"/>
          <w:noProof/>
          <w:color w:val="auto"/>
          <w:lang w:eastAsia="en-US"/>
        </w:rPr>
        <w:t>(2005)</w:t>
      </w:r>
      <w:r w:rsidRPr="00D40C27">
        <w:rPr>
          <w:rFonts w:eastAsia="Calibri"/>
          <w:color w:val="auto"/>
          <w:lang w:eastAsia="en-US"/>
        </w:rPr>
        <w:t xml:space="preserve">, were participants (N=59) only score positive (52%) or no explicit preference (48%) for FD and none reported clear negative evaluation of FD. Studies using measures of attitudes via self-report do not consistently show that individuals with FD are evaluated negatively. </w:t>
      </w:r>
      <w:r w:rsidR="00995C98" w:rsidRPr="00D40C27">
        <w:rPr>
          <w:rFonts w:eastAsia="Calibri"/>
          <w:color w:val="auto"/>
          <w:lang w:eastAsia="en-US"/>
        </w:rPr>
        <w:t>A few</w:t>
      </w:r>
      <w:r w:rsidRPr="00D40C27">
        <w:rPr>
          <w:rFonts w:eastAsia="Calibri"/>
          <w:color w:val="auto"/>
          <w:lang w:eastAsia="en-US"/>
        </w:rPr>
        <w:t xml:space="preserve"> studies report neutral or positive explicit evaluations, but implicit negative responses </w:t>
      </w:r>
      <w:r w:rsidRPr="00D40C27">
        <w:rPr>
          <w:rFonts w:eastAsia="Calibri"/>
          <w:noProof/>
          <w:color w:val="auto"/>
          <w:lang w:eastAsia="en-US"/>
        </w:rPr>
        <w:t>(Blascovich et al., 2001; Grandfield et al., 2005)</w:t>
      </w:r>
      <w:r w:rsidRPr="00D40C27">
        <w:rPr>
          <w:rFonts w:eastAsia="Calibri"/>
          <w:color w:val="auto"/>
          <w:lang w:eastAsia="en-US"/>
        </w:rPr>
        <w:t xml:space="preserve">. </w:t>
      </w:r>
      <w:r w:rsidR="0062169D">
        <w:rPr>
          <w:rFonts w:eastAsia="Calibri"/>
          <w:color w:val="auto"/>
          <w:lang w:eastAsia="en-US"/>
        </w:rPr>
        <w:t xml:space="preserve">Furthermore, explicit stigmatising </w:t>
      </w:r>
      <w:r w:rsidRPr="00D40C27">
        <w:rPr>
          <w:rFonts w:eastAsia="Calibri"/>
          <w:color w:val="auto"/>
          <w:lang w:eastAsia="en-US"/>
        </w:rPr>
        <w:t xml:space="preserve">responses </w:t>
      </w:r>
      <w:r w:rsidR="0062169D">
        <w:rPr>
          <w:rFonts w:eastAsia="Calibri"/>
          <w:color w:val="auto"/>
          <w:lang w:eastAsia="en-US"/>
        </w:rPr>
        <w:t>are known to be</w:t>
      </w:r>
      <w:r w:rsidRPr="00D40C27">
        <w:rPr>
          <w:rFonts w:eastAsia="Calibri"/>
          <w:color w:val="auto"/>
          <w:lang w:eastAsia="en-US"/>
        </w:rPr>
        <w:t xml:space="preserve"> </w:t>
      </w:r>
      <w:r w:rsidR="0062169D">
        <w:rPr>
          <w:rFonts w:eastAsia="Calibri"/>
          <w:color w:val="auto"/>
          <w:lang w:eastAsia="en-US"/>
        </w:rPr>
        <w:t>susceptible to</w:t>
      </w:r>
      <w:r w:rsidRPr="00D40C27">
        <w:rPr>
          <w:rFonts w:eastAsia="Calibri"/>
          <w:color w:val="auto"/>
          <w:lang w:eastAsia="en-US"/>
        </w:rPr>
        <w:t xml:space="preserve"> social desirability effects, as </w:t>
      </w:r>
      <w:r w:rsidR="0019164E">
        <w:rPr>
          <w:rFonts w:eastAsia="Calibri"/>
          <w:color w:val="auto"/>
          <w:lang w:eastAsia="en-US"/>
        </w:rPr>
        <w:t>it is normatively unsocial to discriminate against a member of a disadvantage group</w:t>
      </w:r>
      <w:r w:rsidRPr="00D40C27">
        <w:rPr>
          <w:rFonts w:eastAsia="Calibri"/>
          <w:color w:val="auto"/>
          <w:lang w:eastAsia="en-US"/>
        </w:rPr>
        <w:t xml:space="preserve"> </w:t>
      </w:r>
      <w:r w:rsidRPr="00D40C27">
        <w:rPr>
          <w:rFonts w:eastAsia="Calibri"/>
          <w:noProof/>
          <w:color w:val="auto"/>
          <w:lang w:eastAsia="en-US"/>
        </w:rPr>
        <w:t>(Corrigan &amp; Shapiro, 2010; Plant &amp; Devine, 1998; Wolkenstein &amp; Meyer, 2009)</w:t>
      </w:r>
      <w:r w:rsidRPr="00D40C27">
        <w:rPr>
          <w:rFonts w:eastAsia="Calibri"/>
          <w:color w:val="auto"/>
          <w:lang w:eastAsia="en-US"/>
        </w:rPr>
        <w:t xml:space="preserve">. </w:t>
      </w:r>
      <w:r w:rsidR="0019164E">
        <w:rPr>
          <w:rFonts w:eastAsia="Calibri"/>
          <w:color w:val="auto"/>
          <w:lang w:eastAsia="en-US"/>
        </w:rPr>
        <w:t>Thus, it</w:t>
      </w:r>
      <w:r w:rsidRPr="00D40C27">
        <w:rPr>
          <w:rFonts w:eastAsia="Calibri"/>
          <w:color w:val="auto"/>
          <w:lang w:eastAsia="en-US"/>
        </w:rPr>
        <w:t xml:space="preserve"> is possible that when evaluating people</w:t>
      </w:r>
      <w:r w:rsidR="00995C98">
        <w:rPr>
          <w:rFonts w:eastAsia="Calibri"/>
          <w:color w:val="auto"/>
          <w:lang w:eastAsia="en-US"/>
        </w:rPr>
        <w:t xml:space="preserve"> with FD, observers</w:t>
      </w:r>
      <w:r w:rsidRPr="00D40C27">
        <w:rPr>
          <w:rFonts w:eastAsia="Calibri"/>
          <w:color w:val="auto"/>
          <w:lang w:eastAsia="en-US"/>
        </w:rPr>
        <w:t xml:space="preserve"> underreport</w:t>
      </w:r>
      <w:r w:rsidR="0019164E">
        <w:rPr>
          <w:rFonts w:eastAsia="Calibri"/>
          <w:color w:val="auto"/>
          <w:lang w:eastAsia="en-US"/>
        </w:rPr>
        <w:t xml:space="preserve">ed </w:t>
      </w:r>
      <w:r w:rsidRPr="00D40C27">
        <w:rPr>
          <w:rFonts w:eastAsia="Calibri"/>
          <w:color w:val="auto"/>
          <w:lang w:eastAsia="en-US"/>
        </w:rPr>
        <w:t>negative evaluations in favour of more socially desirable responses.</w:t>
      </w:r>
    </w:p>
    <w:p w14:paraId="630944A5" w14:textId="070C58C5" w:rsidR="000F1616"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Calibri"/>
          <w:color w:val="auto"/>
          <w:lang w:eastAsia="en-US"/>
        </w:rPr>
      </w:pPr>
      <w:r w:rsidRPr="00D40C27">
        <w:rPr>
          <w:rFonts w:eastAsia="Calibri"/>
          <w:color w:val="auto"/>
          <w:lang w:eastAsia="en-US"/>
        </w:rPr>
        <w:t xml:space="preserve">In this study, the IAT effect sizes and explicit self-report </w:t>
      </w:r>
      <w:r w:rsidR="00474CAC">
        <w:rPr>
          <w:rFonts w:eastAsia="Calibri"/>
          <w:color w:val="auto"/>
          <w:lang w:eastAsia="en-US"/>
        </w:rPr>
        <w:t>evaluations</w:t>
      </w:r>
      <w:r w:rsidRPr="00D40C27">
        <w:rPr>
          <w:rFonts w:eastAsia="Calibri"/>
          <w:color w:val="auto"/>
          <w:lang w:eastAsia="en-US"/>
        </w:rPr>
        <w:t xml:space="preserve"> were </w:t>
      </w:r>
      <w:r w:rsidR="002339FB">
        <w:rPr>
          <w:rFonts w:eastAsia="Calibri"/>
          <w:color w:val="auto"/>
          <w:lang w:eastAsia="en-US"/>
        </w:rPr>
        <w:t xml:space="preserve">negatively </w:t>
      </w:r>
      <w:r w:rsidRPr="00D40C27">
        <w:rPr>
          <w:rFonts w:eastAsia="Calibri"/>
          <w:color w:val="auto"/>
          <w:lang w:eastAsia="en-US"/>
        </w:rPr>
        <w:t xml:space="preserve">correlated, participants who rated FD more positively </w:t>
      </w:r>
      <w:r w:rsidR="0019164E">
        <w:rPr>
          <w:rFonts w:eastAsia="Calibri"/>
          <w:color w:val="auto"/>
          <w:lang w:eastAsia="en-US"/>
        </w:rPr>
        <w:t xml:space="preserve">also </w:t>
      </w:r>
      <w:r w:rsidR="00995C98">
        <w:rPr>
          <w:rFonts w:eastAsia="Calibri"/>
          <w:color w:val="auto"/>
          <w:lang w:eastAsia="en-US"/>
        </w:rPr>
        <w:t>showed faster reaction times when associating</w:t>
      </w:r>
      <w:r w:rsidRPr="00D40C27">
        <w:rPr>
          <w:rFonts w:eastAsia="Calibri"/>
          <w:color w:val="auto"/>
          <w:lang w:eastAsia="en-US"/>
        </w:rPr>
        <w:t xml:space="preserve"> FD stimuli</w:t>
      </w:r>
      <w:r w:rsidR="00995C98">
        <w:rPr>
          <w:rFonts w:eastAsia="Calibri"/>
          <w:color w:val="auto"/>
          <w:lang w:eastAsia="en-US"/>
        </w:rPr>
        <w:t xml:space="preserve"> with pleasant words</w:t>
      </w:r>
      <w:r w:rsidRPr="00D40C27">
        <w:rPr>
          <w:rFonts w:eastAsia="Calibri"/>
          <w:color w:val="auto"/>
          <w:lang w:eastAsia="en-US"/>
        </w:rPr>
        <w:t xml:space="preserve">. </w:t>
      </w:r>
      <w:r w:rsidR="00995C98">
        <w:rPr>
          <w:rFonts w:eastAsia="Calibri"/>
          <w:color w:val="auto"/>
          <w:lang w:eastAsia="en-US"/>
        </w:rPr>
        <w:t xml:space="preserve">However, this correlation was small and </w:t>
      </w:r>
      <w:r w:rsidR="002339FB">
        <w:rPr>
          <w:rFonts w:eastAsia="Calibri"/>
          <w:color w:val="auto"/>
          <w:lang w:eastAsia="en-US"/>
        </w:rPr>
        <w:t>became non-existent</w:t>
      </w:r>
      <w:r w:rsidR="00995C98">
        <w:rPr>
          <w:rFonts w:eastAsia="Calibri"/>
          <w:color w:val="auto"/>
          <w:lang w:eastAsia="en-US"/>
        </w:rPr>
        <w:t xml:space="preserve"> after correcting for multiple testing. </w:t>
      </w:r>
      <w:r w:rsidRPr="00D40C27">
        <w:rPr>
          <w:rFonts w:eastAsia="Calibri"/>
          <w:color w:val="auto"/>
          <w:lang w:eastAsia="en-US"/>
        </w:rPr>
        <w:t xml:space="preserve">According to a meta-analysis by </w:t>
      </w:r>
      <w:r w:rsidRPr="00D40C27">
        <w:rPr>
          <w:rFonts w:eastAsia="Calibri"/>
          <w:noProof/>
          <w:color w:val="auto"/>
          <w:lang w:eastAsia="en-US"/>
        </w:rPr>
        <w:t>Hofmann et al.</w:t>
      </w:r>
      <w:r w:rsidR="00995C98">
        <w:rPr>
          <w:rFonts w:eastAsia="Calibri"/>
          <w:noProof/>
          <w:color w:val="auto"/>
          <w:lang w:eastAsia="en-US"/>
        </w:rPr>
        <w:t xml:space="preserve"> (</w:t>
      </w:r>
      <w:r w:rsidRPr="00D40C27">
        <w:rPr>
          <w:rFonts w:eastAsia="Calibri"/>
          <w:noProof/>
          <w:color w:val="auto"/>
          <w:lang w:eastAsia="en-US"/>
        </w:rPr>
        <w:t>2005)</w:t>
      </w:r>
      <w:r w:rsidRPr="00D40C27">
        <w:rPr>
          <w:rFonts w:eastAsia="Calibri"/>
          <w:color w:val="auto"/>
          <w:lang w:eastAsia="en-US"/>
        </w:rPr>
        <w:t>, correlations between the IAT and explicit self-report measures are typically low but significant</w:t>
      </w:r>
      <w:r w:rsidR="002339FB">
        <w:rPr>
          <w:rFonts w:eastAsia="Calibri"/>
          <w:color w:val="auto"/>
          <w:lang w:eastAsia="en-US"/>
        </w:rPr>
        <w:t>. Participants showing more positive evaluations of stigmatised individuals also report implicit preference</w:t>
      </w:r>
      <w:r w:rsidRPr="00D40C27">
        <w:rPr>
          <w:rFonts w:eastAsia="Calibri"/>
          <w:color w:val="auto"/>
          <w:lang w:eastAsia="en-US"/>
        </w:rPr>
        <w:t xml:space="preserve"> </w:t>
      </w:r>
      <w:r w:rsidR="002339FB">
        <w:rPr>
          <w:rFonts w:eastAsia="Calibri"/>
          <w:color w:val="auto"/>
          <w:lang w:eastAsia="en-US"/>
        </w:rPr>
        <w:t>for them</w:t>
      </w:r>
      <w:r w:rsidRPr="00D40C27">
        <w:rPr>
          <w:rFonts w:eastAsia="Calibri"/>
          <w:color w:val="auto"/>
          <w:lang w:eastAsia="en-US"/>
        </w:rPr>
        <w:t>, particularly when the subject relates to socially sensitive topics (e.g.</w:t>
      </w:r>
      <w:r w:rsidR="008471FC">
        <w:rPr>
          <w:rFonts w:eastAsia="Calibri"/>
          <w:color w:val="auto"/>
          <w:lang w:eastAsia="en-US"/>
        </w:rPr>
        <w:t xml:space="preserve">, </w:t>
      </w:r>
      <w:r w:rsidRPr="00D40C27">
        <w:rPr>
          <w:rFonts w:eastAsia="Calibri"/>
          <w:color w:val="auto"/>
          <w:lang w:eastAsia="en-US"/>
        </w:rPr>
        <w:t xml:space="preserve">prejudice, stigma). </w:t>
      </w:r>
      <w:r w:rsidR="00D70945">
        <w:rPr>
          <w:rFonts w:eastAsia="Calibri"/>
          <w:color w:val="auto"/>
          <w:lang w:eastAsia="en-US"/>
        </w:rPr>
        <w:t>In our findings, the initial weak correlation became non-significant, suggesting that these instruments measured</w:t>
      </w:r>
      <w:r w:rsidRPr="00D40C27">
        <w:rPr>
          <w:rFonts w:eastAsia="Calibri"/>
          <w:color w:val="auto"/>
          <w:lang w:eastAsia="en-US"/>
        </w:rPr>
        <w:t xml:space="preserve"> separate constructs as proposed by </w:t>
      </w:r>
      <w:r w:rsidRPr="00D40C27">
        <w:rPr>
          <w:rFonts w:eastAsia="Calibri"/>
          <w:noProof/>
          <w:color w:val="auto"/>
          <w:lang w:eastAsia="en-US"/>
        </w:rPr>
        <w:t>Pryor, Reeder, Yeadon, and Hesson-McLnnis (2004)</w:t>
      </w:r>
      <w:r w:rsidRPr="00D40C27">
        <w:rPr>
          <w:rFonts w:eastAsia="Calibri"/>
          <w:color w:val="auto"/>
          <w:lang w:eastAsia="en-US"/>
        </w:rPr>
        <w:t>.</w:t>
      </w:r>
    </w:p>
    <w:p w14:paraId="4572A57B" w14:textId="0A047B44" w:rsidR="00A65A25" w:rsidRDefault="00474CAC" w:rsidP="004E771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SimSun"/>
          <w:color w:val="auto"/>
          <w:lang w:eastAsia="zh-CN"/>
        </w:rPr>
      </w:pPr>
      <w:r w:rsidRPr="00D40C27">
        <w:rPr>
          <w:rFonts w:eastAsia="SimSun"/>
          <w:color w:val="auto"/>
          <w:lang w:eastAsia="zh-CN"/>
        </w:rPr>
        <w:t xml:space="preserve">Following </w:t>
      </w:r>
      <w:r w:rsidR="004E7719">
        <w:rPr>
          <w:rFonts w:eastAsia="SimSun"/>
          <w:color w:val="auto"/>
          <w:lang w:eastAsia="zh-CN"/>
        </w:rPr>
        <w:t>our</w:t>
      </w:r>
      <w:r>
        <w:rPr>
          <w:rFonts w:eastAsia="SimSun"/>
          <w:color w:val="auto"/>
          <w:lang w:eastAsia="zh-CN"/>
        </w:rPr>
        <w:t xml:space="preserve"> second </w:t>
      </w:r>
      <w:r w:rsidRPr="00D40C27">
        <w:rPr>
          <w:rFonts w:eastAsia="SimSun"/>
          <w:color w:val="auto"/>
          <w:lang w:eastAsia="zh-CN"/>
        </w:rPr>
        <w:t>hypothesis</w:t>
      </w:r>
      <w:r>
        <w:rPr>
          <w:rFonts w:eastAsia="SimSun"/>
          <w:color w:val="auto"/>
          <w:lang w:eastAsia="zh-CN"/>
        </w:rPr>
        <w:t xml:space="preserve">, </w:t>
      </w:r>
      <w:r w:rsidRPr="00D40C27">
        <w:rPr>
          <w:rFonts w:eastAsia="SimSun"/>
          <w:color w:val="auto"/>
          <w:lang w:eastAsia="zh-CN"/>
        </w:rPr>
        <w:t>gender differences</w:t>
      </w:r>
      <w:r>
        <w:rPr>
          <w:rFonts w:eastAsia="SimSun"/>
          <w:color w:val="auto"/>
          <w:lang w:eastAsia="zh-CN"/>
        </w:rPr>
        <w:t xml:space="preserve"> were</w:t>
      </w:r>
      <w:r w:rsidRPr="00D40C27">
        <w:rPr>
          <w:rFonts w:eastAsia="SimSun"/>
          <w:color w:val="auto"/>
          <w:lang w:eastAsia="zh-CN"/>
        </w:rPr>
        <w:t xml:space="preserve"> found </w:t>
      </w:r>
      <w:r>
        <w:rPr>
          <w:rFonts w:eastAsia="SimSun"/>
          <w:color w:val="auto"/>
          <w:lang w:eastAsia="zh-CN"/>
        </w:rPr>
        <w:t>in attitudes towards FD</w:t>
      </w:r>
      <w:r w:rsidR="004E7719">
        <w:rPr>
          <w:rFonts w:eastAsia="SimSun"/>
          <w:color w:val="auto"/>
          <w:lang w:eastAsia="zh-CN"/>
        </w:rPr>
        <w:t>.</w:t>
      </w:r>
      <w:r w:rsidR="007252CE">
        <w:rPr>
          <w:rFonts w:eastAsia="SimSun"/>
          <w:color w:val="auto"/>
          <w:lang w:eastAsia="zh-CN"/>
        </w:rPr>
        <w:t xml:space="preserve"> </w:t>
      </w:r>
      <w:r w:rsidR="004E7719">
        <w:rPr>
          <w:rFonts w:eastAsia="SimSun"/>
          <w:color w:val="auto"/>
          <w:lang w:eastAsia="zh-CN"/>
        </w:rPr>
        <w:t>F</w:t>
      </w:r>
      <w:r w:rsidR="004E7719" w:rsidRPr="00D40C27">
        <w:rPr>
          <w:rFonts w:eastAsia="SimSun"/>
          <w:color w:val="auto"/>
          <w:lang w:eastAsia="zh-CN"/>
        </w:rPr>
        <w:t>emales’ observers</w:t>
      </w:r>
      <w:r w:rsidR="004E7719">
        <w:rPr>
          <w:rFonts w:eastAsia="SimSun"/>
          <w:color w:val="auto"/>
          <w:lang w:eastAsia="zh-CN"/>
        </w:rPr>
        <w:t xml:space="preserve"> reported more positive implicit and explicit attitudes towards FD compared with their male peers, however significance in both these variables was lost after Bonferroni correction. Although generally females are less likely to endorse stigmatisation </w:t>
      </w:r>
      <w:r w:rsidR="00EA7482">
        <w:rPr>
          <w:rFonts w:eastAsia="SimSun"/>
          <w:color w:val="auto"/>
          <w:lang w:eastAsia="zh-CN"/>
        </w:rPr>
        <w:t xml:space="preserve">and prejudice </w:t>
      </w:r>
      <w:r w:rsidR="004E7719">
        <w:rPr>
          <w:rFonts w:eastAsia="SimSun"/>
          <w:color w:val="auto"/>
          <w:lang w:eastAsia="zh-CN"/>
        </w:rPr>
        <w:t xml:space="preserve">than males, </w:t>
      </w:r>
      <w:r w:rsidR="00165934">
        <w:rPr>
          <w:rFonts w:eastAsia="SimSun"/>
          <w:color w:val="auto"/>
          <w:lang w:eastAsia="zh-CN"/>
        </w:rPr>
        <w:t>this gender effect is not consistently found across the literature</w:t>
      </w:r>
      <w:r w:rsidR="00EA7482">
        <w:rPr>
          <w:rFonts w:eastAsia="SimSun"/>
          <w:color w:val="auto"/>
          <w:lang w:eastAsia="zh-CN"/>
        </w:rPr>
        <w:t xml:space="preserve">. For instance, a literature review by Farina (1981) showed that females were significantly less prejudiced </w:t>
      </w:r>
      <w:r w:rsidR="00FF742F">
        <w:rPr>
          <w:rFonts w:eastAsia="SimSun"/>
          <w:color w:val="auto"/>
          <w:lang w:eastAsia="zh-CN"/>
        </w:rPr>
        <w:t xml:space="preserve">towards mental illness </w:t>
      </w:r>
      <w:r w:rsidR="00EA7482">
        <w:rPr>
          <w:rFonts w:eastAsia="SimSun"/>
          <w:color w:val="auto"/>
          <w:lang w:eastAsia="zh-CN"/>
        </w:rPr>
        <w:t xml:space="preserve">than males in </w:t>
      </w:r>
      <w:r w:rsidR="00FF742F">
        <w:rPr>
          <w:rFonts w:eastAsia="SimSun"/>
          <w:color w:val="auto"/>
          <w:lang w:eastAsia="zh-CN"/>
        </w:rPr>
        <w:t xml:space="preserve">13 </w:t>
      </w:r>
      <w:r w:rsidR="00EA7482">
        <w:rPr>
          <w:rFonts w:eastAsia="SimSun"/>
          <w:color w:val="auto"/>
          <w:lang w:eastAsia="zh-CN"/>
        </w:rPr>
        <w:t>out of 27 included studies</w:t>
      </w:r>
      <w:r w:rsidR="00A65A25">
        <w:rPr>
          <w:rFonts w:eastAsia="SimSun"/>
          <w:color w:val="auto"/>
          <w:lang w:eastAsia="zh-CN"/>
        </w:rPr>
        <w:t xml:space="preserve">. </w:t>
      </w:r>
      <w:r w:rsidR="00EC22A0">
        <w:rPr>
          <w:rFonts w:eastAsia="SimSun"/>
          <w:color w:val="auto"/>
          <w:lang w:eastAsia="zh-CN"/>
        </w:rPr>
        <w:t>D</w:t>
      </w:r>
      <w:r w:rsidR="00A65A25">
        <w:rPr>
          <w:rFonts w:eastAsia="SimSun"/>
          <w:color w:val="auto"/>
          <w:lang w:eastAsia="zh-CN"/>
        </w:rPr>
        <w:t>ifferences between male and females were less</w:t>
      </w:r>
      <w:r w:rsidR="00165934">
        <w:rPr>
          <w:rFonts w:eastAsia="SimSun"/>
          <w:color w:val="auto"/>
          <w:lang w:eastAsia="zh-CN"/>
        </w:rPr>
        <w:t xml:space="preserve"> commonly </w:t>
      </w:r>
      <w:r w:rsidR="00EC22A0">
        <w:rPr>
          <w:rFonts w:eastAsia="SimSun"/>
          <w:color w:val="auto"/>
          <w:lang w:eastAsia="zh-CN"/>
        </w:rPr>
        <w:t>significant</w:t>
      </w:r>
      <w:r w:rsidR="00A65A25">
        <w:rPr>
          <w:rFonts w:eastAsia="SimSun"/>
          <w:color w:val="auto"/>
          <w:lang w:eastAsia="zh-CN"/>
        </w:rPr>
        <w:t xml:space="preserve"> when </w:t>
      </w:r>
      <w:r w:rsidR="00EC22A0">
        <w:rPr>
          <w:rFonts w:eastAsia="SimSun"/>
          <w:color w:val="auto"/>
          <w:lang w:eastAsia="zh-CN"/>
        </w:rPr>
        <w:t>studying the endorsement of stigmatising</w:t>
      </w:r>
      <w:r w:rsidR="00A65A25">
        <w:rPr>
          <w:rFonts w:eastAsia="SimSun"/>
          <w:color w:val="auto"/>
          <w:lang w:eastAsia="zh-CN"/>
        </w:rPr>
        <w:t xml:space="preserve"> attitudes, </w:t>
      </w:r>
      <w:r w:rsidR="00EC22A0">
        <w:rPr>
          <w:rFonts w:eastAsia="SimSun"/>
          <w:color w:val="auto"/>
          <w:lang w:eastAsia="zh-CN"/>
        </w:rPr>
        <w:t>than when measuring the endorsement of discriminatory behaviour; f</w:t>
      </w:r>
      <w:r w:rsidR="00A65A25">
        <w:rPr>
          <w:rFonts w:eastAsia="SimSun"/>
          <w:color w:val="auto"/>
          <w:lang w:eastAsia="zh-CN"/>
        </w:rPr>
        <w:t xml:space="preserve">emales </w:t>
      </w:r>
      <w:r w:rsidR="00A65A25">
        <w:rPr>
          <w:rFonts w:eastAsia="SimSun"/>
          <w:color w:val="auto"/>
          <w:lang w:eastAsia="zh-CN"/>
        </w:rPr>
        <w:lastRenderedPageBreak/>
        <w:t xml:space="preserve">reported significantly </w:t>
      </w:r>
      <w:r w:rsidR="00EC22A0">
        <w:rPr>
          <w:rFonts w:eastAsia="SimSun"/>
          <w:color w:val="auto"/>
          <w:lang w:eastAsia="zh-CN"/>
        </w:rPr>
        <w:t>less endorsement of discriminatory behaviour than their male peers.</w:t>
      </w:r>
      <w:r w:rsidR="00A65A25">
        <w:rPr>
          <w:rFonts w:eastAsia="SimSun"/>
          <w:color w:val="auto"/>
          <w:lang w:eastAsia="zh-CN"/>
        </w:rPr>
        <w:t xml:space="preserve"> </w:t>
      </w:r>
    </w:p>
    <w:p w14:paraId="530608D5" w14:textId="68F9A59C" w:rsidR="00B8781A" w:rsidRDefault="00EC22A0" w:rsidP="004E771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SimSun"/>
          <w:color w:val="auto"/>
          <w:lang w:eastAsia="zh-CN"/>
        </w:rPr>
      </w:pPr>
      <w:r>
        <w:rPr>
          <w:rFonts w:eastAsia="SimSun"/>
          <w:color w:val="auto"/>
          <w:lang w:eastAsia="zh-CN"/>
        </w:rPr>
        <w:t>In the study of</w:t>
      </w:r>
      <w:r w:rsidR="00FF742F">
        <w:rPr>
          <w:rFonts w:eastAsia="SimSun"/>
          <w:color w:val="auto"/>
          <w:lang w:eastAsia="zh-CN"/>
        </w:rPr>
        <w:t xml:space="preserve"> attitudes towards other typically stigmatised groups (e.g., racial prejudice, substance abuse), females groups also appear to be less prejudice than male</w:t>
      </w:r>
      <w:r>
        <w:rPr>
          <w:rFonts w:eastAsia="SimSun"/>
          <w:color w:val="auto"/>
          <w:lang w:eastAsia="zh-CN"/>
        </w:rPr>
        <w:t>s</w:t>
      </w:r>
      <w:r w:rsidR="00FF742F">
        <w:rPr>
          <w:rFonts w:eastAsia="SimSun"/>
          <w:color w:val="auto"/>
          <w:lang w:eastAsia="zh-CN"/>
        </w:rPr>
        <w:t xml:space="preserve"> </w:t>
      </w:r>
      <w:r w:rsidR="00FF742F">
        <w:rPr>
          <w:rFonts w:eastAsia="SimSun"/>
          <w:color w:val="auto"/>
          <w:lang w:eastAsia="zh-CN"/>
        </w:rPr>
        <w:fldChar w:fldCharType="begin" w:fldLock="1"/>
      </w:r>
      <w:r w:rsidR="00D72B62">
        <w:rPr>
          <w:rFonts w:eastAsia="SimSun"/>
          <w:color w:val="auto"/>
          <w:lang w:eastAsia="zh-CN"/>
        </w:rPr>
        <w:instrText>ADDIN CSL_CITATION {"citationItems":[{"id":"ITEM-1","itemData":{"DOI":"10.15288/jsad.2017.78.415","ISSN":"1937-1888","abstract":"Objective:Stigmatizing attitudes toward people with a drug addiction have detrimental effects on the lives of these people. However, the factors that influence stigma toward people with a drug addiction have not yet been thoroughly investigated, compared with the stigma of other mental illnesses. Based on attribution theory, our experiment examined to what extent individual and contextual characteristics of people with a drug addiction influence stigmatizing attitudes toward people with a drug addiction. Moreover, we explored whether respondent characteristics indicative of familiarity with addiction decrease stigma toward people with a drug addiction.Method:We conducted a full factorial survey of 2,857 respondents from a German online access panel who were from all walks of life. We experimentally varied vignettes (29-design) that featured a fictional person with an addiction. Stigmatizing beliefs, such as blame or fear, were assessed using the Attribution Questionnaire (AQ-9).Results:Different attributes of people with a drug addiction and of the characteristics of their addiction modulated stigma in ways that are mostly consistent with attribution theory and related research. For example, female gender and younger age of people with a drug addiction diminished several stigmatizing attitudes; greater duration of addiction and social influence to use drugs increased them. Furthermore, characteristics of respondents modulated stigma: women, younger respondents, and those with higher education expressed less-stigmatizing responses than others.Conclusions:The stigmatization of people with a drug addiction is influenced by several factors, including characteristics of the stigmatized person, the addiction, and the person holding stigmatizing attitudes. A better understanding of the underlying mechanisms of these effects is needed to develop evidence-based antistigma measures.","author":[{"dropping-particle":"","family":"Sattler","given":"Sebastian","non-dropping-particle":"","parse-names":false,"suffix":""},{"dropping-particle":"","family":"Escande","given":"Alice","non-dropping-particle":"","parse-names":false,"suffix":""},{"dropping-particle":"","family":"Racine","given":"Eric","non-dropping-particle":"","parse-names":false,"suffix":""},{"dropping-particle":"","family":"Göritz","given":"Anja S","non-dropping-particle":"","parse-names":false,"suffix":""}],"container-title":"Journal of Studies on Alcohol and Drugs","id":"ITEM-1","issue":"3","issued":{"date-parts":[["2017","5"]]},"page":"415-425","publisher":"Alcohol Research Documentation, Inc.","title":"Public Stigma Toward People With Drug Addiction: A Factorial Survey","type":"article-journal","volume":"78"},"uris":["http://www.mendeley.com/documents/?uuid=88fa5dd3-99e2-410c-81db-e63e48bd4498","http://www.mendeley.com/documents/?uuid=6118bc8b-029a-412a-9156-c9f92b81863e"]},{"id":"ITEM-2","itemData":{"ISSN":"0022-3980","author":[{"dropping-particle":"","family":"Mills","given":"Jon K","non-dropping-particle":"","parse-names":false,"suffix":""},{"dropping-particle":"","family":"McGrath","given":"Donna","non-dropping-particle":"","parse-names":false,"suffix":""},{"dropping-particle":"","family":"Sobkoviak","given":"Patti","non-dropping-particle":"","parse-names":false,"suffix":""},{"dropping-particle":"","family":"Stupec","given":"Susan","non-dropping-particle":"","parse-names":false,"suffix":""},{"dropping-particle":"","family":"Welsh","given":"Sharlee","non-dropping-particle":"","parse-names":false,"suffix":""}],"container-title":"Journal of Psychology","id":"ITEM-2","issue":"3","issued":{"date-parts":[["1995"]]},"page":"357","publisher":"Journal Press, etc.","title":"Differences in expressed racial prejudice and acceptance of others","type":"article-journal","volume":"129"},"uris":["http://www.mendeley.com/documents/?uuid=6d2a03c9-84a4-4844-97a2-d0fb73e5e9be","http://www.mendeley.com/documents/?uuid=05e04c91-9628-44c1-a824-c7ff0490067b"]}],"mendeley":{"formattedCitation":"(Mills, McGrath, Sobkoviak, Stupec, &amp; Welsh, 1995; Sattler, Escande, Racine, &amp; Göritz, 2017)","plainTextFormattedCitation":"(Mills, McGrath, Sobkoviak, Stupec, &amp; Welsh, 1995; Sattler, Escande, Racine, &amp; Göritz, 2017)","previouslyFormattedCitation":"(Mills, McGrath, Sobkoviak, Stupec, &amp; Welsh, 1995; Sattler, Escande, Racine, &amp; Göritz, 2017)"},"properties":{"noteIndex":0},"schema":"https://github.com/citation-style-language/schema/raw/master/csl-citation.json"}</w:instrText>
      </w:r>
      <w:r w:rsidR="00FF742F">
        <w:rPr>
          <w:rFonts w:eastAsia="SimSun"/>
          <w:color w:val="auto"/>
          <w:lang w:eastAsia="zh-CN"/>
        </w:rPr>
        <w:fldChar w:fldCharType="separate"/>
      </w:r>
      <w:r w:rsidR="001871E7" w:rsidRPr="001871E7">
        <w:rPr>
          <w:rFonts w:eastAsia="SimSun"/>
          <w:noProof/>
          <w:color w:val="auto"/>
          <w:lang w:eastAsia="zh-CN"/>
        </w:rPr>
        <w:t>(Mills, McGrath, Sobkoviak, Stupec, &amp; Welsh, 1995; Sattler, Escande, Racine, &amp; Göritz, 2017)</w:t>
      </w:r>
      <w:r w:rsidR="00FF742F">
        <w:rPr>
          <w:rFonts w:eastAsia="SimSun"/>
          <w:color w:val="auto"/>
          <w:lang w:eastAsia="zh-CN"/>
        </w:rPr>
        <w:fldChar w:fldCharType="end"/>
      </w:r>
      <w:r w:rsidR="00FF742F">
        <w:rPr>
          <w:rFonts w:eastAsia="SimSun"/>
          <w:color w:val="auto"/>
          <w:lang w:eastAsia="zh-CN"/>
        </w:rPr>
        <w:t xml:space="preserve">. </w:t>
      </w:r>
      <w:r w:rsidR="00F71550">
        <w:rPr>
          <w:rFonts w:eastAsia="SimSun"/>
          <w:color w:val="auto"/>
          <w:lang w:eastAsia="zh-CN"/>
        </w:rPr>
        <w:t>Perhaps because females are themselves receivers of devaluating treatment and attitudes from the public (</w:t>
      </w:r>
      <w:r w:rsidR="00FE26AE">
        <w:rPr>
          <w:rFonts w:eastAsia="SimSun"/>
          <w:color w:val="auto"/>
          <w:lang w:eastAsia="zh-CN"/>
        </w:rPr>
        <w:t xml:space="preserve">e.g., </w:t>
      </w:r>
      <w:r w:rsidR="00FE26AE">
        <w:rPr>
          <w:rFonts w:eastAsia="SimSun"/>
          <w:color w:val="auto"/>
          <w:lang w:eastAsia="zh-CN"/>
        </w:rPr>
        <w:fldChar w:fldCharType="begin" w:fldLock="1"/>
      </w:r>
      <w:r w:rsidR="001871E7">
        <w:rPr>
          <w:rFonts w:eastAsia="SimSun"/>
          <w:color w:val="auto"/>
          <w:lang w:eastAsia="zh-CN"/>
        </w:rPr>
        <w:instrText>ADDIN CSL_CITATION {"citationItems":[{"id":"ITEM-1","itemData":{"ISSN":"0022-166X","author":[{"dropping-particle":"","family":"Stanley","given":"Tom D","non-dropping-particle":"","parse-names":false,"suffix":""},{"dropping-particle":"","family":"Jarrell","given":"Stephen B","non-dropping-particle":"","parse-names":false,"suffix":""}],"container-title":"Journal of Human Resources","id":"ITEM-1","issued":{"date-parts":[["1998"]]},"page":"947-973","publisher":"JSTOR","title":"Gender wage discrimination bias? A meta-regression analysis","type":"article-journal"},"uris":["http://www.mendeley.com/documents/?uuid=ede7bbbb-5e21-4761-b56a-7c85f1991c72","http://www.mendeley.com/documents/?uuid=c9f079b4-696f-4c62-8e3e-f6962fda2bbd"]}],"mendeley":{"formattedCitation":"(Stanley &amp; Jarrell, 1998)","manualFormatting":"Stanley &amp; Jarrell, 1998)","plainTextFormattedCitation":"(Stanley &amp; Jarrell, 1998)","previouslyFormattedCitation":"(Stanley &amp; Jarrell, 1998)"},"properties":{"noteIndex":0},"schema":"https://github.com/citation-style-language/schema/raw/master/csl-citation.json"}</w:instrText>
      </w:r>
      <w:r w:rsidR="00FE26AE">
        <w:rPr>
          <w:rFonts w:eastAsia="SimSun"/>
          <w:color w:val="auto"/>
          <w:lang w:eastAsia="zh-CN"/>
        </w:rPr>
        <w:fldChar w:fldCharType="separate"/>
      </w:r>
      <w:r w:rsidR="00FE26AE" w:rsidRPr="00FE26AE">
        <w:rPr>
          <w:rFonts w:eastAsia="SimSun"/>
          <w:noProof/>
          <w:color w:val="auto"/>
          <w:lang w:eastAsia="zh-CN"/>
        </w:rPr>
        <w:t>Stanley &amp; Jarrell, 1998)</w:t>
      </w:r>
      <w:r w:rsidR="00FE26AE">
        <w:rPr>
          <w:rFonts w:eastAsia="SimSun"/>
          <w:color w:val="auto"/>
          <w:lang w:eastAsia="zh-CN"/>
        </w:rPr>
        <w:fldChar w:fldCharType="end"/>
      </w:r>
      <w:r w:rsidR="00F71550">
        <w:rPr>
          <w:rFonts w:eastAsia="SimSun"/>
          <w:color w:val="auto"/>
          <w:lang w:eastAsia="zh-CN"/>
        </w:rPr>
        <w:t>, it is possible that they hold higher sensitivity to the experience of stigma, thus reducing negative evaluations towards stigmatised others</w:t>
      </w:r>
      <w:r w:rsidR="0037639E">
        <w:rPr>
          <w:rFonts w:eastAsia="SimSun"/>
          <w:color w:val="auto"/>
          <w:lang w:eastAsia="zh-CN"/>
        </w:rPr>
        <w:t xml:space="preserve"> </w:t>
      </w:r>
      <w:r w:rsidR="0047692E">
        <w:rPr>
          <w:rFonts w:eastAsia="SimSun"/>
          <w:color w:val="auto"/>
          <w:lang w:eastAsia="zh-CN"/>
        </w:rPr>
        <w:fldChar w:fldCharType="begin" w:fldLock="1"/>
      </w:r>
      <w:r w:rsidR="00D72B62">
        <w:rPr>
          <w:rFonts w:eastAsia="SimSun"/>
          <w:color w:val="auto"/>
          <w:lang w:eastAsia="zh-CN"/>
        </w:rPr>
        <w:instrText>ADDIN CSL_CITATION {"citationItems":[{"id":"ITEM-1","itemData":{"DOI":"10.1007/s10597-007-9084-9","ISSN":"1573-2789","abstract":"The purpose of this study is to determine how the demographics of perceivers influence their stigma of people with mental illness or with substance abuse. A nationally representative sample (N = 968) was asked to respond to a vignette describing a person with a health condition (schizophrenia, drug dependence, or emphysema) and his/her family member. Consistent with our hypotheses, women were less likely to endorse stigma than men. Participants with higher education were also less likely to stigmatize than less educated participants. Contrary to our expectations, nonwhite research participants were more likely to endorse stigma than whites. Implications of these findings for better understanding the stigma of mental illness, and the development of anti-stigma programs, are reviewed.","author":[{"dropping-particle":"","family":"Corrigan","given":"Patrick W","non-dropping-particle":"","parse-names":false,"suffix":""},{"dropping-particle":"","family":"Watson","given":"Amy C","non-dropping-particle":"","parse-names":false,"suffix":""}],"container-title":"Community Mental Health Journal","id":"ITEM-1","issue":"5","issued":{"date-parts":[["2007"]]},"page":"439-458","title":"The Stigma of Psychiatric Disorders and the Gender, Ethnicity, and Education of the Perceiver","type":"article-journal","volume":"43"},"uris":["http://www.mendeley.com/documents/?uuid=361fef1f-9e40-4138-a017-61f067b95ba3","http://www.mendeley.com/documents/?uuid=a7d88dbf-115f-4ac7-9932-8fbf7df1f9f3"]},{"id":"ITEM-2","itemData":{"ISSN":"0146-1672","author":[{"dropping-particle":"","family":"Batson","given":"C Daniel","non-dropping-particle":"","parse-names":false,"suffix":""},{"dropping-particle":"","family":"Chang","given":"Johee","non-dropping-particle":"","parse-names":false,"suffix":""},{"dropping-particle":"","family":"Orr","given":"Ryan","non-dropping-particle":"","parse-names":false,"suffix":""},{"dropping-particle":"","family":"Rowland","given":"Jennifer","non-dropping-particle":"","parse-names":false,"suffix":""}],"container-title":"Personality and Social Psychology Bulletin","id":"ITEM-2","issue":"12","issued":{"date-parts":[["2002"]]},"page":"1656-1666","publisher":"Sage Publications Sage CA: Thousand Oaks, CA","title":"Empathy, attitudes, and action: Can feeling for a member of a stigmatized group motivate one to help the group?","type":"article-journal","volume":"28"},"uris":["http://www.mendeley.com/documents/?uuid=d26b406d-b78c-403a-98ea-54fc571a16b7","http://www.mendeley.com/documents/?uuid=27774dfc-9357-44ff-99b7-5386de552a6e"]}],"mendeley":{"formattedCitation":"(Batson, Chang, Orr, &amp; Rowland, 2002; Corrigan &amp; Watson, 2007)","plainTextFormattedCitation":"(Batson, Chang, Orr, &amp; Rowland, 2002; Corrigan &amp; Watson, 2007)","previouslyFormattedCitation":"(Batson, Chang, Orr, &amp; Rowland, 2002; Corrigan &amp; Watson, 2007)"},"properties":{"noteIndex":0},"schema":"https://github.com/citation-style-language/schema/raw/master/csl-citation.json"}</w:instrText>
      </w:r>
      <w:r w:rsidR="0047692E">
        <w:rPr>
          <w:rFonts w:eastAsia="SimSun"/>
          <w:color w:val="auto"/>
          <w:lang w:eastAsia="zh-CN"/>
        </w:rPr>
        <w:fldChar w:fldCharType="separate"/>
      </w:r>
      <w:r w:rsidR="001871E7" w:rsidRPr="001871E7">
        <w:rPr>
          <w:rFonts w:eastAsia="SimSun"/>
          <w:noProof/>
          <w:color w:val="auto"/>
          <w:lang w:eastAsia="zh-CN"/>
        </w:rPr>
        <w:t>(Batson, Chang, Orr, &amp; Rowland, 2002; Corrigan &amp; Watson, 2007)</w:t>
      </w:r>
      <w:r w:rsidR="0047692E">
        <w:rPr>
          <w:rFonts w:eastAsia="SimSun"/>
          <w:color w:val="auto"/>
          <w:lang w:eastAsia="zh-CN"/>
        </w:rPr>
        <w:fldChar w:fldCharType="end"/>
      </w:r>
      <w:r>
        <w:rPr>
          <w:rFonts w:eastAsia="SimSun"/>
          <w:color w:val="auto"/>
          <w:lang w:eastAsia="zh-CN"/>
        </w:rPr>
        <w:t xml:space="preserve">. </w:t>
      </w:r>
      <w:r w:rsidR="00F71550">
        <w:rPr>
          <w:rFonts w:eastAsia="SimSun"/>
          <w:color w:val="auto"/>
          <w:lang w:eastAsia="zh-CN"/>
        </w:rPr>
        <w:t xml:space="preserve"> </w:t>
      </w:r>
    </w:p>
    <w:p w14:paraId="7D805265" w14:textId="4C533D91" w:rsidR="004E7719" w:rsidRDefault="0047692E" w:rsidP="003763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SimSun"/>
          <w:color w:val="auto"/>
          <w:lang w:eastAsia="zh-CN"/>
        </w:rPr>
      </w:pPr>
      <w:r>
        <w:rPr>
          <w:rFonts w:eastAsia="SimSun"/>
          <w:color w:val="auto"/>
          <w:lang w:eastAsia="zh-CN"/>
        </w:rPr>
        <w:t>C</w:t>
      </w:r>
      <w:r w:rsidR="00B8781A">
        <w:rPr>
          <w:rFonts w:eastAsia="SimSun"/>
          <w:color w:val="auto"/>
          <w:lang w:eastAsia="zh-CN"/>
        </w:rPr>
        <w:t xml:space="preserve">ompared to males, females </w:t>
      </w:r>
      <w:r w:rsidR="0037639E">
        <w:rPr>
          <w:rFonts w:eastAsia="SimSun"/>
          <w:color w:val="auto"/>
          <w:lang w:eastAsia="zh-CN"/>
        </w:rPr>
        <w:t>respond different to emotional stimuli</w:t>
      </w:r>
      <w:r w:rsidR="00B8781A">
        <w:rPr>
          <w:rFonts w:eastAsia="SimSun"/>
          <w:color w:val="auto"/>
          <w:lang w:eastAsia="zh-CN"/>
        </w:rPr>
        <w:t xml:space="preserve"> and have an advantage in the recognition of</w:t>
      </w:r>
      <w:r w:rsidR="006473C0">
        <w:rPr>
          <w:rFonts w:eastAsia="SimSun"/>
          <w:color w:val="auto"/>
          <w:lang w:eastAsia="zh-CN"/>
        </w:rPr>
        <w:t xml:space="preserve"> other’s</w:t>
      </w:r>
      <w:r w:rsidR="00B8781A">
        <w:rPr>
          <w:rFonts w:eastAsia="SimSun"/>
          <w:color w:val="auto"/>
          <w:lang w:eastAsia="zh-CN"/>
        </w:rPr>
        <w:t xml:space="preserve"> non-verbal emotions</w:t>
      </w:r>
      <w:r w:rsidR="00E20AFA">
        <w:rPr>
          <w:rFonts w:eastAsia="SimSun"/>
          <w:color w:val="auto"/>
          <w:lang w:eastAsia="zh-CN"/>
        </w:rPr>
        <w:t xml:space="preserve"> </w:t>
      </w:r>
      <w:r w:rsidR="0037639E">
        <w:rPr>
          <w:rFonts w:eastAsia="SimSun"/>
          <w:color w:val="auto"/>
          <w:lang w:eastAsia="zh-CN"/>
        </w:rPr>
        <w:fldChar w:fldCharType="begin" w:fldLock="1"/>
      </w:r>
      <w:r w:rsidR="001871E7">
        <w:rPr>
          <w:rFonts w:eastAsia="SimSun"/>
          <w:color w:val="auto"/>
          <w:lang w:eastAsia="zh-CN"/>
        </w:rPr>
        <w:instrText>ADDIN CSL_CITATION {"citationItems":[{"id":"ITEM-1","itemData":{"ISSN":"0269-9931","author":[{"dropping-particle":"","family":"Thompson","given":"Ashley E","non-dropping-particle":"","parse-names":false,"suffix":""},{"dropping-particle":"","family":"Voyer","given":"Daniel","non-dropping-particle":"","parse-names":false,"suffix":""}],"container-title":"Cognition and Emotion","id":"ITEM-1","issue":"7","issued":{"date-parts":[["2014"]]},"page":"1164-1195","publisher":"Taylor &amp; Francis","title":"Sex differences in the ability to recognise non-verbal displays of emotion: A meta-analysis","type":"article-journal","volume":"28"},"uris":["http://www.mendeley.com/documents/?uuid=89bb3033-35b9-49d4-a1dd-a886274d6acf","http://www.mendeley.com/documents/?uuid=f2594497-15fd-4dd2-b69a-8631b6b9b4b8"]},{"id":"ITEM-2","itemData":{"ISSN":"0028-3932","author":[{"dropping-particle":"","family":"Stevens","given":"Jennifer S","non-dropping-particle":"","parse-names":false,"suffix":""},{"dropping-particle":"","family":"Hamann","given":"Stephan","non-dropping-particle":"","parse-names":false,"suffix":""}],"container-title":"Neuropsychologia","id":"ITEM-2","issue":"7","issued":{"date-parts":[["2012"]]},"page":"1578-1593","publisher":"Elsevier","title":"Sex differences in brain activation to emotional stimuli: a meta-analysis of neuroimaging studies","type":"article-journal","volume":"50"},"uris":["http://www.mendeley.com/documents/?uuid=0216f052-e811-4f75-b752-faa17ade5d40","http://www.mendeley.com/documents/?uuid=e708098b-3fb8-4163-95fa-b5e9dce94e54"]}],"mendeley":{"formattedCitation":"(Stevens &amp; Hamann, 2012; Thompson &amp; Voyer, 2014)","plainTextFormattedCitation":"(Stevens &amp; Hamann, 2012; Thompson &amp; Voyer, 2014)","previouslyFormattedCitation":"(Stevens &amp; Hamann, 2012; Thompson &amp; Voyer, 2014)"},"properties":{"noteIndex":0},"schema":"https://github.com/citation-style-language/schema/raw/master/csl-citation.json"}</w:instrText>
      </w:r>
      <w:r w:rsidR="0037639E">
        <w:rPr>
          <w:rFonts w:eastAsia="SimSun"/>
          <w:color w:val="auto"/>
          <w:lang w:eastAsia="zh-CN"/>
        </w:rPr>
        <w:fldChar w:fldCharType="separate"/>
      </w:r>
      <w:r w:rsidR="0037639E" w:rsidRPr="0037639E">
        <w:rPr>
          <w:rFonts w:eastAsia="SimSun"/>
          <w:noProof/>
          <w:color w:val="auto"/>
          <w:lang w:eastAsia="zh-CN"/>
        </w:rPr>
        <w:t>(Stevens &amp; Hamann, 2012; Thompson &amp; Voyer, 2014)</w:t>
      </w:r>
      <w:r w:rsidR="0037639E">
        <w:rPr>
          <w:rFonts w:eastAsia="SimSun"/>
          <w:color w:val="auto"/>
          <w:lang w:eastAsia="zh-CN"/>
        </w:rPr>
        <w:fldChar w:fldCharType="end"/>
      </w:r>
      <w:r w:rsidR="00B8781A">
        <w:rPr>
          <w:rFonts w:eastAsia="SimSun"/>
          <w:color w:val="auto"/>
          <w:lang w:eastAsia="zh-CN"/>
        </w:rPr>
        <w:t xml:space="preserve">. </w:t>
      </w:r>
      <w:r w:rsidR="00E20AFA">
        <w:rPr>
          <w:rFonts w:eastAsia="SimSun"/>
          <w:color w:val="auto"/>
          <w:lang w:eastAsia="zh-CN"/>
        </w:rPr>
        <w:t>Because</w:t>
      </w:r>
      <w:r w:rsidR="00784268">
        <w:rPr>
          <w:rFonts w:eastAsia="SimSun"/>
          <w:color w:val="auto"/>
          <w:lang w:eastAsia="zh-CN"/>
        </w:rPr>
        <w:t xml:space="preserve"> female</w:t>
      </w:r>
      <w:r w:rsidR="00E20AFA">
        <w:rPr>
          <w:rFonts w:eastAsia="SimSun"/>
          <w:color w:val="auto"/>
          <w:lang w:eastAsia="zh-CN"/>
        </w:rPr>
        <w:t>s have a specific</w:t>
      </w:r>
      <w:r w:rsidR="00784268">
        <w:rPr>
          <w:rFonts w:eastAsia="SimSun"/>
          <w:color w:val="auto"/>
          <w:lang w:eastAsia="zh-CN"/>
        </w:rPr>
        <w:t xml:space="preserve"> role as the offspring’s main caregiver in humans and other species of mammals</w:t>
      </w:r>
      <w:r w:rsidR="00E20AFA">
        <w:rPr>
          <w:rFonts w:eastAsia="SimSun"/>
          <w:color w:val="auto"/>
          <w:lang w:eastAsia="zh-CN"/>
        </w:rPr>
        <w:t>, it is possible that th</w:t>
      </w:r>
      <w:r w:rsidR="00E4122E">
        <w:rPr>
          <w:rFonts w:eastAsia="SimSun"/>
          <w:color w:val="auto"/>
          <w:lang w:eastAsia="zh-CN"/>
        </w:rPr>
        <w:t xml:space="preserve">ese interindividual differences in empathy are </w:t>
      </w:r>
      <w:r w:rsidR="00E20AFA">
        <w:rPr>
          <w:rFonts w:eastAsia="SimSun"/>
          <w:color w:val="auto"/>
          <w:lang w:eastAsia="zh-CN"/>
        </w:rPr>
        <w:t>rooted in</w:t>
      </w:r>
      <w:r w:rsidR="00E4122E">
        <w:rPr>
          <w:rFonts w:eastAsia="SimSun"/>
          <w:color w:val="auto"/>
          <w:lang w:eastAsia="zh-CN"/>
        </w:rPr>
        <w:t xml:space="preserve"> evolutionary demands placed upon </w:t>
      </w:r>
      <w:r w:rsidR="00784268">
        <w:rPr>
          <w:rFonts w:eastAsia="SimSun"/>
          <w:color w:val="auto"/>
          <w:lang w:eastAsia="zh-CN"/>
        </w:rPr>
        <w:t>females</w:t>
      </w:r>
      <w:r w:rsidR="00E20AFA">
        <w:rPr>
          <w:rFonts w:eastAsia="SimSun"/>
          <w:color w:val="auto"/>
          <w:lang w:eastAsia="zh-CN"/>
        </w:rPr>
        <w:t xml:space="preserve"> to facilitate maternal care</w:t>
      </w:r>
      <w:r w:rsidR="0037639E">
        <w:rPr>
          <w:rFonts w:eastAsia="SimSun"/>
          <w:color w:val="auto"/>
          <w:lang w:eastAsia="zh-CN"/>
        </w:rPr>
        <w:t xml:space="preserve"> (e.g., easily reading and responding to the child’s needs; </w:t>
      </w:r>
      <w:r w:rsidR="0037639E">
        <w:rPr>
          <w:rFonts w:eastAsia="SimSun"/>
          <w:color w:val="auto"/>
          <w:lang w:eastAsia="zh-CN"/>
        </w:rPr>
        <w:fldChar w:fldCharType="begin" w:fldLock="1"/>
      </w:r>
      <w:r w:rsidR="001871E7">
        <w:rPr>
          <w:rFonts w:eastAsia="SimSun"/>
          <w:color w:val="auto"/>
          <w:lang w:eastAsia="zh-CN"/>
        </w:rPr>
        <w:instrText>ADDIN CSL_CITATION {"citationItems":[{"id":"ITEM-1","itemData":{"DOI":"https://doi.org/10.1016/j.neubiorev.2014.09.001","ISSN":"0149-7634","abstract":"Evidence suggests that there are differences in the capacity for empathy between males and females. However, how deep do these differences go? Stereotypically, females are portrayed as more nurturing and empathetic, while males are portrayed as less emotional and more cognitive. Some authors suggest that observed gender differences might be largely due to cultural expectations about gender roles. However, empathy has both evolutionary and developmental precursors, and can be studied using implicit measures, aspects that can help elucidate the respective roles of culture and biology. This article reviews evidence from ethology, social psychology, economics, and neuroscience to show that there are fundamental differences in implicit measures of empathy, with parallels in development and evolution. Studies in nonhuman animals and younger human populations (infants/children) offer converging evidence that sex differences in empathy have phylogenetic and ontogenetic roots in biology and are not merely cultural byproducts driven by socialization. We review how these differences may have arisen in response to males’ and females’ different roles throughout evolution. Examinations of the neurobiological underpinnings of empathy reveal important quantitative gender differences in the basic networks involved in affective and cognitive forms of empathy, as well as a qualitative divergence between the sexes in how emotional information is integrated to support decision making processes. Finally, the study of gender differences in empathy can be improved by designing studies with greater statistical power and considering variables implicit in gender (e.g., sexual preference, prenatal hormone exposure). These improvements may also help uncover the nature of neurodevelopmental and psychiatric disorders in which one sex is more vulnerable to compromised social competence associated with impaired empathy.","author":[{"dropping-particle":"","family":"Christov-Moore","given":"Leonardo","non-dropping-particle":"","parse-names":false,"suffix":""},{"dropping-particle":"","family":"Simpson","given":"Elizabeth A","non-dropping-particle":"","parse-names":false,"suffix":""},{"dropping-particle":"","family":"Coudé","given":"Gino","non-dropping-particle":"","parse-names":false,"suffix":""},{"dropping-particle":"","family":"Grigaityte","given":"Kristina","non-dropping-particle":"","parse-names":false,"suffix":""},{"dropping-particle":"","family":"Iacoboni","given":"Marco","non-dropping-particle":"","parse-names":false,"suffix":""},{"dropping-particle":"","family":"Ferrari","given":"Pier Francesco","non-dropping-particle":"","parse-names":false,"suffix":""}],"container-title":"Neuroscience &amp; Biobehavioral Reviews","id":"ITEM-1","issued":{"date-parts":[["2014"]]},"page":"604-627","title":"Empathy: Gender effects in brain and behavior","type":"article-journal","volume":"46"},"uris":["http://www.mendeley.com/documents/?uuid=3d4427d7-bf0a-49e1-b05b-b25e19aae97b","http://www.mendeley.com/documents/?uuid=30ed6dd8-29b1-4bd4-9a40-8eba612b6728"]}],"mendeley":{"formattedCitation":"(Christov-Moore et al., 2014)","manualFormatting":"Christov-Moore et al., 2014)","plainTextFormattedCitation":"(Christov-Moore et al., 2014)","previouslyFormattedCitation":"(Christov-Moore et al., 2014)"},"properties":{"noteIndex":0},"schema":"https://github.com/citation-style-language/schema/raw/master/csl-citation.json"}</w:instrText>
      </w:r>
      <w:r w:rsidR="0037639E">
        <w:rPr>
          <w:rFonts w:eastAsia="SimSun"/>
          <w:color w:val="auto"/>
          <w:lang w:eastAsia="zh-CN"/>
        </w:rPr>
        <w:fldChar w:fldCharType="separate"/>
      </w:r>
      <w:r w:rsidR="0037639E" w:rsidRPr="0037639E">
        <w:rPr>
          <w:rFonts w:eastAsia="SimSun"/>
          <w:noProof/>
          <w:color w:val="auto"/>
          <w:lang w:eastAsia="zh-CN"/>
        </w:rPr>
        <w:t>Christov-Moore et al., 2014)</w:t>
      </w:r>
      <w:r w:rsidR="0037639E">
        <w:rPr>
          <w:rFonts w:eastAsia="SimSun"/>
          <w:color w:val="auto"/>
          <w:lang w:eastAsia="zh-CN"/>
        </w:rPr>
        <w:fldChar w:fldCharType="end"/>
      </w:r>
      <w:r w:rsidR="00E20AFA">
        <w:rPr>
          <w:rFonts w:eastAsia="SimSun"/>
          <w:color w:val="auto"/>
          <w:lang w:eastAsia="zh-CN"/>
        </w:rPr>
        <w:t>.</w:t>
      </w:r>
      <w:r w:rsidR="00BA78A6">
        <w:rPr>
          <w:rFonts w:eastAsia="SimSun"/>
          <w:color w:val="auto"/>
          <w:lang w:eastAsia="zh-CN"/>
        </w:rPr>
        <w:t xml:space="preserve"> </w:t>
      </w:r>
      <w:r w:rsidR="006473C0">
        <w:rPr>
          <w:rFonts w:eastAsia="SimSun"/>
          <w:color w:val="auto"/>
          <w:lang w:eastAsia="zh-CN"/>
        </w:rPr>
        <w:t>In addition</w:t>
      </w:r>
      <w:r w:rsidR="0037639E">
        <w:rPr>
          <w:rFonts w:eastAsia="SimSun"/>
          <w:color w:val="auto"/>
          <w:lang w:eastAsia="zh-CN"/>
        </w:rPr>
        <w:t>, t</w:t>
      </w:r>
      <w:r w:rsidR="00BA78A6">
        <w:rPr>
          <w:rFonts w:eastAsia="SimSun"/>
          <w:color w:val="auto"/>
          <w:lang w:eastAsia="zh-CN"/>
        </w:rPr>
        <w:t xml:space="preserve">he socialization of gender roles and patriarchal culture may help sustain these differences </w:t>
      </w:r>
      <w:r w:rsidR="0037639E">
        <w:rPr>
          <w:rFonts w:eastAsia="SimSun"/>
          <w:color w:val="auto"/>
          <w:lang w:eastAsia="zh-CN"/>
        </w:rPr>
        <w:fldChar w:fldCharType="begin" w:fldLock="1"/>
      </w:r>
      <w:r w:rsidR="001871E7">
        <w:rPr>
          <w:rFonts w:eastAsia="SimSun"/>
          <w:color w:val="auto"/>
          <w:lang w:eastAsia="zh-CN"/>
        </w:rPr>
        <w:instrText>ADDIN CSL_CITATION {"citationItems":[{"id":"ITEM-1","itemData":{"ISSN":"0309-2402","author":[{"dropping-particle":"","family":"Evans","given":"Joan","non-dropping-particle":"","parse-names":false,"suffix":""}],"container-title":"Journal of advanced nursing","id":"ITEM-1","issue":"2","issued":{"date-parts":[["1997"]]},"page":"226-231","publisher":"Wiley Online Library","title":"Men in nursing: issues of gender segregation and hidden advantage","type":"article-journal","volume":"26"},"uris":["http://www.mendeley.com/documents/?uuid=b035c844-1bf7-4a1e-a0e6-9710872c9531","http://www.mendeley.com/documents/?uuid=403b2535-e59f-4a0d-a54b-93aebf599529"]}],"mendeley":{"formattedCitation":"(Evans, 1997)","plainTextFormattedCitation":"(Evans, 1997)","previouslyFormattedCitation":"(Evans, 1997)"},"properties":{"noteIndex":0},"schema":"https://github.com/citation-style-language/schema/raw/master/csl-citation.json"}</w:instrText>
      </w:r>
      <w:r w:rsidR="0037639E">
        <w:rPr>
          <w:rFonts w:eastAsia="SimSun"/>
          <w:color w:val="auto"/>
          <w:lang w:eastAsia="zh-CN"/>
        </w:rPr>
        <w:fldChar w:fldCharType="separate"/>
      </w:r>
      <w:r w:rsidR="0037639E" w:rsidRPr="0037639E">
        <w:rPr>
          <w:rFonts w:eastAsia="SimSun"/>
          <w:noProof/>
          <w:color w:val="auto"/>
          <w:lang w:eastAsia="zh-CN"/>
        </w:rPr>
        <w:t>(Evans, 1997)</w:t>
      </w:r>
      <w:r w:rsidR="0037639E">
        <w:rPr>
          <w:rFonts w:eastAsia="SimSun"/>
          <w:color w:val="auto"/>
          <w:lang w:eastAsia="zh-CN"/>
        </w:rPr>
        <w:fldChar w:fldCharType="end"/>
      </w:r>
      <w:r w:rsidR="0037639E">
        <w:rPr>
          <w:rFonts w:eastAsia="SimSun"/>
          <w:color w:val="auto"/>
          <w:lang w:eastAsia="zh-CN"/>
        </w:rPr>
        <w:t xml:space="preserve">. </w:t>
      </w:r>
      <w:r>
        <w:rPr>
          <w:rFonts w:eastAsia="SimSun"/>
          <w:color w:val="auto"/>
          <w:lang w:eastAsia="zh-CN"/>
        </w:rPr>
        <w:t xml:space="preserve">Gender differences in attitudes towards FD was not clear in this sample, however, </w:t>
      </w:r>
      <w:r w:rsidR="006473C0">
        <w:rPr>
          <w:rFonts w:eastAsia="SimSun"/>
          <w:color w:val="auto"/>
          <w:lang w:eastAsia="zh-CN"/>
        </w:rPr>
        <w:t>further studies may benefit the literature by examining the role of empathy and gender in emotional, attitudinal and behavioural manifestations of stigma towards FD.</w:t>
      </w:r>
    </w:p>
    <w:p w14:paraId="1DFAA7A9" w14:textId="6D14BC40" w:rsidR="001C1DFC" w:rsidRDefault="007252CE" w:rsidP="00474CA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SimSun"/>
          <w:color w:val="auto"/>
          <w:lang w:eastAsia="zh-CN"/>
        </w:rPr>
      </w:pPr>
      <w:r>
        <w:rPr>
          <w:rFonts w:eastAsia="SimSun"/>
          <w:color w:val="auto"/>
          <w:lang w:eastAsia="zh-CN"/>
        </w:rPr>
        <w:t xml:space="preserve"> </w:t>
      </w:r>
      <w:r w:rsidR="006473C0">
        <w:rPr>
          <w:rFonts w:eastAsia="SimSun"/>
          <w:color w:val="auto"/>
          <w:lang w:eastAsia="zh-CN"/>
        </w:rPr>
        <w:t>F</w:t>
      </w:r>
      <w:r w:rsidR="00474CAC" w:rsidRPr="00D40C27">
        <w:rPr>
          <w:rFonts w:eastAsia="SimSun"/>
          <w:color w:val="auto"/>
          <w:lang w:eastAsia="zh-CN"/>
        </w:rPr>
        <w:t xml:space="preserve">emale respondents displayed significantly higher </w:t>
      </w:r>
      <w:r w:rsidR="00165934">
        <w:rPr>
          <w:rFonts w:eastAsia="SimSun"/>
          <w:color w:val="auto"/>
          <w:lang w:eastAsia="zh-CN"/>
        </w:rPr>
        <w:t xml:space="preserve">core </w:t>
      </w:r>
      <w:r w:rsidR="00474CAC" w:rsidRPr="00D40C27">
        <w:rPr>
          <w:rFonts w:eastAsia="SimSun"/>
          <w:color w:val="auto"/>
          <w:lang w:eastAsia="zh-CN"/>
        </w:rPr>
        <w:t xml:space="preserve">sensitivity to disgust </w:t>
      </w:r>
      <w:r w:rsidR="00165934">
        <w:rPr>
          <w:rFonts w:eastAsia="SimSun"/>
          <w:color w:val="auto"/>
          <w:lang w:eastAsia="zh-CN"/>
        </w:rPr>
        <w:t>and animal related disgust than male participants.</w:t>
      </w:r>
      <w:r w:rsidR="00474CAC" w:rsidRPr="00D40C27">
        <w:rPr>
          <w:rFonts w:eastAsia="SimSun"/>
          <w:color w:val="auto"/>
          <w:lang w:eastAsia="zh-CN"/>
        </w:rPr>
        <w:t xml:space="preserve"> </w:t>
      </w:r>
      <w:r w:rsidR="00203F8D">
        <w:rPr>
          <w:rFonts w:eastAsia="SimSun"/>
          <w:color w:val="auto"/>
          <w:lang w:eastAsia="zh-CN"/>
        </w:rPr>
        <w:t xml:space="preserve">Given that females have a primary role in gestation and survival of the offspring in human and many non-human animals, the contamination of pathogens </w:t>
      </w:r>
      <w:r w:rsidR="001C1DFC">
        <w:rPr>
          <w:rFonts w:eastAsia="SimSun"/>
          <w:color w:val="auto"/>
          <w:lang w:eastAsia="zh-CN"/>
        </w:rPr>
        <w:t xml:space="preserve">in females </w:t>
      </w:r>
      <w:r w:rsidR="00203F8D">
        <w:rPr>
          <w:rFonts w:eastAsia="SimSun"/>
          <w:color w:val="auto"/>
          <w:lang w:eastAsia="zh-CN"/>
        </w:rPr>
        <w:t xml:space="preserve">poses risks for survival and reproduction. </w:t>
      </w:r>
      <w:r w:rsidR="001C1DFC">
        <w:rPr>
          <w:rFonts w:eastAsia="SimSun"/>
          <w:color w:val="auto"/>
          <w:lang w:eastAsia="zh-CN"/>
        </w:rPr>
        <w:t>Higher</w:t>
      </w:r>
      <w:r w:rsidR="00474CAC" w:rsidRPr="00D40C27">
        <w:rPr>
          <w:rFonts w:eastAsia="SimSun"/>
          <w:color w:val="auto"/>
          <w:lang w:eastAsia="zh-CN"/>
        </w:rPr>
        <w:t xml:space="preserve"> cost of infection may result in stronger emotional responses, in this case</w:t>
      </w:r>
      <w:r w:rsidR="00474CAC">
        <w:rPr>
          <w:rFonts w:eastAsia="SimSun"/>
          <w:color w:val="auto"/>
          <w:lang w:eastAsia="zh-CN"/>
        </w:rPr>
        <w:t>,</w:t>
      </w:r>
      <w:r w:rsidR="00474CAC" w:rsidRPr="00D40C27">
        <w:rPr>
          <w:rFonts w:eastAsia="SimSun"/>
          <w:color w:val="auto"/>
          <w:lang w:eastAsia="zh-CN"/>
        </w:rPr>
        <w:t xml:space="preserve"> sensitivity to disgust</w:t>
      </w:r>
      <w:r w:rsidR="001C1DFC">
        <w:rPr>
          <w:rFonts w:eastAsia="SimSun"/>
          <w:color w:val="auto"/>
          <w:lang w:eastAsia="zh-CN"/>
        </w:rPr>
        <w:t xml:space="preserve"> in females</w:t>
      </w:r>
      <w:r w:rsidR="00474CAC" w:rsidRPr="00D40C27">
        <w:rPr>
          <w:rFonts w:eastAsia="SimSun"/>
          <w:color w:val="auto"/>
          <w:lang w:eastAsia="zh-CN"/>
        </w:rPr>
        <w:t xml:space="preserve"> </w:t>
      </w:r>
      <w:r w:rsidR="00474CAC" w:rsidRPr="00D40C27">
        <w:rPr>
          <w:rFonts w:eastAsia="SimSun"/>
          <w:noProof/>
          <w:color w:val="auto"/>
          <w:lang w:eastAsia="zh-CN"/>
        </w:rPr>
        <w:t>(Druschel &amp; Sherman, 1999; Rohrmann et al., 2008)</w:t>
      </w:r>
      <w:r w:rsidR="00474CAC" w:rsidRPr="00D40C27">
        <w:rPr>
          <w:rFonts w:eastAsia="SimSun"/>
          <w:color w:val="auto"/>
          <w:lang w:eastAsia="zh-CN"/>
        </w:rPr>
        <w:t xml:space="preserve">.  </w:t>
      </w:r>
    </w:p>
    <w:p w14:paraId="1D872E8B" w14:textId="00A63ACC" w:rsidR="00474CAC" w:rsidRPr="00D40C27" w:rsidRDefault="001C1DFC" w:rsidP="00474CA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SimSun"/>
          <w:color w:val="auto"/>
          <w:lang w:eastAsia="zh-CN"/>
        </w:rPr>
      </w:pPr>
      <w:r>
        <w:rPr>
          <w:rFonts w:eastAsia="SimSun"/>
          <w:color w:val="auto"/>
          <w:lang w:eastAsia="zh-CN"/>
        </w:rPr>
        <w:t>C</w:t>
      </w:r>
      <w:r w:rsidR="00474CAC" w:rsidRPr="00D40C27">
        <w:rPr>
          <w:rFonts w:eastAsia="SimSun"/>
          <w:color w:val="auto"/>
          <w:lang w:eastAsia="zh-CN"/>
        </w:rPr>
        <w:t xml:space="preserve">ompared to males, females from western contexts, such as those in this study, have traditionally been subjected to higher societal demands to conform to beauty ideals. Consequently, it is not unsurprising that females in this study granted significantly greater importance to appearance in relation to their self-concept, compared with male participants. However, males showed more overall negative implicit and explicit attitudes towards FD than females. Which suggest that perhaps sensitivity to disgust and appearance related concern influence stigmatising responses towards FD in females, but not males, as it has been shown in the study of stigma towards obesity </w:t>
      </w:r>
      <w:r w:rsidR="00474CAC" w:rsidRPr="00D40C27">
        <w:rPr>
          <w:rFonts w:eastAsia="SimSun"/>
          <w:noProof/>
          <w:color w:val="auto"/>
          <w:lang w:eastAsia="zh-CN"/>
        </w:rPr>
        <w:t>(Lieberman et al., 2012)</w:t>
      </w:r>
      <w:r w:rsidR="00474CAC" w:rsidRPr="00D40C27">
        <w:rPr>
          <w:rFonts w:eastAsia="SimSun"/>
          <w:color w:val="auto"/>
          <w:lang w:eastAsia="zh-CN"/>
        </w:rPr>
        <w:t xml:space="preserve">. </w:t>
      </w:r>
    </w:p>
    <w:p w14:paraId="15001208" w14:textId="77777777" w:rsidR="00595EBD" w:rsidRDefault="00595EBD"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Calibri"/>
          <w:color w:val="auto"/>
          <w:lang w:eastAsia="en-US"/>
        </w:rPr>
      </w:pPr>
      <w:r>
        <w:rPr>
          <w:rFonts w:eastAsia="Calibri"/>
          <w:color w:val="auto"/>
          <w:lang w:eastAsia="en-US"/>
        </w:rPr>
        <w:lastRenderedPageBreak/>
        <w:t xml:space="preserve">In line with hypothesis three, </w:t>
      </w:r>
      <w:r w:rsidRPr="00D40C27">
        <w:rPr>
          <w:rFonts w:eastAsia="Calibri"/>
          <w:color w:val="auto"/>
          <w:lang w:eastAsia="en-US"/>
        </w:rPr>
        <w:t xml:space="preserve">participants with higher conscious awareness of appearance as part of their self-concept (Salience of appearance) also evaluated FD more positively in the explicit self-report instrument, but not it was non-significant in relation to the IAT. </w:t>
      </w:r>
      <w:r>
        <w:rPr>
          <w:rFonts w:eastAsia="Calibri"/>
          <w:color w:val="auto"/>
          <w:lang w:eastAsia="en-US"/>
        </w:rPr>
        <w:t>The variable v</w:t>
      </w:r>
      <w:r w:rsidRPr="00D40C27">
        <w:rPr>
          <w:rFonts w:eastAsia="Calibri"/>
          <w:color w:val="auto"/>
          <w:lang w:eastAsia="en-US"/>
        </w:rPr>
        <w:t xml:space="preserve">alence of appearance was not significantly correlated with the outcome variables. Although there are no previous studies analysing this relationship with regards to attitudes towards disfigurement, studies on anti-fat attitudes have found appearance concern to be a predictor of negative attitudes towards obese individuals </w:t>
      </w:r>
      <w:r w:rsidRPr="00D40C27">
        <w:rPr>
          <w:rFonts w:eastAsia="Calibri"/>
          <w:noProof/>
          <w:color w:val="auto"/>
          <w:lang w:eastAsia="en-US"/>
        </w:rPr>
        <w:t>(Lewis, Cash, &amp; Bubb</w:t>
      </w:r>
      <w:r w:rsidRPr="00D40C27">
        <w:rPr>
          <w:rFonts w:ascii="Cambria Math" w:eastAsia="Calibri" w:hAnsi="Cambria Math" w:cs="Cambria Math"/>
          <w:noProof/>
          <w:color w:val="auto"/>
          <w:lang w:eastAsia="en-US"/>
        </w:rPr>
        <w:t>‐</w:t>
      </w:r>
      <w:r w:rsidRPr="00D40C27">
        <w:rPr>
          <w:rFonts w:eastAsia="Calibri"/>
          <w:noProof/>
          <w:color w:val="auto"/>
          <w:lang w:eastAsia="en-US"/>
        </w:rPr>
        <w:t>Lewis, 1997)</w:t>
      </w:r>
      <w:r w:rsidRPr="00D40C27">
        <w:rPr>
          <w:rFonts w:eastAsia="Calibri"/>
          <w:color w:val="auto"/>
          <w:lang w:eastAsia="en-US"/>
        </w:rPr>
        <w:t xml:space="preserve"> and appearance concern has been associated with negative evaluation of appearance related stimuli </w:t>
      </w:r>
      <w:r w:rsidRPr="00D40C27">
        <w:rPr>
          <w:rFonts w:eastAsia="Calibri"/>
          <w:noProof/>
          <w:color w:val="auto"/>
          <w:lang w:eastAsia="en-US"/>
        </w:rPr>
        <w:t>(Rosser, Moss, &amp; Rumsey, 2010)</w:t>
      </w:r>
      <w:r w:rsidRPr="00D40C27">
        <w:rPr>
          <w:rFonts w:eastAsia="Calibri"/>
          <w:color w:val="auto"/>
          <w:lang w:eastAsia="en-US"/>
        </w:rPr>
        <w:t>. There seems to be an association between the observer’s own body image and evaluation of appearance related stimuli, in this case, conscious awareness of appearance was associated with positive evaluations of FD. The influence of appearance cognitions in stigmatisation processes requires further exploration, future studies would benefit from exploring other forms of appearance-related variables such as sociocultural attitudes towards appearance or body esteem</w:t>
      </w:r>
    </w:p>
    <w:p w14:paraId="759B5BA2" w14:textId="7AFD5AA6" w:rsidR="000F1616" w:rsidRPr="00D40C27" w:rsidRDefault="001C1DFC"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Calibri"/>
          <w:color w:val="auto"/>
          <w:lang w:eastAsia="en-US"/>
        </w:rPr>
      </w:pPr>
      <w:r w:rsidRPr="00D40C27">
        <w:rPr>
          <w:rFonts w:eastAsia="Calibri"/>
          <w:color w:val="auto"/>
          <w:lang w:eastAsia="en-US"/>
        </w:rPr>
        <w:t xml:space="preserve">Following on </w:t>
      </w:r>
      <w:r>
        <w:rPr>
          <w:rFonts w:eastAsia="Calibri"/>
          <w:color w:val="auto"/>
          <w:lang w:eastAsia="en-US"/>
        </w:rPr>
        <w:t xml:space="preserve">our </w:t>
      </w:r>
      <w:r w:rsidR="00595EBD">
        <w:rPr>
          <w:rFonts w:eastAsia="Calibri"/>
          <w:color w:val="auto"/>
          <w:lang w:eastAsia="en-US"/>
        </w:rPr>
        <w:t>fourth</w:t>
      </w:r>
      <w:r>
        <w:rPr>
          <w:rFonts w:eastAsia="Calibri"/>
          <w:color w:val="auto"/>
          <w:lang w:eastAsia="en-US"/>
        </w:rPr>
        <w:t xml:space="preserve"> hypothesis, d</w:t>
      </w:r>
      <w:r w:rsidR="000F1616" w:rsidRPr="00D40C27">
        <w:rPr>
          <w:rFonts w:eastAsia="Calibri"/>
          <w:color w:val="auto"/>
          <w:lang w:eastAsia="en-US"/>
        </w:rPr>
        <w:t>isgust sensitivity to contamination cues was found to be correlated with negative implicit attitudes towards disfigurement. These results suggest that stigmatisation to</w:t>
      </w:r>
      <w:r w:rsidR="00D70945">
        <w:rPr>
          <w:rFonts w:eastAsia="Calibri"/>
          <w:color w:val="auto"/>
          <w:lang w:eastAsia="en-US"/>
        </w:rPr>
        <w:t>wards</w:t>
      </w:r>
      <w:r w:rsidR="000F1616" w:rsidRPr="00D40C27">
        <w:rPr>
          <w:rFonts w:eastAsia="Calibri"/>
          <w:color w:val="auto"/>
          <w:lang w:eastAsia="en-US"/>
        </w:rPr>
        <w:t xml:space="preserve"> disfigurement </w:t>
      </w:r>
      <w:r w:rsidR="00D70945">
        <w:rPr>
          <w:rFonts w:eastAsia="Calibri"/>
          <w:color w:val="auto"/>
          <w:lang w:eastAsia="en-US"/>
        </w:rPr>
        <w:t>may be</w:t>
      </w:r>
      <w:r w:rsidR="000F1616" w:rsidRPr="00D40C27">
        <w:rPr>
          <w:rFonts w:eastAsia="Calibri"/>
          <w:color w:val="auto"/>
          <w:lang w:eastAsia="en-US"/>
        </w:rPr>
        <w:t xml:space="preserve"> associated with </w:t>
      </w:r>
      <w:r w:rsidR="00B32D9C">
        <w:rPr>
          <w:rFonts w:eastAsia="Calibri"/>
          <w:color w:val="auto"/>
          <w:lang w:eastAsia="en-US"/>
        </w:rPr>
        <w:t xml:space="preserve">the </w:t>
      </w:r>
      <w:r w:rsidR="000F1616" w:rsidRPr="00D40C27">
        <w:rPr>
          <w:rFonts w:eastAsia="Calibri"/>
          <w:color w:val="auto"/>
          <w:lang w:eastAsia="en-US"/>
        </w:rPr>
        <w:t>propensity to</w:t>
      </w:r>
      <w:r w:rsidR="00D70945">
        <w:rPr>
          <w:rFonts w:eastAsia="Calibri"/>
          <w:color w:val="auto"/>
          <w:lang w:eastAsia="en-US"/>
        </w:rPr>
        <w:t xml:space="preserve"> experience</w:t>
      </w:r>
      <w:r w:rsidR="000F1616" w:rsidRPr="00D40C27">
        <w:rPr>
          <w:rFonts w:eastAsia="Calibri"/>
          <w:color w:val="auto"/>
          <w:lang w:eastAsia="en-US"/>
        </w:rPr>
        <w:t xml:space="preserve"> disgust which, according to </w:t>
      </w:r>
      <w:r w:rsidR="000F1616" w:rsidRPr="00D40C27">
        <w:rPr>
          <w:rFonts w:eastAsia="Calibri"/>
          <w:noProof/>
          <w:color w:val="auto"/>
          <w:lang w:eastAsia="en-US"/>
        </w:rPr>
        <w:t>Kurzban and Leary (2001)</w:t>
      </w:r>
      <w:r w:rsidR="000F1616" w:rsidRPr="00D40C27">
        <w:rPr>
          <w:rFonts w:eastAsia="Calibri"/>
          <w:color w:val="auto"/>
          <w:lang w:eastAsia="en-US"/>
        </w:rPr>
        <w:t xml:space="preserve">, serves as an evolved emotional response to avoid potentially contaminating interactions. Indeed, the degree of sensitivity to experience disgust has been shown to influence evaluation of stigmatised groups, including out-group members </w:t>
      </w:r>
      <w:r w:rsidR="000F1616" w:rsidRPr="00D40C27">
        <w:rPr>
          <w:rFonts w:eastAsia="Calibri"/>
          <w:noProof/>
          <w:color w:val="auto"/>
          <w:lang w:eastAsia="en-US"/>
        </w:rPr>
        <w:t>(Angermeyer, Matschinger, &amp; Corrigan, 2004; Navarrete &amp; Fessler, 2006)</w:t>
      </w:r>
      <w:r w:rsidR="000F1616" w:rsidRPr="00D40C27">
        <w:rPr>
          <w:rFonts w:eastAsia="Calibri"/>
          <w:color w:val="auto"/>
          <w:lang w:eastAsia="en-US"/>
        </w:rPr>
        <w:t xml:space="preserve">, disabilities </w:t>
      </w:r>
      <w:r w:rsidR="000F1616" w:rsidRPr="00D40C27">
        <w:rPr>
          <w:rFonts w:eastAsia="Calibri"/>
          <w:noProof/>
          <w:color w:val="auto"/>
          <w:lang w:eastAsia="en-US"/>
        </w:rPr>
        <w:t>(Park, Faulkner, &amp; Schaller, 2003)</w:t>
      </w:r>
      <w:r w:rsidR="000F1616" w:rsidRPr="00D40C27">
        <w:rPr>
          <w:rFonts w:eastAsia="Calibri"/>
          <w:color w:val="auto"/>
          <w:lang w:eastAsia="en-US"/>
        </w:rPr>
        <w:t xml:space="preserve">, and obese individuals </w:t>
      </w:r>
      <w:r w:rsidR="000F1616" w:rsidRPr="00D40C27">
        <w:rPr>
          <w:rFonts w:eastAsia="Calibri"/>
          <w:noProof/>
          <w:color w:val="auto"/>
          <w:lang w:eastAsia="en-US"/>
        </w:rPr>
        <w:t>(Vartanian, 2010)</w:t>
      </w:r>
      <w:r w:rsidR="000F1616" w:rsidRPr="00D40C27">
        <w:rPr>
          <w:rFonts w:eastAsia="Calibri"/>
          <w:color w:val="auto"/>
          <w:lang w:eastAsia="en-US"/>
        </w:rPr>
        <w:t xml:space="preserve">. The fact that this association was not shown in the explicit attitudes measure is in line with the hypothesis that negative reactions towards disfigurement could be rooted in processes that are of an automatic and instinctive nature. </w:t>
      </w:r>
    </w:p>
    <w:p w14:paraId="6623C81C" w14:textId="7F173AB9"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Calibri"/>
          <w:color w:val="auto"/>
          <w:lang w:eastAsia="en-US"/>
        </w:rPr>
      </w:pPr>
      <w:r w:rsidRPr="00D40C27">
        <w:rPr>
          <w:rFonts w:eastAsia="Calibri"/>
          <w:color w:val="auto"/>
          <w:lang w:eastAsia="en-US"/>
        </w:rPr>
        <w:t>Finally, it was hypothesised that individuals that try to respond in a non-prejudice way because is important for their personal beliefs (</w:t>
      </w:r>
      <w:r w:rsidR="00595EBD">
        <w:rPr>
          <w:rFonts w:eastAsia="Calibri"/>
          <w:color w:val="auto"/>
          <w:lang w:eastAsia="en-US"/>
        </w:rPr>
        <w:t xml:space="preserve">high </w:t>
      </w:r>
      <w:r w:rsidRPr="00D40C27">
        <w:rPr>
          <w:rFonts w:eastAsia="Calibri"/>
          <w:color w:val="auto"/>
          <w:lang w:eastAsia="en-US"/>
        </w:rPr>
        <w:t>internal motivation) would be less prejudiced towards disfigurement than individuals who tried to be non-prejudice because of fear of being judged by others (</w:t>
      </w:r>
      <w:r w:rsidR="00595EBD">
        <w:rPr>
          <w:rFonts w:eastAsia="Calibri"/>
          <w:color w:val="auto"/>
          <w:lang w:eastAsia="en-US"/>
        </w:rPr>
        <w:t xml:space="preserve">high </w:t>
      </w:r>
      <w:r w:rsidRPr="00D40C27">
        <w:rPr>
          <w:rFonts w:eastAsia="Calibri"/>
          <w:color w:val="auto"/>
          <w:lang w:eastAsia="en-US"/>
        </w:rPr>
        <w:t>external motivation). In the present study, individuals with high internal motivation to respond without prejudice exhibited more positive explicit and implicit responses towards FD. Participants with high external motivation to be non-prejudice also showed more implicit disfavour for FD</w:t>
      </w:r>
      <w:r w:rsidR="009309FE">
        <w:rPr>
          <w:rFonts w:eastAsia="Calibri"/>
          <w:color w:val="auto"/>
          <w:lang w:eastAsia="en-US"/>
        </w:rPr>
        <w:t xml:space="preserve"> (longer reaction times)</w:t>
      </w:r>
      <w:r w:rsidRPr="00D40C27">
        <w:rPr>
          <w:rFonts w:eastAsia="Calibri"/>
          <w:color w:val="auto"/>
          <w:lang w:eastAsia="en-US"/>
        </w:rPr>
        <w:t>. These findings go in line with studies addressing other forms of prejudice (e.g.</w:t>
      </w:r>
      <w:r w:rsidR="008471FC">
        <w:rPr>
          <w:rFonts w:eastAsia="Calibri"/>
          <w:color w:val="auto"/>
          <w:lang w:eastAsia="en-US"/>
        </w:rPr>
        <w:t xml:space="preserve">, </w:t>
      </w:r>
      <w:r w:rsidRPr="00D40C27">
        <w:rPr>
          <w:rFonts w:eastAsia="Calibri"/>
          <w:noProof/>
          <w:color w:val="auto"/>
          <w:lang w:eastAsia="en-US"/>
        </w:rPr>
        <w:t>Plant &amp; Devine, 2009</w:t>
      </w:r>
      <w:r w:rsidRPr="00D40C27">
        <w:rPr>
          <w:rFonts w:eastAsia="Calibri"/>
          <w:color w:val="auto"/>
          <w:lang w:eastAsia="en-US"/>
        </w:rPr>
        <w:t xml:space="preserve">) as individuals with high IMS and low EMS are more prone to have egalitarian responses in both explicit and implicit levels.  </w:t>
      </w:r>
    </w:p>
    <w:p w14:paraId="05C0BBCF" w14:textId="0CD1FADF"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Calibri"/>
          <w:color w:val="auto"/>
          <w:lang w:eastAsia="en-US"/>
        </w:rPr>
      </w:pPr>
      <w:r w:rsidRPr="00D40C27">
        <w:rPr>
          <w:rFonts w:eastAsia="Calibri"/>
          <w:color w:val="auto"/>
          <w:lang w:eastAsia="en-US"/>
        </w:rPr>
        <w:lastRenderedPageBreak/>
        <w:t xml:space="preserve">This study has </w:t>
      </w:r>
      <w:r w:rsidR="000F1219" w:rsidRPr="00D40C27">
        <w:rPr>
          <w:rFonts w:eastAsia="Calibri"/>
          <w:color w:val="auto"/>
          <w:lang w:eastAsia="en-US"/>
        </w:rPr>
        <w:t>a few</w:t>
      </w:r>
      <w:r w:rsidRPr="00D40C27">
        <w:rPr>
          <w:rFonts w:eastAsia="Calibri"/>
          <w:color w:val="auto"/>
          <w:lang w:eastAsia="en-US"/>
        </w:rPr>
        <w:t xml:space="preserve"> limitations that should be noted. First, </w:t>
      </w:r>
      <w:r w:rsidRPr="00D40C27">
        <w:rPr>
          <w:rFonts w:eastAsia="SimSun"/>
          <w:bCs/>
          <w:color w:val="auto"/>
          <w:lang w:eastAsia="zh-CN"/>
        </w:rPr>
        <w:t xml:space="preserve">Although the IAT is a widely used measure of implicit attitudes amongst social psychologists, its validity has been questioned by several researchers </w:t>
      </w:r>
      <w:r w:rsidRPr="00D40C27">
        <w:rPr>
          <w:rFonts w:eastAsia="SimSun"/>
          <w:bCs/>
          <w:noProof/>
          <w:color w:val="auto"/>
          <w:lang w:eastAsia="zh-CN"/>
        </w:rPr>
        <w:t>(Blanton &amp; Jaccard, 2006; Blanton, Jaccard, Gonzales, &amp; Christie, 2006; Han, Czellar, Olson, &amp; Fazio, 2010)</w:t>
      </w:r>
      <w:r w:rsidRPr="00D40C27">
        <w:rPr>
          <w:rFonts w:eastAsia="SimSun"/>
          <w:bCs/>
          <w:color w:val="auto"/>
          <w:lang w:eastAsia="zh-CN"/>
        </w:rPr>
        <w:t xml:space="preserve">. For instance, it is unclear whether response times are a true depiction of participant’s implicit views on stigmatised targets; having a ‘preference’ towards one group, does not necessarily mean prejudice or stigma towards the less preferred group. Because the link between longer response latencies and overt manifestations of stigma is still unclear, the interpretation of IAT outcomes should be made with some caution. </w:t>
      </w:r>
      <w:r w:rsidRPr="00D40C27">
        <w:rPr>
          <w:rFonts w:eastAsia="Calibri"/>
          <w:color w:val="auto"/>
          <w:lang w:eastAsia="en-US"/>
        </w:rPr>
        <w:t xml:space="preserve">Additionally, whether negative implicit associations towards disadvantaged groups result in actual stigmatising behaviour is still yet to be confirmed </w:t>
      </w:r>
      <w:r w:rsidRPr="00D40C27">
        <w:rPr>
          <w:rFonts w:eastAsia="Calibri"/>
          <w:noProof/>
          <w:color w:val="auto"/>
          <w:lang w:eastAsia="en-US"/>
        </w:rPr>
        <w:t>(Hanson, 2012)</w:t>
      </w:r>
      <w:r w:rsidRPr="00D40C27">
        <w:rPr>
          <w:rFonts w:eastAsia="Calibri"/>
          <w:color w:val="auto"/>
          <w:lang w:eastAsia="en-US"/>
        </w:rPr>
        <w:t xml:space="preserve">. </w:t>
      </w:r>
      <w:r w:rsidR="00595EBD">
        <w:rPr>
          <w:rFonts w:eastAsia="Calibri"/>
          <w:color w:val="auto"/>
          <w:lang w:eastAsia="en-US"/>
        </w:rPr>
        <w:t xml:space="preserve">The counterbalancing </w:t>
      </w:r>
      <w:r w:rsidR="008F5F99">
        <w:rPr>
          <w:rFonts w:eastAsia="Calibri"/>
          <w:color w:val="auto"/>
          <w:lang w:eastAsia="en-US"/>
        </w:rPr>
        <w:t xml:space="preserve">in terms of presentation order of congruent and incongruent blocks was not randomised which hinders the reliability of the IAT scores in this study </w:t>
      </w:r>
      <w:r w:rsidR="008F5F99">
        <w:rPr>
          <w:rFonts w:eastAsia="Calibri"/>
          <w:color w:val="auto"/>
          <w:lang w:eastAsia="en-US"/>
        </w:rPr>
        <w:fldChar w:fldCharType="begin" w:fldLock="1"/>
      </w:r>
      <w:r w:rsidR="001871E7">
        <w:rPr>
          <w:rFonts w:eastAsia="Calibri"/>
          <w:color w:val="auto"/>
          <w:lang w:eastAsia="en-US"/>
        </w:rPr>
        <w:instrText>ADDIN CSL_CITATION {"citationItems":[{"id":"ITEM-1","itemData":{"DOI":"10.4103/0974-1208.82352","ISSN":"1998-4766","abstract":"Randomization as a method of experimental control has been extensively used in human clinical trials and other biological experiments. It prevents the selection bias and insures against the accidental bias. It produces the comparable groups and eliminates the source of bias in treatment assignments. Finally, it permits the use of probability theory to express the likelihood of chance as a source for the difference of end outcome. This paper discusses the different methods of randomization and use of online statistical computing web programming (www.graphpad.com/quickcalcs or www.randomization.com) to generate the randomization schedule. Issues related to randomization are also discussed in this paper.","author":[{"dropping-particle":"","family":"Suresh","given":"Kp","non-dropping-particle":"","parse-names":false,"suffix":""}],"container-title":"Journal of human reproductive sciences","id":"ITEM-1","issue":"1","issued":{"date-parts":[["2011","1"]]},"language":"eng","page":"8-11","publisher":"Medknow Publications Pvt Ltd","title":"An overview of randomization techniques: An unbiased assessment of outcome in clinical research","type":"article-journal","volume":"4"},"uris":["http://www.mendeley.com/documents/?uuid=891c4e96-77e5-4f16-9758-bea6b1f0bbb7","http://www.mendeley.com/documents/?uuid=316721c4-9241-48d6-b99f-976299071d61"]}],"mendeley":{"formattedCitation":"(Suresh, 2011)","plainTextFormattedCitation":"(Suresh, 2011)","previouslyFormattedCitation":"(Suresh, 2011)"},"properties":{"noteIndex":0},"schema":"https://github.com/citation-style-language/schema/raw/master/csl-citation.json"}</w:instrText>
      </w:r>
      <w:r w:rsidR="008F5F99">
        <w:rPr>
          <w:rFonts w:eastAsia="Calibri"/>
          <w:color w:val="auto"/>
          <w:lang w:eastAsia="en-US"/>
        </w:rPr>
        <w:fldChar w:fldCharType="separate"/>
      </w:r>
      <w:r w:rsidR="008F5F99" w:rsidRPr="008F5F99">
        <w:rPr>
          <w:rFonts w:eastAsia="Calibri"/>
          <w:noProof/>
          <w:color w:val="auto"/>
          <w:lang w:eastAsia="en-US"/>
        </w:rPr>
        <w:t>(Suresh, 2011)</w:t>
      </w:r>
      <w:r w:rsidR="008F5F99">
        <w:rPr>
          <w:rFonts w:eastAsia="Calibri"/>
          <w:color w:val="auto"/>
          <w:lang w:eastAsia="en-US"/>
        </w:rPr>
        <w:fldChar w:fldCharType="end"/>
      </w:r>
      <w:r w:rsidR="008F5F99">
        <w:rPr>
          <w:rFonts w:eastAsia="Calibri"/>
          <w:color w:val="auto"/>
          <w:lang w:eastAsia="en-US"/>
        </w:rPr>
        <w:t xml:space="preserve">. </w:t>
      </w:r>
      <w:r w:rsidRPr="00D40C27">
        <w:rPr>
          <w:rFonts w:eastAsia="Calibri"/>
          <w:color w:val="auto"/>
          <w:lang w:eastAsia="en-US"/>
        </w:rPr>
        <w:t xml:space="preserve">Furthermore, the explicit attitudes test was an instrument designed by the charity Changing Faces and although it </w:t>
      </w:r>
      <w:r w:rsidR="00D72B62">
        <w:rPr>
          <w:rFonts w:eastAsia="Calibri"/>
          <w:color w:val="auto"/>
          <w:lang w:eastAsia="en-US"/>
        </w:rPr>
        <w:t>was</w:t>
      </w:r>
      <w:r w:rsidRPr="00D40C27">
        <w:rPr>
          <w:rFonts w:eastAsia="Calibri"/>
          <w:color w:val="auto"/>
          <w:lang w:eastAsia="en-US"/>
        </w:rPr>
        <w:t xml:space="preserve"> used </w:t>
      </w:r>
      <w:r w:rsidR="00B32D9C">
        <w:rPr>
          <w:rFonts w:eastAsia="Calibri"/>
          <w:color w:val="auto"/>
          <w:lang w:eastAsia="en-US"/>
        </w:rPr>
        <w:t>with a large</w:t>
      </w:r>
      <w:r w:rsidRPr="00D40C27">
        <w:rPr>
          <w:rFonts w:eastAsia="Calibri"/>
          <w:color w:val="auto"/>
          <w:lang w:eastAsia="en-US"/>
        </w:rPr>
        <w:t xml:space="preserve"> sample size, there is little evidence of its psychometric characteristics, particularly external validity. Finally, the main limitation of the study is its correlational design, which restricts causal inferences. </w:t>
      </w:r>
    </w:p>
    <w:p w14:paraId="4DF19B50"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Calibri"/>
          <w:color w:val="auto"/>
          <w:lang w:eastAsia="en-US"/>
        </w:rPr>
      </w:pPr>
      <w:r w:rsidRPr="00D40C27">
        <w:rPr>
          <w:rFonts w:eastAsia="Calibri"/>
          <w:color w:val="auto"/>
          <w:lang w:eastAsia="en-US"/>
        </w:rPr>
        <w:t xml:space="preserve">Results from this study support </w:t>
      </w:r>
      <w:r w:rsidR="00B32D9C">
        <w:rPr>
          <w:rFonts w:eastAsia="Calibri"/>
          <w:color w:val="auto"/>
          <w:lang w:eastAsia="en-US"/>
        </w:rPr>
        <w:t xml:space="preserve">the </w:t>
      </w:r>
      <w:r w:rsidRPr="00D40C27">
        <w:rPr>
          <w:rFonts w:eastAsia="Calibri"/>
          <w:color w:val="auto"/>
          <w:lang w:eastAsia="en-US"/>
        </w:rPr>
        <w:t>dual process of stigma in the case of FD.  People may consciously report positive or neutral attitudes towards FD, while also reporting negative implicit attitudes towards FD.  It is clear that people with FD face stigmatisation from the general public, however, studies testing anti-stigma strategies in this population are limited; future research should focus on testing anti-stigma techniques utilised in other commonly stigmatised conditions (e.g., psychiatric conditions), in the area of stigma towards FD. Ultimately, future research should work on developing a strong methodological framework for effective intervention programs in scenarios where individuals with disfigurement are more severely marginalised by the public (e.g., educational and recruitment settings).</w:t>
      </w:r>
    </w:p>
    <w:p w14:paraId="48E01EDC" w14:textId="77777777" w:rsidR="000F1616" w:rsidRDefault="000F1616" w:rsidP="000F1616">
      <w:pPr>
        <w:rPr>
          <w:lang w:eastAsia="en-US"/>
        </w:rPr>
      </w:pPr>
    </w:p>
    <w:p w14:paraId="590CACBF" w14:textId="77777777" w:rsidR="005B1964" w:rsidRDefault="005B1964" w:rsidP="000F1616">
      <w:pPr>
        <w:rPr>
          <w:lang w:eastAsia="en-US"/>
        </w:rPr>
      </w:pPr>
    </w:p>
    <w:p w14:paraId="564BF886" w14:textId="77777777" w:rsidR="005B1964" w:rsidRDefault="005B1964" w:rsidP="000F1616">
      <w:pPr>
        <w:rPr>
          <w:lang w:eastAsia="en-US"/>
        </w:rPr>
      </w:pPr>
    </w:p>
    <w:p w14:paraId="3B89FE0D" w14:textId="77777777" w:rsidR="005B1964" w:rsidRDefault="005B1964" w:rsidP="000F1616">
      <w:pPr>
        <w:rPr>
          <w:lang w:eastAsia="en-US"/>
        </w:rPr>
      </w:pPr>
    </w:p>
    <w:p w14:paraId="37E41C9A" w14:textId="77777777" w:rsidR="005B1964" w:rsidRDefault="005B1964" w:rsidP="000F1616">
      <w:pPr>
        <w:rPr>
          <w:lang w:eastAsia="en-US"/>
        </w:rPr>
      </w:pPr>
    </w:p>
    <w:p w14:paraId="452A1EA8" w14:textId="77777777" w:rsidR="005B1964" w:rsidRDefault="005B1964" w:rsidP="000F1616">
      <w:pPr>
        <w:rPr>
          <w:lang w:eastAsia="en-US"/>
        </w:rPr>
      </w:pPr>
    </w:p>
    <w:p w14:paraId="48E7F549" w14:textId="77777777" w:rsidR="007B008F" w:rsidRPr="00125F07" w:rsidRDefault="000F1616" w:rsidP="00A02454">
      <w:pPr>
        <w:pStyle w:val="Heading1"/>
      </w:pPr>
      <w:bookmarkStart w:id="82" w:name="_Toc12024653"/>
      <w:r w:rsidRPr="000F1616">
        <w:lastRenderedPageBreak/>
        <w:t>Chapter 4: Testing the effectiveness of education awareness messages and imagined contact strategies in reducing public stig</w:t>
      </w:r>
      <w:r>
        <w:t>ma towards facial disfigurement</w:t>
      </w:r>
      <w:r w:rsidR="007B008F" w:rsidRPr="00125F07">
        <w:t>.</w:t>
      </w:r>
      <w:bookmarkEnd w:id="82"/>
    </w:p>
    <w:p w14:paraId="05B9D720" w14:textId="77777777" w:rsidR="007B008F" w:rsidRDefault="007B008F" w:rsidP="007A3FE4">
      <w:pPr>
        <w:pStyle w:val="Heading2"/>
      </w:pPr>
      <w:bookmarkStart w:id="83" w:name="_Toc12024654"/>
      <w:r w:rsidRPr="00125F07">
        <w:t>Introduction</w:t>
      </w:r>
      <w:bookmarkEnd w:id="83"/>
    </w:p>
    <w:p w14:paraId="457EA5CA" w14:textId="46B70030" w:rsidR="000F1616" w:rsidRDefault="00032078"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0"/>
        <w:rPr>
          <w:rFonts w:eastAsia="Calibri"/>
          <w:color w:val="auto"/>
          <w:lang w:eastAsia="en-US"/>
        </w:rPr>
      </w:pPr>
      <w:r>
        <w:rPr>
          <w:rFonts w:eastAsia="Calibri"/>
          <w:color w:val="auto"/>
          <w:lang w:eastAsia="en-US"/>
        </w:rPr>
        <w:t>Public s</w:t>
      </w:r>
      <w:r w:rsidR="000F1616" w:rsidRPr="00D40C27">
        <w:rPr>
          <w:rFonts w:eastAsia="Calibri"/>
          <w:color w:val="auto"/>
          <w:lang w:eastAsia="en-US"/>
        </w:rPr>
        <w:t>tigma</w:t>
      </w:r>
      <w:r>
        <w:rPr>
          <w:rFonts w:eastAsia="Calibri"/>
          <w:color w:val="auto"/>
          <w:lang w:eastAsia="en-US"/>
        </w:rPr>
        <w:t xml:space="preserve"> is the collective devaluation of individuals </w:t>
      </w:r>
      <w:r w:rsidR="007A3FE4">
        <w:rPr>
          <w:rFonts w:eastAsia="Calibri"/>
          <w:color w:val="auto"/>
          <w:lang w:eastAsia="en-US"/>
        </w:rPr>
        <w:t>that have a</w:t>
      </w:r>
      <w:r>
        <w:rPr>
          <w:rFonts w:eastAsia="Calibri"/>
          <w:color w:val="auto"/>
          <w:lang w:eastAsia="en-US"/>
        </w:rPr>
        <w:t xml:space="preserve"> specific group affiliation</w:t>
      </w:r>
      <w:r w:rsidR="007A3FE4">
        <w:rPr>
          <w:rFonts w:eastAsia="Calibri"/>
          <w:color w:val="auto"/>
          <w:lang w:eastAsia="en-US"/>
        </w:rPr>
        <w:t>. Stigma may be directed towards individuals with certain health conditions (e.g., psychiatric conditions</w:t>
      </w:r>
      <w:r w:rsidR="007A3FE4" w:rsidRPr="00D40C27">
        <w:rPr>
          <w:rFonts w:eastAsia="Calibri"/>
          <w:color w:val="auto"/>
          <w:lang w:eastAsia="en-US"/>
        </w:rPr>
        <w:fldChar w:fldCharType="begin" w:fldLock="1"/>
      </w:r>
      <w:r w:rsidR="007A3FE4" w:rsidRPr="00D40C27">
        <w:rPr>
          <w:rFonts w:eastAsia="Calibri"/>
          <w:color w:val="auto"/>
          <w:lang w:eastAsia="en-US"/>
        </w:rPr>
        <w:instrText xml:space="preserve">  CSL_CITATION {"citationItems":[{"id":"ITEM-1","itemData":{"DOI":"10.1016/j.eurpsy.2005.04.004","ISSN":"0924-9338","PMID":"16171984","abstract":"Persons with mental illness frequently encounter public stigma and may suffer from self-stigma. This review aims to clarify the concept of mental illness stigma and discuss consequences for individuals with mental illness. After a conceptual overview of stigma we discuss two leading concepts of mental illness stigma and consequences of stigma, focussing on self-stigma/empowerment and fear of stigma as a barrier to using health services. Finally, we discuss three main strategies to reduce stigma -- protest, education, and contact -- and give examples of current anti-stigma campaigns. Well-designed anti-stigma initiatives will help to diminish negative consequences of mental illness stigma.","author":[{"dropping-particle":"","family":"Rüsch","given":"Nicolas","non-dropping-particle":"","parse-names":false,"suffix":""},{"dropping-particle":"","family":"Angermeyer","given":"Matthias C","non-dropping-particle":"","parse-names":false,"suffix":""},{"dropping-particle":"","family":"Corrigan","given":"Patrick W","non-dropping-particle":"","parse-names":false,"suffix":""}],"container-title":"European psychiatry : the journal of the Association of European Psychiatrists","id":"ITEM-1","issue":"8","issued":{"date-parts":[["2005","12"]]},"page":"529-39","title":"Mental illness stigma: concepts, consequences, and initiatives to reduce stigma.","type":"article-journal","volume":"20"},"uris":["http://www.mendeley.com/documents/?uuid=c13334ef-482c-442b-b298-38759446cda7"]}],"mendeley":{"formattedCitation":"(Rüsch, Angermeyer, &amp; Corrigan, 2005)","plainTextFormattedCitation":"(Rüsch, Angermeyer, &amp; Corrigan, 2005)","previouslyFormattedCitation":"(Rüsch, Angermeyer, &amp; Corrigan, 2005)"},"properties":{"noteIndex":0},"schema":"https://github.com/citation-style-language/schema/raw/master/csl-citation.json"}</w:instrText>
      </w:r>
      <w:r w:rsidR="007A3FE4" w:rsidRPr="00D40C27">
        <w:rPr>
          <w:rFonts w:eastAsia="Calibri"/>
          <w:color w:val="auto"/>
          <w:lang w:eastAsia="en-US"/>
        </w:rPr>
        <w:fldChar w:fldCharType="separate"/>
      </w:r>
      <w:r w:rsidR="007A3FE4">
        <w:rPr>
          <w:rFonts w:eastAsia="Calibri"/>
          <w:noProof/>
          <w:color w:val="auto"/>
          <w:lang w:eastAsia="en-US"/>
        </w:rPr>
        <w:t xml:space="preserve">; </w:t>
      </w:r>
      <w:r w:rsidR="007A3FE4" w:rsidRPr="00D40C27">
        <w:rPr>
          <w:rFonts w:eastAsia="Calibri"/>
          <w:noProof/>
          <w:color w:val="auto"/>
          <w:lang w:eastAsia="en-US"/>
        </w:rPr>
        <w:t>Rüsch, Angermeyer, &amp; Corrigan, 2005)</w:t>
      </w:r>
      <w:r w:rsidR="007A3FE4" w:rsidRPr="00D40C27">
        <w:rPr>
          <w:rFonts w:eastAsia="Calibri"/>
          <w:color w:val="auto"/>
          <w:lang w:eastAsia="en-US"/>
        </w:rPr>
        <w:fldChar w:fldCharType="end"/>
      </w:r>
      <w:r w:rsidR="007A3FE4">
        <w:rPr>
          <w:rFonts w:eastAsia="Calibri"/>
          <w:color w:val="auto"/>
          <w:lang w:eastAsia="en-US"/>
        </w:rPr>
        <w:t xml:space="preserve">, people of different sexual orientation </w:t>
      </w:r>
      <w:r w:rsidR="007A3FE4">
        <w:rPr>
          <w:rFonts w:eastAsia="Calibri"/>
          <w:color w:val="auto"/>
          <w:lang w:eastAsia="en-US"/>
        </w:rPr>
        <w:fldChar w:fldCharType="begin" w:fldLock="1"/>
      </w:r>
      <w:r w:rsidR="001871E7">
        <w:rPr>
          <w:rFonts w:eastAsia="Calibri"/>
          <w:color w:val="auto"/>
          <w:lang w:eastAsia="en-US"/>
        </w:rPr>
        <w:instrText>ADDIN CSL_CITATION {"citationItems":[{"id":"ITEM-1","itemData":{"author":[{"dropping-particle":"","family":"Anderson","given":"Shani","non-dropping-particle":"","parse-names":false,"suffix":""}],"id":"ITEM-1","issued":{"date-parts":[["2018"]]},"title":"Mental Health Disparities in the LGBT Community: The Role of Stigma","type":"article-journal"},"uris":["http://www.mendeley.com/documents/?uuid=04beb8bb-f69f-4a84-8646-d15789c984c6","http://www.mendeley.com/documents/?uuid=7fb2ed01-add7-429a-a179-8fc07f15a312"]}],"mendeley":{"formattedCitation":"(Anderson, 2018)","plainTextFormattedCitation":"(Anderson, 2018)","previouslyFormattedCitation":"(Anderson, 2018)"},"properties":{"noteIndex":0},"schema":"https://github.com/citation-style-language/schema/raw/master/csl-citation.json"}</w:instrText>
      </w:r>
      <w:r w:rsidR="007A3FE4">
        <w:rPr>
          <w:rFonts w:eastAsia="Calibri"/>
          <w:color w:val="auto"/>
          <w:lang w:eastAsia="en-US"/>
        </w:rPr>
        <w:fldChar w:fldCharType="separate"/>
      </w:r>
      <w:r w:rsidR="007A3FE4" w:rsidRPr="007A3FE4">
        <w:rPr>
          <w:rFonts w:eastAsia="Calibri"/>
          <w:noProof/>
          <w:color w:val="auto"/>
          <w:lang w:eastAsia="en-US"/>
        </w:rPr>
        <w:t>(Anderson, 2018)</w:t>
      </w:r>
      <w:r w:rsidR="007A3FE4">
        <w:rPr>
          <w:rFonts w:eastAsia="Calibri"/>
          <w:color w:val="auto"/>
          <w:lang w:eastAsia="en-US"/>
        </w:rPr>
        <w:fldChar w:fldCharType="end"/>
      </w:r>
      <w:r w:rsidR="007A3FE4">
        <w:rPr>
          <w:rFonts w:eastAsia="Calibri"/>
          <w:color w:val="auto"/>
          <w:lang w:eastAsia="en-US"/>
        </w:rPr>
        <w:t xml:space="preserve"> or different appearance (e.g., obesity; </w:t>
      </w:r>
      <w:r w:rsidR="007A3FE4">
        <w:rPr>
          <w:rFonts w:eastAsia="Calibri"/>
          <w:color w:val="auto"/>
          <w:lang w:eastAsia="en-US"/>
        </w:rPr>
        <w:fldChar w:fldCharType="begin" w:fldLock="1"/>
      </w:r>
      <w:r w:rsidR="001871E7">
        <w:rPr>
          <w:rFonts w:eastAsia="Calibri"/>
          <w:color w:val="auto"/>
          <w:lang w:eastAsia="en-US"/>
        </w:rPr>
        <w:instrText>ADDIN CSL_CITATION {"citationItems":[{"id":"ITEM-1","itemData":{"ISSN":"1541-0048","author":[{"dropping-particle":"","family":"Puhl","given":"Rebecca M","non-dropping-particle":"","parse-names":false,"suffix":""},{"dropping-particle":"","family":"Heuer","given":"Chelsea A","non-dropping-particle":"","parse-names":false,"suffix":""}],"container-title":"American journal of public health","id":"ITEM-1","issue":"6","issued":{"date-parts":[["2010"]]},"page":"1019-1028","publisher":"American Public Health Association","title":"Obesity stigma: important considerations for public health","type":"article-journal","volume":"100"},"uris":["http://www.mendeley.com/documents/?uuid=8f07287e-ad0c-4b29-8e7b-1450abc5dfad","http://www.mendeley.com/documents/?uuid=12fe9b60-c79e-46d4-aeb2-60f81c914c2f"]}],"mendeley":{"formattedCitation":"(Puhl &amp; Heuer, 2010)","manualFormatting":"Puhl &amp; Heuer, 2010)","plainTextFormattedCitation":"(Puhl &amp; Heuer, 2010)","previouslyFormattedCitation":"(Puhl &amp; Heuer, 2010)"},"properties":{"noteIndex":0},"schema":"https://github.com/citation-style-language/schema/raw/master/csl-citation.json"}</w:instrText>
      </w:r>
      <w:r w:rsidR="007A3FE4">
        <w:rPr>
          <w:rFonts w:eastAsia="Calibri"/>
          <w:color w:val="auto"/>
          <w:lang w:eastAsia="en-US"/>
        </w:rPr>
        <w:fldChar w:fldCharType="separate"/>
      </w:r>
      <w:r w:rsidR="007A3FE4" w:rsidRPr="007A3FE4">
        <w:rPr>
          <w:rFonts w:eastAsia="Calibri"/>
          <w:noProof/>
          <w:color w:val="auto"/>
          <w:lang w:eastAsia="en-US"/>
        </w:rPr>
        <w:t>Puhl &amp; Heuer, 2010)</w:t>
      </w:r>
      <w:r w:rsidR="007A3FE4">
        <w:rPr>
          <w:rFonts w:eastAsia="Calibri"/>
          <w:color w:val="auto"/>
          <w:lang w:eastAsia="en-US"/>
        </w:rPr>
        <w:fldChar w:fldCharType="end"/>
      </w:r>
      <w:r w:rsidR="000F1616" w:rsidRPr="00D40C27">
        <w:rPr>
          <w:rFonts w:eastAsia="Calibri"/>
          <w:color w:val="auto"/>
          <w:lang w:eastAsia="en-US"/>
        </w:rPr>
        <w:t xml:space="preserve">. Stigma contributes towards maintaining social exclusion and is unsurprisingly associated with higher levels of individual distress and disadvantage </w:t>
      </w:r>
      <w:r w:rsidR="00C07EA3">
        <w:rPr>
          <w:rFonts w:eastAsia="Calibri"/>
          <w:color w:val="auto"/>
          <w:lang w:eastAsia="en-US"/>
        </w:rPr>
        <w:t>in people that are at the receiving end of the stigma</w:t>
      </w:r>
      <w:r w:rsidR="000F1616" w:rsidRPr="00D40C27">
        <w:rPr>
          <w:rFonts w:eastAsia="Calibri"/>
          <w:color w:val="auto"/>
          <w:lang w:eastAsia="en-US"/>
        </w:rPr>
        <w:t xml:space="preserve"> </w:t>
      </w:r>
      <w:r w:rsidR="000F1616" w:rsidRPr="00D40C27">
        <w:rPr>
          <w:rFonts w:eastAsia="Calibri"/>
          <w:color w:val="auto"/>
          <w:lang w:eastAsia="en-US"/>
        </w:rPr>
        <w:fldChar w:fldCharType="begin" w:fldLock="1"/>
      </w:r>
      <w:r w:rsidR="000F1616" w:rsidRPr="00D40C27">
        <w:rPr>
          <w:rFonts w:eastAsia="Calibri"/>
          <w:color w:val="auto"/>
          <w:lang w:eastAsia="en-US"/>
        </w:rPr>
        <w:instrText xml:space="preserve">  CSL_CITATION {"citationItems":[{"id":"ITEM-1","itemData":{"DOI":"10.1186/1471-244X-10-29","ISSN":"1471-244X","PMID":"20398429","abstract":"BACKGROUND: Mental health illnesses, such as depression, are responsible for a growing disease burden worldwide. Unfortunately, effective treatment is often impeded by stigmatizing attitudes of other individuals, which have been found to lead to a number of negative consequences including reduced help-seeking behavior and increased social distance. Despite the high prevalence of depression in Canada, little research has been conducted to examine stigma against depression in the Canadian general population. Such information is crucial to understanding the current state of stigmatizing attitudes in the Canadian communities, and framing future stigma reduction initiatives. The objectives of this study were to estimate the percentages of various stigmatizing attitudes toward depression in a general population sample and to compare the percentages by demographics and socioeconomic characteristics.\n\nMETHODS: We conducted a cross-sectional telephone survey in Alberta, Canada, between February and June 2006. Random digit dialing was used to recruit participants who were aged 18-74 years old (n = 3047). Participants were presented a case vignette describing a depressed individual, and responded to a 9-item Personal Stigma questionnaire. The percentages of stigmatizing attitudes were estimated and compared by demographic and socioeconomic variables.\n\nRESULTS: Among the participants, 45.9% endorsed that depressed individuals were unpredictable and 21.9% held the view that people with depression were dangerous. Significant differences in stigmatizing attitudes were found by gender, age, education, and immigration status. A greater proportion of men than women held stigmatizing views on each stigma item. No consistent trend emerged by age in stigma against depression. Participants with higher levels of education reported less stigmatizing attitudes than those with less education. Participants who were not born in Canada were more likely to hold stigmatizing attitudes than those who were born in Canada.\n\nCONCLUSION: In the general population, stigmatizing attitudes towards depression differ by demographic characteristics. Men, those with less education and immigrants should be the targets of stigma reduction campaigns.","author":[{"dropping-particle":"","family":"Cook","given":"Trevor M","non-dropping-particle":"","parse-names":false,"suffix":""},{"dropping-particle":"","family":"Wang","given":"Jianli","non-dropping-particle":"","parse-names":false,"suffix":""}],"container-title":"BMC psychiatry","id":"ITEM-1","issued":{"date-parts":[["2010","1"]]},"page":"29","title":"Descriptive epidemiology of stigma against depression in a general population sample in Alberta.","type":"article-journal","volume":"10"},"uris":["http://www.mendeley.com/documents/?uuid=c70a8dc8-de52-4f61-a31f-22f9308aa0d0"]},{"id":"ITEM-2","itemData":{"DOI":"10.1111/j.1365-2648.2004.03227.x","ISSN":"0309-2402","PMID":"15533082","abstract":"AIM: The aim of this paper is to report a study to establish the extent and type of psychosocial needs of outpatients attending for treatment of a wide range of disfiguring conditions.\n\nBACKGROUND: Visible disfigurements can be associated with extensive psychosocial difficulties. The majority of research to date has been carried out with people identified by themselves or others as experiencing difficulties. Little is known about levels of distress in the broader population of patients receiving treatment for a range of disfiguring conditions.\n\nMETHODS: A cross-sectional survey was conducted, with a convenience sample. Participants (n = 458) drawn from 15 outpatient clinics completed standardized measures of anxiety and depression (Hospital Anxiety and Depression Scale), social anxiety and avoidance (Derriford Appearance Scale short-form) and quality of life (World Health Organization Quality of Life Brief Scale). A semi-structured interview was used to generate further quantitative and qualitative data about individual concerns, and satisfaction with the provision of care. Staff views about levels of psychosocial distress were elicited through group discussions.\n\nRESULTS: The results revealed high levels of psychological distress in the sample, compared with normative values. The majority of difficulties related to problems experienced in social situations. Patient satisfaction with care was generally high; however, and 71% of participants expressed a moderate to strong desire for a health care professional with training to deal with their appearance-related concerns. Nursing staff felt unable to address patients' appearance-related difficulties because of time constraints, lack of an environment conducive to the discussion of patients' concerns, and lack of appropriate knowledge and training.\n\nCONCLUSION: A significant proportion of participants experienced psychosocial distress in relation to their visible difference. Psychosocial needs were poorly met in current outpatient care provision, and a range of options could be considered to address these more effectively.","author":[{"dropping-particle":"","family":"Rumsey","given":"Nichola","non-dropping-particle":"","parse-names":false,"suffix":""},{"dropping-particle":"","family":"Clarke","given":"Alex","non-dropping-particle":"","parse-names":false,"suffix":""},{"dropping-particle":"","family":"White","given":"Paul","non-dropping-particle":"","parse-names":false,"suffix":""},{"dropping-particle":"","family":"Wyn-Williams","given":"Menna","non-dropping-particle":"","parse-names":false,"suffix":""},{"dropping-particle":"","family":"Garlick","given":"Wendy","non-dropping-particle":"","parse-names":false,"suffix":""}],"container-title":"Journal of advanced nursing","id":"ITEM-2","issue":"5","issued":{"date-parts":[["2004","12"]]},"page":"443-53","title":"Altered body image: appearance-related concerns of people with visible disfigurement.","type":"article-journal","volume":"48"},"uris":["http://www.mendeley.com/documents/?uuid=9d0a2e97-4c3c-4869-9d58-7b4693d9bf92"]}],"mendeley":{"formattedCitation":"(Cook &amp; Wang, 2010; Rumsey, Clarke, White, Wyn-Williams, &amp; Garlick, 2004)","plainTextFormattedCitation":"(Cook &amp; Wang, 2010; Rumsey, Clarke, White, Wyn-Williams, &amp; Garlick, 2004)","previouslyFormattedCitation":"(Cook &amp; Wang, 2010; Rumsey, Clarke, White, Wyn-Williams, &amp; Garlick, 2004)"},"properties":{"noteIndex":0},"schema":"https://github.com/citation-style-language/schema/raw/master/csl-citation.json"}</w:instrText>
      </w:r>
      <w:r w:rsidR="000F1616" w:rsidRPr="00D40C27">
        <w:rPr>
          <w:rFonts w:eastAsia="Calibri"/>
          <w:color w:val="auto"/>
          <w:lang w:eastAsia="en-US"/>
        </w:rPr>
        <w:fldChar w:fldCharType="separate"/>
      </w:r>
      <w:r w:rsidR="000F1616" w:rsidRPr="00D40C27">
        <w:rPr>
          <w:rFonts w:eastAsia="Calibri"/>
          <w:noProof/>
          <w:color w:val="auto"/>
          <w:lang w:eastAsia="en-US"/>
        </w:rPr>
        <w:t>(Cook &amp; Wang, 2010; Rumsey, Clarke, White, Wyn-Williams, &amp; Garlick, 2004)</w:t>
      </w:r>
      <w:r w:rsidR="000F1616" w:rsidRPr="00D40C27">
        <w:rPr>
          <w:rFonts w:eastAsia="Calibri"/>
          <w:color w:val="auto"/>
          <w:lang w:eastAsia="en-US"/>
        </w:rPr>
        <w:fldChar w:fldCharType="end"/>
      </w:r>
      <w:r w:rsidR="000F1616" w:rsidRPr="00D40C27">
        <w:rPr>
          <w:rFonts w:eastAsia="Calibri"/>
          <w:color w:val="auto"/>
          <w:lang w:eastAsia="en-US"/>
        </w:rPr>
        <w:t>.</w:t>
      </w:r>
    </w:p>
    <w:p w14:paraId="26AB14F2" w14:textId="3A611F4E"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Calibri"/>
          <w:color w:val="auto"/>
          <w:lang w:eastAsia="en-US"/>
        </w:rPr>
      </w:pPr>
      <w:r w:rsidRPr="00D40C27">
        <w:rPr>
          <w:rFonts w:eastAsia="Calibri"/>
          <w:color w:val="auto"/>
          <w:lang w:eastAsia="en-US"/>
        </w:rPr>
        <w:t xml:space="preserve">Perhaps because physical appearance plays such an important role in human interaction and is often associated with judgements about health and status, discrimination towards people with disfigurement has been found to be pervasive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{"citationItems":[{"id":"ITEM-1","itemData":{"ISSN":"0364-216X","PMID":"2239515","abstract":"The concern of this article is with the impact of facial disfigurement on social interaction during brief encounters, the ramifications of which have the potential for psychological and social destruction. Largely ignored by those interested in the social and psychological problems and rehabilitation of the functionally impaired, such as the blind, the deaf, the amputee, the intent here is to point up the major problems associated with facial disfigurement and to explore some of the ways of dealing with them. The data on which this article is based were collected over many years and are no longer new, but this attempt to synthesize them for a particular purpose is.","author":[{"dropping-particle":"","family":"Macgregor","given":"F C","non-dropping-particle":"","parse-names":false,"suffix":""}],"container-title":"Aesthetic plastic surgery","id":"ITEM-1","issue":"4","issued":{"date-parts":[["1990","1"]]},"page":"249-57","title":"Facial disfigurement: problems and management of social interaction and implications for mental health.","type":"article-journal","volume":"14"},"uris":["http://www.mendeley.com/documents/?uuid=426dde60-a3f4-4879-a643-37d8e30b30a1"]},{"id":"ITEM-2","itemData":{"DOI":"10.1016/j.bodyim.2012.05.003","ISSN":"1873-6807","PMID":"22766453","abstract":"Social intrusions by observers are commonly reported by those with disfiguring conditions. This study examined the role of disgust emotions in the observer response. A group of students (N=48) completed quantitative questionnaires measuring extent of disfigurement, whilst viewing images of faces with varying disfigurements. Another group of students (N=84) completed quantitative questionnaires measuring level of disgust elicited by the same images. Disgust sensitivity was measured using the Disgust Scale Revised. Observers reported greater levels of disgust (p&lt;.01) with increasing severity of facial disfigurement. Individuals with a higher disgust sensitivity reported increased levels of disgust in response to faces of mild (p=.03), moderate (p=.02) and severe (p&lt;.01) disfigurement compared to those with a lower disgust sensitivity. This provides an explanatory framework for the avoidance reactions of observers and may be important in understanding variability in adjustment following disfigurement.","author":[{"dropping-particle":"","family":"Shanmugarajah","given":"Kumaran","non-dropping-particle":"","parse-names":false,"suffix":""},{"dropping-particle":"","family":"Gaind","given":"Safina","non-dropping-particle":"","parse-names":false,"suffix":""},{"dropping-particle":"","family":"Clarke","given":"Alex","non-dropping-particle":"","parse-names":false,"suffix":""},{"dropping-particle":"","family":"Butler","given":"Peter E M","non-dropping-particle":"","parse-names":false,"suffix":""}],"container-title":"Body image","id":"ITEM-2","issue":"4","issued":{"date-parts":[["2012","9"]]},"page":"455-61","title":"The role of disgust emotions in the observer response to facial disfigurement.","type":"article-journal","volume":"9"},"uris":["http://www.mendeley.com/documents/?uuid=56f77bba-5b77-43d2-87a0-a8cdc6ce2205"]}],"mendeley":{"formattedCitation":"(Macgregor, 1990; Shanmugarajah, Gaind, Clarke, &amp; Butler, 2012)","plainTextFormattedCitation":"(Macgregor, 1990; Shanmugarajah, Gaind, Clarke, &amp; Butler, 2012)","previouslyFormattedCitation":"(Macgregor, 1990; Shanmugarajah, Gaind, Clarke, &amp; Butler, 2012)"},"properties":{"noteIndex":0},"schema":"https://github.com/citation-style-language/schema/raw/master/csl-citation.json"}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(Ablett &amp; Thompson, 2016; Macgregor, 1990; Shanmugarajah, Gaind, Clarke, &amp; Butler, 2012)</w:t>
      </w:r>
      <w:r w:rsidRPr="00D40C27">
        <w:rPr>
          <w:rFonts w:eastAsia="Calibri"/>
          <w:color w:val="auto"/>
          <w:lang w:eastAsia="en-US"/>
        </w:rPr>
        <w:fldChar w:fldCharType="end"/>
      </w:r>
      <w:r w:rsidRPr="00D40C27">
        <w:rPr>
          <w:rFonts w:eastAsia="Calibri"/>
          <w:color w:val="auto"/>
          <w:lang w:eastAsia="en-US"/>
        </w:rPr>
        <w:t xml:space="preserve">. Physical image and, in particular, </w:t>
      </w:r>
      <w:r w:rsidR="00D72B62">
        <w:rPr>
          <w:rFonts w:eastAsia="Calibri"/>
          <w:color w:val="auto"/>
          <w:lang w:eastAsia="en-US"/>
        </w:rPr>
        <w:t>facial features,</w:t>
      </w:r>
      <w:r w:rsidRPr="00D40C27">
        <w:rPr>
          <w:rFonts w:eastAsia="Calibri"/>
          <w:color w:val="auto"/>
          <w:lang w:eastAsia="en-US"/>
        </w:rPr>
        <w:t xml:space="preserve"> are key factors in processes of communication</w:t>
      </w:r>
      <w:r w:rsidR="00D72B62">
        <w:rPr>
          <w:rFonts w:eastAsia="Calibri"/>
          <w:color w:val="auto"/>
          <w:lang w:eastAsia="en-US"/>
        </w:rPr>
        <w:t xml:space="preserve"> </w:t>
      </w:r>
      <w:r w:rsidR="00D72B62">
        <w:rPr>
          <w:rFonts w:eastAsia="Calibri"/>
          <w:color w:val="auto"/>
          <w:lang w:eastAsia="en-US"/>
        </w:rPr>
        <w:fldChar w:fldCharType="begin" w:fldLock="1"/>
      </w:r>
      <w:r w:rsidR="00E816EB">
        <w:rPr>
          <w:rFonts w:eastAsia="Calibri"/>
          <w:color w:val="auto"/>
          <w:lang w:eastAsia="en-US"/>
        </w:rPr>
        <w:instrText>ADDIN CSL_CITATION {"citationItems":[{"id":"ITEM-1","itemData":{"ISSN":"1471-0048","author":[{"dropping-particle":"","family":"Ghazanfar","given":"Asif A","non-dropping-particle":"","parse-names":false,"suffix":""},{"dropping-particle":"","family":"Santos","given":"Laurie R","non-dropping-particle":"","parse-names":false,"suffix":""}],"container-title":"Nature Reviews Neuroscience","id":"ITEM-1","issue":"8","issued":{"date-parts":[["2004"]]},"page":"603-616","publisher":"Nature Publishing Group","title":"Primate brains in the wild: the sensory bases for social interactions","type":"article-journal","volume":"5"},"uris":["http://www.mendeley.com/documents/?uuid=2ca5848d-d54d-4381-964a-bc2c5fe426ce"]}],"mendeley":{"formattedCitation":"(Ghazanfar &amp; Santos, 2004)","plainTextFormattedCitation":"(Ghazanfar &amp; Santos, 2004)","previouslyFormattedCitation":"(Ghazanfar &amp; Santos, 2004)"},"properties":{"noteIndex":0},"schema":"https://github.com/citation-style-language/schema/raw/master/csl-citation.json"}</w:instrText>
      </w:r>
      <w:r w:rsidR="00D72B62">
        <w:rPr>
          <w:rFonts w:eastAsia="Calibri"/>
          <w:color w:val="auto"/>
          <w:lang w:eastAsia="en-US"/>
        </w:rPr>
        <w:fldChar w:fldCharType="separate"/>
      </w:r>
      <w:r w:rsidR="00D72B62" w:rsidRPr="00D72B62">
        <w:rPr>
          <w:rFonts w:eastAsia="Calibri"/>
          <w:noProof/>
          <w:color w:val="auto"/>
          <w:lang w:eastAsia="en-US"/>
        </w:rPr>
        <w:t>(Ghazanfar &amp; Santos, 2004)</w:t>
      </w:r>
      <w:r w:rsidR="00D72B62">
        <w:rPr>
          <w:rFonts w:eastAsia="Calibri"/>
          <w:color w:val="auto"/>
          <w:lang w:eastAsia="en-US"/>
        </w:rPr>
        <w:fldChar w:fldCharType="end"/>
      </w:r>
      <w:r w:rsidR="00B37C3B">
        <w:rPr>
          <w:rFonts w:eastAsia="Calibri"/>
          <w:color w:val="auto"/>
          <w:lang w:eastAsia="en-US"/>
        </w:rPr>
        <w:t>,</w:t>
      </w:r>
      <w:r w:rsidRPr="00D40C27">
        <w:rPr>
          <w:rFonts w:eastAsia="Calibri"/>
          <w:color w:val="auto"/>
          <w:lang w:eastAsia="en-US"/>
        </w:rPr>
        <w:t xml:space="preserve"> and humans are known to have preferences towards individuals that conform to society’s model of attractiveness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Eagly","given":"AH","non-dropping-particle":"","parse-names":false,"suffix":""},{"dropping-particle":"","family":"Ashmore","given":"RD","non-dropping-particle":"","parse-names":false,"suffix":""}],"container-title":"Psychological  …","id":"ITEM-1","issued":{"date-parts":[["1991"]]},"title":"What is beautiful is good, but: A meta-analytic review of research on the physical attractiveness stereotype.","type":"article-journal"},"uris":["http://www.mendeley.com/documents/?uuid=dc3988d3-98a5-45c6-b975-38abf6fc9381"]}],"mendeley":{"formattedCitation":"(Eagly &amp; Ashmore, 1991)","plainTextFormattedCitation":"(Eagly &amp; Ashmore, 1991)","previouslyFormattedCitation":"(Eagly &amp; Ashmore, 1991)"},"properties":{"noteIndex":0},"schema":"https://github.com/citation-style-language/schema/raw/master/csl-citation.json"}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(Eagly &amp; Ashmore, 1991)</w:t>
      </w:r>
      <w:r w:rsidRPr="00D40C27">
        <w:rPr>
          <w:rFonts w:eastAsia="Calibri"/>
          <w:color w:val="auto"/>
          <w:lang w:eastAsia="en-US"/>
        </w:rPr>
        <w:fldChar w:fldCharType="end"/>
      </w:r>
      <w:r w:rsidRPr="00D40C27">
        <w:rPr>
          <w:rFonts w:eastAsia="Calibri"/>
          <w:color w:val="auto"/>
          <w:lang w:eastAsia="en-US"/>
        </w:rPr>
        <w:t xml:space="preserve">. </w:t>
      </w:r>
      <w:r w:rsidR="00B37C3B">
        <w:rPr>
          <w:rFonts w:eastAsia="Calibri"/>
          <w:color w:val="auto"/>
          <w:lang w:eastAsia="en-US"/>
        </w:rPr>
        <w:t xml:space="preserve">People </w:t>
      </w:r>
      <w:r w:rsidRPr="00D40C27">
        <w:rPr>
          <w:rFonts w:eastAsia="Calibri"/>
          <w:color w:val="auto"/>
          <w:lang w:eastAsia="en-US"/>
        </w:rPr>
        <w:t xml:space="preserve">concur in identifying what is attractive and unattractive within and across cultures </w:t>
      </w:r>
      <w:r w:rsidRPr="00D40C27">
        <w:rPr>
          <w:rFonts w:eastAsia="Calibri"/>
          <w:noProof/>
          <w:color w:val="auto"/>
          <w:lang w:eastAsia="en-US"/>
        </w:rPr>
        <w:t>(Langlois et al., 2000)</w:t>
      </w:r>
      <w:r w:rsidRPr="00D40C27">
        <w:rPr>
          <w:rFonts w:eastAsia="Calibri"/>
          <w:color w:val="auto"/>
          <w:lang w:eastAsia="en-US"/>
        </w:rPr>
        <w:t xml:space="preserve"> and attractive people are evaluated and treated more positively than unattractive individuals </w:t>
      </w:r>
      <w:r w:rsidRPr="00D40C27">
        <w:rPr>
          <w:rFonts w:eastAsia="Calibri"/>
          <w:noProof/>
          <w:color w:val="auto"/>
          <w:lang w:eastAsia="en-US"/>
        </w:rPr>
        <w:t>(Bzdok et al., 2011; Hosoda, Stone</w:t>
      </w:r>
      <w:r w:rsidRPr="00D40C27">
        <w:rPr>
          <w:rFonts w:ascii="Cambria Math" w:eastAsia="Calibri" w:hAnsi="Cambria Math" w:cs="Cambria Math"/>
          <w:noProof/>
          <w:color w:val="auto"/>
          <w:lang w:eastAsia="en-US"/>
        </w:rPr>
        <w:t>‐</w:t>
      </w:r>
      <w:r w:rsidRPr="00D40C27">
        <w:rPr>
          <w:rFonts w:eastAsia="Calibri"/>
          <w:noProof/>
          <w:color w:val="auto"/>
          <w:lang w:eastAsia="en-US"/>
        </w:rPr>
        <w:t>Romero, &amp; Coats, 2003)</w:t>
      </w:r>
      <w:r w:rsidRPr="00D40C27">
        <w:rPr>
          <w:rFonts w:eastAsia="Calibri"/>
          <w:color w:val="auto"/>
          <w:lang w:eastAsia="en-US"/>
        </w:rPr>
        <w:t>.</w:t>
      </w:r>
    </w:p>
    <w:p w14:paraId="0C4F443C"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eastAsia="Calibri"/>
          <w:color w:val="auto"/>
          <w:lang w:eastAsia="en-US"/>
        </w:rPr>
      </w:pPr>
      <w:r w:rsidRPr="00D40C27">
        <w:rPr>
          <w:rFonts w:eastAsia="Calibri"/>
          <w:color w:val="auto"/>
          <w:lang w:eastAsia="en-US"/>
        </w:rPr>
        <w:t xml:space="preserve">Research on public reactions to facial disfigurement (FD) has shown that individuals with FD are the target of stigmatisation and exclusion. For example, studies conducted by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10.1002/ejsp.2420240205","ISSN":"00462772","author":[{"dropping-particle":"","family":"Houston","given":"Vicky","non-dropping-particle":"","parse-names":false,"suffix":""},{"dropping-particle":"","family":"Bull","given":"Ray","non-dropping-particle":"","parse-names":false,"suffix":""}],"container-title":"European Journal of Social Psychology","id":"ITEM-1","issue":"2","issued":{"date-parts":[["1994","3"]]},"page":"279-284","title":"Do people avoid sitting next to someone who is facially disfigured?","type":"article-journal","volume":"24"},"uris":["http://www.mendeley.com/documents/?uuid=7c718079-631c-484b-aa90-b8feb7a6f44a"]}],"mendeley":{"formattedCitation":"(Houston &amp; Bull, 1994)","manualFormatting":"Houston and Bull (1994)","plainTextFormattedCitation":"(Houston &amp; Bull, 1994)","previouslyFormattedCitation":"(Houston &amp; Bull, 1994)"},"properties":{"noteIndex":0},"schema":"https://github.com/citation-style-language/schema/raw/master/csl-citation.json"}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Houston and Bull (1994)</w:t>
      </w:r>
      <w:r w:rsidRPr="00D40C27">
        <w:rPr>
          <w:rFonts w:eastAsia="Calibri"/>
          <w:color w:val="auto"/>
          <w:lang w:eastAsia="en-US"/>
        </w:rPr>
        <w:fldChar w:fldCharType="end"/>
      </w:r>
      <w:r w:rsidRPr="00D40C27">
        <w:rPr>
          <w:rFonts w:eastAsia="Calibri"/>
          <w:color w:val="auto"/>
          <w:lang w:eastAsia="en-US"/>
        </w:rPr>
        <w:t xml:space="preserve"> showed that participants placed greater distance between themselves and confederates that appeared to have a FD, compared to confederates with clear skin. Responses of avoidance and disgust that are elicited by FD are likely linked to innate mechanisms to protect humans against potentially contaminating pathogens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Kurzban","given":"R","non-dropping-particle":"","parse-names":false,"suffix":""},{"dropping-particle":"","family":"Leary","given":"MR","non-dropping-particle":"","parse-names":false,"suffix":""}],"container-title":"Psychological bulletin","id":"ITEM-1","issued":{"date-parts":[["2001"]]},"title":"Evolutionary origins of stigmatization: the functions of social exclusion.","type":"article-journal"},"uris":["http://www.mendeley.com/documents/?uuid=e5c03fdd-b9b3-490c-8322-5a107eeb3339"]}],"mendeley":{"formattedCitation":"(Kurzban &amp; Leary, 2001)","plainTextFormattedCitation":"(Kurzban &amp; Leary, 2001)","previouslyFormattedCitation":"(Kurzban &amp; Leary, 2001)"},"properties":{"noteIndex":0},"schema":"https://github.com/citation-style-language/schema/raw/master/csl-citation.json"}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(Kurzban &amp; Leary, 2001)</w:t>
      </w:r>
      <w:r w:rsidRPr="00D40C27">
        <w:rPr>
          <w:rFonts w:eastAsia="Calibri"/>
          <w:color w:val="auto"/>
          <w:lang w:eastAsia="en-US"/>
        </w:rPr>
        <w:fldChar w:fldCharType="end"/>
      </w:r>
      <w:r w:rsidRPr="00D40C27">
        <w:rPr>
          <w:rFonts w:eastAsia="Calibri"/>
          <w:color w:val="auto"/>
          <w:lang w:eastAsia="en-US"/>
        </w:rPr>
        <w:t xml:space="preserve">. Because contact with a potentially harmful pathogen may be fatal or detrimental for the individual’s fitness, people report intentions to avoid FD regardless of the contagious characteristics associated with the disfigurement </w:t>
      </w:r>
      <w:r w:rsidRPr="00D40C27">
        <w:rPr>
          <w:rFonts w:eastAsia="Calibri"/>
          <w:noProof/>
          <w:color w:val="auto"/>
          <w:lang w:eastAsia="en-US"/>
        </w:rPr>
        <w:t>(Haselton &amp; Buss, 2000; Kouznetsova, Stevenson, Oaten, &amp; Case, 2012)</w:t>
      </w:r>
      <w:r w:rsidRPr="00D40C27">
        <w:rPr>
          <w:rFonts w:eastAsia="Calibri"/>
          <w:color w:val="auto"/>
          <w:lang w:eastAsia="en-US"/>
        </w:rPr>
        <w:t xml:space="preserve">.  It is also known that lay people tend to rate people with FD as less socially </w:t>
      </w:r>
      <w:r w:rsidRPr="00D40C27">
        <w:rPr>
          <w:rFonts w:eastAsia="Calibri"/>
          <w:color w:val="auto"/>
          <w:lang w:eastAsia="en-US"/>
        </w:rPr>
        <w:lastRenderedPageBreak/>
        <w:t xml:space="preserve">capable (e.g., less friendly/likable), honest, employable, effective, capable and intelligent than individuals without FD. </w:t>
      </w:r>
    </w:p>
    <w:p w14:paraId="3B5B6C2D" w14:textId="4F935623" w:rsidR="00867584" w:rsidRDefault="00D72B62"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Pr>
          <w:rFonts w:eastAsia="Calibri"/>
          <w:color w:val="auto"/>
          <w:lang w:eastAsia="en-US"/>
        </w:rPr>
        <w:t>C</w:t>
      </w:r>
      <w:r w:rsidR="000F1616" w:rsidRPr="00D40C27">
        <w:rPr>
          <w:rFonts w:eastAsia="Calibri"/>
          <w:color w:val="auto"/>
          <w:lang w:eastAsia="en-US"/>
        </w:rPr>
        <w:t>ommonly used approaches to challeng</w:t>
      </w:r>
      <w:r>
        <w:rPr>
          <w:rFonts w:eastAsia="Calibri"/>
          <w:color w:val="auto"/>
          <w:lang w:eastAsia="en-US"/>
        </w:rPr>
        <w:t>e</w:t>
      </w:r>
      <w:r w:rsidR="000F1616" w:rsidRPr="00D40C27">
        <w:rPr>
          <w:rFonts w:eastAsia="Calibri"/>
          <w:color w:val="auto"/>
          <w:lang w:eastAsia="en-US"/>
        </w:rPr>
        <w:t xml:space="preserve"> stigma towards typically disadvantaged groups are protest, education</w:t>
      </w:r>
      <w:r w:rsidR="00B32D9C">
        <w:rPr>
          <w:rFonts w:eastAsia="Calibri"/>
          <w:color w:val="auto"/>
          <w:lang w:eastAsia="en-US"/>
        </w:rPr>
        <w:t>,</w:t>
      </w:r>
      <w:r w:rsidR="000F1616" w:rsidRPr="00D40C27">
        <w:rPr>
          <w:rFonts w:eastAsia="Calibri"/>
          <w:color w:val="auto"/>
          <w:lang w:eastAsia="en-US"/>
        </w:rPr>
        <w:t xml:space="preserve"> and contact </w:t>
      </w:r>
      <w:r w:rsidR="000F1616" w:rsidRPr="00D40C27">
        <w:rPr>
          <w:rFonts w:eastAsia="Calibri"/>
          <w:color w:val="auto"/>
          <w:lang w:eastAsia="en-US"/>
        </w:rPr>
        <w:fldChar w:fldCharType="begin" w:fldLock="1"/>
      </w:r>
      <w:r w:rsidR="000F1616" w:rsidRPr="00D40C27">
        <w:rPr>
          <w:rFonts w:eastAsia="Calibri"/>
          <w:color w:val="auto"/>
          <w:lang w:eastAsia="en-US"/>
        </w:rPr>
        <w:instrText xml:space="preserve">  CSL_CITATION {"citationItems":[{"id":"ITEM-1","itemData":{"ISSN":"0003066X","abstract":"Advocacy, government, and public-service groups rely on a variety of strategies to diminish the impact of stigma on persons with severe mental illness. These strategies include protest, education, and promoting contact between the general public and persons with these disorders. The authors argue that social psychological research on ethnic minority and other group stereotypes should be considered when implementing these strategies. Such research indicates that (a) attempts to suppress stereotypes through protest can result in a rebound effect; (b) education programs may be limited because many stereotypes are resilient to change; and (c) contact is enhanced by a variety of factors, including equal status, cooperative interaction, and institutional support. Future directions for research and practice to reduce stigma toward persons with severe mental illness are discussed.","author":[{"dropping-particle":"","family":"Corrigan","given":"Patrick W.","non-dropping-particle":"","parse-names":false,"suffix":""},{"dropping-particle":"","family":"Penn","given":"David L.","non-dropping-particle":"","parse-names":false,"suffix":""}],"container-title":"American Psychologist","id":"ITEM-1","issue":"9","issued":{"date-parts":[["1999"]]},"page":"765-776","title":"Lessons from social psychology on discrediting psychiatric stigma","type":"article-journal","volume":"54"},"uris":["http://www.mendeley.com/documents/?uuid=354fb3b9-afa4-4c6b-a2b9-26e4ba9eb5e7"]},{"id":"ITEM-2","itemData":{"author":[{"dropping-particle":"","family":"Heijnders","given":"M","non-dropping-particle":"","parse-names":false,"suffix":""},{"dropping-particle":"Van Der","family":"Meij","given":"S","non-dropping-particle":"","parse-names":false,"suffix":""}],"container-title":"Psychology, health &amp; medicine","id":"ITEM-2","issued":{"date-parts":[["2006"]]},"title":"The fight against stigma: an overview of stigma-reduction strategies and interventions","type":"article-journal"},"uris":["http://www.mendeley.com/documents/?uuid=7f5fd24a-60dd-4c27-ae73-5aec5a9e721c"]}],"mendeley":{"formattedCitation":"(Corrigan &amp; Penn, 1999; Heijnders &amp; Meij, 2006)","plainTextFormattedCitation":"(Corrigan &amp; Penn, 1999; Heijnders &amp; Meij, 2006)","previouslyFormattedCitation":"(Corrigan &amp; Penn, 1999; Heijnders &amp; Meij, 2006)"},"properties":{"noteIndex":0},"schema":"https://github.com/citation-style-language/schema/raw/master/csl-citation.json"}</w:instrText>
      </w:r>
      <w:r w:rsidR="000F1616" w:rsidRPr="00D40C27">
        <w:rPr>
          <w:rFonts w:eastAsia="Calibri"/>
          <w:color w:val="auto"/>
          <w:lang w:eastAsia="en-US"/>
        </w:rPr>
        <w:fldChar w:fldCharType="separate"/>
      </w:r>
      <w:r w:rsidR="000F1616" w:rsidRPr="00D40C27">
        <w:rPr>
          <w:rFonts w:eastAsia="Calibri"/>
          <w:noProof/>
          <w:color w:val="auto"/>
          <w:lang w:eastAsia="en-US"/>
        </w:rPr>
        <w:t>(Corrigan &amp; Penn, 1999; Heijnders &amp; Meij, 2006)</w:t>
      </w:r>
      <w:r w:rsidR="000F1616" w:rsidRPr="00D40C27">
        <w:rPr>
          <w:rFonts w:eastAsia="Calibri"/>
          <w:color w:val="auto"/>
          <w:lang w:eastAsia="en-US"/>
        </w:rPr>
        <w:fldChar w:fldCharType="end"/>
      </w:r>
      <w:r w:rsidR="000F1616" w:rsidRPr="00D40C27">
        <w:rPr>
          <w:rFonts w:eastAsia="Calibri"/>
          <w:color w:val="auto"/>
          <w:lang w:eastAsia="en-US"/>
        </w:rPr>
        <w:t>. In the case of FD, attempts to reduce stigma include public education and protest strategies (e.g.</w:t>
      </w:r>
      <w:r w:rsidR="008471FC">
        <w:rPr>
          <w:rFonts w:eastAsia="Calibri"/>
          <w:color w:val="auto"/>
          <w:lang w:eastAsia="en-US"/>
        </w:rPr>
        <w:t xml:space="preserve">, </w:t>
      </w:r>
      <w:r w:rsidR="000F1616" w:rsidRPr="00D40C27">
        <w:rPr>
          <w:rFonts w:eastAsia="Calibri"/>
          <w:color w:val="auto"/>
          <w:lang w:eastAsia="en-US"/>
        </w:rPr>
        <w:t xml:space="preserve">Equality campaigns; Changing Faces, 2019). Protest interventions intend to create awareness by exposing the perpetuation of stereotypes associated with disfigurement. For example, </w:t>
      </w:r>
      <w:r w:rsidR="00867584">
        <w:rPr>
          <w:rFonts w:eastAsia="Calibri"/>
          <w:color w:val="auto"/>
          <w:lang w:eastAsia="en-US"/>
        </w:rPr>
        <w:t xml:space="preserve">representations of </w:t>
      </w:r>
      <w:r w:rsidR="000F1616" w:rsidRPr="00D40C27">
        <w:rPr>
          <w:rFonts w:eastAsia="Calibri"/>
          <w:color w:val="auto"/>
          <w:lang w:eastAsia="en-US"/>
        </w:rPr>
        <w:t xml:space="preserve">FD in </w:t>
      </w:r>
      <w:r w:rsidR="00867584">
        <w:rPr>
          <w:rFonts w:eastAsia="Calibri"/>
          <w:color w:val="auto"/>
          <w:lang w:eastAsia="en-US"/>
        </w:rPr>
        <w:t xml:space="preserve">literature, </w:t>
      </w:r>
      <w:r w:rsidR="000F1616" w:rsidRPr="00D40C27">
        <w:rPr>
          <w:rFonts w:eastAsia="Calibri"/>
          <w:color w:val="auto"/>
          <w:lang w:eastAsia="en-US"/>
        </w:rPr>
        <w:t xml:space="preserve">television and films </w:t>
      </w:r>
      <w:r w:rsidR="00867584">
        <w:rPr>
          <w:rFonts w:eastAsia="Calibri"/>
          <w:color w:val="auto"/>
          <w:lang w:eastAsia="en-US"/>
        </w:rPr>
        <w:t>have</w:t>
      </w:r>
      <w:r w:rsidR="00867584" w:rsidRPr="00D40C27">
        <w:rPr>
          <w:rFonts w:eastAsia="Calibri"/>
          <w:color w:val="auto"/>
          <w:lang w:eastAsia="en-US"/>
        </w:rPr>
        <w:t xml:space="preserve"> </w:t>
      </w:r>
      <w:r w:rsidR="000F1616" w:rsidRPr="00D40C27">
        <w:rPr>
          <w:rFonts w:eastAsia="Calibri"/>
          <w:color w:val="auto"/>
          <w:lang w:eastAsia="en-US"/>
        </w:rPr>
        <w:t xml:space="preserve">traditionally been indicators of evil or infamy (e.g., </w:t>
      </w:r>
      <w:r w:rsidR="00867584">
        <w:rPr>
          <w:rFonts w:eastAsia="Calibri"/>
          <w:color w:val="auto"/>
          <w:lang w:eastAsia="en-US"/>
        </w:rPr>
        <w:t xml:space="preserve">Hephaestus, </w:t>
      </w:r>
      <w:r w:rsidR="000F1616" w:rsidRPr="00D40C27">
        <w:rPr>
          <w:rFonts w:eastAsia="Calibri"/>
          <w:color w:val="auto"/>
          <w:lang w:eastAsia="en-US"/>
        </w:rPr>
        <w:t xml:space="preserve">Freddie Kreuger, Scarface) and </w:t>
      </w:r>
      <w:r w:rsidR="00867584">
        <w:rPr>
          <w:rFonts w:eastAsia="Calibri"/>
          <w:color w:val="auto"/>
          <w:lang w:eastAsia="en-US"/>
        </w:rPr>
        <w:t>characters with FD sometimes included to</w:t>
      </w:r>
      <w:r w:rsidR="000F1616" w:rsidRPr="00D40C27">
        <w:rPr>
          <w:rFonts w:eastAsia="Calibri"/>
          <w:color w:val="auto"/>
          <w:lang w:eastAsia="en-US"/>
        </w:rPr>
        <w:t xml:space="preserve"> evoke feelings of disgust, fear, </w:t>
      </w:r>
      <w:r w:rsidR="00867584">
        <w:rPr>
          <w:rFonts w:eastAsia="Calibri"/>
          <w:color w:val="auto"/>
          <w:lang w:eastAsia="en-US"/>
        </w:rPr>
        <w:t xml:space="preserve">curiosity </w:t>
      </w:r>
      <w:r w:rsidR="000F1616" w:rsidRPr="00D40C27">
        <w:rPr>
          <w:rFonts w:eastAsia="Calibri"/>
          <w:color w:val="auto"/>
          <w:lang w:eastAsia="en-US"/>
        </w:rPr>
        <w:t xml:space="preserve">and ridicule in the public </w:t>
      </w:r>
      <w:r w:rsidR="000F1616" w:rsidRPr="00D40C27">
        <w:rPr>
          <w:rFonts w:eastAsia="Calibri"/>
          <w:noProof/>
          <w:color w:val="auto"/>
          <w:lang w:eastAsia="en-US"/>
        </w:rPr>
        <w:t>(Kent &amp; Thompson, 2002; Thompson &amp; Kent, 2001; Wardle &amp; Boyce, 2009)</w:t>
      </w:r>
      <w:r w:rsidR="000F1616" w:rsidRPr="00D40C27">
        <w:rPr>
          <w:rFonts w:eastAsia="Calibri"/>
          <w:color w:val="auto"/>
          <w:lang w:eastAsia="en-US"/>
        </w:rPr>
        <w:t xml:space="preserve">. </w:t>
      </w:r>
      <w:r w:rsidR="00867584">
        <w:rPr>
          <w:rFonts w:eastAsia="Calibri"/>
          <w:color w:val="auto"/>
          <w:lang w:eastAsia="en-US"/>
        </w:rPr>
        <w:t>In response to this problematic</w:t>
      </w:r>
      <w:r w:rsidR="000F1616" w:rsidRPr="00D40C27">
        <w:rPr>
          <w:rFonts w:eastAsia="Calibri"/>
          <w:color w:val="auto"/>
          <w:lang w:eastAsia="en-US"/>
        </w:rPr>
        <w:t xml:space="preserve">, the charity Changing Faces </w:t>
      </w:r>
      <w:r w:rsidR="00867584">
        <w:rPr>
          <w:rFonts w:eastAsia="Calibri"/>
          <w:color w:val="auto"/>
          <w:lang w:eastAsia="en-US"/>
        </w:rPr>
        <w:t>launched</w:t>
      </w:r>
      <w:r w:rsidR="000F1616" w:rsidRPr="00D40C27">
        <w:rPr>
          <w:rFonts w:eastAsia="Calibri"/>
          <w:color w:val="auto"/>
          <w:lang w:eastAsia="en-US"/>
        </w:rPr>
        <w:t xml:space="preserve"> campaign to raise awareness of face equality in mass media</w:t>
      </w:r>
      <w:r w:rsidR="00867584">
        <w:rPr>
          <w:rFonts w:eastAsia="Calibri"/>
          <w:color w:val="auto"/>
          <w:lang w:eastAsia="en-US"/>
        </w:rPr>
        <w:t>. In advocating for equality for people with FD, Changing Faces denounce</w:t>
      </w:r>
      <w:r w:rsidR="000F1616" w:rsidRPr="00D40C27">
        <w:rPr>
          <w:rFonts w:eastAsia="Calibri"/>
          <w:color w:val="auto"/>
          <w:lang w:eastAsia="en-US"/>
        </w:rPr>
        <w:t xml:space="preserve"> </w:t>
      </w:r>
      <w:r w:rsidR="00867584">
        <w:rPr>
          <w:rFonts w:eastAsia="Calibri"/>
          <w:color w:val="auto"/>
          <w:lang w:eastAsia="en-US"/>
        </w:rPr>
        <w:t>media outlets</w:t>
      </w:r>
      <w:r w:rsidR="00867584" w:rsidRPr="00D40C27">
        <w:rPr>
          <w:rFonts w:eastAsia="Calibri"/>
          <w:color w:val="auto"/>
          <w:lang w:eastAsia="en-US"/>
        </w:rPr>
        <w:t xml:space="preserve"> </w:t>
      </w:r>
      <w:r w:rsidR="00867584">
        <w:rPr>
          <w:rFonts w:eastAsia="Calibri"/>
          <w:color w:val="auto"/>
          <w:lang w:eastAsia="en-US"/>
        </w:rPr>
        <w:t>that</w:t>
      </w:r>
      <w:r w:rsidR="000F1616" w:rsidRPr="00D40C27">
        <w:rPr>
          <w:rFonts w:eastAsia="Calibri"/>
          <w:color w:val="auto"/>
          <w:lang w:eastAsia="en-US"/>
        </w:rPr>
        <w:t xml:space="preserve"> perpetuate stereotypes (e.g.</w:t>
      </w:r>
      <w:r w:rsidR="008471FC">
        <w:rPr>
          <w:rFonts w:eastAsia="Calibri"/>
          <w:color w:val="auto"/>
          <w:lang w:eastAsia="en-US"/>
        </w:rPr>
        <w:t xml:space="preserve">, </w:t>
      </w:r>
      <w:r w:rsidR="000F1616" w:rsidRPr="00D40C27">
        <w:rPr>
          <w:rFonts w:eastAsia="Calibri"/>
          <w:color w:val="auto"/>
          <w:lang w:eastAsia="en-US"/>
        </w:rPr>
        <w:t xml:space="preserve">Moshi Monsters Campaign; changing Faces, 2015). </w:t>
      </w:r>
    </w:p>
    <w:p w14:paraId="57F96DBD" w14:textId="6C51B3EE"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The </w:t>
      </w:r>
      <w:r w:rsidR="00867584">
        <w:rPr>
          <w:rFonts w:eastAsia="Calibri"/>
          <w:color w:val="auto"/>
          <w:lang w:eastAsia="en-US"/>
        </w:rPr>
        <w:t xml:space="preserve"> Changing Faces protest campaigns </w:t>
      </w:r>
      <w:r w:rsidRPr="00D40C27">
        <w:rPr>
          <w:rFonts w:eastAsia="Calibri"/>
          <w:color w:val="auto"/>
          <w:lang w:eastAsia="en-US"/>
        </w:rPr>
        <w:t xml:space="preserve">include contact details to </w:t>
      </w:r>
      <w:r w:rsidR="00867584">
        <w:rPr>
          <w:rFonts w:eastAsia="Calibri"/>
          <w:color w:val="auto"/>
          <w:lang w:eastAsia="en-US"/>
        </w:rPr>
        <w:t>report</w:t>
      </w:r>
      <w:r w:rsidR="00867584" w:rsidRPr="00D40C27">
        <w:rPr>
          <w:rFonts w:eastAsia="Calibri"/>
          <w:color w:val="auto"/>
          <w:lang w:eastAsia="en-US"/>
        </w:rPr>
        <w:t xml:space="preserve"> </w:t>
      </w:r>
      <w:r w:rsidRPr="00D40C27">
        <w:rPr>
          <w:rFonts w:eastAsia="Calibri"/>
          <w:color w:val="auto"/>
          <w:lang w:eastAsia="en-US"/>
        </w:rPr>
        <w:t xml:space="preserve">incidents of poor representation of disfigurement in the media, personal testimony of those affected by media representation and, guidelines for broadcasters to avoid stereotyping and offensive coverage of disfigurement (Media Guidelines; Changing Faces, n.d.). Similar approaches to public stigma towards disfigurement are led by other charities in the UK, as is the case of the Katie Piper Foundation and Saving Faces. While there is little evidence to support the effectiveness of protest strategies in changing public attitudes, protest efforts are valuable for denouncing and stopping the promotion of stigmatising views, particularly in the media </w:t>
      </w:r>
      <w:r w:rsidRPr="00D40C27">
        <w:rPr>
          <w:rFonts w:eastAsia="Calibri"/>
          <w:noProof/>
          <w:color w:val="auto"/>
          <w:lang w:eastAsia="en-US"/>
        </w:rPr>
        <w:t>(Rüsch, Angermeyer, &amp; Corrigan, 2005)</w:t>
      </w:r>
      <w:r w:rsidRPr="00D40C27">
        <w:rPr>
          <w:rFonts w:eastAsia="Calibri"/>
          <w:color w:val="auto"/>
          <w:lang w:eastAsia="en-US"/>
        </w:rPr>
        <w:t xml:space="preserve">. </w:t>
      </w:r>
    </w:p>
    <w:p w14:paraId="16F3D17E" w14:textId="07FF026B" w:rsidR="000F1616" w:rsidRPr="00D40C27" w:rsidRDefault="000F1616" w:rsidP="008C73CA">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 Another</w:t>
      </w:r>
      <w:r w:rsidR="00867584">
        <w:rPr>
          <w:rFonts w:eastAsia="Calibri"/>
          <w:color w:val="auto"/>
          <w:lang w:eastAsia="en-US"/>
        </w:rPr>
        <w:t xml:space="preserve"> known</w:t>
      </w:r>
      <w:r w:rsidRPr="00D40C27">
        <w:rPr>
          <w:rFonts w:eastAsia="Calibri"/>
          <w:color w:val="auto"/>
          <w:lang w:eastAsia="en-US"/>
        </w:rPr>
        <w:t xml:space="preserve"> approach to stigma </w:t>
      </w:r>
      <w:r w:rsidR="00867584">
        <w:rPr>
          <w:rFonts w:eastAsia="Calibri"/>
          <w:color w:val="auto"/>
          <w:lang w:eastAsia="en-US"/>
        </w:rPr>
        <w:t xml:space="preserve">reduction </w:t>
      </w:r>
      <w:r w:rsidRPr="00D40C27">
        <w:rPr>
          <w:rFonts w:eastAsia="Calibri"/>
          <w:color w:val="auto"/>
          <w:lang w:eastAsia="en-US"/>
        </w:rPr>
        <w:t>is</w:t>
      </w:r>
      <w:r w:rsidR="00867584">
        <w:rPr>
          <w:rFonts w:eastAsia="Calibri"/>
          <w:color w:val="auto"/>
          <w:lang w:eastAsia="en-US"/>
        </w:rPr>
        <w:t xml:space="preserve"> </w:t>
      </w:r>
      <w:r w:rsidRPr="00D40C27">
        <w:rPr>
          <w:rFonts w:eastAsia="Calibri"/>
          <w:color w:val="auto"/>
          <w:lang w:eastAsia="en-US"/>
        </w:rPr>
        <w:t xml:space="preserve">education. The theoretical premise underlying education strategies is that stigma is based on misconceptions </w:t>
      </w:r>
      <w:r w:rsidR="00867584">
        <w:rPr>
          <w:rFonts w:eastAsia="Calibri"/>
          <w:color w:val="auto"/>
          <w:lang w:eastAsia="en-US"/>
        </w:rPr>
        <w:t xml:space="preserve">and stereotypes </w:t>
      </w:r>
      <w:r w:rsidRPr="00D40C27">
        <w:rPr>
          <w:rFonts w:eastAsia="Calibri"/>
          <w:color w:val="auto"/>
          <w:lang w:eastAsia="en-US"/>
        </w:rPr>
        <w:t xml:space="preserve">about a stigmatised group; thus, beliefs and attitudes should change when individuals are given accurate information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{"citationItems":[{"id":"ITEM-1","itemData":{"DOI":"10.1016/j.psychres.2009.09.010","ISSN":"0165-1781","PMID":"20493559","abstract":"Whereas some research suggests that acknowledgment of the role of biogenetic factors in mental illness could reduce mental illness stigma by diminishing perceived responsibility, other research has cautioned that emphasizing biogenetic aspects of mental illness could produce the impression that mental illness is a stable, intrinsic aspect of a person (\"genetic essentialism\"), increasing the desire for social distance. We assessed genetic and neurobiological causal attributions about mental illness among 85 people with serious mental illness and 50 members of the public. The perceived responsibility of persons with mental illness for their condition, as well as fear and social distance, was assessed by self-report. Automatic associations between Mental Illness and Guilt and between Self and Guilt were measured by the Brief Implicit Association Test. Among the general public, endorsement of biogenetic models was associated with not only less perceived responsibility, but also greater social distance. Among people with mental illness, endorsement of genetic models had only negative correlates: greater explicit fear and stronger implicit self-guilt associations. Genetic models may have unexpected negative consequences for implicit self-concept and explicit attitudes of people with serious mental illness. An exclusive focus on genetic models may therefore be problematic for clinical practice and anti-stigma initiatives.","author":[{"dropping-particle":"","family":"Rüsch","given":"Nicolas","non-dropping-particle":"","parse-names":false,"suffix":""},{"dropping-particle":"","family":"Todd","given":"Andrew R","non-dropping-particle":"","parse-names":false,"suffix":""},{"dropping-particle":"V","family":"Bodenhausen","given":"Galen","non-dropping-particle":"","parse-names":false,"suffix":""},{"dropping-particle":"","family":"Corrigan","given":"Patrick W","non-dropping-particle":"","parse-names":false,"suffix":""}],"container-title":"Psychiatry research","id":"ITEM-1","issue":"3","issued":{"date-parts":[["2010","10","30"]]},"page":"328-32","title":"Biogenetic models of psychopathology, implicit guilt, and mental illness stigma.","type":"article-journal","volume":"179"},"uris":["http://www.mendeley.com/documents/?uuid=d8c2991a-d9c5-47b0-9afd-e919cc30cd7f"]}],"mendeley":{"formattedCitation":"(Rüsch, Todd, Bodenhausen, &amp; Corrigan, 2010)","plainTextFormattedCitation":"(Rüsch, Todd, Bodenhausen, &amp; Corrigan, 2010)","previouslyFormattedCitation":"(Rüsch, Todd, Bodenhausen, &amp; Corrigan, 2010)"},"properties":{"noteIndex":0},"schema":"https://github.com/citation-style-language/schema/raw/master/csl-citation.json"}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(Rüsch, Todd, Bodenhausen, &amp; Corrigan, 2010)</w:t>
      </w:r>
      <w:r w:rsidRPr="00D40C27">
        <w:rPr>
          <w:rFonts w:eastAsia="Calibri"/>
          <w:color w:val="auto"/>
          <w:lang w:eastAsia="en-US"/>
        </w:rPr>
        <w:fldChar w:fldCharType="end"/>
      </w:r>
      <w:r w:rsidRPr="00D40C27">
        <w:rPr>
          <w:rFonts w:eastAsia="Calibri"/>
          <w:color w:val="auto"/>
          <w:lang w:eastAsia="en-US"/>
        </w:rPr>
        <w:t xml:space="preserve">. </w:t>
      </w:r>
      <w:r w:rsidR="00867584" w:rsidRPr="00D40C27">
        <w:rPr>
          <w:rFonts w:eastAsia="Calibri"/>
          <w:color w:val="auto"/>
          <w:lang w:eastAsia="en-US"/>
        </w:rPr>
        <w:t>Governments, h</w:t>
      </w:r>
      <w:r w:rsidR="00867584">
        <w:rPr>
          <w:rFonts w:eastAsia="Calibri"/>
          <w:color w:val="auto"/>
          <w:lang w:eastAsia="en-US"/>
        </w:rPr>
        <w:t>ealth services, and charities use education strategies to</w:t>
      </w:r>
      <w:r w:rsidR="00867584" w:rsidRPr="00D40C27">
        <w:rPr>
          <w:rFonts w:eastAsia="Calibri"/>
          <w:color w:val="auto"/>
          <w:lang w:eastAsia="en-US"/>
        </w:rPr>
        <w:t xml:space="preserve"> create awareness and improve attitudes towards social groups that are the target of stigma (e.g., people with physical disabilities)</w:t>
      </w:r>
      <w:r w:rsidRPr="00D40C27">
        <w:rPr>
          <w:rFonts w:eastAsia="Calibri"/>
          <w:color w:val="auto"/>
          <w:lang w:eastAsia="en-US"/>
        </w:rPr>
        <w:t xml:space="preserve">. However, the impact of these strategies </w:t>
      </w:r>
      <w:r w:rsidR="004A54CE">
        <w:rPr>
          <w:rFonts w:eastAsia="Calibri"/>
          <w:color w:val="auto"/>
          <w:lang w:eastAsia="en-US"/>
        </w:rPr>
        <w:t>in reducing stigma towards</w:t>
      </w:r>
      <w:r w:rsidRPr="00D40C27">
        <w:rPr>
          <w:rFonts w:eastAsia="Calibri"/>
          <w:color w:val="auto"/>
          <w:lang w:eastAsia="en-US"/>
        </w:rPr>
        <w:t xml:space="preserve"> FD has not been fully investigated</w:t>
      </w:r>
      <w:r w:rsidR="004A54CE">
        <w:rPr>
          <w:rFonts w:eastAsia="Calibri"/>
          <w:color w:val="auto"/>
          <w:lang w:eastAsia="en-US"/>
        </w:rPr>
        <w:t xml:space="preserve"> yet</w:t>
      </w:r>
      <w:r w:rsidRPr="00D40C27">
        <w:rPr>
          <w:rFonts w:eastAsia="Calibri"/>
          <w:color w:val="auto"/>
          <w:lang w:eastAsia="en-US"/>
        </w:rPr>
        <w:t xml:space="preserve">. </w:t>
      </w:r>
    </w:p>
    <w:p w14:paraId="22B87C7B" w14:textId="75572A3B" w:rsidR="000F1616" w:rsidRPr="00D40C27" w:rsidRDefault="000F1616" w:rsidP="008C73CA">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Only a handful of studies have tested the effectiveness of education strategies in reducing stigma towards FD (i.e.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{"citationItems":[{"id":"ITEM-1","itemData":{"DOI":"10.1016/j.pec.2014.09.010","ISSN":"0738-3991","abstract":"OBJECTIVE: Healthcare providers and lay people alike tend to form inaccurate first impressions of people with facial movement disorders such as facial paralysis (FP) because of the natural tendency to base impressions on the face. This study tested the effectiveness of the first interpersonal sensitivity training for FP. METHODS: Undergraduate participants were randomly assigned to one of two training conditions or an untrained control. Education raised awareness about FP symptoms and experiences and instructed participants to form their impressions based on cues from the body and voice rather than the face. Education+feedback added feedback about the correctness of participants’ judgments. Subsequently, participants watched 30 s video clips of people with FP and rated their extraversion. RESULTS: Participants’ bias and accuracy in the two training conditions did not significantly differ, but they were significantly less biased than controls. Training did not improve the more challenging task of accurately detecting individual differences in extraversion. CONCLUSION: Educating people improves bias, but not accuracy, of impressions of people with FP. PRACTICE IMPLICATIONS: Information from the education condition could be delivered in a pamphlet to those likely to interact with this population such as healthcare providers and educators.","author":[{"dropping-particle":"","family":"Bogart","given":"Kathleen R","non-dropping-particle":"","parse-names":false,"suffix":""},{"dropping-particle":"","family":"Tickle-Degnen","given":"Linda","non-dropping-particle":"","parse-names":false,"suffix":""}],"container-title":"Patient education and counseling","id":"ITEM-1","issue":"2","issued":{"date-parts":[["2015","2"]]},"page":"251-256","title":"Looking beyond the face: A training to improve perceivers’ impressions of people with facial paralysis","type":"article-journal","volume":"98"},"uris":["http://www.mendeley.com/documents/?uuid=a39d4880-e5af-40ae-b298-e3417636e155"]}],"mendeley":{"formattedCitation":"(Bogart &amp; Tickle-Degnen, 2015)","manualFormatting":"Bogart and Tickle-Degnen, (2015)","plainTextFormattedCitation":"(Bogart &amp; Tickle-Degnen, 2015)","previouslyFormattedCitation":"(Bogart &amp; Tickle-Degnen, 2015)"},"properties":{"noteIndex":0},"schema":"https://github.com/citation-style-language/schema/raw/master/csl-citation.json"}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Bogart &amp; Tickle-Degnen, 2015)</w:t>
      </w:r>
      <w:r w:rsidRPr="00D40C27">
        <w:rPr>
          <w:rFonts w:eastAsia="Calibri"/>
          <w:color w:val="auto"/>
          <w:lang w:eastAsia="en-US"/>
        </w:rPr>
        <w:fldChar w:fldCharType="end"/>
      </w:r>
      <w:r w:rsidRPr="00D40C27">
        <w:rPr>
          <w:rFonts w:eastAsia="Calibri"/>
          <w:color w:val="auto"/>
          <w:lang w:eastAsia="en-US"/>
        </w:rPr>
        <w:t>. Bogart and Tickle-</w:t>
      </w:r>
      <w:r w:rsidRPr="00D40C27">
        <w:rPr>
          <w:rFonts w:eastAsia="Calibri"/>
          <w:color w:val="auto"/>
          <w:lang w:eastAsia="en-US"/>
        </w:rPr>
        <w:lastRenderedPageBreak/>
        <w:t>Degnen used a convenient sample of students to test the effect of two education-based strategies on extraversion ratings of individuals with mild and severe facial paralysis (FP). Before the presentation of the clips, participants were allocated to either a control or one of two experimental conditions. Both experimental conditions included an educational message on causes and types of FP and instructions for participants to focus on the non-verbal and verbal content of video clip. Then participants reported extraversion ratings of a series of videos depicting individuals with FP. In the education and feedback condition, participants were provided with the self-reported extraversion ratings that targets in the video reported (feedback) after each presentation of the first half of the video-cl</w:t>
      </w:r>
      <w:r>
        <w:rPr>
          <w:rFonts w:eastAsia="Calibri"/>
          <w:color w:val="auto"/>
          <w:lang w:eastAsia="en-US"/>
        </w:rPr>
        <w:t xml:space="preserve">ips, the remaining video-clips </w:t>
      </w:r>
      <w:r w:rsidRPr="00D40C27">
        <w:rPr>
          <w:rFonts w:eastAsia="Calibri"/>
          <w:color w:val="auto"/>
          <w:lang w:eastAsia="en-US"/>
        </w:rPr>
        <w:t>were rated without feedback. Findings showed that both education messages (with and without feedback) were associated with improved ratings of extraversion compared to the control group, however</w:t>
      </w:r>
      <w:r w:rsidR="00B32D9C">
        <w:rPr>
          <w:rFonts w:eastAsia="Calibri"/>
          <w:color w:val="auto"/>
          <w:lang w:eastAsia="en-US"/>
        </w:rPr>
        <w:t>,</w:t>
      </w:r>
      <w:r w:rsidRPr="00D40C27">
        <w:rPr>
          <w:rFonts w:eastAsia="Calibri"/>
          <w:color w:val="auto"/>
          <w:lang w:eastAsia="en-US"/>
        </w:rPr>
        <w:t xml:space="preserve"> there was no significant difference between ratings of extraversion in the education and education+feedback condition</w:t>
      </w:r>
      <w:r w:rsidR="00A41D9B">
        <w:rPr>
          <w:rFonts w:eastAsia="Calibri"/>
          <w:color w:val="auto"/>
          <w:lang w:eastAsia="en-US"/>
        </w:rPr>
        <w:t xml:space="preserve"> </w:t>
      </w:r>
      <w:r w:rsidR="00A41D9B">
        <w:rPr>
          <w:rFonts w:eastAsia="Calibri"/>
          <w:color w:val="auto"/>
          <w:lang w:eastAsia="en-US"/>
        </w:rPr>
        <w:fldChar w:fldCharType="begin" w:fldLock="1"/>
      </w:r>
      <w:r w:rsidR="001871E7">
        <w:rPr>
          <w:rFonts w:eastAsia="Calibri"/>
          <w:color w:val="auto"/>
          <w:lang w:eastAsia="en-US"/>
        </w:rPr>
        <w:instrText>ADDIN CSL_CITATION {"citationItems":[{"id":"ITEM-1","itemData":{"DOI":"10.1016/j.pec.2014.09.010","ISSN":"0738-3991","abstract":"OBJECTIVE: Healthcare providers and lay people alike tend to form inaccurate first impressions of people with facial movement disorders such as facial paralysis (FP) because of the natural tendency to base impressions on the face. This study tested the effectiveness of the first interpersonal sensitivity training for FP. METHODS: Undergraduate participants were randomly assigned to one of two training conditions or an untrained control. Education raised awareness about FP symptoms and experiences and instructed participants to form their impressions based on cues from the body and voice rather than the face. Education+feedback added feedback about the correctness of participants’ judgments. Subsequently, participants watched 30 s video clips of people with FP and rated their extraversion. RESULTS: Participants’ bias and accuracy in the two training conditions did not significantly differ, but they were significantly less biased than controls. Training did not improve the more challenging task of accurately detecting individual differences in extraversion. CONCLUSION: Educating people improves bias, but not accuracy, of impressions of people with FP. PRACTICE IMPLICATIONS: Information from the education condition could be delivered in a pamphlet to those likely to interact with this population such as healthcare providers and educators.","author":[{"dropping-particle":"","family":"Bogart","given":"Kathleen R","non-dropping-particle":"","parse-names":false,"suffix":""},{"dropping-particle":"","family":"Tickle-Degnen","given":"Linda","non-dropping-particle":"","parse-names":false,"suffix":""}],"container-title":"Patient education and counseling","id":"ITEM-1","issue":"2","issued":{"date-parts":[["2015","2","6"]]},"page":"251-256","title":"Looking beyond the face: A training to improve perceivers’ impressions of people with facial paralysis","type":"article-journal","volume":"98"},"uris":["http://www.mendeley.com/documents/?uuid=7e9f28fc-93c6-4f33-9826-2a0539fad229"]}],"mendeley":{"formattedCitation":"(Bogart &amp; Tickle-Degnen, 2015)","plainTextFormattedCitation":"(Bogart &amp; Tickle-Degnen, 2015)","previouslyFormattedCitation":"(Bogart &amp; Tickle-Degnen, 2015)"},"properties":{"noteIndex":0},"schema":"https://github.com/citation-style-language/schema/raw/master/csl-citation.json"}</w:instrText>
      </w:r>
      <w:r w:rsidR="00A41D9B">
        <w:rPr>
          <w:rFonts w:eastAsia="Calibri"/>
          <w:color w:val="auto"/>
          <w:lang w:eastAsia="en-US"/>
        </w:rPr>
        <w:fldChar w:fldCharType="separate"/>
      </w:r>
      <w:r w:rsidR="00A41D9B" w:rsidRPr="00A41D9B">
        <w:rPr>
          <w:rFonts w:eastAsia="Calibri"/>
          <w:noProof/>
          <w:color w:val="auto"/>
          <w:lang w:eastAsia="en-US"/>
        </w:rPr>
        <w:t>(Bogart &amp; Tickle-Degnen, 2015)</w:t>
      </w:r>
      <w:r w:rsidR="00A41D9B">
        <w:rPr>
          <w:rFonts w:eastAsia="Calibri"/>
          <w:color w:val="auto"/>
          <w:lang w:eastAsia="en-US"/>
        </w:rPr>
        <w:fldChar w:fldCharType="end"/>
      </w:r>
      <w:r w:rsidRPr="00D40C27">
        <w:rPr>
          <w:rFonts w:eastAsia="Calibri"/>
          <w:color w:val="auto"/>
          <w:lang w:eastAsia="en-US"/>
        </w:rPr>
        <w:t xml:space="preserve">. </w:t>
      </w:r>
    </w:p>
    <w:p w14:paraId="1A8C4CE2" w14:textId="1F7747EA" w:rsidR="000F1616" w:rsidRPr="00D40C27" w:rsidRDefault="000F1616" w:rsidP="008C73CA">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In certain types of FD (e.g.</w:t>
      </w:r>
      <w:r w:rsidR="008471FC">
        <w:rPr>
          <w:rFonts w:eastAsia="Calibri"/>
          <w:color w:val="auto"/>
          <w:lang w:eastAsia="en-US"/>
        </w:rPr>
        <w:t xml:space="preserve">, </w:t>
      </w:r>
      <w:r w:rsidRPr="00D40C27">
        <w:rPr>
          <w:rFonts w:eastAsia="Calibri"/>
          <w:color w:val="auto"/>
          <w:lang w:eastAsia="en-US"/>
        </w:rPr>
        <w:t>FP) there is a reduction in facial mobility</w:t>
      </w:r>
      <w:r w:rsidR="004A54CE">
        <w:rPr>
          <w:rFonts w:eastAsia="Calibri"/>
          <w:color w:val="auto"/>
          <w:lang w:eastAsia="en-US"/>
        </w:rPr>
        <w:t>,</w:t>
      </w:r>
      <w:r w:rsidRPr="00D40C27">
        <w:rPr>
          <w:rFonts w:eastAsia="Calibri"/>
          <w:color w:val="auto"/>
          <w:lang w:eastAsia="en-US"/>
        </w:rPr>
        <w:t xml:space="preserve"> which compromises non-verbal communication of those affected by it. Consequently</w:t>
      </w:r>
      <w:r w:rsidR="00B32D9C">
        <w:rPr>
          <w:rFonts w:eastAsia="Calibri"/>
          <w:color w:val="auto"/>
          <w:lang w:eastAsia="en-US"/>
        </w:rPr>
        <w:t>,</w:t>
      </w:r>
      <w:r w:rsidRPr="00D40C27">
        <w:rPr>
          <w:rFonts w:eastAsia="Calibri"/>
          <w:color w:val="auto"/>
          <w:lang w:eastAsia="en-US"/>
        </w:rPr>
        <w:t xml:space="preserve"> individuals’ facial expressions are more likely to be misjudged as less friendly or uninterested, hindering social functioning </w:t>
      </w:r>
      <w:r w:rsidRPr="00D40C27">
        <w:rPr>
          <w:rFonts w:eastAsia="Calibri"/>
          <w:noProof/>
          <w:color w:val="auto"/>
          <w:lang w:eastAsia="en-US"/>
        </w:rPr>
        <w:t>(Bogart, Tickle-Degnen, &amp; Ambady, 2014)</w:t>
      </w:r>
      <w:r w:rsidRPr="00D40C27">
        <w:rPr>
          <w:rFonts w:eastAsia="Calibri"/>
          <w:color w:val="auto"/>
          <w:lang w:eastAsia="en-US"/>
        </w:rPr>
        <w:t xml:space="preserve">.  The study by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{"citationItems":[{"id":"ITEM-1","itemData":{"DOI":"10.1016/j.pec.2014.09.010","ISSN":"0738-3991","abstract":"OBJECTIVE: Healthcare providers and lay people alike tend to form inaccurate first impressions of people with facial movement disorders such as facial paralysis (FP) because of the natural tendency to base impressions on the face. This study tested the effectiveness of the first interpersonal sensitivity training for FP. METHODS: Undergraduate participants were randomly assigned to one of two training conditions or an untrained control. Education raised awareness about FP symptoms and experiences and instructed participants to form their impressions based on cues from the body and voice rather than the face. Education+feedback added feedback about the correctness of participants’ judgments. Subsequently, participants watched 30 s video clips of people with FP and rated their extraversion. RESULTS: Participants’ bias and accuracy in the two training conditions did not significantly differ, but they were significantly less biased than controls. Training did not improve the more challenging task of accurately detecting individual differences in extraversion. CONCLUSION: Educating people improves bias, but not accuracy, of impressions of people with FP. PRACTICE IMPLICATIONS: Information from the education condition could be delivered in a pamphlet to those likely to interact with this population such as healthcare providers and educators.","author":[{"dropping-particle":"","family":"Bogart","given":"Kathleen R","non-dropping-particle":"","parse-names":false,"suffix":""},{"dropping-particle":"","family":"Tickle-Degnen","given":"Linda","non-dropping-particle":"","parse-names":false,"suffix":""}],"container-title":"Patient education and counseling","id":"ITEM-1","issue":"2","issued":{"date-parts":[["2015","2"]]},"page":"251-256","title":"Looking beyond the face: A training to improve perceivers’ impressions of people with facial paralysis","type":"article-journal","volume":"98"},"uris":["http://www.mendeley.com/documents/?uuid=a39d4880-e5af-40ae-b298-e3417636e155"]}],"mendeley":{"formattedCitation":"(Bogart &amp; Tickle-Degnen, 2015)","manualFormatting":"Bogart and Tickle-Degnen (2015)","plainTextFormattedCitation":"(Bogart &amp; Tickle-Degnen, 2015)","previouslyFormattedCitation":"(Bogart &amp; Tickle-Degnen, 2015)"},"properties":{"noteIndex":0},"schema":"https://github.com/citation-style-language/schema/raw/master/csl-citation.json"}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Bogart and Tickle-Degnen (2015)</w:t>
      </w:r>
      <w:r w:rsidRPr="00D40C27">
        <w:rPr>
          <w:rFonts w:eastAsia="Calibri"/>
          <w:color w:val="auto"/>
          <w:lang w:eastAsia="en-US"/>
        </w:rPr>
        <w:fldChar w:fldCharType="end"/>
      </w:r>
      <w:r w:rsidRPr="00D40C27">
        <w:rPr>
          <w:rFonts w:eastAsia="Calibri"/>
          <w:color w:val="auto"/>
          <w:lang w:eastAsia="en-US"/>
        </w:rPr>
        <w:t xml:space="preserve">  offer</w:t>
      </w:r>
      <w:r w:rsidR="004A54CE">
        <w:rPr>
          <w:rFonts w:eastAsia="Calibri"/>
          <w:color w:val="auto"/>
          <w:lang w:eastAsia="en-US"/>
        </w:rPr>
        <w:t>ed</w:t>
      </w:r>
      <w:r w:rsidRPr="00D40C27">
        <w:rPr>
          <w:rFonts w:eastAsia="Calibri"/>
          <w:color w:val="auto"/>
          <w:lang w:eastAsia="en-US"/>
        </w:rPr>
        <w:t xml:space="preserve"> supportive evidence regarding the impact that anti-stigma education strategies might have on evaluations of individuals with FD, in specific those with impaired facial mobility (e.g</w:t>
      </w:r>
      <w:r w:rsidR="008471FC">
        <w:rPr>
          <w:rFonts w:eastAsia="Calibri"/>
          <w:color w:val="auto"/>
          <w:lang w:eastAsia="en-US"/>
        </w:rPr>
        <w:t xml:space="preserve">., </w:t>
      </w:r>
      <w:r w:rsidRPr="00D40C27">
        <w:rPr>
          <w:rFonts w:eastAsia="Calibri"/>
          <w:color w:val="auto"/>
          <w:lang w:eastAsia="en-US"/>
        </w:rPr>
        <w:t xml:space="preserve">facial transplant). However, a number of limitations make generalisation of the findings difficult. The target stimuli concentrated on a very specific type of FD, and so it remains unclear if the findings would be applicable to other forms of disfigurement. In addition, the outcome measure concentrated only on perceptions about extraversion, so </w:t>
      </w:r>
      <w:r w:rsidR="004A54CE" w:rsidRPr="00D40C27">
        <w:rPr>
          <w:rFonts w:eastAsia="Calibri"/>
          <w:color w:val="auto"/>
          <w:lang w:eastAsia="en-US"/>
        </w:rPr>
        <w:t>it</w:t>
      </w:r>
      <w:r w:rsidRPr="00D40C27">
        <w:rPr>
          <w:rFonts w:eastAsia="Calibri"/>
          <w:color w:val="auto"/>
          <w:lang w:eastAsia="en-US"/>
        </w:rPr>
        <w:t xml:space="preserve"> remains </w:t>
      </w:r>
      <w:r w:rsidR="004A54CE">
        <w:rPr>
          <w:rFonts w:eastAsia="Calibri"/>
          <w:color w:val="auto"/>
          <w:lang w:eastAsia="en-US"/>
        </w:rPr>
        <w:t>unanswered</w:t>
      </w:r>
      <w:r w:rsidRPr="00D40C27">
        <w:rPr>
          <w:rFonts w:eastAsia="Calibri"/>
          <w:color w:val="auto"/>
          <w:lang w:eastAsia="en-US"/>
        </w:rPr>
        <w:t xml:space="preserve"> whether or not education strategies </w:t>
      </w:r>
      <w:r w:rsidR="004A54CE">
        <w:rPr>
          <w:rFonts w:eastAsia="Calibri"/>
          <w:color w:val="auto"/>
          <w:lang w:eastAsia="en-US"/>
        </w:rPr>
        <w:t>are effective</w:t>
      </w:r>
      <w:r w:rsidRPr="00D40C27">
        <w:rPr>
          <w:rFonts w:eastAsia="Calibri"/>
          <w:color w:val="auto"/>
          <w:lang w:eastAsia="en-US"/>
        </w:rPr>
        <w:t xml:space="preserve"> </w:t>
      </w:r>
      <w:r w:rsidR="004A54CE">
        <w:rPr>
          <w:rFonts w:eastAsia="Calibri"/>
          <w:color w:val="auto"/>
          <w:lang w:eastAsia="en-US"/>
        </w:rPr>
        <w:t>to reduce</w:t>
      </w:r>
      <w:r w:rsidRPr="00D40C27">
        <w:rPr>
          <w:rFonts w:eastAsia="Calibri"/>
          <w:color w:val="auto"/>
          <w:lang w:eastAsia="en-US"/>
        </w:rPr>
        <w:t xml:space="preserve"> </w:t>
      </w:r>
      <w:r w:rsidR="004A54CE">
        <w:rPr>
          <w:rFonts w:eastAsia="Calibri"/>
          <w:color w:val="auto"/>
          <w:lang w:eastAsia="en-US"/>
        </w:rPr>
        <w:t>other</w:t>
      </w:r>
      <w:r w:rsidR="004A54CE" w:rsidRPr="00D40C27">
        <w:rPr>
          <w:rFonts w:eastAsia="Calibri"/>
          <w:color w:val="auto"/>
          <w:lang w:eastAsia="en-US"/>
        </w:rPr>
        <w:t xml:space="preserve"> </w:t>
      </w:r>
      <w:r w:rsidRPr="00D40C27">
        <w:rPr>
          <w:rFonts w:eastAsia="Calibri"/>
          <w:color w:val="auto"/>
          <w:lang w:eastAsia="en-US"/>
        </w:rPr>
        <w:t xml:space="preserve">manifestations of stigma </w:t>
      </w:r>
      <w:r w:rsidR="004A54CE">
        <w:rPr>
          <w:rFonts w:eastAsia="Calibri"/>
          <w:color w:val="auto"/>
          <w:lang w:eastAsia="en-US"/>
        </w:rPr>
        <w:t xml:space="preserve">(e.g., </w:t>
      </w:r>
      <w:r w:rsidRPr="00D40C27">
        <w:rPr>
          <w:rFonts w:eastAsia="Calibri"/>
          <w:color w:val="auto"/>
          <w:lang w:eastAsia="en-US"/>
        </w:rPr>
        <w:t>avoidance or actual discrimination</w:t>
      </w:r>
      <w:r w:rsidR="004A54CE">
        <w:rPr>
          <w:rFonts w:eastAsia="Calibri"/>
          <w:color w:val="auto"/>
          <w:lang w:eastAsia="en-US"/>
        </w:rPr>
        <w:t>)</w:t>
      </w:r>
      <w:r w:rsidRPr="00D40C27">
        <w:rPr>
          <w:rFonts w:eastAsia="Calibri"/>
          <w:color w:val="auto"/>
          <w:lang w:eastAsia="en-US"/>
        </w:rPr>
        <w:t xml:space="preserve">. </w:t>
      </w:r>
    </w:p>
    <w:p w14:paraId="136E378C" w14:textId="5D1B3D2B"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Education strategies tested with other stigmatised groups have yielded equivocal results, and some do not seem to be effective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{"citationItems":[{"id":"ITEM-1","itemData":{"DOI":"10.1176/appi.ps.201100459","ISSN":"1557-9700","PMID":"22855130","abstract":"OBJECTIVE: The purpose of this article was to comprehensively review published literature about strategies to reduce self-stigma among people with mental illness. Recommendations and implications for research also are discussed.\n\nMETHODS: The electronic databases of Ovid, PubMed, and PsycINFO were searched for peer-reviewed articles published between January 2000 and August 2011 by using the key words “self-stigma,” “internalized stigma,” “perceived stigma,” and “stigma intervention.” The search was further narrowed to studies that described a detailed intervention and that used self-stigma as a primary or secondary outcome, tested the intervention among individuals with a psychiatric illness, and analyzed data quantitatively with acceptable statistical tools.\n\nRESULTS: Fourteen articles met inclusion criteria, and eight reported significant improvement in self-stigma outcomes. Participants predominantly had schizophrenia and related disorders or depression. Six self-stigma reduction strategies were identified. Psychoeducation was the most frequently tested intervention. Self-stigma definitions, measurements, and conceptual frameworks varied considerably across these studies. Several studies lacked a theoretical framework for their intervention. Six different scales were used to measure self-stigma.\n\nCONCLUSIONS: Two prominent approaches for self-stigma reduction emerged from our review: one, interventions that attempt to alter the stigmatizing beliefs and attitudes of the individual; and two, interventions that enhance skills for coping with self-stigma through improvements in self-esteem, empowerment, and help-seeking behavior. The second approach seems to have gained traction among stigma experts. Targeting high-risk groups to preempt self-stigma appears to be a promising area for future research.","author":[{"dropping-particle":"","family":"Mittal","given":"Dinesh","non-dropping-particle":"","parse-names":false,"suffix":""},{"dropping-particle":"","family":"Sullivan","given":"Greer","non-dropping-particle":"","parse-names":false,"suffix":""},{"dropping-particle":"","family":"Chekuri","given":"Lakshminarayana","non-dropping-particle":"","parse-names":false,"suffix":""},{"dropping-particle":"","family":"Allee","given":"Elise","non-dropping-particle":"","parse-names":false,"suffix":""},{"dropping-particle":"","family":"Corrigan","given":"Patrick W","non-dropping-particle":"","parse-names":false,"suffix":""}],"container-title":"Psychiatric services (Washington, D.C.)","id":"ITEM-1","issue":"10","issued":{"date-parts":[["2012","10"]]},"page":"974-81","title":"Empirical Studies of Self-Stigma Reduction Strategies: A Critical Review of the Literature.","type":"article-journal","volume":"63"},"uris":["http://www.mendeley.com/documents/?uuid=372ecce7-7801-4c88-9abc-e8327904571a"]}],"mendeley":{"formattedCitation":"(Mittal, Sullivan, Chekuri, Allee, &amp; Corrigan, 2012)","plainTextFormattedCitation":"(Mittal, Sullivan, Chekuri, Allee, &amp; Corrigan, 2012)","previouslyFormattedCitation":"(Mittal, Sullivan, Chekuri, Allee, &amp; Corrigan, 2012)"},"properties":{"noteIndex":0},"schema":"https://github.com/citation-style-language/schema/raw/master/csl-citation.json"}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(Mittal, Sullivan, Chekuri, Allee, &amp; Corrigan, 2012)</w:t>
      </w:r>
      <w:r w:rsidRPr="00D40C27">
        <w:rPr>
          <w:rFonts w:eastAsia="Calibri"/>
          <w:color w:val="auto"/>
          <w:lang w:eastAsia="en-US"/>
        </w:rPr>
        <w:fldChar w:fldCharType="end"/>
      </w:r>
      <w:r w:rsidRPr="00D40C27">
        <w:rPr>
          <w:rFonts w:eastAsia="Calibri"/>
          <w:color w:val="auto"/>
          <w:lang w:eastAsia="en-US"/>
        </w:rPr>
        <w:t xml:space="preserve">. For example, efforts to reduce stigma towards psychiatric conditions like schizophrenia and depression have found that teaching on symptoms and causes of psychological distress increases knowledge of participants but has little effect on attitudinal </w:t>
      </w:r>
      <w:r w:rsidR="004A54CE">
        <w:rPr>
          <w:rFonts w:eastAsia="Calibri"/>
          <w:color w:val="auto"/>
          <w:lang w:eastAsia="en-US"/>
        </w:rPr>
        <w:t>responses</w:t>
      </w:r>
      <w:r w:rsidR="004A54CE" w:rsidRPr="00D40C27">
        <w:rPr>
          <w:rFonts w:eastAsia="Calibri"/>
          <w:color w:val="auto"/>
          <w:lang w:eastAsia="en-US"/>
        </w:rPr>
        <w:t xml:space="preserve">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{"citationItems":[{"id":"ITEM-1","itemData":{"DOI":"10.1016/j.psychres.2013.12.056","ISSN":"1872-7123","PMID":"24485063","abstract":"Many anti-stigma campaigns emphasize biogenetic causes to convey that schizophrenia is an \"illness like others\". A growing body of studies shows that although biogenetic explanations reduce blame, they tend to reinforce prognostic pessimism and harsher treatment of people with schizophrenia. In contrast, psychosocial explanations attenuate prognostic pessimism and perceived otherness, but seem less suitable to reduce blame. We hypothesized that a vulnerability-stress model that combines biogenetic and psychosocial explanations would yield clearer stigma-reducing effects than the mono-causal models. In an online-experiment, 416 participants from the general population randomly received either a vulnerability-stress, biogenetic, psychosocial or control-intervention, which consisted of information text and video presentation of a case-example. Causal beliefs, stereotypes and desired social distance were assessed by self-report. Baseline causal beliefs were weakly associated with stereotypes. The vulnerability-stress intervention did not reduce stigma more effectively than the biogenetic or psychosocial intervention and was less effective in reducing perceived blame than the biogenetic intervention. Compared to the control-intervention, no intervention showed significant stigma-reducing effects, but the psychosocial and vulnerability-stress conditions both increased blame. We found no evidence for vulnerability-stress explanations as a mean to reduce stigma. We propose further research to identify more effective ways to tackle stigma.","author":[{"dropping-particle":"","family":"Schlier","given":"Björn","non-dropping-particle":"","parse-names":false,"suffix":""},{"dropping-particle":"","family":"Schmick","given":"Sylvia","non-dropping-particle":"","parse-names":false,"suffix":""},{"dropping-particle":"","family":"Lincoln","given":"Tania Marie","non-dropping-particle":"","parse-names":false,"suffix":""}],"container-title":"Psychiatry research","id":"ITEM-1","issue":"3","issued":{"date-parts":[["2014","3","30"]]},"page":"753-9","title":"No matter of etiology: biogenetic, psychosocial and vulnerability-stress causal explanations fail to improve attitudes towards schizophrenia.","type":"article-journal","volume":"215"},"uris":["http://www.mendeley.com/documents/?uuid=14c49993-3c35-465a-ad05-54ec42f5fa40"]}],"mendeley":{"formattedCitation":"(Schlier, Schmick, &amp; Lincoln, 2014)","manualFormatting":"(e.g. Schlier, Schmick, &amp; Lincoln, 2014)","plainTextFormattedCitation":"(Schlier, Schmick, &amp; Lincoln, 2014)","previouslyFormattedCitation":"(Schlier, Schmick, &amp; Lincoln, 2014)"},"properties":{"noteIndex":0},"schema":"https://github.com/citation-style-language/schema/raw/master/csl-citation.json"}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(Jorm &amp; Griffiths, 2008; Read, 2007; Schlier, Schmick, &amp; Lincoln, 2014)</w:t>
      </w:r>
      <w:r w:rsidRPr="00D40C27">
        <w:rPr>
          <w:rFonts w:eastAsia="Calibri"/>
          <w:color w:val="auto"/>
          <w:lang w:eastAsia="en-US"/>
        </w:rPr>
        <w:fldChar w:fldCharType="end"/>
      </w:r>
      <w:r w:rsidRPr="00D40C27">
        <w:rPr>
          <w:rFonts w:eastAsia="Calibri"/>
          <w:color w:val="auto"/>
          <w:lang w:eastAsia="en-US"/>
        </w:rPr>
        <w:t xml:space="preserve">. </w:t>
      </w:r>
      <w:r w:rsidR="004A54CE">
        <w:rPr>
          <w:rFonts w:eastAsia="Calibri"/>
          <w:color w:val="auto"/>
          <w:lang w:eastAsia="en-US"/>
        </w:rPr>
        <w:t>The effectiveness of</w:t>
      </w:r>
      <w:r w:rsidRPr="00D40C27">
        <w:rPr>
          <w:rFonts w:eastAsia="Calibri"/>
          <w:color w:val="auto"/>
          <w:lang w:eastAsia="en-US"/>
        </w:rPr>
        <w:t xml:space="preserve"> educational strategies</w:t>
      </w:r>
      <w:r w:rsidR="004A54CE">
        <w:rPr>
          <w:rFonts w:eastAsia="Calibri"/>
          <w:color w:val="auto"/>
          <w:lang w:eastAsia="en-US"/>
        </w:rPr>
        <w:t xml:space="preserve"> appears to</w:t>
      </w:r>
      <w:r w:rsidRPr="00D40C27">
        <w:rPr>
          <w:rFonts w:eastAsia="Calibri"/>
          <w:color w:val="auto"/>
          <w:lang w:eastAsia="en-US"/>
        </w:rPr>
        <w:t xml:space="preserve"> </w:t>
      </w:r>
      <w:r w:rsidR="004A54CE">
        <w:rPr>
          <w:rFonts w:eastAsia="Calibri"/>
          <w:color w:val="auto"/>
          <w:lang w:eastAsia="en-US"/>
        </w:rPr>
        <w:t xml:space="preserve">rely on the content, as the educational material should not only inform, but also </w:t>
      </w:r>
      <w:r w:rsidRPr="00D40C27">
        <w:rPr>
          <w:rFonts w:eastAsia="Calibri"/>
          <w:color w:val="auto"/>
          <w:lang w:eastAsia="en-US"/>
        </w:rPr>
        <w:t>challenge</w:t>
      </w:r>
      <w:r w:rsidR="004A54CE">
        <w:rPr>
          <w:rFonts w:eastAsia="Calibri"/>
          <w:color w:val="auto"/>
          <w:lang w:eastAsia="en-US"/>
        </w:rPr>
        <w:t xml:space="preserve"> stereotypes and</w:t>
      </w:r>
      <w:r w:rsidRPr="00D40C27">
        <w:rPr>
          <w:rFonts w:eastAsia="Calibri"/>
          <w:color w:val="auto"/>
          <w:lang w:eastAsia="en-US"/>
        </w:rPr>
        <w:t xml:space="preserve"> </w:t>
      </w:r>
      <w:r w:rsidR="004A54CE">
        <w:rPr>
          <w:rFonts w:eastAsia="Calibri"/>
          <w:color w:val="auto"/>
          <w:lang w:eastAsia="en-US"/>
        </w:rPr>
        <w:t>misconceptions</w:t>
      </w:r>
      <w:r w:rsidRPr="00D40C27">
        <w:rPr>
          <w:rFonts w:eastAsia="Calibri"/>
          <w:color w:val="auto"/>
          <w:lang w:eastAsia="en-US"/>
        </w:rPr>
        <w:t xml:space="preserve"> about the </w:t>
      </w:r>
      <w:r w:rsidR="004A54CE">
        <w:rPr>
          <w:rFonts w:eastAsia="Calibri"/>
          <w:color w:val="auto"/>
          <w:lang w:eastAsia="en-US"/>
        </w:rPr>
        <w:t>stigmatised condition</w:t>
      </w:r>
      <w:r w:rsidRPr="00D40C27">
        <w:rPr>
          <w:rFonts w:eastAsia="Calibri"/>
          <w:color w:val="auto"/>
          <w:lang w:eastAsia="en-US"/>
        </w:rPr>
        <w:t xml:space="preserve"> </w:t>
      </w:r>
      <w:r w:rsidRPr="00D40C27">
        <w:rPr>
          <w:rFonts w:eastAsia="Calibri"/>
          <w:noProof/>
          <w:color w:val="auto"/>
          <w:lang w:eastAsia="en-US"/>
        </w:rPr>
        <w:t>(Corrigan, Morris, Michaels, Rafacz, &amp; Rüsch, 2012)</w:t>
      </w:r>
      <w:r w:rsidRPr="00D40C27">
        <w:rPr>
          <w:rFonts w:eastAsia="Calibri"/>
          <w:color w:val="auto"/>
          <w:lang w:eastAsia="en-US"/>
        </w:rPr>
        <w:t xml:space="preserve">. For instance, in a study by </w:t>
      </w:r>
      <w:r w:rsidRPr="00D40C27">
        <w:rPr>
          <w:rFonts w:eastAsia="Calibri"/>
          <w:noProof/>
          <w:color w:val="auto"/>
          <w:lang w:eastAsia="en-US"/>
        </w:rPr>
        <w:t xml:space="preserve">Reinke and Corrigan </w:t>
      </w:r>
      <w:r w:rsidRPr="00D40C27">
        <w:rPr>
          <w:rFonts w:eastAsia="Calibri"/>
          <w:noProof/>
          <w:color w:val="auto"/>
          <w:lang w:eastAsia="en-US"/>
        </w:rPr>
        <w:lastRenderedPageBreak/>
        <w:t>(2004)</w:t>
      </w:r>
      <w:r w:rsidRPr="00D40C27">
        <w:rPr>
          <w:rFonts w:eastAsia="Calibri"/>
          <w:color w:val="auto"/>
          <w:lang w:eastAsia="en-US"/>
        </w:rPr>
        <w:t>, participants viewing a video-clip of an individual that moderately or highly contradicted stereotypes of people with psychiatric conditions (e.g.</w:t>
      </w:r>
      <w:r w:rsidR="008471FC">
        <w:rPr>
          <w:rFonts w:eastAsia="Calibri"/>
          <w:color w:val="auto"/>
          <w:lang w:eastAsia="en-US"/>
        </w:rPr>
        <w:t>,</w:t>
      </w:r>
      <w:r w:rsidRPr="00D40C27">
        <w:rPr>
          <w:rFonts w:eastAsia="Calibri"/>
          <w:color w:val="auto"/>
          <w:lang w:eastAsia="en-US"/>
        </w:rPr>
        <w:t xml:space="preserve"> aggressiveness), showed significant improvement in attitudes, compared to participants presented with a person that conformed to the stereotype (i.e. an individual displaying psychotic symptoms). Systematic and meta-analytic analysis of the literature report small to medium effect sizes associated with education and the reduction of stigma towards other commonly stigmatised groups (e.g.</w:t>
      </w:r>
      <w:r w:rsidR="008471FC">
        <w:rPr>
          <w:rFonts w:eastAsia="Calibri"/>
          <w:color w:val="auto"/>
          <w:lang w:eastAsia="en-US"/>
        </w:rPr>
        <w:t>,</w:t>
      </w:r>
      <w:r w:rsidRPr="00D40C27">
        <w:rPr>
          <w:rFonts w:eastAsia="Calibri"/>
          <w:color w:val="auto"/>
          <w:lang w:eastAsia="en-US"/>
        </w:rPr>
        <w:t xml:space="preserve"> psychiatric conditions and gender prejudice</w:t>
      </w:r>
      <w:r w:rsidR="006F0795">
        <w:rPr>
          <w:rFonts w:eastAsia="Calibri"/>
          <w:color w:val="auto"/>
          <w:lang w:eastAsia="en-US"/>
        </w:rPr>
        <w:t xml:space="preserve">; </w:t>
      </w:r>
      <w:r w:rsidRPr="00D40C27">
        <w:rPr>
          <w:rFonts w:eastAsia="Calibri"/>
          <w:noProof/>
          <w:color w:val="auto"/>
          <w:lang w:eastAsia="en-US"/>
        </w:rPr>
        <w:t>Bartoş, Berger, &amp; Hegarty, 2014; Corrigan et al., 2012; Mehta et al., 2015)</w:t>
      </w:r>
      <w:r w:rsidRPr="00D40C27">
        <w:rPr>
          <w:rFonts w:eastAsia="Calibri"/>
          <w:color w:val="auto"/>
          <w:lang w:eastAsia="en-US"/>
        </w:rPr>
        <w:t xml:space="preserve">. </w:t>
      </w:r>
    </w:p>
    <w:p w14:paraId="0655A73E" w14:textId="34E30083" w:rsidR="000F1616" w:rsidRPr="00D40C27" w:rsidRDefault="000F1616" w:rsidP="00D72B62">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In line with </w:t>
      </w:r>
      <w:r w:rsidRPr="00D40C27">
        <w:rPr>
          <w:rFonts w:eastAsia="Calibri"/>
          <w:noProof/>
          <w:color w:val="auto"/>
          <w:lang w:eastAsia="en-US"/>
        </w:rPr>
        <w:t>Corrigan et al. (2012)</w:t>
      </w:r>
      <w:r w:rsidRPr="00D40C27">
        <w:rPr>
          <w:rFonts w:eastAsia="Calibri"/>
          <w:color w:val="auto"/>
          <w:lang w:eastAsia="en-US"/>
        </w:rPr>
        <w:t>, effective FD anti-stigma interventions should target typical stereotypes of individuals with FD by depicting the experience of individuals with visible differences that challenge such stereotypes. For example,</w:t>
      </w:r>
      <w:r w:rsidR="00833BF3">
        <w:rPr>
          <w:rFonts w:eastAsia="Calibri"/>
          <w:color w:val="auto"/>
          <w:lang w:eastAsia="en-US"/>
        </w:rPr>
        <w:t xml:space="preserve"> </w:t>
      </w:r>
      <w:r w:rsidR="00833BF3" w:rsidRPr="00D40C27">
        <w:rPr>
          <w:rFonts w:eastAsia="Calibri"/>
          <w:color w:val="auto"/>
          <w:lang w:eastAsia="en-US"/>
        </w:rPr>
        <w:t xml:space="preserve">known stereotypes </w:t>
      </w:r>
      <w:r w:rsidR="00833BF3">
        <w:rPr>
          <w:rFonts w:eastAsia="Calibri"/>
          <w:color w:val="auto"/>
          <w:lang w:eastAsia="en-US"/>
        </w:rPr>
        <w:t xml:space="preserve">attributed to people with FD include </w:t>
      </w:r>
      <w:r w:rsidR="00833BF3" w:rsidRPr="00D40C27">
        <w:rPr>
          <w:rFonts w:eastAsia="Calibri"/>
          <w:color w:val="auto"/>
          <w:lang w:eastAsia="en-US"/>
        </w:rPr>
        <w:t xml:space="preserve">lower social capabilities </w:t>
      </w:r>
      <w:r w:rsidR="00833BF3" w:rsidRPr="00D40C27">
        <w:rPr>
          <w:rFonts w:eastAsia="Calibri"/>
          <w:noProof/>
          <w:color w:val="auto"/>
          <w:lang w:eastAsia="en-US"/>
        </w:rPr>
        <w:t>(Franks &amp; Goodrick-meech, 1997; Hughes et al., 2009; Rankin &amp; Borah, 2003; Rinnerthaler et al., 2006; Stone &amp; Wright, 2013)</w:t>
      </w:r>
      <w:r w:rsidR="00833BF3" w:rsidRPr="00D40C27">
        <w:rPr>
          <w:rFonts w:eastAsia="Calibri"/>
          <w:color w:val="auto"/>
          <w:lang w:eastAsia="en-US"/>
        </w:rPr>
        <w:t xml:space="preserve"> and unattractiveness </w:t>
      </w:r>
      <w:r w:rsidR="00833BF3" w:rsidRPr="00D40C27">
        <w:rPr>
          <w:rFonts w:eastAsia="Calibri"/>
          <w:noProof/>
          <w:color w:val="auto"/>
          <w:lang w:eastAsia="en-US"/>
        </w:rPr>
        <w:t>(Franks &amp; Goodrick-meech, 1997; Green-Armytage, Simonds, John, &amp; Woodger, 2019; Hughes et al., 2009).</w:t>
      </w:r>
      <w:r w:rsidRPr="00D40C27">
        <w:rPr>
          <w:rFonts w:eastAsia="Calibri"/>
          <w:color w:val="auto"/>
          <w:lang w:eastAsia="en-US"/>
        </w:rPr>
        <w:t xml:space="preserve"> </w:t>
      </w:r>
      <w:r w:rsidR="00833BF3">
        <w:rPr>
          <w:rFonts w:eastAsia="Calibri"/>
          <w:color w:val="auto"/>
          <w:lang w:eastAsia="en-US"/>
        </w:rPr>
        <w:t>Thus, an effective educational intervention would probably showcase public figures</w:t>
      </w:r>
      <w:r w:rsidR="00833BF3" w:rsidRPr="00D40C27">
        <w:rPr>
          <w:rFonts w:eastAsia="Calibri"/>
          <w:color w:val="auto"/>
          <w:lang w:eastAsia="en-US"/>
        </w:rPr>
        <w:t xml:space="preserve"> that </w:t>
      </w:r>
      <w:r w:rsidRPr="00D40C27">
        <w:rPr>
          <w:rFonts w:eastAsia="Calibri"/>
          <w:color w:val="auto"/>
          <w:lang w:eastAsia="en-US"/>
        </w:rPr>
        <w:t xml:space="preserve">advocates for face equality </w:t>
      </w:r>
      <w:r w:rsidR="00833BF3">
        <w:rPr>
          <w:rFonts w:eastAsia="Calibri"/>
          <w:color w:val="auto"/>
          <w:lang w:eastAsia="en-US"/>
        </w:rPr>
        <w:t>and challenge stereotypes about people with FD, for instance,</w:t>
      </w:r>
      <w:r w:rsidR="00833BF3" w:rsidRPr="00D40C27">
        <w:rPr>
          <w:rFonts w:eastAsia="Calibri"/>
          <w:color w:val="auto"/>
          <w:lang w:eastAsia="en-US"/>
        </w:rPr>
        <w:t xml:space="preserve"> </w:t>
      </w:r>
      <w:r w:rsidRPr="00D40C27">
        <w:rPr>
          <w:rFonts w:eastAsia="Calibri"/>
          <w:color w:val="auto"/>
          <w:lang w:eastAsia="en-US"/>
        </w:rPr>
        <w:t>Katy Piper (model and television presenter), Winnie Harlow (model and public spokesperson) and Jono Lancaster (Model and Treacher Collins Syndrome advocate)</w:t>
      </w:r>
      <w:r w:rsidR="00833BF3">
        <w:rPr>
          <w:rFonts w:eastAsia="Calibri"/>
          <w:color w:val="auto"/>
          <w:lang w:eastAsia="en-US"/>
        </w:rPr>
        <w:t xml:space="preserve">. </w:t>
      </w:r>
      <w:r w:rsidRPr="00D40C27">
        <w:rPr>
          <w:rFonts w:eastAsia="Calibri"/>
          <w:color w:val="auto"/>
          <w:lang w:eastAsia="en-US"/>
        </w:rPr>
        <w:t>However, stereotypes are often</w:t>
      </w:r>
      <w:r w:rsidR="00833BF3">
        <w:rPr>
          <w:rFonts w:eastAsia="Calibri"/>
          <w:color w:val="auto"/>
          <w:lang w:eastAsia="en-US"/>
        </w:rPr>
        <w:t xml:space="preserve"> deeply</w:t>
      </w:r>
      <w:r w:rsidRPr="00D40C27">
        <w:rPr>
          <w:rFonts w:eastAsia="Calibri"/>
          <w:color w:val="auto"/>
          <w:lang w:eastAsia="en-US"/>
        </w:rPr>
        <w:t xml:space="preserve"> ingrained into people’s views of the world</w:t>
      </w:r>
      <w:r w:rsidR="00E816EB">
        <w:rPr>
          <w:rFonts w:eastAsia="Calibri"/>
          <w:color w:val="auto"/>
          <w:lang w:eastAsia="en-US"/>
        </w:rPr>
        <w:t>, which makes change resistant to</w:t>
      </w:r>
      <w:r w:rsidRPr="00D40C27">
        <w:rPr>
          <w:rFonts w:eastAsia="Calibri"/>
          <w:color w:val="auto"/>
          <w:lang w:eastAsia="en-US"/>
        </w:rPr>
        <w:t xml:space="preserve"> information alone</w:t>
      </w:r>
      <w:r w:rsidR="00E816EB">
        <w:rPr>
          <w:rFonts w:eastAsia="Calibri"/>
          <w:color w:val="auto"/>
          <w:lang w:eastAsia="en-US"/>
        </w:rPr>
        <w:t xml:space="preserve"> (e.g., gender stereotypes; </w:t>
      </w:r>
      <w:r w:rsidR="00E816EB">
        <w:rPr>
          <w:rFonts w:eastAsia="Calibri"/>
          <w:color w:val="auto"/>
          <w:lang w:eastAsia="en-US"/>
        </w:rPr>
        <w:fldChar w:fldCharType="begin" w:fldLock="1"/>
      </w:r>
      <w:r w:rsidR="00774F56">
        <w:rPr>
          <w:rFonts w:eastAsia="Calibri"/>
          <w:color w:val="auto"/>
          <w:lang w:eastAsia="en-US"/>
        </w:rPr>
        <w:instrText>ADDIN CSL_CITATION {"citationItems":[{"id":"ITEM-1","itemData":{"ISSN":"0009-3920","author":[{"dropping-particle":"","family":"Mulvey","given":"Kelly Lynn","non-dropping-particle":"","parse-names":false,"suffix":""},{"dropping-particle":"","family":"Killen","given":"Melanie","non-dropping-particle":"","parse-names":false,"suffix":""}],"container-title":"Child Development","id":"ITEM-1","issue":"3","issued":{"date-parts":[["2015"]]},"page":"681-694","publisher":"Wiley Online Library","title":"Challenging gender stereotypes: Resistance and exclusion","type":"article-journal","volume":"86"},"uris":["http://www.mendeley.com/documents/?uuid=ef8cd717-6b39-431e-a213-dd95cd8f5b92"]}],"mendeley":{"formattedCitation":"(Mulvey &amp; Killen, 2015)","manualFormatting":"Mulvey &amp; Killen, 2015)","plainTextFormattedCitation":"(Mulvey &amp; Killen, 2015)","previouslyFormattedCitation":"(Mulvey &amp; Killen, 2015)"},"properties":{"noteIndex":0},"schema":"https://github.com/citation-style-language/schema/raw/master/csl-citation.json"}</w:instrText>
      </w:r>
      <w:r w:rsidR="00E816EB">
        <w:rPr>
          <w:rFonts w:eastAsia="Calibri"/>
          <w:color w:val="auto"/>
          <w:lang w:eastAsia="en-US"/>
        </w:rPr>
        <w:fldChar w:fldCharType="separate"/>
      </w:r>
      <w:r w:rsidR="00E816EB" w:rsidRPr="00E816EB">
        <w:rPr>
          <w:rFonts w:eastAsia="Calibri"/>
          <w:noProof/>
          <w:color w:val="auto"/>
          <w:lang w:eastAsia="en-US"/>
        </w:rPr>
        <w:t>Mulvey &amp; Killen, 2015)</w:t>
      </w:r>
      <w:r w:rsidR="00E816EB">
        <w:rPr>
          <w:rFonts w:eastAsia="Calibri"/>
          <w:color w:val="auto"/>
          <w:lang w:eastAsia="en-US"/>
        </w:rPr>
        <w:fldChar w:fldCharType="end"/>
      </w:r>
      <w:r w:rsidRPr="00D40C27">
        <w:rPr>
          <w:rFonts w:eastAsia="Calibri"/>
          <w:color w:val="auto"/>
          <w:lang w:eastAsia="en-US"/>
        </w:rPr>
        <w:t xml:space="preserve">. </w:t>
      </w:r>
    </w:p>
    <w:p w14:paraId="1EFD9D8A" w14:textId="03977045"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Contact strategies derive from </w:t>
      </w:r>
      <w:r w:rsidR="00B32D9C">
        <w:rPr>
          <w:rFonts w:eastAsia="Calibri"/>
          <w:color w:val="auto"/>
          <w:lang w:eastAsia="en-US"/>
        </w:rPr>
        <w:t xml:space="preserve">the </w:t>
      </w:r>
      <w:r w:rsidRPr="00D40C27">
        <w:rPr>
          <w:rFonts w:eastAsia="Calibri"/>
          <w:color w:val="auto"/>
          <w:lang w:eastAsia="en-US"/>
        </w:rPr>
        <w:t xml:space="preserve">early social psychological theory that posits that positive intergroup interaction reduces prejudicial attitudes and develops positive beliefs towards stigmatised groups (Allport, 1954). </w:t>
      </w:r>
      <w:r w:rsidR="00E816EB">
        <w:rPr>
          <w:rFonts w:eastAsia="Calibri"/>
          <w:color w:val="auto"/>
          <w:lang w:eastAsia="en-US"/>
        </w:rPr>
        <w:t>C</w:t>
      </w:r>
      <w:r w:rsidRPr="00D40C27">
        <w:rPr>
          <w:rFonts w:eastAsia="Calibri"/>
          <w:color w:val="auto"/>
          <w:lang w:eastAsia="en-US"/>
        </w:rPr>
        <w:t xml:space="preserve">ontact based interactions appear to be </w:t>
      </w:r>
      <w:r w:rsidR="00B32D9C">
        <w:rPr>
          <w:rFonts w:eastAsia="Calibri"/>
          <w:color w:val="auto"/>
          <w:lang w:eastAsia="en-US"/>
        </w:rPr>
        <w:t xml:space="preserve">a </w:t>
      </w:r>
      <w:r w:rsidRPr="00D40C27">
        <w:rPr>
          <w:rFonts w:eastAsia="Calibri"/>
          <w:color w:val="auto"/>
          <w:lang w:eastAsia="en-US"/>
        </w:rPr>
        <w:t xml:space="preserve">highly effective method to reduce stigma </w:t>
      </w:r>
      <w:r w:rsidRPr="00D40C27">
        <w:rPr>
          <w:rFonts w:eastAsia="Calibri"/>
          <w:noProof/>
          <w:color w:val="auto"/>
          <w:lang w:eastAsia="en-US"/>
        </w:rPr>
        <w:t>(Corrigan et al., 2012; Pettigrew &amp; Tropp, 2006)</w:t>
      </w:r>
      <w:r w:rsidRPr="00D40C27">
        <w:rPr>
          <w:rFonts w:eastAsia="Calibri"/>
          <w:color w:val="auto"/>
          <w:lang w:eastAsia="en-US"/>
        </w:rPr>
        <w:t>. Interpersonal contact with stigmatised individuals has been associated with positive change across components of stigma (knowledge, attitudes</w:t>
      </w:r>
      <w:r w:rsidR="00B32D9C">
        <w:rPr>
          <w:rFonts w:eastAsia="Calibri"/>
          <w:color w:val="auto"/>
          <w:lang w:eastAsia="en-US"/>
        </w:rPr>
        <w:t>,</w:t>
      </w:r>
      <w:r w:rsidRPr="00D40C27">
        <w:rPr>
          <w:rFonts w:eastAsia="Calibri"/>
          <w:color w:val="auto"/>
          <w:lang w:eastAsia="en-US"/>
        </w:rPr>
        <w:t xml:space="preserve"> and intended behaviour) and some research indicates that change is maintained beyond that achievable by educational interventions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{"citationItems":[{"id":"ITEM-1","itemData":{"DOI":"10.1111/j.1600-0447.2012.01826.x","ISSN":"1600-0447","PMID":"22242976","abstract":"OBJECTIVE: To explore whether the increase in knowledge about the biological correlates of mental disorders over the last decades has translated into improved public understanding of mental illness, increased readiness to seek mental health care and more tolerant attitudes towards mentally ill persons.\n\nMETHOD: A systematic review of all studies on mental illness-related beliefs and attitudes in the general population published before 31 March 2011, examining the time trends of attitudes with a follow-up interval of at least 2 years and using national representative population samples. A subsample of methodologically homogeneous studies was further included in a meta-regression analysis of time trends.\n\nRESULTS: Thirty-three reports on 16 studies on national time trends met our inclusion criteria, six of which were eligible for a meta-regression analysis. Two major trends emerged: there was a coherent trend to greater mental health literacy, in particular towards a biological model of mental illness, and greater acceptance of professional help for mental health problems. In contrast, however, no changes or even changes to the worse were observed regarding the attitudes towards people with mental illness.\n\nCONCLUSION: Increasing public understanding of the biological correlates of mental illness seems not to result in better social acceptance of persons with mental illness.","author":[{"dropping-particle":"","family":"Schomerus","given":"G","non-dropping-particle":"","parse-names":false,"suffix":""},{"dropping-particle":"","family":"Schwahn","given":"C","non-dropping-particle":"","parse-names":false,"suffix":""},{"dropping-particle":"","family":"Holzinger","given":"A","non-dropping-particle":"","parse-names":false,"suffix":""},{"dropping-particle":"","family":"Corrigan","given":"P W","non-dropping-particle":"","parse-names":false,"suffix":""},{"dropping-particle":"","family":"Grabe","given":"H J","non-dropping-particle":"","parse-names":false,"suffix":""},{"dropping-particle":"","family":"Carta","given":"M G","non-dropping-particle":"","parse-names":false,"suffix":""},{"dropping-particle":"","family":"Angermeyer","given":"M C","non-dropping-particle":"","parse-names":false,"suffix":""}],"container-title":"Acta psychiatrica Scandinavica","id":"ITEM-1","issue":"6","issued":{"date-parts":[["2012","6"]]},"page":"440-52","title":"Evolution of public attitudes about mental illness: a systematic review and meta-analysis.","type":"article-journal","volume":"125"},"uris":["http://www.mendeley.com/documents/?uuid=7202726f-17e4-4608-840a-8041e2aa8a26"]},{"id":"ITEM-2","itemData":{"author":[{"dropping-particle":"","family":"Heijnders","given":"M","non-dropping-particle":"","parse-names":false,"suffix":""},{"dropping-particle":"Van Der","family":"Meij","given":"S","non-dropping-particle":"","parse-names":false,"suffix":""}],"container-title":"Psychology, health &amp; medicine","id":"ITEM-2","issued":{"date-parts":[["2006"]]},"title":"The fight against stigma: an overview of stigma-reduction strategies and interventions","type":"article-journal"},"uris":["http://www.mendeley.com/documents/?uuid=7f5fd24a-60dd-4c27-ae73-5aec5a9e721c"]}],"mendeley":{"formattedCitation":"(Heijnders &amp; Meij, 2006; Schomerus et al., 2012)","plainTextFormattedCitation":"(Heijnders &amp; Meij, 2006; Schomerus et al., 2012)","previouslyFormattedCitation":"(Heijnders &amp; Meij, 2006; Schomerus et al., 2012)"},"properties":{"noteIndex":0},"schema":"https://github.com/citation-style-language/schema/raw/master/csl-citation.json"}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(Heijnders &amp; Meij, 2006; Schomerus et al., 2012)</w:t>
      </w:r>
      <w:r w:rsidRPr="00D40C27">
        <w:rPr>
          <w:rFonts w:eastAsia="Calibri"/>
          <w:color w:val="auto"/>
          <w:lang w:eastAsia="en-US"/>
        </w:rPr>
        <w:fldChar w:fldCharType="end"/>
      </w:r>
      <w:r w:rsidRPr="00D40C27">
        <w:rPr>
          <w:rFonts w:eastAsia="Calibri"/>
          <w:color w:val="auto"/>
          <w:lang w:eastAsia="en-US"/>
        </w:rPr>
        <w:t xml:space="preserve">. However, facilitating actual contact is not a cost-effective strategy for challenging stigma on a large scale. Other forms of contact-based strategies, such as imagined contact (IC) have offered a degree of effectiveness in reducing prejudice </w:t>
      </w:r>
      <w:r w:rsidRPr="00D40C27">
        <w:rPr>
          <w:rFonts w:eastAsia="Calibri"/>
          <w:noProof/>
          <w:color w:val="auto"/>
          <w:lang w:eastAsia="en-US"/>
        </w:rPr>
        <w:t>(Miles &amp; Crisp, 2014; Miles &amp; Crisp, 2013)</w:t>
      </w:r>
    </w:p>
    <w:p w14:paraId="02916A76" w14:textId="38CFE68A"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Imagined contact was developed with the same principle of intergroup contact interventions; however, rather than a face to face encounter, the contact is mentally articulated by the participant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{"citationItems":[{"id":"ITEM-1","itemData":{"DOI":"10.1080/00224545.2012.697080","ISSN":"0022-4545","PMID":"23057193","abstract":"Research has demonstrated widespread negative attitudes held toward people with mental health problems. Our study investigated whether a new prejudice reduction technique, imagined intergroup contact (Crisp &amp; Turner, 2009), could combat stigma against people with mental illness, and the mediating processes through which it may exert this beneficial effect. We found that compared to a control condition, participants who imagined a positive encounter with a schizophrenic person reported weakened stereotypes and formed stronger intentions to engage in future social interactions with schizophrenic people in general. Importantly, these intentions were formed due to reduced feelings of anxiety about future interactions. We discuss the implications of these findings for improving the social inclusion of people with mental health problems.","author":[{"dropping-particle":"","family":"Stathi","given":"Sofia","non-dropping-particle":"","parse-names":false,"suffix":""},{"dropping-particle":"","family":"Tsantila","given":"Katerina","non-dropping-particle":"","parse-names":false,"suffix":""},{"dropping-particle":"","family":"Crisp","given":"Richard J","non-dropping-particle":"","parse-names":false,"suffix":""}],"container-title":"The Journal of social psychology","id":"ITEM-1","issue":"6","issued":{"date-parts":[["2012","1"]]},"page":"746-57","title":"Imagining intergroup contact can combat mental health stigma by reducing anxiety, avoidance and negative stereotyping.","type":"article-journal","volume":"152"},"uris":["http://www.mendeley.com/documents/?uuid=20412392-ddbd-4a36-b33f-71feb6724e1f"]},{"id":"ITEM-2","itemData":{"author":[{"dropping-particle":"","family":"Turner","given":"RN","non-dropping-particle":"","parse-names":false,"suffix":""},{"dropping-particle":"","family":"Crisp","given":"RJ","non-dropping-particle":"","parse-names":false,"suffix":""},{"dropping-particle":"","family":"Lambert","given":"E","non-dropping-particle":"","parse-names":false,"suffix":""}],"container-title":"Group Processes &amp; Intergroup","id":"ITEM-2","issued":{"date-parts":[["2007"]]},"title":"Imagining intergroup contact can improve intergroup attitudes","type":"article-journal"},"uris":["http://www.mendeley.com/documents/?uuid=9969a9d4-47c1-3552-8c27-ad3673e61f95"]}],"mendeley":{"formattedCitation":"(Stathi, Tsantila, &amp; Crisp, 2012; Turner, Crisp, &amp; Lambert, 2007)","plainTextFormattedCitation":"(Stathi, Tsantila, &amp; Crisp, 2012; Turner, Crisp, &amp; Lambert, 2007)","previouslyFormattedCitation":"(Stathi, Tsantila, &amp; Crisp, 2012; Turner, Crisp, &amp; Lambert, 2007)"},"properties":{"noteIndex":0},"schema":"https://github.com/citation-style-language/schema/raw/master/csl-citation.json"}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 xml:space="preserve">(Stathi, Tsantila, &amp; Crisp, 2012; Turner, Crisp, &amp; Lambert, </w:t>
      </w:r>
      <w:r w:rsidRPr="00D40C27">
        <w:rPr>
          <w:rFonts w:eastAsia="Calibri"/>
          <w:noProof/>
          <w:color w:val="auto"/>
          <w:lang w:eastAsia="en-US"/>
        </w:rPr>
        <w:lastRenderedPageBreak/>
        <w:t>2007)</w:t>
      </w:r>
      <w:r w:rsidRPr="00D40C27">
        <w:rPr>
          <w:rFonts w:eastAsia="Calibri"/>
          <w:color w:val="auto"/>
          <w:lang w:eastAsia="en-US"/>
        </w:rPr>
        <w:fldChar w:fldCharType="end"/>
      </w:r>
      <w:r w:rsidRPr="00D40C27">
        <w:rPr>
          <w:rFonts w:eastAsia="Calibri"/>
          <w:color w:val="auto"/>
          <w:lang w:eastAsia="en-US"/>
        </w:rPr>
        <w:t xml:space="preserve">. In real life, the </w:t>
      </w:r>
      <w:r w:rsidR="00E816EB" w:rsidRPr="00D40C27">
        <w:rPr>
          <w:rFonts w:eastAsia="Calibri"/>
          <w:color w:val="auto"/>
          <w:lang w:eastAsia="en-US"/>
        </w:rPr>
        <w:t>public</w:t>
      </w:r>
      <w:r w:rsidRPr="00D40C27">
        <w:rPr>
          <w:rFonts w:eastAsia="Calibri"/>
          <w:color w:val="auto"/>
          <w:lang w:eastAsia="en-US"/>
        </w:rPr>
        <w:t xml:space="preserve"> would rarely encounter opportunities to engage in social </w:t>
      </w:r>
      <w:r w:rsidR="00E816EB">
        <w:rPr>
          <w:rFonts w:eastAsia="Calibri"/>
          <w:color w:val="auto"/>
          <w:lang w:eastAsia="en-US"/>
        </w:rPr>
        <w:t>exchange</w:t>
      </w:r>
      <w:r w:rsidR="00E816EB" w:rsidRPr="00D40C27">
        <w:rPr>
          <w:rFonts w:eastAsia="Calibri"/>
          <w:color w:val="auto"/>
          <w:lang w:eastAsia="en-US"/>
        </w:rPr>
        <w:t xml:space="preserve"> </w:t>
      </w:r>
      <w:r w:rsidRPr="00D40C27">
        <w:rPr>
          <w:rFonts w:eastAsia="Calibri"/>
          <w:color w:val="auto"/>
          <w:lang w:eastAsia="en-US"/>
        </w:rPr>
        <w:t>with</w:t>
      </w:r>
      <w:r w:rsidR="00E816EB">
        <w:rPr>
          <w:rFonts w:eastAsia="Calibri"/>
          <w:color w:val="auto"/>
          <w:lang w:eastAsia="en-US"/>
        </w:rPr>
        <w:t xml:space="preserve"> a member of a</w:t>
      </w:r>
      <w:r w:rsidRPr="00D40C27">
        <w:rPr>
          <w:rFonts w:eastAsia="Calibri"/>
          <w:color w:val="auto"/>
          <w:lang w:eastAsia="en-US"/>
        </w:rPr>
        <w:t xml:space="preserve"> stigmatised group, both because of lack of real opportunities and because the negative attitudes and expectations of contact would provoke people to avoid actual contact. IC is an imagery technique that allows individuals to imagine a positive interaction with a commonly stigmatised group in order to reduce negative expectations of contact and negative attitudes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Husnu","given":"S","non-dropping-particle":"","parse-names":false,"suffix":""},{"dropping-particle":"","family":"Crisp","given":"RJ","non-dropping-particle":"","parse-names":false,"suffix":""}],"container-title":"Peace and Conflict","id":"ITEM-1","issued":{"date-parts":[["2010"]]},"title":"Imagined intergroup contact: A new technique for encouraging greater inter-ethnic contact in Cyprus","type":"article-journal"},"uris":["http://www.mendeley.com/documents/?uuid=f5cb47d3-9161-311d-8103-50975d789db1"]}],"mendeley":{"formattedCitation":"(Husnu &amp; Crisp, 2010)","plainTextFormattedCitation":"(Husnu &amp; Crisp, 2010)","previouslyFormattedCitation":"(Husnu &amp; Crisp, 2010)"},"properties":{"noteIndex":0},"schema":"https://github.com/citation-style-language/schema/raw/master/csl-citation.json"}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(Husnu &amp; Crisp, 2010)</w:t>
      </w:r>
      <w:r w:rsidRPr="00D40C27">
        <w:rPr>
          <w:rFonts w:eastAsia="Calibri"/>
          <w:color w:val="auto"/>
          <w:lang w:eastAsia="en-US"/>
        </w:rPr>
        <w:fldChar w:fldCharType="end"/>
      </w:r>
      <w:r w:rsidRPr="00D40C27">
        <w:rPr>
          <w:rFonts w:eastAsia="Calibri"/>
          <w:color w:val="auto"/>
          <w:lang w:eastAsia="en-US"/>
        </w:rPr>
        <w:t xml:space="preserve">. Neuropsychological studies have shown that mental imagery involves some of the same neurological pathways as real contact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Ganis","given":"G","non-dropping-particle":"","parse-names":false,"suffix":""},{"dropping-particle":"","family":"Thompson","given":"WL","non-dropping-particle":"","parse-names":false,"suffix":""},{"dropping-particle":"","family":"Kosslyn","given":"SM","non-dropping-particle":"","parse-names":false,"suffix":""}],"container-title":"Cognitive Brain Research","id":"ITEM-1","issued":{"date-parts":[["2004"]]},"title":"Brain areas underlying visual mental imagery and visual perception: an fMRI study","type":"article-journal"},"uris":["http://www.mendeley.com/documents/?uuid=6cca7a85-10b0-3d41-9299-f0a9629fb07b"]}],"mendeley":{"formattedCitation":"(Ganis, Thompson, &amp; Kosslyn, 2004)","plainTextFormattedCitation":"(Ganis, Thompson, &amp; Kosslyn, 2004)","previouslyFormattedCitation":"(Ganis, Thompson, &amp; Kosslyn, 2004)"},"properties":{"noteIndex":0},"schema":"https://github.com/citation-style-language/schema/raw/master/csl-citation.json"}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(Ganis, Thompson, &amp; Kosslyn, 2004)</w:t>
      </w:r>
      <w:r w:rsidRPr="00D40C27">
        <w:rPr>
          <w:rFonts w:eastAsia="Calibri"/>
          <w:color w:val="auto"/>
          <w:lang w:eastAsia="en-US"/>
        </w:rPr>
        <w:fldChar w:fldCharType="end"/>
      </w:r>
      <w:r w:rsidRPr="00D40C27">
        <w:rPr>
          <w:rFonts w:eastAsia="Calibri"/>
          <w:color w:val="auto"/>
          <w:lang w:eastAsia="en-US"/>
        </w:rPr>
        <w:t xml:space="preserve">. Therefore, if imagery interventions activate neurological networks associated with pleasant interactions with out-groups, just imagining a positive interaction should elicit less intergroup anxiety and more positive attitudes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Husnu","given":"S","non-dropping-particle":"","parse-names":false,"suffix":""},{"dropping-particle":"","family":"Crisp","given":"RJ","non-dropping-particle":"","parse-names":false,"suffix":""}],"container-title":"Peace and Conflict","id":"ITEM-1","issued":{"date-parts":[["2010"]]},"title":"Imagined intergroup contact: A new technique for encouraging greater inter-ethnic contact in Cyprus","type":"article-journal"},"uris":["http://www.mendeley.com/documents/?uuid=f5cb47d3-9161-311d-8103-50975d789db1"]},{"id":"ITEM-2","itemData":{"author":[{"dropping-particle":"","family":"Crisp","given":"RJ","non-dropping-particle":"","parse-names":false,"suffix":""},{"dropping-particle":"","family":"Stathi","given":"S","non-dropping-particle":"","parse-names":false,"suffix":""},{"dropping-particle":"","family":"Turner","given":"RN","non-dropping-particle":"","parse-names":false,"suffix":""}],"container-title":"Social and Personality","id":"ITEM-2","issued":{"date-parts":[["2009"]]},"title":"Imagined intergroup contact: Theory, paradigm and practice","type":"article-journal"},"uris":["http://www.mendeley.com/documents/?uuid=348c2e0b-1e85-3108-af86-b7caabd85df7"]},{"id":"ITEM-3","itemData":{"author":[{"dropping-particle":"","family":"Turner","given":"RN","non-dropping-particle":"","parse-names":false,"suffix":""},{"dropping-particle":"","family":"Crisp","given":"RJ","non-dropping-particle":"","parse-names":false,"suffix":""},{"dropping-particle":"","family":"Lambert","given":"E","non-dropping-particle":"","parse-names":false,"suffix":""}],"container-title":"Group Processes &amp; Intergroup","id":"ITEM-3","issued":{"date-parts":[["2007"]]},"title":"Imagining intergroup contact can improve intergroup attitudes","type":"article-journal"},"uris":["http://www.mendeley.com/documents/?uuid=9969a9d4-47c1-3552-8c27-ad3673e61f95"]}],"mendeley":{"formattedCitation":"(Crisp, Stathi, &amp; Turner, 2009; Husnu &amp; Crisp, 2010; Turner et al., 2007)","plainTextFormattedCitation":"(Crisp, Stathi, &amp; Turner, 2009; Husnu &amp; Crisp, 2010; Turner et al., 2007)","previouslyFormattedCitation":"(Crisp, Stathi, &amp; Turner, 2009; Husnu &amp; Crisp, 2010; Turner et al., 2007)"},"properties":{"noteIndex":0},"schema":"https://github.com/citation-style-language/schema/raw/master/csl-citation.json"}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(Crisp, Stathi, &amp; Turner, 2009; Husnu &amp; Crisp, 2010; Turner et al., 2007)</w:t>
      </w:r>
      <w:r w:rsidRPr="00D40C27">
        <w:rPr>
          <w:rFonts w:eastAsia="Calibri"/>
          <w:color w:val="auto"/>
          <w:lang w:eastAsia="en-US"/>
        </w:rPr>
        <w:fldChar w:fldCharType="end"/>
      </w:r>
      <w:r w:rsidRPr="00D40C27">
        <w:rPr>
          <w:rFonts w:eastAsia="Calibri"/>
          <w:color w:val="auto"/>
          <w:lang w:eastAsia="en-US"/>
        </w:rPr>
        <w:t xml:space="preserve">. </w:t>
      </w:r>
    </w:p>
    <w:p w14:paraId="1FADF49B" w14:textId="5FAAE68D"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 The effectiveness of IC has been tested in a wide range of </w:t>
      </w:r>
      <w:r w:rsidR="00E816EB">
        <w:rPr>
          <w:rFonts w:eastAsia="Calibri"/>
          <w:color w:val="auto"/>
          <w:lang w:eastAsia="en-US"/>
        </w:rPr>
        <w:t>anti-stigma</w:t>
      </w:r>
      <w:r w:rsidRPr="00D40C27">
        <w:rPr>
          <w:rFonts w:eastAsia="Calibri"/>
          <w:color w:val="auto"/>
          <w:lang w:eastAsia="en-US"/>
        </w:rPr>
        <w:t xml:space="preserve"> strategies</w:t>
      </w:r>
      <w:r w:rsidR="00E816EB">
        <w:rPr>
          <w:rFonts w:eastAsia="Calibri"/>
          <w:color w:val="auto"/>
          <w:lang w:eastAsia="en-US"/>
        </w:rPr>
        <w:t>, including efforts</w:t>
      </w:r>
      <w:r w:rsidRPr="00D40C27">
        <w:rPr>
          <w:rFonts w:eastAsia="Calibri"/>
          <w:color w:val="auto"/>
          <w:lang w:eastAsia="en-US"/>
        </w:rPr>
        <w:t xml:space="preserve"> to reduce prejudice towards members of different sexual orientation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Lee","given":"W","non-dropping-particle":"","parse-names":false,"suffix":""},{"dropping-particle":"","family":"Cunningham","given":"GB","non-dropping-particle":"","parse-names":false,"suffix":""}],"container-title":"Journal of Applied Social","id":"ITEM-1","issued":{"date-parts":[["2014"]]},"title":"Imagine that: examining the influence of sport</w:instrText>
      </w:r>
      <w:r w:rsidRPr="00D40C27">
        <w:rPr>
          <w:rFonts w:ascii="Cambria Math" w:eastAsia="Calibri" w:hAnsi="Cambria Math" w:cs="Cambria Math"/>
          <w:color w:val="auto"/>
          <w:lang w:eastAsia="en-US"/>
        </w:rPr>
        <w:instrText>‐</w:instrText>
      </w:r>
      <w:r w:rsidRPr="00D40C27">
        <w:rPr>
          <w:rFonts w:eastAsia="Calibri"/>
          <w:color w:val="auto"/>
          <w:lang w:eastAsia="en-US"/>
        </w:rPr>
        <w:instrText>related imagined contact on intergroup anxiety and sexual prejudice across cultures","type":"article-journal"},"uris":["http://www.mendeley.com/documents/?uuid=00a8e75f-df1d-31f2-80fc-82d7fb266a6c"]}],"mendeley":{"formattedCitation":"(Lee &amp; Cunningham, 2014)","plainTextFormattedCitation":"(Lee &amp; Cunningham, 2014)","previouslyFormattedCitation":"(Lee &amp; Cunningham, 2014)"},"properties":{"noteIndex":0},"schema":"https://github.com/citation-style-language/schema/raw/master/csl-citation.json"}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(Lee &amp; Cunningham, 2014)</w:t>
      </w:r>
      <w:r w:rsidRPr="00D40C27">
        <w:rPr>
          <w:rFonts w:eastAsia="Calibri"/>
          <w:color w:val="auto"/>
          <w:lang w:eastAsia="en-US"/>
        </w:rPr>
        <w:fldChar w:fldCharType="end"/>
      </w:r>
      <w:r w:rsidRPr="00D40C27">
        <w:rPr>
          <w:rFonts w:eastAsia="Calibri"/>
          <w:color w:val="auto"/>
          <w:lang w:eastAsia="en-US"/>
        </w:rPr>
        <w:t xml:space="preserve">, mental distress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{"citationItems":[{"id":"ITEM-1","itemData":{"DOI":"10.1080/00224545.2012.697080","ISSN":"0022-4545","PMID":"23057193","abstract":"Research has demonstrated widespread negative attitudes held toward people with mental health problems. Our study investigated whether a new prejudice reduction technique, imagined intergroup contact (Crisp &amp; Turner, 2009), could combat stigma against people with mental illness, and the mediating processes through which it may exert this beneficial effect. We found that compared to a control condition, participants who imagined a positive encounter with a schizophrenic person reported weakened stereotypes and formed stronger intentions to engage in future social interactions with schizophrenic people in general. Importantly, these intentions were formed due to reduced feelings of anxiety about future interactions. We discuss the implications of these findings for improving the social inclusion of people with mental health problems.","author":[{"dropping-particle":"","family":"Stathi","given":"Sofia","non-dropping-particle":"","parse-names":false,"suffix":""},{"dropping-particle":"","family":"Tsantila","given":"Katerina","non-dropping-particle":"","parse-names":false,"suffix":""},{"dropping-particle":"","family":"Crisp","given":"Richard J","non-dropping-particle":"","parse-names":false,"suffix":""}],"container-title":"The Journal of social psychology","id":"ITEM-1","issue":"6","issued":{"date-parts":[["2012","1"]]},"page":"746-57","title":"Imagining intergroup contact can combat mental health stigma by reducing anxiety, avoidance and negative stereotyping.","type":"article-journal","volume":"152"},"uris":["http://www.mendeley.com/documents/?uuid=20412392-ddbd-4a36-b33f-71feb6724e1f"]}],"mendeley":{"formattedCitation":"(Stathi et al., 2012)","plainTextFormattedCitation":"(Stathi et al., 2012)","previouslyFormattedCitation":"(Stathi et al., 2012)"},"properties":{"noteIndex":0},"schema":"https://github.com/citation-style-language/schema/raw/master/csl-citation.json"}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(Stathi et al., 2012)</w:t>
      </w:r>
      <w:r w:rsidRPr="00D40C27">
        <w:rPr>
          <w:rFonts w:eastAsia="Calibri"/>
          <w:color w:val="auto"/>
          <w:lang w:eastAsia="en-US"/>
        </w:rPr>
        <w:fldChar w:fldCharType="end"/>
      </w:r>
      <w:r w:rsidRPr="00D40C27">
        <w:rPr>
          <w:rFonts w:eastAsia="Calibri"/>
          <w:color w:val="auto"/>
          <w:lang w:eastAsia="en-US"/>
        </w:rPr>
        <w:t xml:space="preserve"> and ethnic minority groups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Turner","given":"RN","non-dropping-particle":"","parse-names":false,"suffix":""},{"dropping-particle":"","family":"Crisp","given":"RJ","non-dropping-particle":"","parse-names":false,"suffix":""},{"dropping-particle":"","family":"Lambert","given":"E","non-dropping-particle":"","parse-names":false,"suffix":""}],"container-title":"Group Processes &amp; Intergroup","id":"ITEM-1","issued":{"date-parts":[["2007"]]},"title":"Imagining intergroup contact can improve intergroup attitudes","type":"article-journal"},"uris":["http://www.mendeley.com/documents/?uuid=9969a9d4-47c1-3552-8c27-ad3673e61f95"]}],"mendeley":{"formattedCitation":"(Turner et al., 2007)","plainTextFormattedCitation":"(Turner et al., 2007)","previouslyFormattedCitation":"(Turner et al., 2007)"},"properties":{"noteIndex":0},"schema":"https://github.com/citation-style-language/schema/raw/master/csl-citation.json"}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(Turner et al., 2007)</w:t>
      </w:r>
      <w:r w:rsidRPr="00D40C27">
        <w:rPr>
          <w:rFonts w:eastAsia="Calibri"/>
          <w:color w:val="auto"/>
          <w:lang w:eastAsia="en-US"/>
        </w:rPr>
        <w:fldChar w:fldCharType="end"/>
      </w:r>
      <w:r w:rsidRPr="00D40C27">
        <w:rPr>
          <w:rFonts w:eastAsia="Calibri"/>
          <w:color w:val="auto"/>
          <w:lang w:eastAsia="en-US"/>
        </w:rPr>
        <w:t xml:space="preserve">, amongst others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Vezzali","given":"L","non-dropping-particle":"","parse-names":false,"suffix":""},{"dropping-particle":"","family":"Capozza","given":"D","non-dropping-particle":"","parse-names":false,"suffix":""},{"dropping-particle":"","family":"Giovannini","given":"D","non-dropping-particle":"","parse-names":false,"suffix":""}],"container-title":"Group Processes &amp;","id":"ITEM-1","issued":{"date-parts":[["2011"]]},"title":"Improving implicit and explicit intergroup attitudes using imagined contact: An experimental intervention with elementary school children","type":"article-journal"},"uris":["http://www.mendeley.com/documents/?uuid=a9703172-99df-322c-9c2e-cd379b5560ba"]}],"mendeley":{"formattedCitation":"(Vezzali, Capozza, &amp; Giovannini, 2011)","plainTextFormattedCitation":"(Vezzali, Capozza, &amp; Giovannini, 2011)","previouslyFormattedCitation":"(Vezzali, Capozza, &amp; Giovannini, 2011)"},"properties":{"noteIndex":0},"schema":"https://github.com/citation-style-language/schema/raw/master/csl-citation.json"}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(Vezzali, Capozza, &amp; Giovannini, 2011)</w:t>
      </w:r>
      <w:r w:rsidRPr="00D40C27">
        <w:rPr>
          <w:rFonts w:eastAsia="Calibri"/>
          <w:color w:val="auto"/>
          <w:lang w:eastAsia="en-US"/>
        </w:rPr>
        <w:fldChar w:fldCharType="end"/>
      </w:r>
      <w:r w:rsidRPr="00D40C27">
        <w:rPr>
          <w:rFonts w:eastAsia="Calibri"/>
          <w:color w:val="auto"/>
          <w:lang w:eastAsia="en-US"/>
        </w:rPr>
        <w:t>. A recent meta-analysis showed that IC is effective in reducing prejudice and has a moderate effect (d</w:t>
      </w:r>
      <w:r w:rsidRPr="00D40C27">
        <w:rPr>
          <w:rFonts w:eastAsia="Calibri"/>
          <w:color w:val="auto"/>
          <w:vertAlign w:val="subscript"/>
          <w:lang w:eastAsia="en-US"/>
        </w:rPr>
        <w:t xml:space="preserve">+ </w:t>
      </w:r>
      <w:r w:rsidRPr="00D40C27">
        <w:rPr>
          <w:rFonts w:eastAsia="Calibri"/>
          <w:color w:val="auto"/>
          <w:lang w:eastAsia="en-US"/>
        </w:rPr>
        <w:t xml:space="preserve">= 0.35) across various types of prejudice measures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Miles","given":"E","non-dropping-particle":"","parse-names":false,"suffix":""},{"dropping-particle":"","family":"Crisp","given":"RJ","non-dropping-particle":"","parse-names":false,"suffix":""}],"container-title":"Group Processes &amp; Intergroup Relations","id":"ITEM-1","issued":{"date-parts":[["2014"]]},"title":"A meta-analytic test of the imagined contact hypothesis","type":"article-journal"},"uris":["http://www.mendeley.com/documents/?uuid=20bfd95f-533d-36a1-8a8c-001b2a13ce9d"]}],"mendeley":{"formattedCitation":"(Miles &amp; Crisp, 2014)","plainTextFormattedCitation":"(Miles &amp; Crisp, 2014)","previouslyFormattedCitation":"(Miles &amp; Crisp, 2014)"},"properties":{"noteIndex":0},"schema":"https://github.com/citation-style-language/schema/raw/master/csl-citation.json"}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(Miles &amp; Crisp, 2014)</w:t>
      </w:r>
      <w:r w:rsidRPr="00D40C27">
        <w:rPr>
          <w:rFonts w:eastAsia="Calibri"/>
          <w:color w:val="auto"/>
          <w:lang w:eastAsia="en-US"/>
        </w:rPr>
        <w:fldChar w:fldCharType="end"/>
      </w:r>
      <w:r w:rsidRPr="00D40C27">
        <w:rPr>
          <w:rFonts w:eastAsia="Calibri"/>
          <w:color w:val="auto"/>
          <w:lang w:eastAsia="en-US"/>
        </w:rPr>
        <w:t xml:space="preserve">. Studies using IC strategies report a reduction in negative evaluation of stigmatised others </w:t>
      </w:r>
      <w:r w:rsidRPr="00D40C27">
        <w:rPr>
          <w:rFonts w:eastAsia="Calibri"/>
          <w:noProof/>
          <w:color w:val="auto"/>
          <w:lang w:eastAsia="en-US"/>
        </w:rPr>
        <w:t>(Birtel &amp; Crisp, 2012b; Turner, Crisp, &amp; Lambert, 2007)</w:t>
      </w:r>
      <w:r w:rsidRPr="00D40C27">
        <w:rPr>
          <w:rFonts w:eastAsia="Calibri"/>
          <w:color w:val="auto"/>
          <w:lang w:eastAsia="en-US"/>
        </w:rPr>
        <w:t xml:space="preserve"> and changes factors associated with prejudice, such as reduction of intergroup anxiety </w:t>
      </w:r>
      <w:r w:rsidRPr="00D40C27">
        <w:rPr>
          <w:rFonts w:eastAsia="Calibri"/>
          <w:noProof/>
          <w:color w:val="auto"/>
          <w:lang w:eastAsia="en-US"/>
        </w:rPr>
        <w:t>(Birtel &amp; Crisp, 2012a; Cameron, Rutland, &amp; Turner, 2011; Stathi, Tsantila, &amp; Crisp, 2012)</w:t>
      </w:r>
      <w:r w:rsidRPr="00D40C27">
        <w:rPr>
          <w:rFonts w:eastAsia="Calibri"/>
          <w:color w:val="auto"/>
          <w:lang w:eastAsia="en-US"/>
        </w:rPr>
        <w:t xml:space="preserve"> and greater intentions to engage in contact with stigmatised groups </w:t>
      </w:r>
      <w:r w:rsidRPr="00D40C27">
        <w:rPr>
          <w:rFonts w:eastAsia="Calibri"/>
          <w:noProof/>
          <w:color w:val="auto"/>
          <w:lang w:eastAsia="en-US"/>
        </w:rPr>
        <w:t>(Husnu &amp; Crisp, 2010b, 2010a; Turner &amp; West, 2011)</w:t>
      </w:r>
      <w:r w:rsidRPr="00D40C27">
        <w:rPr>
          <w:rFonts w:eastAsia="Calibri"/>
          <w:color w:val="auto"/>
          <w:lang w:eastAsia="en-US"/>
        </w:rPr>
        <w:t xml:space="preserve">. </w:t>
      </w:r>
      <w:r w:rsidR="008E1166">
        <w:rPr>
          <w:rFonts w:eastAsia="Calibri"/>
          <w:color w:val="auto"/>
          <w:lang w:eastAsia="en-US"/>
        </w:rPr>
        <w:t>Studies</w:t>
      </w:r>
      <w:r w:rsidRPr="00D40C27">
        <w:rPr>
          <w:rFonts w:eastAsia="Calibri"/>
          <w:color w:val="auto"/>
          <w:lang w:eastAsia="en-US"/>
        </w:rPr>
        <w:t xml:space="preserve"> on stigma towards obesity have </w:t>
      </w:r>
      <w:r w:rsidR="008E1166">
        <w:rPr>
          <w:rFonts w:eastAsia="Calibri"/>
          <w:color w:val="auto"/>
          <w:lang w:eastAsia="en-US"/>
        </w:rPr>
        <w:t xml:space="preserve">also </w:t>
      </w:r>
      <w:r w:rsidRPr="00D40C27">
        <w:rPr>
          <w:rFonts w:eastAsia="Calibri"/>
          <w:color w:val="auto"/>
          <w:lang w:eastAsia="en-US"/>
        </w:rPr>
        <w:t>reported a degree of support to</w:t>
      </w:r>
      <w:r w:rsidR="008E1166">
        <w:rPr>
          <w:rFonts w:eastAsia="Calibri"/>
          <w:color w:val="auto"/>
          <w:lang w:eastAsia="en-US"/>
        </w:rPr>
        <w:t>wards</w:t>
      </w:r>
      <w:r w:rsidRPr="00D40C27">
        <w:rPr>
          <w:rFonts w:eastAsia="Calibri"/>
          <w:color w:val="auto"/>
          <w:lang w:eastAsia="en-US"/>
        </w:rPr>
        <w:t xml:space="preserve"> the effectiveness IC, which suggest</w:t>
      </w:r>
      <w:r w:rsidR="00B32D9C">
        <w:rPr>
          <w:rFonts w:eastAsia="Calibri"/>
          <w:color w:val="auto"/>
          <w:lang w:eastAsia="en-US"/>
        </w:rPr>
        <w:t>s</w:t>
      </w:r>
      <w:r w:rsidRPr="00D40C27">
        <w:rPr>
          <w:rFonts w:eastAsia="Calibri"/>
          <w:color w:val="auto"/>
          <w:lang w:eastAsia="en-US"/>
        </w:rPr>
        <w:t xml:space="preserve"> that it may be useful for other forms of appearance-related stigma, such as FD </w:t>
      </w:r>
      <w:r w:rsidRPr="00D40C27">
        <w:rPr>
          <w:rFonts w:eastAsia="Calibri"/>
          <w:noProof/>
          <w:color w:val="auto"/>
          <w:lang w:eastAsia="en-US"/>
        </w:rPr>
        <w:t>(Dunaev, Brochu, &amp; Markey, 2018)</w:t>
      </w:r>
      <w:r w:rsidRPr="00D40C27">
        <w:rPr>
          <w:rFonts w:eastAsia="Calibri"/>
          <w:color w:val="auto"/>
          <w:lang w:eastAsia="en-US"/>
        </w:rPr>
        <w:t>. Although IC has a degree of effectiveness reducing stigma towards various targets, it is still unknown the duration of this effect due</w:t>
      </w:r>
      <w:r w:rsidR="00B32D9C">
        <w:rPr>
          <w:rFonts w:eastAsia="Calibri"/>
          <w:color w:val="auto"/>
          <w:lang w:eastAsia="en-US"/>
        </w:rPr>
        <w:t xml:space="preserve"> to</w:t>
      </w:r>
      <w:r w:rsidRPr="00D40C27">
        <w:rPr>
          <w:rFonts w:eastAsia="Calibri"/>
          <w:color w:val="auto"/>
          <w:lang w:eastAsia="en-US"/>
        </w:rPr>
        <w:t xml:space="preserve"> the lack of longitudinal studies </w:t>
      </w:r>
      <w:r w:rsidRPr="00D40C27">
        <w:rPr>
          <w:rFonts w:eastAsia="Calibri"/>
          <w:noProof/>
          <w:color w:val="auto"/>
          <w:lang w:eastAsia="en-US"/>
        </w:rPr>
        <w:t>(Miles &amp; Crisp, 2013)</w:t>
      </w:r>
      <w:r w:rsidRPr="00D40C27">
        <w:rPr>
          <w:rFonts w:eastAsia="Calibri"/>
          <w:color w:val="auto"/>
          <w:lang w:eastAsia="en-US"/>
        </w:rPr>
        <w:t>.</w:t>
      </w:r>
    </w:p>
    <w:p w14:paraId="6F8D9994" w14:textId="77777777" w:rsidR="000F1616" w:rsidRPr="00D40C27" w:rsidRDefault="000F1616" w:rsidP="000F1616">
      <w:pPr>
        <w:pStyle w:val="Heading3"/>
        <w:rPr>
          <w:lang w:eastAsia="en-US"/>
        </w:rPr>
      </w:pPr>
      <w:r w:rsidRPr="00D40C27">
        <w:rPr>
          <w:lang w:eastAsia="en-US"/>
        </w:rPr>
        <w:t xml:space="preserve"> </w:t>
      </w:r>
      <w:bookmarkStart w:id="84" w:name="_Toc12024655"/>
      <w:r w:rsidRPr="00D40C27">
        <w:rPr>
          <w:lang w:eastAsia="en-US"/>
        </w:rPr>
        <w:t>The present study</w:t>
      </w:r>
      <w:bookmarkEnd w:id="84"/>
    </w:p>
    <w:p w14:paraId="2649A73F" w14:textId="5C2EF370" w:rsidR="000F1616" w:rsidRPr="00D40C27" w:rsidRDefault="000F1616" w:rsidP="008C73CA">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r w:rsidRPr="00D40C27">
        <w:rPr>
          <w:rFonts w:eastAsia="Calibri"/>
          <w:color w:val="auto"/>
          <w:lang w:eastAsia="en-US"/>
        </w:rPr>
        <w:t xml:space="preserve">The present study aimed </w:t>
      </w:r>
      <w:r w:rsidRPr="00D40C27">
        <w:rPr>
          <w:rFonts w:eastAsia="Calibri"/>
          <w:iCs/>
          <w:color w:val="auto"/>
          <w:lang w:eastAsia="en-US"/>
        </w:rPr>
        <w:t xml:space="preserve">to test the impact of an awareness educative material about FD (displayed in written form and video-clip) and </w:t>
      </w:r>
      <w:r w:rsidR="00D72B62" w:rsidRPr="00D40C27">
        <w:rPr>
          <w:rFonts w:eastAsia="Calibri"/>
          <w:iCs/>
          <w:color w:val="auto"/>
          <w:lang w:eastAsia="en-US"/>
        </w:rPr>
        <w:t>imagined</w:t>
      </w:r>
      <w:r w:rsidRPr="00D40C27">
        <w:rPr>
          <w:rFonts w:eastAsia="Calibri"/>
          <w:iCs/>
          <w:color w:val="auto"/>
          <w:lang w:eastAsia="en-US"/>
        </w:rPr>
        <w:t xml:space="preserve"> contact </w:t>
      </w:r>
      <w:r w:rsidR="008E1166">
        <w:rPr>
          <w:rFonts w:eastAsia="Calibri"/>
          <w:iCs/>
          <w:color w:val="auto"/>
          <w:lang w:eastAsia="en-US"/>
        </w:rPr>
        <w:t xml:space="preserve">(IC) </w:t>
      </w:r>
      <w:r w:rsidRPr="00D40C27">
        <w:rPr>
          <w:rFonts w:eastAsia="Calibri"/>
          <w:iCs/>
          <w:color w:val="auto"/>
          <w:lang w:eastAsia="en-US"/>
        </w:rPr>
        <w:t>on stigma towards FD.</w:t>
      </w:r>
      <w:r w:rsidRPr="00D40C27">
        <w:rPr>
          <w:rFonts w:eastAsia="Calibri"/>
          <w:color w:val="auto"/>
          <w:lang w:eastAsia="en-US"/>
        </w:rPr>
        <w:t xml:space="preserve"> Interactions between these anti-stigma strategies </w:t>
      </w:r>
      <w:r w:rsidR="008E1166">
        <w:rPr>
          <w:rFonts w:eastAsia="Calibri"/>
          <w:color w:val="auto"/>
          <w:lang w:eastAsia="en-US"/>
        </w:rPr>
        <w:t>were</w:t>
      </w:r>
      <w:r w:rsidRPr="00D40C27">
        <w:rPr>
          <w:rFonts w:eastAsia="Calibri"/>
          <w:color w:val="auto"/>
          <w:lang w:eastAsia="en-US"/>
        </w:rPr>
        <w:t xml:space="preserve"> explored. This study </w:t>
      </w:r>
      <w:r w:rsidR="008E1166">
        <w:rPr>
          <w:rFonts w:eastAsia="Calibri"/>
          <w:color w:val="auto"/>
          <w:lang w:eastAsia="en-US"/>
        </w:rPr>
        <w:t>aimed</w:t>
      </w:r>
      <w:r w:rsidRPr="00D40C27">
        <w:rPr>
          <w:rFonts w:eastAsia="Calibri"/>
          <w:color w:val="auto"/>
          <w:lang w:eastAsia="en-US"/>
        </w:rPr>
        <w:t xml:space="preserve"> to test the following hypotheses: </w:t>
      </w:r>
    </w:p>
    <w:p w14:paraId="72A1E5B0" w14:textId="77777777" w:rsidR="000F1616" w:rsidRPr="00D40C27" w:rsidRDefault="000F1616" w:rsidP="008C73CA">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eastAsia="Calibri"/>
          <w:color w:val="auto"/>
          <w:lang w:eastAsia="en-US"/>
        </w:rPr>
      </w:pPr>
      <w:r w:rsidRPr="00D40C27">
        <w:rPr>
          <w:rFonts w:eastAsia="Calibri"/>
          <w:color w:val="auto"/>
          <w:lang w:eastAsia="en-US"/>
        </w:rPr>
        <w:lastRenderedPageBreak/>
        <w:t xml:space="preserve">Participants presented with the written or video-clip awareness material will show a significant reduction in intergroup anxiety and </w:t>
      </w:r>
      <w:r w:rsidR="00B32D9C">
        <w:rPr>
          <w:rFonts w:eastAsia="Calibri"/>
          <w:color w:val="auto"/>
          <w:lang w:eastAsia="en-US"/>
        </w:rPr>
        <w:t>fewer</w:t>
      </w:r>
      <w:r w:rsidRPr="00D40C27">
        <w:rPr>
          <w:rFonts w:eastAsia="Calibri"/>
          <w:color w:val="auto"/>
          <w:lang w:eastAsia="en-US"/>
        </w:rPr>
        <w:t xml:space="preserve"> intentions to avoid FD, compared to control participants allocated to a neutral message.</w:t>
      </w:r>
    </w:p>
    <w:p w14:paraId="47F58DEB" w14:textId="77777777" w:rsidR="000F1616" w:rsidRPr="00D40C27" w:rsidRDefault="000F1616" w:rsidP="008C73CA">
      <w:pPr>
        <w:numPr>
          <w:ilvl w:val="0"/>
          <w:numId w:val="3"/>
        </w:numPr>
        <w:pBdr>
          <w:top w:val="none" w:sz="0" w:space="0" w:color="auto"/>
          <w:left w:val="none" w:sz="0" w:space="0" w:color="auto"/>
          <w:bottom w:val="none" w:sz="0" w:space="0" w:color="auto"/>
          <w:right w:val="none" w:sz="0" w:space="0" w:color="auto"/>
          <w:between w:val="none" w:sz="0" w:space="0" w:color="auto"/>
        </w:pBdr>
        <w:contextualSpacing/>
        <w:rPr>
          <w:rFonts w:eastAsia="Calibri"/>
          <w:color w:val="auto"/>
          <w:lang w:eastAsia="en-US"/>
        </w:rPr>
      </w:pPr>
      <w:r w:rsidRPr="00D40C27">
        <w:rPr>
          <w:rFonts w:eastAsia="Calibri"/>
          <w:color w:val="auto"/>
          <w:lang w:eastAsia="en-US"/>
        </w:rPr>
        <w:t xml:space="preserve">Participants imagining a positive interaction with an individual with FD will report lower intergroup anxiety and </w:t>
      </w:r>
      <w:r w:rsidR="00B32D9C">
        <w:rPr>
          <w:rFonts w:eastAsia="Calibri"/>
          <w:color w:val="auto"/>
          <w:lang w:eastAsia="en-US"/>
        </w:rPr>
        <w:t>fewer</w:t>
      </w:r>
      <w:r w:rsidRPr="00D40C27">
        <w:rPr>
          <w:rFonts w:eastAsia="Calibri"/>
          <w:color w:val="auto"/>
          <w:lang w:eastAsia="en-US"/>
        </w:rPr>
        <w:t xml:space="preserve"> intentions to avoid FD, compare to participants allocated to a neutral imagination task.</w:t>
      </w:r>
    </w:p>
    <w:p w14:paraId="6DA34EFE" w14:textId="77777777" w:rsidR="008E1166" w:rsidRDefault="008E116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p>
    <w:p w14:paraId="19D34CD8" w14:textId="10171ECC"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In Study 1, the construct of contamination disgust was positively associated with implicit attitudinal responses; participants who were more sensitive to contaminating disgust cues showed greater negative attitudes towards disfigurement, thus suggesting that negative attitudes towards FD could be associated with emotional responses of automatic nature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Kurzban","given":"R","non-dropping-particle":"","parse-names":false,"suffix":""},{"dropping-particle":"","family":"Leary","given":"MR","non-dropping-particle":"","parse-names":false,"suffix":""}],"container-title":"Psychological bulletin","id":"ITEM-1","issued":{"date-parts":[["2001"]]},"title":"Evolutionary origins of stigmatization: the functions of social exclusion.","type":"article-journal"},"uris":["http://www.mendeley.com/documents/?uuid=e5c03fdd-b9b3-490c-8322-5a107eeb3339"]}],"mendeley":{"formattedCitation":"(Kurzban &amp; Leary, 2001)","manualFormatting":"Kurzban and Leary (2001)","plainTextFormattedCitation":"(Kurzban &amp; Leary, 2001)","previouslyFormattedCitation":"(Kurzban &amp; Leary, 2001)"},"properties":{"noteIndex":0},"schema":"https://github.com/citation-style-language/schema/raw/master/csl-citation.json"}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Kurzban &amp; Leary, 2001)</w:t>
      </w:r>
      <w:r w:rsidRPr="00D40C27">
        <w:rPr>
          <w:rFonts w:eastAsia="Calibri"/>
          <w:color w:val="auto"/>
          <w:lang w:eastAsia="en-US"/>
        </w:rPr>
        <w:fldChar w:fldCharType="end"/>
      </w:r>
      <w:r w:rsidRPr="00D40C27">
        <w:rPr>
          <w:rFonts w:eastAsia="Calibri"/>
          <w:color w:val="auto"/>
          <w:lang w:eastAsia="en-US"/>
        </w:rPr>
        <w:t xml:space="preserve">. The influence of emotions of disgust on people’s perception of FD has also been </w:t>
      </w:r>
      <w:r w:rsidR="008E1166">
        <w:rPr>
          <w:rFonts w:eastAsia="Calibri"/>
          <w:color w:val="auto"/>
          <w:lang w:eastAsia="en-US"/>
        </w:rPr>
        <w:t>suggested</w:t>
      </w:r>
      <w:r w:rsidR="008E1166" w:rsidRPr="00D40C27">
        <w:rPr>
          <w:rFonts w:eastAsia="Calibri"/>
          <w:color w:val="auto"/>
          <w:lang w:eastAsia="en-US"/>
        </w:rPr>
        <w:t xml:space="preserve"> </w:t>
      </w:r>
      <w:r w:rsidRPr="00D40C27">
        <w:rPr>
          <w:rFonts w:eastAsia="Calibri"/>
          <w:color w:val="auto"/>
          <w:lang w:eastAsia="en-US"/>
        </w:rPr>
        <w:t>in other studies with significant results (e.g.</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{"citationItems":[{"id":"ITEM-1","itemData":{"DOI":"10.1016/j.evolhumbehav.2012.04.001","ISBN":"1090-5138","ISSN":"10905138","abstract":"The behavioral avoidance of people with facial disfigurement is well documented, but its psychological basis is poorly understood. Based upon a disease avoidance account of stigmatization, we conducted the first empirical test of whether facial disfigurement-naevus flammeus (a port wine stain) here-can trigger the same set of emotional and behavioral responses as a contagious disease (influenza). Ninety-eight participants contacted props, which they had seen used either by a healthy confederate or by a confederate simulating medical conditions affecting the face-birthmark and influenza. Behavioral avoidance (e.g., willingness to handle the prop) and facial display of disgust were recorded across five levels of prop contact varying from no contact to contact with the mouth. Behavioral avoidance and disgust displays, especially with oral contact, were equivalent in the birthmark and influenza conditions, with both significantly exceeding reactions to the healthy confederate. These results support the theory that humans have an evolved predisposition to avoid individuals with disease signs, which is mediated by the emotion of disgust. This implicit avoidance occurs even when they know explicitly that such signs-the birthmark here-result from a noncontagious condition. © 2012 Elsevier Inc.","author":[{"dropping-particle":"","family":"Ryan","given":"Stephen","non-dropping-particle":"","parse-names":false,"suffix":""},{"dropping-particle":"","family":"Oaten","given":"Megan","non-dropping-particle":"","parse-names":false,"suffix":""},{"dropping-particle":"","family":"Stevenson","given":"Richard J.","non-dropping-particle":"","parse-names":false,"suffix":""},{"dropping-particle":"","family":"Case","given":"Trevor I.","non-dropping-particle":"","parse-names":false,"suffix":""}],"container-title":"Evolution and Human Behavior","id":"ITEM-1","issue":"6","issued":{"date-parts":[["2012"]]},"page":"639-646","publisher":"Elsevier Inc.","title":"Facial disfigurement is treated like an infectious disease","type":"article-journal","volume":"33"},"uris":["http://www.mendeley.com/documents/?uuid=8bdb18ff-37ef-4210-8014-1c6dd98dde25"]},{"id":"ITEM-2","itemData":{"DOI":"10.1016/j.cpr.2013.04.004","ISSN":"1873-7811","PMID":"23692739","abstract":"What does the future hold for psychotherapy research and practice? We review some key influences, including declining psychotherapy utilization, increasing impact of evidence-based medical practices, over-medicalizing of mental health problems, and changing priorities from grant funding agencies. These factors hold potential opportunities but also major pitfalls that will need to be carefully navigated related to implementation/dissemination issues, interdisciplinary collaborations, and psychosocial versus biomedical perspectives related to the nature and treatment of psychopathology. In addition, we review and comment on the other articles contained in this special issue pertaining to the future of evidence-based psychotherapy.","author":[{"dropping-particle":"","family":"Gaudiano","given":"Brandon A","non-dropping-particle":"","parse-names":false,"suffix":""},{"dropping-particle":"","family":"Miller","given":"Ivan W","non-dropping-particle":"","parse-names":false,"suffix":""}],"container-title":"Clinical psychology review","id":"ITEM-2","issue":"7","issued":{"date-parts":[["2013","11"]]},"page":"813-24","title":"The evidence-based practice of psychotherapy: facing the challenges that lie ahead.","type":"article-journal","volume":"33"},"uris":["http://www.mendeley.com/documents/?uuid=281f6c36-2c30-4843-87fe-52b930ccb093"]},{"id":"ITEM-3","itemData":{"DOI":"10.1016/j.bodyim.2012.05.003","ISSN":"1873-6807","PMID":"22766453","abstract":"Social intrusions by observers are commonly reported by those with disfiguring conditions. This study examined the role of disgust emotions in the observer response. A group of students (N=48) completed quantitative questionnaires measuring extent of disfigurement, whilst viewing images of faces with varying disfigurements. Another group of students (N=84) completed quantitative questionnaires measuring level of disgust elicited by the same images. Disgust sensitivity was measured using the Disgust Scale Revised. Observers reported greater levels of disgust (p&lt;.01) with increasing severity of facial disfigurement. Individuals with a higher disgust sensitivity reported increased levels of disgust in response to faces of mild (p=.03), moderate (p=.02) and severe (p&lt;.01) disfigurement compared to those with a lower disgust sensitivity. This provides an explanatory framework for the avoidance reactions of observers and may be important in understanding variability in adjustment following disfigurement.","author":[{"dropping-particle":"","family":"Shanmugarajah","given":"Kumaran","non-dropping-particle":"","parse-names":false,"suffix":""},{"dropping-particle":"","family":"Gaind","given":"Safina","non-dropping-particle":"","parse-names":false,"suffix":""},{"dropping-particle":"","family":"Clarke","given":"Alex","non-dropping-particle":"","parse-names":false,"suffix":""},{"dropping-particle":"","family":"Butler","given":"Peter E M","non-dropping-particle":"","parse-names":false,"suffix":""}],"container-title":"Body image","id":"ITEM-3","issue":"4","issued":{"date-parts":[["2012","9"]]},"page":"455-61","title":"The role of disgust emotions in the observer response to facial disfigurement.","type":"article-journal","volume":"9"},"uris":["http://www.mendeley.com/documents/?uuid=56f77bba-5b77-43d2-87a0-a8cdc6ce2205"]}],"mendeley":{"formattedCitation":"(Gaudiano &amp; Miller, 2013; Ryan, Oaten, Stevenson, &amp; Case, 2012; Shanmugarajah et al., 2012)","manualFormatting":" Ryan, Oaten, Stevenson, &amp; Case, 2012; Shanmugarajah et al., 2012)","plainTextFormattedCitation":"(Gaudiano &amp; Miller, 2013; Ryan, Oaten, Stevenson, &amp; Case, 2012; Shanmugarajah et al., 2012)","previouslyFormattedCitation":"(Gaudiano &amp; Miller, 2013; Ryan, Oaten, Stevenson, &amp; Case, 2012; Shanmugarajah et al., 2012)"},"properties":{"noteIndex":0},"schema":"https://github.com/citation-style-language/schema/raw/master/csl-citation.json"}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 xml:space="preserve"> Ryan, Oaten, Stevenson, &amp; Case, 2012; Shanmugarajah et al., 2012)</w:t>
      </w:r>
      <w:r w:rsidRPr="00D40C27">
        <w:rPr>
          <w:rFonts w:eastAsia="Calibri"/>
          <w:color w:val="auto"/>
          <w:lang w:eastAsia="en-US"/>
        </w:rPr>
        <w:fldChar w:fldCharType="end"/>
      </w:r>
      <w:r w:rsidRPr="00D40C27">
        <w:rPr>
          <w:rFonts w:eastAsia="Calibri"/>
          <w:color w:val="auto"/>
          <w:lang w:eastAsia="en-US"/>
        </w:rPr>
        <w:t xml:space="preserve">. Thus, during this study, disgust sensitivity </w:t>
      </w:r>
      <w:r w:rsidR="00D72B62">
        <w:rPr>
          <w:rFonts w:eastAsia="Calibri"/>
          <w:color w:val="auto"/>
          <w:lang w:eastAsia="en-US"/>
        </w:rPr>
        <w:t>was</w:t>
      </w:r>
      <w:r w:rsidR="008E1166">
        <w:rPr>
          <w:rFonts w:eastAsia="Calibri"/>
          <w:color w:val="auto"/>
          <w:lang w:eastAsia="en-US"/>
        </w:rPr>
        <w:t xml:space="preserve"> included as covariate</w:t>
      </w:r>
      <w:r w:rsidR="00D72B62">
        <w:rPr>
          <w:rFonts w:eastAsia="Calibri"/>
          <w:color w:val="auto"/>
          <w:lang w:eastAsia="en-US"/>
        </w:rPr>
        <w:t xml:space="preserve"> </w:t>
      </w:r>
      <w:r w:rsidRPr="00D40C27">
        <w:rPr>
          <w:rFonts w:eastAsia="Calibri"/>
          <w:color w:val="auto"/>
          <w:lang w:eastAsia="en-US"/>
        </w:rPr>
        <w:t>to test the effectiveness of education, media presentation and imagined contact anti-stigma strategies.</w:t>
      </w:r>
    </w:p>
    <w:p w14:paraId="5A37B895" w14:textId="54684821" w:rsidR="000F1616" w:rsidRDefault="000F1616" w:rsidP="005C5558">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Study 1 also showed that appearance related cognitions of valence and salience of appearance were associated with poorer explicit attitudes towards FD. Traditionally, media contents and society’s ideal of beauty pressures individuals to conform to a particular standard of appearance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Eagly","given":"AH","non-dropping-particle":"","parse-names":false,"suffix":""},{"dropping-particle":"","family":"Ashmore","given":"RD","non-dropping-particle":"","parse-names":false,"suffix":""}],"container-title":"Psychological  …","id":"ITEM-1","issued":{"date-parts":[["1991"]]},"title":"What is beautiful is good, but: A meta-analytic review of research on the physical attractiveness stereotype.","type":"article-journal"},"uris":["http://www.mendeley.com/documents/?uuid=dc3988d3-98a5-45c6-b975-38abf6fc9381"]}],"mendeley":{"formattedCitation":"(Eagly &amp; Ashmore, 1991)","plainTextFormattedCitation":"(Eagly &amp; Ashmore, 1991)","previouslyFormattedCitation":"(Eagly &amp; Ashmore, 1991)"},"properties":{"noteIndex":0},"schema":"https://github.com/citation-style-language/schema/raw/master/csl-citation.json"}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(Eagly &amp; Ashmore, 1991)</w:t>
      </w:r>
      <w:r w:rsidRPr="00D40C27">
        <w:rPr>
          <w:rFonts w:eastAsia="Calibri"/>
          <w:color w:val="auto"/>
          <w:lang w:eastAsia="en-US"/>
        </w:rPr>
        <w:fldChar w:fldCharType="end"/>
      </w:r>
      <w:r w:rsidRPr="00D40C27">
        <w:rPr>
          <w:rFonts w:eastAsia="Calibri"/>
          <w:color w:val="auto"/>
          <w:lang w:eastAsia="en-US"/>
        </w:rPr>
        <w:t xml:space="preserve">. </w:t>
      </w:r>
      <w:r w:rsidR="002C038A">
        <w:rPr>
          <w:rFonts w:eastAsia="Calibri"/>
          <w:color w:val="auto"/>
          <w:lang w:eastAsia="en-US"/>
        </w:rPr>
        <w:t xml:space="preserve">However, this relationship is more explicit </w:t>
      </w:r>
      <w:r w:rsidRPr="00D40C27">
        <w:rPr>
          <w:rFonts w:eastAsia="Calibri"/>
          <w:color w:val="auto"/>
          <w:lang w:eastAsia="en-US"/>
        </w:rPr>
        <w:t xml:space="preserve">in the study of attitudes towards obesity. </w:t>
      </w:r>
      <w:r w:rsidR="002C038A">
        <w:rPr>
          <w:rFonts w:eastAsia="Calibri"/>
          <w:color w:val="auto"/>
          <w:lang w:eastAsia="en-US"/>
        </w:rPr>
        <w:t>For instance, the i</w:t>
      </w:r>
      <w:r w:rsidRPr="00D40C27">
        <w:rPr>
          <w:rFonts w:eastAsia="Calibri"/>
          <w:color w:val="auto"/>
          <w:lang w:eastAsia="en-US"/>
        </w:rPr>
        <w:t xml:space="preserve">nternalisation of society’s appearance ideals has been associated with negative attitudes towards obese individuals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Vartanian","given":"LR","non-dropping-particle":"","parse-names":false,"suffix":""},{"dropping-particle":"","family":"Herman","given":"CP","non-dropping-particle":"","parse-names":false,"suffix":""},{"dropping-particle":"","family":"Polivy","given":"J","non-dropping-particle":"","parse-names":false,"suffix":""}],"container-title":"Body Image","id":"ITEM-1","issued":{"date-parts":[["2005"]]},"title":"Implicit and explicit attitudes toward fatness and thinness: The role of the internalization of societal standards","type":"article-journal"},"uris":["http://www.mendeley.com/documents/?uuid=38c73b4f-0978-3de7-8ab5-c4e7aebacdd3"]}],"mendeley":{"formattedCitation":"(Vartanian, Herman, &amp; Polivy, 2005)","plainTextFormattedCitation":"(Vartanian, Herman, &amp; Polivy, 2005)","previouslyFormattedCitation":"(Vartanian, Herman, &amp; Polivy, 2005)"},"properties":{"noteIndex":0},"schema":"https://github.com/citation-style-language/schema/raw/master/csl-citation.json"}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(Vartanian, Herman, &amp; Polivy, 2005)</w:t>
      </w:r>
      <w:r w:rsidRPr="00D40C27">
        <w:rPr>
          <w:rFonts w:eastAsia="Calibri"/>
          <w:color w:val="auto"/>
          <w:lang w:eastAsia="en-US"/>
        </w:rPr>
        <w:fldChar w:fldCharType="end"/>
      </w:r>
      <w:r w:rsidRPr="00D40C27">
        <w:rPr>
          <w:rFonts w:eastAsia="Calibri"/>
          <w:color w:val="auto"/>
          <w:lang w:eastAsia="en-US"/>
        </w:rPr>
        <w:t xml:space="preserve">. </w:t>
      </w:r>
      <w:r w:rsidR="002C038A">
        <w:rPr>
          <w:rFonts w:eastAsia="Calibri"/>
          <w:color w:val="auto"/>
          <w:lang w:eastAsia="en-US"/>
        </w:rPr>
        <w:t>In line with the literature on obesity, it is likely that</w:t>
      </w:r>
      <w:r w:rsidRPr="00D40C27">
        <w:rPr>
          <w:rFonts w:eastAsia="Calibri"/>
          <w:color w:val="auto"/>
          <w:lang w:eastAsia="en-US"/>
        </w:rPr>
        <w:t xml:space="preserve"> appearance</w:t>
      </w:r>
      <w:r w:rsidR="002C038A">
        <w:rPr>
          <w:rFonts w:eastAsia="Calibri"/>
          <w:color w:val="auto"/>
          <w:lang w:eastAsia="en-US"/>
        </w:rPr>
        <w:t>-related cognitions in the observer</w:t>
      </w:r>
      <w:r w:rsidRPr="00D40C27">
        <w:rPr>
          <w:rFonts w:eastAsia="Calibri"/>
          <w:color w:val="auto"/>
          <w:lang w:eastAsia="en-US"/>
        </w:rPr>
        <w:t xml:space="preserve"> </w:t>
      </w:r>
      <w:r w:rsidR="002C038A">
        <w:rPr>
          <w:rFonts w:eastAsia="Calibri"/>
          <w:color w:val="auto"/>
          <w:lang w:eastAsia="en-US"/>
        </w:rPr>
        <w:t xml:space="preserve">could </w:t>
      </w:r>
      <w:r w:rsidRPr="00D40C27">
        <w:rPr>
          <w:rFonts w:eastAsia="Calibri"/>
          <w:color w:val="auto"/>
          <w:lang w:eastAsia="en-US"/>
        </w:rPr>
        <w:t>influence other forms of</w:t>
      </w:r>
      <w:r w:rsidR="002C038A">
        <w:rPr>
          <w:rFonts w:eastAsia="Calibri"/>
          <w:color w:val="auto"/>
          <w:lang w:eastAsia="en-US"/>
        </w:rPr>
        <w:t xml:space="preserve"> stigma towards other visibly different individuals,</w:t>
      </w:r>
      <w:r w:rsidRPr="00D40C27">
        <w:rPr>
          <w:rFonts w:eastAsia="Calibri"/>
          <w:color w:val="auto"/>
          <w:lang w:eastAsia="en-US"/>
        </w:rPr>
        <w:t xml:space="preserve"> such as </w:t>
      </w:r>
      <w:r w:rsidR="002C038A">
        <w:rPr>
          <w:rFonts w:eastAsia="Calibri"/>
          <w:color w:val="auto"/>
          <w:lang w:eastAsia="en-US"/>
        </w:rPr>
        <w:t xml:space="preserve">those with </w:t>
      </w:r>
      <w:r w:rsidRPr="00D40C27">
        <w:rPr>
          <w:rFonts w:eastAsia="Calibri"/>
          <w:color w:val="auto"/>
          <w:lang w:eastAsia="en-US"/>
        </w:rPr>
        <w:t xml:space="preserve">FD. To further investigate this relationship, one of the co-variates incorporated in this study was a subscale of the internalisation of societal appearance standards (SATAQ;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Calogero","given":"RM","non-dropping-particle":"","parse-names":false,"suffix":""},{"dropping-particle":"","family":"Davis","given":"WN","non-dropping-particle":"","parse-names":false,"suffix":""},{"dropping-particle":"","family":"Thompson","given":"JK","non-dropping-particle":"","parse-names":false,"suffix":""}],"container-title":"Body Image","id":"ITEM-1","issued":{"date-parts":[["2004"]]},"title":"The Sociocultural Attitudes Toward Appearance Questionnaire (SATAQ-3): Reliability and normative comparisons of eating disordered patients","type":"article-journal"},"uris":["http://www.mendeley.com/documents/?uuid=bdfb6772-5005-3ebf-89e6-431ac7e37d24"]}],"mendeley":{"formattedCitation":"(Calogero, Davis, &amp; Thompson, 2004)","plainTextFormattedCitation":"(Calogero, Davis, &amp; Thompson, 2004)","previouslyFormattedCitation":"(Calogero, Davis, &amp; Thompson, 2004)"},"properties":{"noteIndex":0},"schema":"https://github.com/citation-style-language/schema/raw/master/csl-citation.json"}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Calogero, Davis, &amp; Thompson, 2004)</w:t>
      </w:r>
      <w:r w:rsidRPr="00D40C27">
        <w:rPr>
          <w:rFonts w:eastAsia="Calibri"/>
          <w:color w:val="auto"/>
          <w:lang w:eastAsia="en-US"/>
        </w:rPr>
        <w:fldChar w:fldCharType="end"/>
      </w:r>
      <w:r w:rsidRPr="00D40C27">
        <w:rPr>
          <w:rFonts w:eastAsia="Calibri"/>
          <w:color w:val="auto"/>
          <w:lang w:eastAsia="en-US"/>
        </w:rPr>
        <w:t xml:space="preserve">. </w:t>
      </w:r>
      <w:r w:rsidR="005C5558">
        <w:rPr>
          <w:rFonts w:eastAsia="Calibri"/>
          <w:color w:val="auto"/>
          <w:lang w:eastAsia="en-US"/>
        </w:rPr>
        <w:t>The SATAQ covers general internationalization of appearance ideals (general), athlete specific internalisation (body shape), societal pressures and information. However, because the items composing the subscales concentrated around body shape ideals (e.g., “</w:t>
      </w:r>
      <w:r w:rsidR="005C5558">
        <w:rPr>
          <w:lang w:val="en-US"/>
        </w:rPr>
        <w:t xml:space="preserve">I've felt pressure from TV and magazines to be thin”; </w:t>
      </w:r>
      <w:r w:rsidR="005C5558" w:rsidRPr="00D40C27">
        <w:rPr>
          <w:rFonts w:eastAsia="Calibri"/>
          <w:color w:val="auto"/>
          <w:lang w:eastAsia="en-US"/>
        </w:rPr>
        <w:fldChar w:fldCharType="begin" w:fldLock="1"/>
      </w:r>
      <w:r w:rsidR="005C5558" w:rsidRPr="00D40C27">
        <w:rPr>
          <w:rFonts w:eastAsia="Calibri"/>
          <w:color w:val="auto"/>
          <w:lang w:eastAsia="en-US"/>
        </w:rPr>
        <w:instrText xml:space="preserve">  CSL_CITATION {"citationItems":[{"id":"ITEM-1","itemData":{"author":[{"dropping-particle":"","family":"Calogero","given":"RM","non-dropping-particle":"","parse-names":false,"suffix":""},{"dropping-particle":"","family":"Davis","given":"WN","non-dropping-particle":"","parse-names":false,"suffix":""},{"dropping-particle":"","family":"Thompson","given":"JK","non-dropping-particle":"","parse-names":false,"suffix":""}],"container-title":"Body Image","id":"ITEM-1","issued":{"date-parts":[["2004"]]},"title":"The Sociocultural Attitudes Toward Appearance Questionnaire (SATAQ-3): Reliability and normative comparisons of eating disordered patients","type":"article-journal"},"uris":["http://www.mendeley.com/documents/?uuid=bdfb6772-5005-3ebf-89e6-431ac7e37d24"]}],"mendeley":{"formattedCitation":"(Calogero, Davis, &amp; Thompson, 2004)","plainTextFormattedCitation":"(Calogero, Davis, &amp; Thompson, 2004)","previouslyFormattedCitation":"(Calogero, Davis, &amp; Thompson, 2004)"},"properties":{"noteIndex":0},"schema":"https://github.com/citation-style-language/schema/raw/master/csl-citation.json"}</w:instrText>
      </w:r>
      <w:r w:rsidR="005C5558" w:rsidRPr="00D40C27">
        <w:rPr>
          <w:rFonts w:eastAsia="Calibri"/>
          <w:color w:val="auto"/>
          <w:lang w:eastAsia="en-US"/>
        </w:rPr>
        <w:fldChar w:fldCharType="separate"/>
      </w:r>
      <w:r w:rsidR="005C5558" w:rsidRPr="00D40C27">
        <w:rPr>
          <w:rFonts w:eastAsia="Calibri"/>
          <w:noProof/>
          <w:color w:val="auto"/>
          <w:lang w:eastAsia="en-US"/>
        </w:rPr>
        <w:t>Calogero, Davis, &amp; Thompson, 2004)</w:t>
      </w:r>
      <w:r w:rsidR="005C5558" w:rsidRPr="00D40C27">
        <w:rPr>
          <w:rFonts w:eastAsia="Calibri"/>
          <w:color w:val="auto"/>
          <w:lang w:eastAsia="en-US"/>
        </w:rPr>
        <w:fldChar w:fldCharType="end"/>
      </w:r>
      <w:r w:rsidR="005C5558">
        <w:rPr>
          <w:rFonts w:eastAsia="Calibri"/>
          <w:color w:val="auto"/>
          <w:lang w:eastAsia="en-US"/>
        </w:rPr>
        <w:t>, this study only used the internalisation of appearance (general).</w:t>
      </w:r>
    </w:p>
    <w:p w14:paraId="26B11C39" w14:textId="77777777" w:rsidR="000F1616" w:rsidRPr="00D40C27" w:rsidRDefault="000F1616" w:rsidP="00A427E8">
      <w:pPr>
        <w:pStyle w:val="Heading1"/>
      </w:pPr>
      <w:bookmarkStart w:id="85" w:name="_Toc12024656"/>
      <w:r w:rsidRPr="00D40C27">
        <w:lastRenderedPageBreak/>
        <w:t>Method</w:t>
      </w:r>
      <w:bookmarkEnd w:id="85"/>
    </w:p>
    <w:p w14:paraId="7394865A" w14:textId="77777777" w:rsidR="000F1616" w:rsidRPr="00D40C27" w:rsidRDefault="000F1616" w:rsidP="00A427E8">
      <w:pPr>
        <w:pStyle w:val="Heading3"/>
        <w:rPr>
          <w:lang w:eastAsia="en-US"/>
        </w:rPr>
      </w:pPr>
      <w:bookmarkStart w:id="86" w:name="_Toc12024657"/>
      <w:r w:rsidRPr="00D40C27">
        <w:rPr>
          <w:lang w:eastAsia="en-US"/>
        </w:rPr>
        <w:t>Procedure and design</w:t>
      </w:r>
      <w:bookmarkEnd w:id="86"/>
      <w:r w:rsidRPr="00D40C27">
        <w:rPr>
          <w:lang w:eastAsia="en-US"/>
        </w:rPr>
        <w:t xml:space="preserve"> </w:t>
      </w:r>
    </w:p>
    <w:p w14:paraId="23F32E1F" w14:textId="41F0870D" w:rsidR="000F1616" w:rsidRPr="00D40C27" w:rsidRDefault="005C5558" w:rsidP="000F1616">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r>
        <w:rPr>
          <w:rFonts w:eastAsia="Calibri"/>
          <w:color w:val="auto"/>
          <w:lang w:eastAsia="en-US"/>
        </w:rPr>
        <w:t>This experiment used a</w:t>
      </w:r>
      <w:r w:rsidR="000F1616" w:rsidRPr="00D40C27">
        <w:rPr>
          <w:rFonts w:eastAsia="Calibri"/>
          <w:color w:val="auto"/>
          <w:lang w:eastAsia="en-US"/>
        </w:rPr>
        <w:t xml:space="preserve"> 3 x 2 </w:t>
      </w:r>
      <w:r w:rsidR="000411C2">
        <w:rPr>
          <w:rFonts w:eastAsia="Calibri"/>
          <w:color w:val="auto"/>
          <w:lang w:eastAsia="en-US"/>
        </w:rPr>
        <w:t>between</w:t>
      </w:r>
      <w:r w:rsidR="000F1616" w:rsidRPr="00D40C27">
        <w:rPr>
          <w:rFonts w:eastAsia="Calibri"/>
          <w:color w:val="auto"/>
          <w:lang w:eastAsia="en-US"/>
        </w:rPr>
        <w:t>-participants factorial design</w:t>
      </w:r>
      <w:r w:rsidR="00CF171C">
        <w:rPr>
          <w:rFonts w:eastAsia="Calibri"/>
          <w:color w:val="auto"/>
          <w:lang w:eastAsia="en-US"/>
        </w:rPr>
        <w:t xml:space="preserve">. </w:t>
      </w:r>
      <w:r w:rsidR="000F1616" w:rsidRPr="00D40C27">
        <w:rPr>
          <w:rFonts w:eastAsia="Calibri"/>
          <w:color w:val="auto"/>
          <w:lang w:eastAsia="en-US"/>
        </w:rPr>
        <w:t xml:space="preserve">The </w:t>
      </w:r>
      <w:r w:rsidR="00CF171C">
        <w:rPr>
          <w:rFonts w:eastAsia="Calibri"/>
          <w:color w:val="auto"/>
          <w:lang w:eastAsia="en-US"/>
        </w:rPr>
        <w:t>experiment</w:t>
      </w:r>
      <w:r w:rsidR="000F1616" w:rsidRPr="00D40C27">
        <w:rPr>
          <w:rFonts w:eastAsia="Calibri"/>
          <w:color w:val="auto"/>
          <w:lang w:eastAsia="en-US"/>
        </w:rPr>
        <w:t xml:space="preserve"> designed and launched on the Qualtrics </w:t>
      </w:r>
      <w:r w:rsidR="000F1616" w:rsidRPr="00D40C27">
        <w:rPr>
          <w:rFonts w:eastAsia="Calibri"/>
          <w:noProof/>
          <w:color w:val="auto"/>
          <w:lang w:eastAsia="en-US"/>
        </w:rPr>
        <w:t>(2013)</w:t>
      </w:r>
      <w:r w:rsidR="00CF171C">
        <w:rPr>
          <w:rFonts w:eastAsia="Calibri"/>
          <w:noProof/>
          <w:color w:val="auto"/>
          <w:lang w:eastAsia="en-US"/>
        </w:rPr>
        <w:t xml:space="preserve"> platform</w:t>
      </w:r>
      <w:r w:rsidR="000F1616" w:rsidRPr="00D40C27">
        <w:rPr>
          <w:rFonts w:eastAsia="Calibri"/>
          <w:color w:val="auto"/>
          <w:lang w:eastAsia="en-US"/>
        </w:rPr>
        <w:t xml:space="preserve">. </w:t>
      </w:r>
      <w:r w:rsidR="003A1FD2">
        <w:rPr>
          <w:rFonts w:eastAsia="Calibri"/>
          <w:color w:val="auto"/>
          <w:lang w:eastAsia="en-US"/>
        </w:rPr>
        <w:t>The invitation to take part in the study was sent to</w:t>
      </w:r>
      <w:r w:rsidR="00CF171C">
        <w:rPr>
          <w:rFonts w:eastAsia="Calibri"/>
          <w:color w:val="auto"/>
          <w:lang w:eastAsia="en-US"/>
        </w:rPr>
        <w:t xml:space="preserve"> potential p</w:t>
      </w:r>
      <w:r w:rsidR="000F1616" w:rsidRPr="00D40C27">
        <w:rPr>
          <w:rFonts w:eastAsia="Calibri"/>
          <w:color w:val="auto"/>
          <w:lang w:eastAsia="en-US"/>
        </w:rPr>
        <w:t>articipants</w:t>
      </w:r>
      <w:r w:rsidR="003A1FD2">
        <w:rPr>
          <w:rFonts w:eastAsia="Calibri"/>
          <w:color w:val="auto"/>
          <w:lang w:eastAsia="en-US"/>
        </w:rPr>
        <w:t xml:space="preserve"> via e-mail. Respondents were</w:t>
      </w:r>
      <w:r w:rsidR="00CF171C">
        <w:rPr>
          <w:rFonts w:eastAsia="Calibri"/>
          <w:color w:val="auto"/>
          <w:lang w:eastAsia="en-US"/>
        </w:rPr>
        <w:t xml:space="preserve"> able </w:t>
      </w:r>
      <w:r w:rsidR="000F1616" w:rsidRPr="00D40C27">
        <w:rPr>
          <w:rFonts w:eastAsia="Calibri"/>
          <w:color w:val="auto"/>
          <w:lang w:eastAsia="en-US"/>
        </w:rPr>
        <w:t>to access</w:t>
      </w:r>
      <w:r w:rsidR="003A1FD2">
        <w:rPr>
          <w:rFonts w:eastAsia="Calibri"/>
          <w:color w:val="auto"/>
          <w:lang w:eastAsia="en-US"/>
        </w:rPr>
        <w:t xml:space="preserve"> the experiment</w:t>
      </w:r>
      <w:r w:rsidR="000F1616" w:rsidRPr="00D40C27">
        <w:rPr>
          <w:rFonts w:eastAsia="Calibri"/>
          <w:color w:val="auto"/>
          <w:lang w:eastAsia="en-US"/>
        </w:rPr>
        <w:t xml:space="preserve"> via phones, tablets</w:t>
      </w:r>
      <w:r w:rsidR="00B32D9C">
        <w:rPr>
          <w:rFonts w:eastAsia="Calibri"/>
          <w:color w:val="auto"/>
          <w:lang w:eastAsia="en-US"/>
        </w:rPr>
        <w:t>,</w:t>
      </w:r>
      <w:r w:rsidR="000F1616" w:rsidRPr="00D40C27">
        <w:rPr>
          <w:rFonts w:eastAsia="Calibri"/>
          <w:color w:val="auto"/>
          <w:lang w:eastAsia="en-US"/>
        </w:rPr>
        <w:t xml:space="preserve"> and computers. </w:t>
      </w:r>
      <w:r w:rsidR="00CF171C">
        <w:rPr>
          <w:rFonts w:eastAsia="Calibri"/>
          <w:color w:val="auto"/>
          <w:lang w:eastAsia="en-US"/>
        </w:rPr>
        <w:t>U</w:t>
      </w:r>
      <w:r w:rsidR="008E7662">
        <w:rPr>
          <w:rFonts w:eastAsia="Calibri"/>
          <w:color w:val="auto"/>
          <w:lang w:eastAsia="en-US"/>
        </w:rPr>
        <w:t xml:space="preserve">pon accessing </w:t>
      </w:r>
      <w:r w:rsidR="00CF171C">
        <w:rPr>
          <w:rFonts w:eastAsia="Calibri"/>
          <w:color w:val="auto"/>
          <w:lang w:eastAsia="en-US"/>
        </w:rPr>
        <w:t>the experiment, r</w:t>
      </w:r>
      <w:r w:rsidR="000F1616" w:rsidRPr="00D40C27">
        <w:rPr>
          <w:rFonts w:eastAsia="Calibri"/>
          <w:color w:val="auto"/>
          <w:lang w:eastAsia="en-US"/>
        </w:rPr>
        <w:t xml:space="preserve">espondents </w:t>
      </w:r>
      <w:r w:rsidR="008E7662">
        <w:rPr>
          <w:rFonts w:eastAsia="Calibri"/>
          <w:color w:val="auto"/>
          <w:lang w:eastAsia="en-US"/>
        </w:rPr>
        <w:t xml:space="preserve">were requested to read an </w:t>
      </w:r>
      <w:r w:rsidR="000F1616" w:rsidRPr="00D40C27">
        <w:rPr>
          <w:rFonts w:eastAsia="Calibri"/>
          <w:color w:val="auto"/>
          <w:lang w:eastAsia="en-US"/>
        </w:rPr>
        <w:t xml:space="preserve">information sheet and provide informed consent </w:t>
      </w:r>
      <w:r w:rsidR="008E7662">
        <w:rPr>
          <w:rFonts w:eastAsia="Calibri"/>
          <w:color w:val="auto"/>
          <w:lang w:eastAsia="en-US"/>
        </w:rPr>
        <w:t>prior their</w:t>
      </w:r>
      <w:r w:rsidR="000F1616" w:rsidRPr="00D40C27">
        <w:rPr>
          <w:rFonts w:eastAsia="Calibri"/>
          <w:color w:val="auto"/>
          <w:lang w:eastAsia="en-US"/>
        </w:rPr>
        <w:t xml:space="preserve"> participation (see Appendix </w:t>
      </w:r>
      <w:r w:rsidR="00B346FD">
        <w:rPr>
          <w:rFonts w:eastAsia="Calibri"/>
          <w:color w:val="auto"/>
          <w:lang w:eastAsia="en-US"/>
        </w:rPr>
        <w:t>4A and 4B</w:t>
      </w:r>
      <w:r w:rsidR="000F1616" w:rsidRPr="00D40C27">
        <w:rPr>
          <w:rFonts w:eastAsia="Calibri"/>
          <w:color w:val="auto"/>
          <w:lang w:eastAsia="en-US"/>
        </w:rPr>
        <w:t xml:space="preserve">). Then, </w:t>
      </w:r>
      <w:r w:rsidR="008E7662" w:rsidRPr="00D40C27">
        <w:rPr>
          <w:rFonts w:eastAsia="Calibri"/>
          <w:color w:val="auto"/>
          <w:lang w:eastAsia="en-US"/>
        </w:rPr>
        <w:t>p</w:t>
      </w:r>
      <w:r w:rsidR="008E7662">
        <w:rPr>
          <w:rFonts w:eastAsia="Calibri"/>
          <w:color w:val="auto"/>
          <w:lang w:eastAsia="en-US"/>
        </w:rPr>
        <w:t>a</w:t>
      </w:r>
      <w:r w:rsidR="008E7662" w:rsidRPr="00D40C27">
        <w:rPr>
          <w:rFonts w:eastAsia="Calibri"/>
          <w:color w:val="auto"/>
          <w:lang w:eastAsia="en-US"/>
        </w:rPr>
        <w:t>rticipants</w:t>
      </w:r>
      <w:r w:rsidR="000F1616" w:rsidRPr="00D40C27">
        <w:rPr>
          <w:rFonts w:eastAsia="Calibri"/>
          <w:color w:val="auto"/>
          <w:lang w:eastAsia="en-US"/>
        </w:rPr>
        <w:t xml:space="preserve"> completed </w:t>
      </w:r>
      <w:r w:rsidR="008E7662">
        <w:rPr>
          <w:rFonts w:eastAsia="Calibri"/>
          <w:color w:val="auto"/>
          <w:lang w:eastAsia="en-US"/>
        </w:rPr>
        <w:t>items enquiring about</w:t>
      </w:r>
      <w:r w:rsidR="003A1FD2">
        <w:rPr>
          <w:rFonts w:eastAsia="Calibri"/>
          <w:color w:val="auto"/>
          <w:lang w:eastAsia="en-US"/>
        </w:rPr>
        <w:t xml:space="preserve"> their</w:t>
      </w:r>
      <w:r w:rsidR="008E7662">
        <w:rPr>
          <w:rFonts w:eastAsia="Calibri"/>
          <w:color w:val="auto"/>
          <w:lang w:eastAsia="en-US"/>
        </w:rPr>
        <w:t xml:space="preserve"> </w:t>
      </w:r>
      <w:r w:rsidR="000F1616" w:rsidRPr="00D40C27">
        <w:rPr>
          <w:rFonts w:eastAsia="Calibri"/>
          <w:color w:val="auto"/>
          <w:lang w:eastAsia="en-US"/>
        </w:rPr>
        <w:t>demographic information</w:t>
      </w:r>
      <w:r w:rsidR="008E7662">
        <w:rPr>
          <w:rFonts w:eastAsia="Calibri"/>
          <w:color w:val="auto"/>
          <w:lang w:eastAsia="en-US"/>
        </w:rPr>
        <w:t xml:space="preserve">, </w:t>
      </w:r>
      <w:r w:rsidR="000F1616" w:rsidRPr="00D40C27">
        <w:rPr>
          <w:rFonts w:eastAsia="Calibri"/>
          <w:color w:val="auto"/>
          <w:lang w:eastAsia="en-US"/>
        </w:rPr>
        <w:t>followed by measures of internal and external motivation</w:t>
      </w:r>
      <w:r w:rsidR="005F5761">
        <w:rPr>
          <w:rFonts w:eastAsia="Calibri"/>
          <w:color w:val="auto"/>
          <w:lang w:eastAsia="en-US"/>
        </w:rPr>
        <w:t xml:space="preserve"> to respond without prejudice</w:t>
      </w:r>
      <w:r w:rsidR="000F1616" w:rsidRPr="00D40C27">
        <w:rPr>
          <w:rFonts w:eastAsia="Calibri"/>
          <w:color w:val="auto"/>
          <w:lang w:eastAsia="en-US"/>
        </w:rPr>
        <w:t xml:space="preserve"> (IMS/EMS: </w:t>
      </w:r>
      <w:r w:rsidR="000F1616" w:rsidRPr="00D40C27">
        <w:rPr>
          <w:rFonts w:eastAsia="Calibri"/>
          <w:noProof/>
          <w:color w:val="auto"/>
          <w:lang w:eastAsia="en-US"/>
        </w:rPr>
        <w:t>Plant &amp; Devine, 1998)</w:t>
      </w:r>
      <w:r w:rsidR="000F1616" w:rsidRPr="00D40C27">
        <w:rPr>
          <w:rFonts w:eastAsia="Calibri"/>
          <w:color w:val="auto"/>
          <w:lang w:eastAsia="en-US"/>
        </w:rPr>
        <w:t>, the Disgust Scale Revised (DS-R</w:t>
      </w:r>
      <w:r w:rsidR="00B32D9C">
        <w:rPr>
          <w:rFonts w:eastAsia="Calibri"/>
          <w:color w:val="auto"/>
          <w:lang w:eastAsia="en-US"/>
        </w:rPr>
        <w:t>; O</w:t>
      </w:r>
      <w:r w:rsidR="00B32D9C" w:rsidRPr="00B32D9C">
        <w:rPr>
          <w:rFonts w:eastAsia="Calibri"/>
          <w:color w:val="auto"/>
          <w:lang w:eastAsia="en-US"/>
        </w:rPr>
        <w:t>latunji &amp; Williams, 2007)</w:t>
      </w:r>
      <w:r w:rsidR="005F5761">
        <w:rPr>
          <w:rFonts w:eastAsia="Calibri"/>
          <w:color w:val="auto"/>
          <w:lang w:eastAsia="en-US"/>
        </w:rPr>
        <w:t xml:space="preserve"> and </w:t>
      </w:r>
      <w:r w:rsidR="000F1616" w:rsidRPr="00D40C27">
        <w:rPr>
          <w:rFonts w:eastAsia="Calibri"/>
          <w:color w:val="auto"/>
          <w:lang w:eastAsia="en-US"/>
        </w:rPr>
        <w:t>t</w:t>
      </w:r>
      <w:r w:rsidR="000F1616" w:rsidRPr="00D40C27">
        <w:rPr>
          <w:rFonts w:eastAsia="Calibri"/>
          <w:bCs/>
          <w:color w:val="auto"/>
          <w:lang w:eastAsia="en-US"/>
        </w:rPr>
        <w:t xml:space="preserve">he Sociocultural Attitudes towards Appearance Questionnaire (SATAQ-3: </w:t>
      </w:r>
      <w:r w:rsidR="000F1616" w:rsidRPr="00D40C27">
        <w:rPr>
          <w:rFonts w:eastAsia="Calibri"/>
          <w:bCs/>
          <w:color w:val="auto"/>
          <w:lang w:eastAsia="en-US"/>
        </w:rPr>
        <w:fldChar w:fldCharType="begin" w:fldLock="1"/>
      </w:r>
      <w:r w:rsidR="000F1616" w:rsidRPr="00D40C27">
        <w:rPr>
          <w:rFonts w:eastAsia="Calibri"/>
          <w:bCs/>
          <w:color w:val="auto"/>
          <w:lang w:eastAsia="en-US"/>
        </w:rPr>
        <w:instrText xml:space="preserve">  CSL_CITATION {"citationItems":[{"id":"ITEM-1","itemData":{"author":[{"dropping-particle":"","family":"Thompson","given":"JK","non-dropping-particle":"","parse-names":false,"suffix":""},{"dropping-particle":"van den","family":"Berg","given":"P","non-dropping-particle":"","parse-names":false,"suffix":""}],"container-title":"journal of eating  …","id":"ITEM-1","issued":{"date-parts":[["2004"]]},"title":"The sociocultural attitudes towards appearance scale</w:instrText>
      </w:r>
      <w:r w:rsidR="000F1616" w:rsidRPr="00D40C27">
        <w:rPr>
          <w:rFonts w:ascii="Cambria Math" w:eastAsia="Calibri" w:hAnsi="Cambria Math" w:cs="Cambria Math"/>
          <w:bCs/>
          <w:color w:val="auto"/>
          <w:lang w:eastAsia="en-US"/>
        </w:rPr>
        <w:instrText>‐</w:instrText>
      </w:r>
      <w:r w:rsidR="000F1616" w:rsidRPr="00D40C27">
        <w:rPr>
          <w:rFonts w:eastAsia="Calibri"/>
          <w:bCs/>
          <w:color w:val="auto"/>
          <w:lang w:eastAsia="en-US"/>
        </w:rPr>
        <w:instrText>3 (SATAQ</w:instrText>
      </w:r>
      <w:r w:rsidR="000F1616" w:rsidRPr="00D40C27">
        <w:rPr>
          <w:rFonts w:ascii="Cambria Math" w:eastAsia="Calibri" w:hAnsi="Cambria Math" w:cs="Cambria Math"/>
          <w:bCs/>
          <w:color w:val="auto"/>
          <w:lang w:eastAsia="en-US"/>
        </w:rPr>
        <w:instrText>‐</w:instrText>
      </w:r>
      <w:r w:rsidR="000F1616" w:rsidRPr="00D40C27">
        <w:rPr>
          <w:rFonts w:eastAsia="Calibri"/>
          <w:bCs/>
          <w:color w:val="auto"/>
          <w:lang w:eastAsia="en-US"/>
        </w:rPr>
        <w:instrText>3): Development and validation","type":"article-journal"},"uris":["http://www.mendeley.com/documents/?uuid=d8391637-f5f8-37ee-a294-6cbe720b5fee"]}],"mendeley":{"formattedCitation":"(Thompson &amp; Berg, 2004)","manualFormatting":"Thompson &amp; Berg, 2004)","plainTextFormattedCitation":"(Thompson &amp; Berg, 2004)","previouslyFormattedCitation":"(Thompson &amp; Berg, 2004)"},"properties":{"noteIndex":0},"schema":"https://github.com/citation-style-language/schema/raw/master/csl-citation.json"}</w:instrText>
      </w:r>
      <w:r w:rsidR="000F1616" w:rsidRPr="00D40C27">
        <w:rPr>
          <w:rFonts w:eastAsia="Calibri"/>
          <w:bCs/>
          <w:color w:val="auto"/>
          <w:lang w:eastAsia="en-US"/>
        </w:rPr>
        <w:fldChar w:fldCharType="separate"/>
      </w:r>
      <w:r w:rsidR="000F1616" w:rsidRPr="00D40C27">
        <w:rPr>
          <w:rFonts w:eastAsia="Calibri"/>
          <w:bCs/>
          <w:noProof/>
          <w:color w:val="auto"/>
          <w:lang w:eastAsia="en-US"/>
        </w:rPr>
        <w:t>Thompson &amp; Berg, 2004)</w:t>
      </w:r>
      <w:r w:rsidR="000F1616" w:rsidRPr="00D40C27">
        <w:rPr>
          <w:rFonts w:eastAsia="Calibri"/>
          <w:bCs/>
          <w:color w:val="auto"/>
          <w:lang w:eastAsia="en-US"/>
        </w:rPr>
        <w:fldChar w:fldCharType="end"/>
      </w:r>
      <w:r w:rsidR="000F1616" w:rsidRPr="00D40C27">
        <w:rPr>
          <w:rFonts w:eastAsia="Calibri"/>
          <w:bCs/>
          <w:color w:val="auto"/>
          <w:lang w:eastAsia="en-US"/>
        </w:rPr>
        <w:t xml:space="preserve">. The outcome variables of </w:t>
      </w:r>
      <w:r w:rsidR="000F1616" w:rsidRPr="00D40C27">
        <w:rPr>
          <w:rFonts w:eastAsia="Calibri"/>
          <w:color w:val="auto"/>
          <w:lang w:eastAsia="en-US"/>
        </w:rPr>
        <w:t xml:space="preserve">intergroup anxiety scale (Stephan &amp; Stephan, 1985) and intended avoidant behaviour </w:t>
      </w:r>
      <w:r w:rsidR="000F1616" w:rsidRPr="00D40C27">
        <w:rPr>
          <w:rFonts w:eastAsia="Calibri"/>
          <w:color w:val="auto"/>
          <w:lang w:eastAsia="en-US"/>
        </w:rPr>
        <w:fldChar w:fldCharType="begin" w:fldLock="1"/>
      </w:r>
      <w:r w:rsidR="000F1616" w:rsidRPr="00D40C27">
        <w:rPr>
          <w:rFonts w:eastAsia="Calibri"/>
          <w:color w:val="auto"/>
          <w:lang w:eastAsia="en-US"/>
        </w:rPr>
        <w:instrText xml:space="preserve">  CSL_CITATION {"citationItems":[{"id":"ITEM-1","itemData":{"DOI":"10.1080/08870446.2011.603424","ISBN":"1476-8321","ISSN":"0887-0446","PMID":"21801076","abstract":"Medical conditions that are non-contagious, but that appear contagious, seem to result in the sufferer being avoided. Error management theory (EMT), suggests that such false alarms occur because the cost of infection poses a greater threat to ones fitness than avoidance. Study 1 attempted to demonstrate a disease-related false alarm effect by asking participants, to evaluate a series of vignettes, featuring people with infectious diseases, non-infectious diseases that looked infectious and non-infectious diseases that did not. Judgements of contracting infection under varying levels of contact, and desire to avoid were obtained. Consistent with EMT, a false alarm effect was evident. Study 2 examined the importance of the face as a key indicator of real and apparent infection, by determining whether facial symptoms result in a greater desire to avoid people with infectious and non-infectious diseases. Consistent with expectation, participants reported a greater desire to avoid people with facially displayed symptoms. Together, these results support the idea that humans have evolved a general tendency to avoid individuals with disease signs, especially if displayed upon the face. One consequence is that where a facially displayed disease sign persists, even if known to be benign, its bearer will experience chronic avoidance.","author":[{"dropping-particle":"","family":"Kouznetsova","given":"Daria","non-dropping-particle":"","parse-names":false,"suffix":""},{"dropping-particle":"","family":"Stevenson","given":"Richard J.","non-dropping-particle":"","parse-names":false,"suffix":""},{"dropping-particle":"","family":"Oaten","given":"Megan J.","non-dropping-particle":"","parse-names":false,"suffix":""},{"dropping-particle":"","family":"Case","given":"Trevor I.","non-dropping-particle":"","parse-names":false,"suffix":""}],"container-title":"Psychology &amp; Health","id":"ITEM-1","issue":"4","issued":{"date-parts":[["2012"]]},"page":"491-506","title":"Disease-avoidant behaviour and its consequences","type":"article-journal","volume":"27"},"uris":["http://www.mendeley.com/documents/?uuid=62fc8155-4316-4ab2-b8fc-c0adf53c0e53"]}],"mendeley":{"formattedCitation":"(Kouznetsova et al., 2012)","plainTextFormattedCitation":"(Kouznetsova et al., 2012)"},"properties":{"noteIndex":0},"schema":"https://github.com/citation-style-language/schema/raw/master/csl-citation.json"}</w:instrText>
      </w:r>
      <w:r w:rsidR="000F1616" w:rsidRPr="00D40C27">
        <w:rPr>
          <w:rFonts w:eastAsia="Calibri"/>
          <w:color w:val="auto"/>
          <w:lang w:eastAsia="en-US"/>
        </w:rPr>
        <w:fldChar w:fldCharType="separate"/>
      </w:r>
      <w:r w:rsidR="000F1616" w:rsidRPr="00D40C27">
        <w:rPr>
          <w:rFonts w:eastAsia="Calibri"/>
          <w:noProof/>
          <w:color w:val="auto"/>
          <w:lang w:eastAsia="en-US"/>
        </w:rPr>
        <w:t>(Kouznetsova et al., 2012)</w:t>
      </w:r>
      <w:r w:rsidR="000F1616" w:rsidRPr="00D40C27">
        <w:rPr>
          <w:rFonts w:eastAsia="Calibri"/>
          <w:color w:val="auto"/>
          <w:lang w:eastAsia="en-US"/>
        </w:rPr>
        <w:fldChar w:fldCharType="end"/>
      </w:r>
      <w:r w:rsidR="000F1616" w:rsidRPr="00D40C27">
        <w:rPr>
          <w:rFonts w:eastAsia="Calibri"/>
          <w:color w:val="auto"/>
          <w:lang w:eastAsia="en-US"/>
        </w:rPr>
        <w:t xml:space="preserve"> were </w:t>
      </w:r>
      <w:r w:rsidR="003A1FD2">
        <w:rPr>
          <w:rFonts w:eastAsia="Calibri"/>
          <w:color w:val="auto"/>
          <w:lang w:eastAsia="en-US"/>
        </w:rPr>
        <w:t xml:space="preserve">presented  to participants </w:t>
      </w:r>
      <w:r w:rsidR="000F1616" w:rsidRPr="00D40C27">
        <w:rPr>
          <w:rFonts w:eastAsia="Calibri"/>
          <w:color w:val="auto"/>
          <w:lang w:eastAsia="en-US"/>
        </w:rPr>
        <w:t xml:space="preserve">before and after the intervention. See figure </w:t>
      </w:r>
      <w:r w:rsidR="00B32D9C">
        <w:rPr>
          <w:rFonts w:eastAsia="Calibri"/>
          <w:color w:val="auto"/>
          <w:lang w:eastAsia="en-US"/>
        </w:rPr>
        <w:t>4.</w:t>
      </w:r>
      <w:r w:rsidR="000F1616" w:rsidRPr="00D40C27">
        <w:rPr>
          <w:rFonts w:eastAsia="Calibri"/>
          <w:color w:val="auto"/>
          <w:lang w:eastAsia="en-US"/>
        </w:rPr>
        <w:t xml:space="preserve">1 for </w:t>
      </w:r>
      <w:r w:rsidR="00B32D9C">
        <w:rPr>
          <w:rFonts w:eastAsia="Calibri"/>
          <w:color w:val="auto"/>
          <w:lang w:eastAsia="en-US"/>
        </w:rPr>
        <w:t>a screenshot</w:t>
      </w:r>
      <w:r w:rsidR="000F1616" w:rsidRPr="00D40C27">
        <w:rPr>
          <w:rFonts w:eastAsia="Calibri"/>
          <w:color w:val="auto"/>
          <w:lang w:eastAsia="en-US"/>
        </w:rPr>
        <w:t>.</w:t>
      </w:r>
    </w:p>
    <w:p w14:paraId="433D25D1" w14:textId="77777777" w:rsidR="000F1616" w:rsidRPr="00D40C27" w:rsidRDefault="000F1616" w:rsidP="00A427E8">
      <w:pPr>
        <w:pStyle w:val="Heading3"/>
      </w:pPr>
      <w:bookmarkStart w:id="87" w:name="_Toc12024658"/>
      <w:r w:rsidRPr="00D40C27">
        <w:t>Interventions</w:t>
      </w:r>
      <w:bookmarkEnd w:id="87"/>
    </w:p>
    <w:p w14:paraId="1BE09281" w14:textId="5186BD87" w:rsidR="000F1616" w:rsidRPr="00D40C27" w:rsidRDefault="003A1FD2" w:rsidP="005B1964">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r>
        <w:rPr>
          <w:rFonts w:eastAsia="Calibri"/>
          <w:color w:val="auto"/>
          <w:lang w:eastAsia="en-US"/>
        </w:rPr>
        <w:t>P</w:t>
      </w:r>
      <w:r w:rsidR="000F1616" w:rsidRPr="00D40C27">
        <w:rPr>
          <w:rFonts w:eastAsia="Calibri"/>
          <w:color w:val="auto"/>
          <w:lang w:eastAsia="en-US"/>
        </w:rPr>
        <w:t xml:space="preserve">articipants in </w:t>
      </w:r>
      <w:r>
        <w:rPr>
          <w:rFonts w:eastAsia="Calibri"/>
          <w:color w:val="auto"/>
          <w:lang w:eastAsia="en-US"/>
        </w:rPr>
        <w:t>completed a</w:t>
      </w:r>
      <w:r w:rsidRPr="00D40C27">
        <w:rPr>
          <w:rFonts w:eastAsia="Calibri"/>
          <w:color w:val="auto"/>
          <w:lang w:eastAsia="en-US"/>
        </w:rPr>
        <w:t>wareness and IC</w:t>
      </w:r>
      <w:r>
        <w:rPr>
          <w:rFonts w:eastAsia="Calibri"/>
          <w:color w:val="auto"/>
          <w:lang w:eastAsia="en-US"/>
        </w:rPr>
        <w:t xml:space="preserve"> strategies in</w:t>
      </w:r>
      <w:r w:rsidRPr="00D40C27">
        <w:rPr>
          <w:rFonts w:eastAsia="Calibri"/>
          <w:color w:val="auto"/>
          <w:lang w:eastAsia="en-US"/>
        </w:rPr>
        <w:t xml:space="preserve"> </w:t>
      </w:r>
      <w:r w:rsidR="000F1616" w:rsidRPr="00D40C27">
        <w:rPr>
          <w:rFonts w:eastAsia="Calibri"/>
          <w:color w:val="auto"/>
          <w:lang w:eastAsia="en-US"/>
        </w:rPr>
        <w:t>two time points. First, respondents were randomly allocated to one of three awareness conditions; a written awareness message on FD</w:t>
      </w:r>
      <w:r w:rsidR="00B346FD">
        <w:rPr>
          <w:rFonts w:eastAsia="Calibri"/>
          <w:color w:val="auto"/>
          <w:lang w:eastAsia="en-US"/>
        </w:rPr>
        <w:t xml:space="preserve"> (see Appendix 4C)</w:t>
      </w:r>
      <w:r w:rsidR="000F1616" w:rsidRPr="00D40C27">
        <w:rPr>
          <w:rFonts w:eastAsia="Calibri"/>
          <w:color w:val="auto"/>
          <w:lang w:eastAsia="en-US"/>
        </w:rPr>
        <w:t xml:space="preserve">, an awareness videoclip </w:t>
      </w:r>
      <w:r w:rsidR="00B346FD">
        <w:rPr>
          <w:rFonts w:eastAsia="Calibri"/>
          <w:color w:val="auto"/>
          <w:lang w:eastAsia="en-US"/>
        </w:rPr>
        <w:t xml:space="preserve">(see Appendix 4D) </w:t>
      </w:r>
      <w:r w:rsidR="000F1616" w:rsidRPr="00D40C27">
        <w:rPr>
          <w:rFonts w:eastAsia="Calibri"/>
          <w:color w:val="auto"/>
          <w:lang w:eastAsia="en-US"/>
        </w:rPr>
        <w:t>or a control awareness message</w:t>
      </w:r>
      <w:r w:rsidR="00B346FD">
        <w:rPr>
          <w:rFonts w:eastAsia="Calibri"/>
          <w:color w:val="auto"/>
          <w:lang w:eastAsia="en-US"/>
        </w:rPr>
        <w:t xml:space="preserve"> (see Appendix 4E)</w:t>
      </w:r>
      <w:r w:rsidR="000F1616" w:rsidRPr="00D40C27">
        <w:rPr>
          <w:rFonts w:eastAsia="Calibri"/>
          <w:color w:val="auto"/>
          <w:lang w:eastAsia="en-US"/>
        </w:rPr>
        <w:t xml:space="preserve">. The written awareness message displayed a series of bullet points with educational information about FD and the stigma affecting those with FD. </w:t>
      </w:r>
      <w:r w:rsidR="00D12570">
        <w:rPr>
          <w:rFonts w:eastAsia="Calibri"/>
          <w:color w:val="auto"/>
          <w:lang w:eastAsia="en-US"/>
        </w:rPr>
        <w:t>Following the presentation of the educational material, the awareness condition continued with</w:t>
      </w:r>
      <w:r w:rsidR="000F1616" w:rsidRPr="00D40C27">
        <w:rPr>
          <w:rFonts w:eastAsia="Calibri"/>
          <w:color w:val="auto"/>
          <w:lang w:eastAsia="en-US"/>
        </w:rPr>
        <w:t xml:space="preserve"> two quotes of successful individuals with FD and their life experiences living with a FD. </w:t>
      </w:r>
    </w:p>
    <w:p w14:paraId="11610E99" w14:textId="77777777" w:rsidR="00B346FD" w:rsidRDefault="000F1616" w:rsidP="00B346F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left="720" w:firstLine="0"/>
        <w:rPr>
          <w:rFonts w:eastAsia="Times New Roman"/>
          <w:color w:val="auto"/>
          <w:lang w:eastAsia="zh-CN"/>
        </w:rPr>
      </w:pPr>
      <w:r w:rsidRPr="00D40C27">
        <w:rPr>
          <w:rFonts w:eastAsia="SimSun"/>
          <w:i/>
          <w:iCs/>
          <w:color w:val="auto"/>
          <w:lang w:eastAsia="zh-CN"/>
        </w:rPr>
        <w:t xml:space="preserve">“Some people might think that if you have a facial disfigurement, then that means that all you do is stay at home feeling sorry for yourself and being miserable and not going out and that's not true. I'm a very confident person and I've had a really good, successful life. I mean, I've had to work at it, but I'm happy with who I am. I work and I also study part time for a law degree at University, which is great, and I'm also happily married </w:t>
      </w:r>
      <w:r w:rsidRPr="00D40C27">
        <w:rPr>
          <w:rFonts w:eastAsia="Times New Roman"/>
          <w:color w:val="auto"/>
          <w:lang w:eastAsia="zh-CN"/>
        </w:rPr>
        <w:t>(…).”  Victoria Wright (Changing Faces).</w:t>
      </w:r>
    </w:p>
    <w:p w14:paraId="5379ABBE" w14:textId="3921C8E6" w:rsidR="000F1616" w:rsidRDefault="000F1616" w:rsidP="00B346F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eastAsia="Calibri"/>
          <w:color w:val="auto"/>
          <w:lang w:eastAsia="en-US"/>
        </w:rPr>
      </w:pPr>
      <w:r w:rsidRPr="00D40C27">
        <w:rPr>
          <w:rFonts w:eastAsia="Calibri"/>
          <w:color w:val="auto"/>
        </w:rPr>
        <w:t xml:space="preserve">The awareness video-clip lasted 1:30 seconds and displayed the story of Jono Lancaster, a </w:t>
      </w:r>
      <w:r w:rsidRPr="00D40C27">
        <w:rPr>
          <w:rFonts w:eastAsia="Calibri"/>
          <w:color w:val="auto"/>
          <w:lang w:eastAsia="en-US"/>
        </w:rPr>
        <w:t>Treacher Collins syndrome</w:t>
      </w:r>
      <w:r w:rsidRPr="00D40C27">
        <w:rPr>
          <w:rFonts w:eastAsia="Calibri"/>
          <w:color w:val="auto"/>
        </w:rPr>
        <w:t xml:space="preserve"> advocate that despite facing challenges for his </w:t>
      </w:r>
      <w:r w:rsidR="00D12570" w:rsidRPr="00D40C27">
        <w:rPr>
          <w:rFonts w:eastAsia="Calibri"/>
          <w:color w:val="auto"/>
        </w:rPr>
        <w:t>appearance</w:t>
      </w:r>
      <w:r w:rsidRPr="00D40C27">
        <w:rPr>
          <w:rFonts w:eastAsia="Calibri"/>
          <w:color w:val="auto"/>
        </w:rPr>
        <w:t xml:space="preserve"> becomes fashion model and a TV personality (see Figure </w:t>
      </w:r>
      <w:r w:rsidR="00B346FD">
        <w:rPr>
          <w:rFonts w:eastAsia="Calibri"/>
          <w:color w:val="auto"/>
        </w:rPr>
        <w:t>4.1</w:t>
      </w:r>
      <w:r w:rsidRPr="00D40C27">
        <w:rPr>
          <w:rFonts w:eastAsia="Calibri"/>
          <w:color w:val="auto"/>
        </w:rPr>
        <w:t xml:space="preserve"> for a screenshot of the clip). </w:t>
      </w:r>
      <w:r w:rsidRPr="00D40C27">
        <w:rPr>
          <w:rFonts w:eastAsia="Calibri"/>
          <w:color w:val="auto"/>
          <w:lang w:eastAsia="en-US"/>
        </w:rPr>
        <w:t xml:space="preserve">Following </w:t>
      </w:r>
      <w:r w:rsidRPr="00D40C27">
        <w:rPr>
          <w:rFonts w:eastAsia="Calibri"/>
          <w:noProof/>
          <w:color w:val="auto"/>
          <w:lang w:eastAsia="en-US"/>
        </w:rPr>
        <w:t>Corrigan et al. (2012)</w:t>
      </w:r>
      <w:r w:rsidRPr="00D40C27">
        <w:rPr>
          <w:rFonts w:eastAsia="Calibri"/>
          <w:color w:val="auto"/>
          <w:lang w:eastAsia="en-US"/>
        </w:rPr>
        <w:t xml:space="preserve">, the content of both awareness </w:t>
      </w:r>
      <w:r w:rsidRPr="00D40C27">
        <w:rPr>
          <w:rFonts w:eastAsia="Calibri"/>
          <w:color w:val="auto"/>
          <w:lang w:eastAsia="en-US"/>
        </w:rPr>
        <w:lastRenderedPageBreak/>
        <w:t>conditions included references to information and individuals’ experiences that challenged stereotypes of FD.</w:t>
      </w:r>
      <w:r>
        <w:rPr>
          <w:rFonts w:eastAsia="Calibri"/>
          <w:color w:val="auto"/>
          <w:lang w:eastAsia="en-US"/>
        </w:rPr>
        <w:t xml:space="preserve"> </w:t>
      </w:r>
    </w:p>
    <w:p w14:paraId="7DBE7FA5" w14:textId="77777777" w:rsidR="000F1616" w:rsidRPr="00D40C27" w:rsidRDefault="000F1616" w:rsidP="00A427E8">
      <w:pPr>
        <w:pStyle w:val="Figures"/>
        <w:rPr>
          <w:lang w:eastAsia="en-US"/>
        </w:rPr>
      </w:pPr>
      <w:bookmarkStart w:id="88" w:name="_Toc12024853"/>
      <w:r w:rsidRPr="00D40C27">
        <w:rPr>
          <w:lang w:eastAsia="en-US"/>
        </w:rPr>
        <w:t>Figure 4.1. Video-clip awareness message</w:t>
      </w:r>
      <w:bookmarkEnd w:id="88"/>
    </w:p>
    <w:p w14:paraId="1033E52A" w14:textId="070A82B8" w:rsidR="000F1616" w:rsidRPr="00D40C27" w:rsidRDefault="00D02823" w:rsidP="000F161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ind w:firstLine="0"/>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lang w:val="es-CO" w:eastAsia="es-CO"/>
        </w:rPr>
        <w:drawing>
          <wp:inline distT="0" distB="0" distL="0" distR="0" wp14:anchorId="0D8E9412" wp14:editId="7EE3DFB8">
            <wp:extent cx="3068955" cy="2385695"/>
            <wp:effectExtent l="0" t="0" r="0" b="0"/>
            <wp:docPr id="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8955" cy="2385695"/>
                    </a:xfrm>
                    <a:prstGeom prst="rect">
                      <a:avLst/>
                    </a:prstGeom>
                    <a:noFill/>
                    <a:ln>
                      <a:noFill/>
                    </a:ln>
                  </pic:spPr>
                </pic:pic>
              </a:graphicData>
            </a:graphic>
          </wp:inline>
        </w:drawing>
      </w:r>
    </w:p>
    <w:p w14:paraId="31EB386D" w14:textId="4E468ED2" w:rsidR="000F1616" w:rsidRPr="004D2DCA" w:rsidRDefault="000F1616" w:rsidP="004D2DCA">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4D2DCA">
        <w:rPr>
          <w:rFonts w:eastAsia="Calibri"/>
          <w:color w:val="auto"/>
          <w:lang w:eastAsia="en-US"/>
        </w:rPr>
        <w:t xml:space="preserve">Participants in the control awareness condition </w:t>
      </w:r>
      <w:r w:rsidR="00D12570">
        <w:rPr>
          <w:rFonts w:eastAsia="Calibri"/>
          <w:color w:val="auto"/>
          <w:lang w:eastAsia="en-US"/>
        </w:rPr>
        <w:t>read a</w:t>
      </w:r>
      <w:r w:rsidRPr="004D2DCA">
        <w:rPr>
          <w:rFonts w:eastAsia="Calibri"/>
          <w:color w:val="auto"/>
          <w:lang w:eastAsia="en-US"/>
        </w:rPr>
        <w:t xml:space="preserve"> neutral message on the consequences of smoking:</w:t>
      </w:r>
    </w:p>
    <w:p w14:paraId="27E081F8" w14:textId="03E1ED74" w:rsidR="000F1616" w:rsidRPr="00D40C27" w:rsidRDefault="000F1616" w:rsidP="004D2DCA">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 </w:t>
      </w:r>
      <w:r w:rsidRPr="00D40C27" w:rsidDel="001B3F3C">
        <w:rPr>
          <w:rFonts w:eastAsia="Calibri"/>
          <w:color w:val="auto"/>
          <w:lang w:eastAsia="en-US"/>
        </w:rPr>
        <w:t xml:space="preserve"> </w:t>
      </w:r>
      <w:r w:rsidRPr="00D40C27">
        <w:rPr>
          <w:rFonts w:eastAsia="Calibri"/>
          <w:color w:val="auto"/>
          <w:lang w:eastAsia="en-US"/>
        </w:rPr>
        <w:t>“…</w:t>
      </w:r>
      <w:r w:rsidRPr="004D2DCA">
        <w:rPr>
          <w:rFonts w:eastAsia="Calibri"/>
          <w:color w:val="auto"/>
          <w:lang w:eastAsia="en-US"/>
        </w:rPr>
        <w:t>Every year, around 96,000 people in the UK die from diseases caused by smoking. Smoking accounts for over one-third of respiratory deaths, over one-quarter of cancer deaths, and about one-seventh of cardiovascular disease deaths</w:t>
      </w:r>
      <w:r w:rsidRPr="00D40C27">
        <w:rPr>
          <w:rFonts w:eastAsia="Calibri"/>
          <w:color w:val="auto"/>
          <w:lang w:eastAsia="en-US"/>
        </w:rPr>
        <w:t>”</w:t>
      </w:r>
      <w:r w:rsidR="003A1FD2">
        <w:rPr>
          <w:rFonts w:eastAsia="Calibri"/>
          <w:color w:val="auto"/>
          <w:lang w:eastAsia="en-US"/>
        </w:rPr>
        <w:t xml:space="preserve"> (see Appendix 4E).</w:t>
      </w:r>
      <w:r w:rsidRPr="00D40C27" w:rsidDel="001B3F3C">
        <w:rPr>
          <w:rFonts w:eastAsia="Calibri"/>
          <w:color w:val="auto"/>
          <w:lang w:eastAsia="en-US"/>
        </w:rPr>
        <w:t xml:space="preserve"> </w:t>
      </w:r>
    </w:p>
    <w:p w14:paraId="339861CB" w14:textId="0AA4EC46" w:rsidR="000F1616" w:rsidRPr="00D40C27" w:rsidRDefault="000F1616" w:rsidP="004D2DCA">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After the awareness conditions, participants were randomly allocated to either a control </w:t>
      </w:r>
      <w:r w:rsidR="00D12570">
        <w:rPr>
          <w:rFonts w:eastAsia="Calibri"/>
          <w:color w:val="auto"/>
          <w:lang w:eastAsia="en-US"/>
        </w:rPr>
        <w:t xml:space="preserve">imaginary task </w:t>
      </w:r>
      <w:r w:rsidRPr="00D40C27">
        <w:rPr>
          <w:rFonts w:eastAsia="Calibri"/>
          <w:color w:val="auto"/>
          <w:lang w:eastAsia="en-US"/>
        </w:rPr>
        <w:t xml:space="preserve">or an IC </w:t>
      </w:r>
      <w:r w:rsidR="00D12570">
        <w:rPr>
          <w:rFonts w:eastAsia="Calibri"/>
          <w:color w:val="auto"/>
          <w:lang w:eastAsia="en-US"/>
        </w:rPr>
        <w:t>task</w:t>
      </w:r>
      <w:r w:rsidRPr="00D40C27">
        <w:rPr>
          <w:rFonts w:eastAsia="Calibri"/>
          <w:color w:val="auto"/>
          <w:lang w:eastAsia="en-US"/>
        </w:rPr>
        <w:t>. Congruently with the method used by previous IC studies (Crisp &amp; Turner, 2009; Turner &amp; Crisp, 2010)</w:t>
      </w:r>
      <w:r w:rsidR="00D12570">
        <w:rPr>
          <w:rFonts w:eastAsia="Calibri"/>
          <w:color w:val="auto"/>
          <w:lang w:eastAsia="en-US"/>
        </w:rPr>
        <w:t>,</w:t>
      </w:r>
      <w:r w:rsidRPr="00D40C27">
        <w:rPr>
          <w:rFonts w:eastAsia="Calibri"/>
          <w:color w:val="auto"/>
          <w:lang w:eastAsia="en-US"/>
        </w:rPr>
        <w:t xml:space="preserve"> </w:t>
      </w:r>
      <w:r w:rsidR="00D12570">
        <w:rPr>
          <w:rFonts w:eastAsia="Calibri"/>
          <w:color w:val="auto"/>
          <w:lang w:eastAsia="en-US"/>
        </w:rPr>
        <w:t xml:space="preserve">the experiment in this study displayed the </w:t>
      </w:r>
      <w:r w:rsidRPr="00D40C27">
        <w:rPr>
          <w:rFonts w:eastAsia="Calibri"/>
          <w:color w:val="auto"/>
          <w:lang w:eastAsia="en-US"/>
        </w:rPr>
        <w:t xml:space="preserve">following instructions </w:t>
      </w:r>
      <w:r w:rsidR="00D12570">
        <w:rPr>
          <w:rFonts w:eastAsia="Calibri"/>
          <w:color w:val="auto"/>
          <w:lang w:eastAsia="en-US"/>
        </w:rPr>
        <w:t xml:space="preserve">to participants </w:t>
      </w:r>
      <w:r w:rsidRPr="00D40C27">
        <w:rPr>
          <w:rFonts w:eastAsia="Calibri"/>
          <w:color w:val="auto"/>
          <w:lang w:eastAsia="en-US"/>
        </w:rPr>
        <w:t>in the IC condition</w:t>
      </w:r>
      <w:r w:rsidR="00172902">
        <w:rPr>
          <w:rFonts w:eastAsia="Calibri"/>
          <w:color w:val="auto"/>
          <w:lang w:eastAsia="en-US"/>
        </w:rPr>
        <w:t xml:space="preserve"> (see Appendix 4F)</w:t>
      </w:r>
      <w:r w:rsidRPr="00D40C27">
        <w:rPr>
          <w:rFonts w:eastAsia="Calibri"/>
          <w:color w:val="auto"/>
          <w:lang w:eastAsia="en-US"/>
        </w:rPr>
        <w:t>:</w:t>
      </w:r>
    </w:p>
    <w:p w14:paraId="77EC81FC" w14:textId="7408EA94"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left="720"/>
        <w:rPr>
          <w:rFonts w:eastAsia="Calibri"/>
          <w:color w:val="auto"/>
          <w:lang w:eastAsia="en-US"/>
        </w:rPr>
      </w:pPr>
      <w:r w:rsidRPr="00D40C27">
        <w:rPr>
          <w:rFonts w:eastAsia="Calibri"/>
          <w:i/>
          <w:iCs/>
          <w:color w:val="auto"/>
          <w:lang w:eastAsia="en-US"/>
        </w:rPr>
        <w:t>“</w:t>
      </w:r>
      <w:r w:rsidR="00D12570">
        <w:rPr>
          <w:rFonts w:eastAsia="Calibri"/>
          <w:i/>
          <w:iCs/>
          <w:color w:val="auto"/>
          <w:lang w:eastAsia="en-US"/>
        </w:rPr>
        <w:t>W</w:t>
      </w:r>
      <w:r w:rsidRPr="00D40C27">
        <w:rPr>
          <w:rFonts w:eastAsia="Calibri"/>
          <w:i/>
          <w:iCs/>
          <w:color w:val="auto"/>
          <w:lang w:eastAsia="en-US"/>
        </w:rPr>
        <w:t>e would like you to spend two minutes imagining yourself meeting and talking to an adult with a severe facial disfigurement that has sat next to you on the train. Try to create a clear picture of how they look. Imagine that the interaction is POSITIVE and you find out some interesting things about this person.”</w:t>
      </w:r>
    </w:p>
    <w:p w14:paraId="47438733" w14:textId="73E02721"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The page displaying the IC instructions was locked with a timer set at 60</w:t>
      </w:r>
      <w:r w:rsidR="00D12570">
        <w:rPr>
          <w:rFonts w:eastAsia="Calibri"/>
          <w:color w:val="auto"/>
          <w:lang w:eastAsia="en-US"/>
        </w:rPr>
        <w:t xml:space="preserve"> seconds</w:t>
      </w:r>
      <w:r w:rsidRPr="00D40C27">
        <w:rPr>
          <w:rFonts w:eastAsia="Calibri"/>
          <w:color w:val="auto"/>
          <w:lang w:eastAsia="en-US"/>
        </w:rPr>
        <w:t xml:space="preserve"> and participants could not continue with the experiment without spending at least this set time in the page. After the instruction, participants </w:t>
      </w:r>
      <w:r w:rsidR="00D12570">
        <w:rPr>
          <w:rFonts w:eastAsia="Calibri"/>
          <w:color w:val="auto"/>
          <w:lang w:eastAsia="en-US"/>
        </w:rPr>
        <w:t xml:space="preserve">wrote a few sentences about </w:t>
      </w:r>
      <w:r w:rsidRPr="00D40C27">
        <w:rPr>
          <w:rFonts w:eastAsia="Calibri"/>
          <w:color w:val="auto"/>
          <w:lang w:eastAsia="en-US"/>
        </w:rPr>
        <w:t>the person they interacted with (e.g.</w:t>
      </w:r>
      <w:r w:rsidR="008471FC">
        <w:rPr>
          <w:rFonts w:eastAsia="Calibri"/>
          <w:color w:val="auto"/>
          <w:lang w:eastAsia="en-US"/>
        </w:rPr>
        <w:t>,</w:t>
      </w:r>
      <w:r w:rsidRPr="00D40C27">
        <w:rPr>
          <w:rFonts w:eastAsia="Calibri"/>
          <w:color w:val="auto"/>
          <w:lang w:eastAsia="en-US"/>
        </w:rPr>
        <w:t xml:space="preserve"> eye colour, type of disfigurement, tone of voice) and the interaction they had with them. Those allocated to the control </w:t>
      </w:r>
      <w:r w:rsidRPr="00D40C27">
        <w:rPr>
          <w:rFonts w:eastAsia="Calibri"/>
          <w:color w:val="auto"/>
          <w:lang w:eastAsia="en-US"/>
        </w:rPr>
        <w:lastRenderedPageBreak/>
        <w:t xml:space="preserve">imagination task </w:t>
      </w:r>
      <w:r w:rsidR="00D12570">
        <w:rPr>
          <w:rFonts w:eastAsia="Calibri"/>
          <w:color w:val="auto"/>
          <w:lang w:eastAsia="en-US"/>
        </w:rPr>
        <w:t>were instructed to imagine</w:t>
      </w:r>
      <w:r w:rsidRPr="00D40C27">
        <w:rPr>
          <w:rFonts w:eastAsia="Calibri"/>
          <w:color w:val="auto"/>
          <w:lang w:eastAsia="en-US"/>
        </w:rPr>
        <w:t xml:space="preserve"> an outdoor scene (e.g.</w:t>
      </w:r>
      <w:r w:rsidR="008471FC">
        <w:rPr>
          <w:rFonts w:eastAsia="Calibri"/>
          <w:color w:val="auto"/>
          <w:lang w:eastAsia="en-US"/>
        </w:rPr>
        <w:t>,</w:t>
      </w:r>
      <w:r w:rsidRPr="00D40C27">
        <w:rPr>
          <w:rFonts w:eastAsia="Calibri"/>
          <w:color w:val="auto"/>
          <w:lang w:eastAsia="en-US"/>
        </w:rPr>
        <w:t xml:space="preserve"> beach or forest) and then </w:t>
      </w:r>
      <w:r w:rsidR="00D12570">
        <w:rPr>
          <w:rFonts w:eastAsia="Calibri"/>
          <w:color w:val="auto"/>
          <w:lang w:eastAsia="en-US"/>
        </w:rPr>
        <w:t xml:space="preserve">were </w:t>
      </w:r>
      <w:r w:rsidRPr="00D40C27">
        <w:rPr>
          <w:rFonts w:eastAsia="Calibri"/>
          <w:color w:val="auto"/>
          <w:lang w:eastAsia="en-US"/>
        </w:rPr>
        <w:t>ask</w:t>
      </w:r>
      <w:r w:rsidR="00D12570">
        <w:rPr>
          <w:rFonts w:eastAsia="Calibri"/>
          <w:color w:val="auto"/>
          <w:lang w:eastAsia="en-US"/>
        </w:rPr>
        <w:t>ed</w:t>
      </w:r>
      <w:r w:rsidRPr="00D40C27">
        <w:rPr>
          <w:rFonts w:eastAsia="Calibri"/>
          <w:color w:val="auto"/>
          <w:lang w:eastAsia="en-US"/>
        </w:rPr>
        <w:t xml:space="preserve"> to describe the scene in a few</w:t>
      </w:r>
      <w:r w:rsidR="00D12570">
        <w:rPr>
          <w:rFonts w:eastAsia="Calibri"/>
          <w:color w:val="auto"/>
          <w:lang w:eastAsia="en-US"/>
        </w:rPr>
        <w:t xml:space="preserve"> written</w:t>
      </w:r>
      <w:r w:rsidRPr="00D40C27">
        <w:rPr>
          <w:rFonts w:eastAsia="Calibri"/>
          <w:color w:val="auto"/>
          <w:lang w:eastAsia="en-US"/>
        </w:rPr>
        <w:t xml:space="preserve"> sentences. </w:t>
      </w:r>
      <w:r w:rsidR="00D12570">
        <w:rPr>
          <w:rFonts w:eastAsia="Calibri"/>
          <w:color w:val="auto"/>
          <w:lang w:eastAsia="en-US"/>
        </w:rPr>
        <w:t>After</w:t>
      </w:r>
      <w:r w:rsidR="00D12570" w:rsidRPr="00D40C27">
        <w:rPr>
          <w:rFonts w:eastAsia="Calibri"/>
          <w:color w:val="auto"/>
          <w:lang w:eastAsia="en-US"/>
        </w:rPr>
        <w:t xml:space="preserve"> </w:t>
      </w:r>
      <w:r w:rsidRPr="00D40C27">
        <w:rPr>
          <w:rFonts w:eastAsia="Calibri"/>
          <w:color w:val="auto"/>
          <w:lang w:eastAsia="en-US"/>
        </w:rPr>
        <w:t xml:space="preserve">the IC conditions, participants were </w:t>
      </w:r>
      <w:r w:rsidR="00D12570">
        <w:rPr>
          <w:rFonts w:eastAsia="Calibri"/>
          <w:color w:val="auto"/>
          <w:lang w:eastAsia="en-US"/>
        </w:rPr>
        <w:t>directed for a second time to the</w:t>
      </w:r>
      <w:r w:rsidRPr="00D40C27">
        <w:rPr>
          <w:rFonts w:eastAsia="Calibri"/>
          <w:color w:val="auto"/>
          <w:lang w:eastAsia="en-US"/>
        </w:rPr>
        <w:t xml:space="preserve"> two outcome variables: Intergroup anxiety and IAB.  Finally, participants were debriefed and thanked for their participation</w:t>
      </w:r>
      <w:r w:rsidR="00172902">
        <w:rPr>
          <w:rFonts w:eastAsia="Calibri"/>
          <w:color w:val="auto"/>
          <w:lang w:eastAsia="en-US"/>
        </w:rPr>
        <w:t>.</w:t>
      </w:r>
    </w:p>
    <w:p w14:paraId="04A683AD" w14:textId="77777777" w:rsidR="000F1616" w:rsidRPr="00D40C27" w:rsidRDefault="000F1616" w:rsidP="00A427E8">
      <w:pPr>
        <w:pStyle w:val="Heading3"/>
        <w:rPr>
          <w:lang w:eastAsia="en-US"/>
        </w:rPr>
      </w:pPr>
      <w:bookmarkStart w:id="89" w:name="_Toc12024659"/>
      <w:r w:rsidRPr="00D40C27">
        <w:rPr>
          <w:lang w:eastAsia="en-US"/>
        </w:rPr>
        <w:t>Rationale for Sample Size</w:t>
      </w:r>
      <w:bookmarkEnd w:id="89"/>
    </w:p>
    <w:p w14:paraId="031636A7" w14:textId="3E3E2CDB"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r w:rsidRPr="00D40C27">
        <w:rPr>
          <w:rFonts w:eastAsia="Calibri"/>
          <w:color w:val="auto"/>
          <w:lang w:eastAsia="en-US"/>
        </w:rPr>
        <w:t xml:space="preserve">To establish the required sample size for this study, an a-priori power analysis was conducted using the software </w:t>
      </w:r>
      <w:bookmarkStart w:id="90" w:name="_Hlk11692560"/>
      <w:r w:rsidRPr="00D40C27">
        <w:rPr>
          <w:rFonts w:eastAsia="Calibri"/>
          <w:color w:val="auto"/>
          <w:lang w:eastAsia="en-US"/>
        </w:rPr>
        <w:t>G*Power 3.1</w:t>
      </w:r>
      <w:bookmarkEnd w:id="90"/>
      <w:r w:rsidRPr="00D40C27">
        <w:rPr>
          <w:rFonts w:eastAsia="Calibri"/>
          <w:color w:val="auto"/>
          <w:lang w:eastAsia="en-US"/>
        </w:rPr>
        <w:fldChar w:fldCharType="begin"/>
      </w:r>
      <w:r w:rsidRPr="00D40C27">
        <w:rPr>
          <w:rFonts w:eastAsia="Calibri"/>
          <w:color w:val="auto"/>
          <w:lang w:eastAsia="en-US"/>
        </w:rPr>
        <w:instrText xml:space="preserve">   EN.CITE &lt;EndNote&gt;&lt;Cite&gt;&lt;Author&gt;Faul&lt;/Author&gt;&lt;Year&gt;2009&lt;/Year&gt;&lt;IDText&gt; Statistical power analyses using G*Power 3.1: Tests for correlation and regression analyses.&lt;/IDText&gt;&lt;DisplayText&gt;(Faul, Erdfelder, Buchner, &amp;amp; Lang, 2009)&lt;/DisplayText&gt;&lt;record&gt;&lt;titles&gt;&lt;title&gt; Statistical power analyses using G*Power 3.1: Tests for correlation and regression analyses.&lt;/title&gt;&lt;/titles&gt;&lt;pages&gt;1149-1160&lt;/pages&gt;&lt;contributors&gt;&lt;authors&gt;&lt;author&gt;Faul, F.&lt;/author&gt;&lt;author&gt;Erdfelder, E.&lt;/author&gt;&lt;author&gt;Buchner, A.&lt;/author&gt;&lt;author&gt;Lang, A.-G.&lt;/author&gt;&lt;/authors&gt;&lt;/contributors&gt;&lt;added-date format="utc"&gt;1359840767&lt;/added-date&gt;&lt;ref-type name="Generic"&gt;13&lt;/ref-type&gt;&lt;dates&gt;&lt;year&gt;2009&lt;/year&gt;&lt;/dates&gt;&lt;rec-number&gt;134&lt;/rec-number&gt;&lt;publisher&gt;&lt;style font="default" size="100%"&gt; &lt;/style&gt;&lt;style face="italic" font="default" size="100%"&gt;Behavior Research Methods&lt;/style&gt;&lt;/publisher&gt;&lt;last-updated-date format="utc"&gt;1422960814&lt;/last-updated-date&gt;&lt;electronic-resource-num&gt;10.3758/BRM.41.4.1149&lt;/electronic-resource-num&gt;&lt;volume&gt;41&lt;/volume&gt;&lt;/record&gt;&lt;/Cite&gt;&lt;/EndNote&gt;</w:instrText>
      </w:r>
      <w:r w:rsidRPr="00D40C27">
        <w:rPr>
          <w:rFonts w:eastAsia="Calibri"/>
          <w:color w:val="auto"/>
          <w:lang w:eastAsia="en-US"/>
        </w:rPr>
        <w:fldChar w:fldCharType="separate"/>
      </w:r>
      <w:r w:rsidRPr="00D40C27">
        <w:rPr>
          <w:rFonts w:eastAsia="Calibri"/>
          <w:noProof/>
          <w:color w:val="auto"/>
          <w:lang w:eastAsia="en-US"/>
        </w:rPr>
        <w:t>(Faul, Erdfelder, Buchner, &amp; Lang, 2009)</w:t>
      </w:r>
      <w:r w:rsidRPr="00D40C27">
        <w:rPr>
          <w:rFonts w:eastAsia="Calibri"/>
          <w:color w:val="auto"/>
          <w:lang w:eastAsia="en-US"/>
        </w:rPr>
        <w:fldChar w:fldCharType="end"/>
      </w:r>
      <w:r w:rsidRPr="00D40C27">
        <w:rPr>
          <w:rFonts w:eastAsia="Calibri"/>
          <w:color w:val="auto"/>
          <w:lang w:eastAsia="en-US"/>
        </w:rPr>
        <w:t xml:space="preserve">.  Only one study was found to test intervention strategies to reduce stigma towards FD in adults,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{"citationItems":[{"id":"ITEM-1","itemData":{"DOI":"10.1016/j.pec.2014.09.010","ISSN":"0738-3991","abstract":"OBJECTIVE: Healthcare providers and lay people alike tend to form inaccurate first impressions of people with facial movement disorders such as facial paralysis (FP) because of the natural tendency to base impressions on the face. This study tested the effectiveness of the first interpersonal sensitivity training for FP. METHODS: Undergraduate participants were randomly assigned to one of two training conditions or an untrained control. Education raised awareness about FP symptoms and experiences and instructed participants to form their impressions based on cues from the body and voice rather than the face. Education+feedback added feedback about the correctness of participants’ judgments. Subsequently, participants watched 30 s video clips of people with FP and rated their extraversion. RESULTS: Participants’ bias and accuracy in the two training conditions did not significantly differ, but they were significantly less biased than controls. Training did not improve the more challenging task of accurately detecting individual differences in extraversion. CONCLUSION: Educating people improves bias, but not accuracy, of impressions of people with FP. PRACTICE IMPLICATIONS: Information from the education condition could be delivered in a pamphlet to those likely to interact with this population such as healthcare providers and educators.","author":[{"dropping-particle":"","family":"Bogart","given":"Kathleen R","non-dropping-particle":"","parse-names":false,"suffix":""},{"dropping-particle":"","family":"Tickle-Degnen","given":"Linda","non-dropping-particle":"","parse-names":false,"suffix":""}],"container-title":"Patient education and counseling","id":"ITEM-1","issue":"2","issued":{"date-parts":[["2015","2"]]},"page":"251-256","title":"Looking beyond the face: A training to improve perceivers’ impressions of people with facial paralysis","type":"article-journal","volume":"98"},"uris":["http://www.mendeley.com/documents/?uuid=a39d4880-e5af-40ae-b298-e3417636e155"]}],"mendeley":{"formattedCitation":"(Bogart &amp; Tickle-Degnen, 2015)","manualFormatting":"Bogart and Tickle-Degnen (2015)","plainTextFormattedCitation":"(Bogart &amp; Tickle-Degnen, 2015)","previouslyFormattedCitation":"(Bogart &amp; Tickle-Degnen, 2015)"},"properties":{"noteIndex":0},"schema":"https://github.com/citation-style-language/schema/raw/master/csl-citation.json"}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Bogart and Tickle-Degnen (2015)</w:t>
      </w:r>
      <w:r w:rsidRPr="00D40C27">
        <w:rPr>
          <w:rFonts w:eastAsia="Calibri"/>
          <w:color w:val="auto"/>
          <w:lang w:eastAsia="en-US"/>
        </w:rPr>
        <w:fldChar w:fldCharType="end"/>
      </w:r>
      <w:r w:rsidRPr="00D40C27">
        <w:rPr>
          <w:rFonts w:eastAsia="Calibri"/>
          <w:color w:val="auto"/>
          <w:lang w:eastAsia="en-US"/>
        </w:rPr>
        <w:t xml:space="preserve"> used a three-arm randomised design with one outcome and findings reported a significant main effect (</w:t>
      </w:r>
      <w:r w:rsidRPr="004D2DCA">
        <w:rPr>
          <w:rFonts w:eastAsia="Calibri"/>
          <w:i/>
          <w:color w:val="auto"/>
          <w:lang w:eastAsia="en-US"/>
        </w:rPr>
        <w:t>d</w:t>
      </w:r>
      <w:r w:rsidRPr="00D40C27">
        <w:rPr>
          <w:rFonts w:eastAsia="Calibri"/>
          <w:color w:val="auto"/>
          <w:lang w:eastAsia="en-US"/>
        </w:rPr>
        <w:t xml:space="preserve">=0.25) for training conditions of education and education+feedback. This power analysis was computed using this effect size as </w:t>
      </w:r>
      <w:r w:rsidR="00B32D9C">
        <w:rPr>
          <w:rFonts w:eastAsia="Calibri"/>
          <w:color w:val="auto"/>
          <w:lang w:eastAsia="en-US"/>
        </w:rPr>
        <w:t xml:space="preserve">a </w:t>
      </w:r>
      <w:r w:rsidRPr="00D40C27">
        <w:rPr>
          <w:rFonts w:eastAsia="Calibri"/>
          <w:color w:val="auto"/>
          <w:lang w:eastAsia="en-US"/>
        </w:rPr>
        <w:t>reference to assess the sample size required for an ANCOVA of two levels and three covariates, using an alpha of 0.05 and a power of 0.80 (Faul et al., 2013). Results indicated that 225 participants w</w:t>
      </w:r>
      <w:r w:rsidR="00382D91">
        <w:rPr>
          <w:rFonts w:eastAsia="Calibri"/>
          <w:color w:val="auto"/>
          <w:lang w:eastAsia="en-US"/>
        </w:rPr>
        <w:t>ere</w:t>
      </w:r>
      <w:r w:rsidRPr="00D40C27">
        <w:rPr>
          <w:rFonts w:eastAsia="Calibri"/>
          <w:color w:val="auto"/>
          <w:lang w:eastAsia="en-US"/>
        </w:rPr>
        <w:t xml:space="preserve"> needed to provide 80% power to detect an effect size of </w:t>
      </w:r>
      <w:r w:rsidRPr="00D40C27">
        <w:rPr>
          <w:rFonts w:eastAsia="Calibri"/>
          <w:i/>
          <w:color w:val="auto"/>
          <w:lang w:eastAsia="en-US"/>
        </w:rPr>
        <w:t>f</w:t>
      </w:r>
      <w:r w:rsidRPr="00D40C27">
        <w:rPr>
          <w:rFonts w:eastAsia="Calibri"/>
          <w:color w:val="auto"/>
          <w:lang w:eastAsia="en-US"/>
        </w:rPr>
        <w:t xml:space="preserve"> = 0.25. Taking this number as </w:t>
      </w:r>
      <w:r w:rsidR="00B32D9C">
        <w:rPr>
          <w:rFonts w:eastAsia="Calibri"/>
          <w:color w:val="auto"/>
          <w:lang w:eastAsia="en-US"/>
        </w:rPr>
        <w:t xml:space="preserve">a </w:t>
      </w:r>
      <w:r w:rsidRPr="00D40C27">
        <w:rPr>
          <w:rFonts w:eastAsia="Calibri"/>
          <w:color w:val="auto"/>
          <w:lang w:eastAsia="en-US"/>
        </w:rPr>
        <w:t xml:space="preserve">reference, the present study collected data from N=309 participants.  </w:t>
      </w:r>
    </w:p>
    <w:p w14:paraId="063B5DFE" w14:textId="77777777" w:rsidR="000F1616" w:rsidRPr="00D40C27" w:rsidRDefault="000F1616" w:rsidP="00A427E8">
      <w:pPr>
        <w:pStyle w:val="Heading3"/>
        <w:rPr>
          <w:lang w:eastAsia="en-US"/>
        </w:rPr>
      </w:pPr>
      <w:bookmarkStart w:id="91" w:name="_Toc12024660"/>
      <w:r w:rsidRPr="00D40C27">
        <w:rPr>
          <w:lang w:eastAsia="en-US"/>
        </w:rPr>
        <w:t>Inclusion and exclusion Criteria</w:t>
      </w:r>
      <w:bookmarkEnd w:id="91"/>
    </w:p>
    <w:p w14:paraId="2E918B08" w14:textId="77777777" w:rsidR="000F1616" w:rsidRPr="00D40C27" w:rsidRDefault="000F1616" w:rsidP="005B1964">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r w:rsidRPr="00D40C27">
        <w:rPr>
          <w:rFonts w:eastAsia="Calibri"/>
          <w:bCs/>
          <w:iCs/>
          <w:color w:val="auto"/>
          <w:lang w:eastAsia="en-US"/>
        </w:rPr>
        <w:t>Participants were required to be over the age of 18 and fluent in English. P</w:t>
      </w:r>
      <w:r w:rsidRPr="00D40C27">
        <w:rPr>
          <w:rFonts w:eastAsia="Calibri"/>
          <w:color w:val="auto"/>
          <w:lang w:eastAsia="en-US"/>
        </w:rPr>
        <w:t>articipants who identified themselves as having a striking visible difference (e.g</w:t>
      </w:r>
      <w:r w:rsidR="008471FC">
        <w:rPr>
          <w:rFonts w:eastAsia="Calibri"/>
          <w:color w:val="auto"/>
          <w:lang w:eastAsia="en-US"/>
        </w:rPr>
        <w:t>.,</w:t>
      </w:r>
      <w:r w:rsidRPr="00D40C27">
        <w:rPr>
          <w:rFonts w:eastAsia="Calibri"/>
          <w:color w:val="auto"/>
          <w:lang w:eastAsia="en-US"/>
        </w:rPr>
        <w:t xml:space="preserve"> scar, burn or </w:t>
      </w:r>
      <w:r w:rsidR="00B32D9C">
        <w:rPr>
          <w:rFonts w:eastAsia="Calibri"/>
          <w:color w:val="auto"/>
          <w:lang w:eastAsia="en-US"/>
        </w:rPr>
        <w:t>an</w:t>
      </w:r>
      <w:r w:rsidRPr="00D40C27">
        <w:rPr>
          <w:rFonts w:eastAsia="Calibri"/>
          <w:color w:val="auto"/>
          <w:lang w:eastAsia="en-US"/>
        </w:rPr>
        <w:t xml:space="preserve">other form of severe disfigurement) were excluded from the study. </w:t>
      </w:r>
    </w:p>
    <w:p w14:paraId="208F6D64" w14:textId="77777777" w:rsidR="000F1616" w:rsidRPr="00D40C27" w:rsidRDefault="000F1616" w:rsidP="00A427E8">
      <w:pPr>
        <w:pStyle w:val="Heading3"/>
        <w:rPr>
          <w:lang w:eastAsia="en-US"/>
        </w:rPr>
      </w:pPr>
      <w:bookmarkStart w:id="92" w:name="_Toc12024661"/>
      <w:r w:rsidRPr="00D40C27">
        <w:rPr>
          <w:lang w:eastAsia="en-US"/>
        </w:rPr>
        <w:t>Recruitment</w:t>
      </w:r>
      <w:bookmarkEnd w:id="92"/>
    </w:p>
    <w:p w14:paraId="39646876" w14:textId="724BA020" w:rsidR="000F1616"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r w:rsidRPr="00D40C27">
        <w:rPr>
          <w:rFonts w:eastAsia="Calibri"/>
          <w:color w:val="auto"/>
          <w:lang w:eastAsia="en-US"/>
        </w:rPr>
        <w:t xml:space="preserve">Participants were recruited via the University of Sheffield’s volunteer’s list and advertising via social media. Potential participants were invited to participate in the study by clicking the link directing them to the experiment. People interested in taking part in the study were presented with a participant information sheet and consent item (see Appendix </w:t>
      </w:r>
      <w:r w:rsidR="00CD2E16">
        <w:rPr>
          <w:rFonts w:eastAsia="Calibri"/>
          <w:color w:val="auto"/>
          <w:lang w:eastAsia="en-US"/>
        </w:rPr>
        <w:t>4B</w:t>
      </w:r>
      <w:r w:rsidRPr="00D40C27">
        <w:rPr>
          <w:rFonts w:eastAsia="Calibri"/>
          <w:color w:val="auto"/>
          <w:lang w:eastAsia="en-US"/>
        </w:rPr>
        <w:t>) prior</w:t>
      </w:r>
      <w:r w:rsidR="00B32D9C">
        <w:rPr>
          <w:rFonts w:eastAsia="Calibri"/>
          <w:color w:val="auto"/>
          <w:lang w:eastAsia="en-US"/>
        </w:rPr>
        <w:t xml:space="preserve"> to</w:t>
      </w:r>
      <w:r w:rsidRPr="00D40C27">
        <w:rPr>
          <w:rFonts w:eastAsia="Calibri"/>
          <w:color w:val="auto"/>
          <w:lang w:eastAsia="en-US"/>
        </w:rPr>
        <w:t xml:space="preserve"> the beginning of the experiment. At the end of the experiment, participants were debriefed and thanked for their participation</w:t>
      </w:r>
      <w:r w:rsidR="00CD2E16">
        <w:rPr>
          <w:rFonts w:eastAsia="Calibri"/>
          <w:color w:val="auto"/>
          <w:lang w:eastAsia="en-US"/>
        </w:rPr>
        <w:t xml:space="preserve"> (see Appendix 4I)</w:t>
      </w:r>
      <w:r w:rsidRPr="00D40C27">
        <w:rPr>
          <w:rFonts w:eastAsia="Calibri"/>
          <w:color w:val="auto"/>
          <w:lang w:eastAsia="en-US"/>
        </w:rPr>
        <w:t>. Participants who completed the study online could opt to participate in the prize draw of 2x £25 Amazon voucher.</w:t>
      </w:r>
    </w:p>
    <w:p w14:paraId="11321ED7" w14:textId="155A4486" w:rsidR="00737D5D" w:rsidRDefault="00737D5D" w:rsidP="000F1616">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p>
    <w:p w14:paraId="43038C0A" w14:textId="10A623BA" w:rsidR="00737D5D" w:rsidRDefault="00737D5D" w:rsidP="000F1616">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p>
    <w:p w14:paraId="50B55EBA" w14:textId="498F7A2B" w:rsidR="00737D5D" w:rsidRDefault="00737D5D" w:rsidP="000F1616">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p>
    <w:p w14:paraId="204EAE79" w14:textId="77777777" w:rsidR="00737D5D" w:rsidRPr="00D40C27" w:rsidRDefault="00737D5D" w:rsidP="000F1616">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p>
    <w:p w14:paraId="5C0851DE" w14:textId="2D49129B" w:rsidR="000F1616" w:rsidRPr="00D40C27" w:rsidRDefault="00382D91" w:rsidP="00A427E8">
      <w:pPr>
        <w:pStyle w:val="Figures"/>
        <w:rPr>
          <w:lang w:eastAsia="en-US"/>
        </w:rPr>
      </w:pPr>
      <w:bookmarkStart w:id="93" w:name="_Toc12024854"/>
      <w:r w:rsidRPr="00DC3C49">
        <w:rPr>
          <w:rFonts w:ascii="Times New Roman" w:eastAsia="Calibri" w:hAnsi="Times New Roman" w:cs="Times New Roman"/>
          <w:b/>
          <w:bCs/>
          <w:color w:val="auto"/>
          <w:sz w:val="24"/>
          <w:szCs w:val="24"/>
          <w:lang w:val="es-CO" w:eastAsia="es-CO"/>
        </w:rPr>
        <w:lastRenderedPageBreak/>
        <mc:AlternateContent>
          <mc:Choice Requires="wpg">
            <w:drawing>
              <wp:anchor distT="0" distB="0" distL="114300" distR="114300" simplePos="0" relativeHeight="251664384" behindDoc="0" locked="0" layoutInCell="1" allowOverlap="1" wp14:anchorId="4CB96741" wp14:editId="57EE972C">
                <wp:simplePos x="0" y="0"/>
                <wp:positionH relativeFrom="column">
                  <wp:posOffset>-259715</wp:posOffset>
                </wp:positionH>
                <wp:positionV relativeFrom="paragraph">
                  <wp:posOffset>402590</wp:posOffset>
                </wp:positionV>
                <wp:extent cx="5682615" cy="3837940"/>
                <wp:effectExtent l="0" t="0" r="13335" b="10160"/>
                <wp:wrapSquare wrapText="bothSides"/>
                <wp:docPr id="68" name="Grupo 61"/>
                <wp:cNvGraphicFramePr/>
                <a:graphic xmlns:a="http://schemas.openxmlformats.org/drawingml/2006/main">
                  <a:graphicData uri="http://schemas.microsoft.com/office/word/2010/wordprocessingGroup">
                    <wpg:wgp>
                      <wpg:cNvGrpSpPr/>
                      <wpg:grpSpPr>
                        <a:xfrm>
                          <a:off x="0" y="0"/>
                          <a:ext cx="5682615" cy="3837940"/>
                          <a:chOff x="0" y="-83456"/>
                          <a:chExt cx="8566130" cy="4804753"/>
                        </a:xfrm>
                      </wpg:grpSpPr>
                      <wps:wsp>
                        <wps:cNvPr id="69" name="CuadroTexto 3"/>
                        <wps:cNvSpPr txBox="1"/>
                        <wps:spPr>
                          <a:xfrm>
                            <a:off x="0" y="0"/>
                            <a:ext cx="1531089" cy="362888"/>
                          </a:xfrm>
                          <a:prstGeom prst="rect">
                            <a:avLst/>
                          </a:prstGeom>
                        </wps:spPr>
                        <wps:style>
                          <a:lnRef idx="2">
                            <a:schemeClr val="dk1"/>
                          </a:lnRef>
                          <a:fillRef idx="1">
                            <a:schemeClr val="lt1"/>
                          </a:fillRef>
                          <a:effectRef idx="0">
                            <a:schemeClr val="dk1"/>
                          </a:effectRef>
                          <a:fontRef idx="minor">
                            <a:schemeClr val="dk1"/>
                          </a:fontRef>
                        </wps:style>
                        <wps:txbx>
                          <w:txbxContent>
                            <w:p w14:paraId="3BE7667F" w14:textId="1ADF1943"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Recruitment</w:t>
                              </w:r>
                            </w:p>
                          </w:txbxContent>
                        </wps:txbx>
                        <wps:bodyPr wrap="square" rtlCol="0">
                          <a:noAutofit/>
                        </wps:bodyPr>
                      </wps:wsp>
                      <wps:wsp>
                        <wps:cNvPr id="70" name="CuadroTexto 4"/>
                        <wps:cNvSpPr txBox="1"/>
                        <wps:spPr>
                          <a:xfrm>
                            <a:off x="0" y="1087762"/>
                            <a:ext cx="1403498" cy="261610"/>
                          </a:xfrm>
                          <a:prstGeom prst="rect">
                            <a:avLst/>
                          </a:prstGeom>
                        </wps:spPr>
                        <wps:style>
                          <a:lnRef idx="2">
                            <a:schemeClr val="dk1"/>
                          </a:lnRef>
                          <a:fillRef idx="1">
                            <a:schemeClr val="lt1"/>
                          </a:fillRef>
                          <a:effectRef idx="0">
                            <a:schemeClr val="dk1"/>
                          </a:effectRef>
                          <a:fontRef idx="minor">
                            <a:schemeClr val="dk1"/>
                          </a:fontRef>
                        </wps:style>
                        <wps:txbx>
                          <w:txbxContent>
                            <w:p w14:paraId="2AA895CE"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Pre-test measures</w:t>
                              </w:r>
                            </w:p>
                          </w:txbxContent>
                        </wps:txbx>
                        <wps:bodyPr wrap="square" rtlCol="0">
                          <a:noAutofit/>
                        </wps:bodyPr>
                      </wps:wsp>
                      <wps:wsp>
                        <wps:cNvPr id="71" name="CuadroTexto 5"/>
                        <wps:cNvSpPr txBox="1"/>
                        <wps:spPr>
                          <a:xfrm>
                            <a:off x="18606" y="1699089"/>
                            <a:ext cx="1616149" cy="261610"/>
                          </a:xfrm>
                          <a:prstGeom prst="rect">
                            <a:avLst/>
                          </a:prstGeom>
                        </wps:spPr>
                        <wps:style>
                          <a:lnRef idx="2">
                            <a:schemeClr val="dk1"/>
                          </a:lnRef>
                          <a:fillRef idx="1">
                            <a:schemeClr val="lt1"/>
                          </a:fillRef>
                          <a:effectRef idx="0">
                            <a:schemeClr val="dk1"/>
                          </a:effectRef>
                          <a:fontRef idx="minor">
                            <a:schemeClr val="dk1"/>
                          </a:fontRef>
                        </wps:style>
                        <wps:txbx>
                          <w:txbxContent>
                            <w:p w14:paraId="12780468"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Randomisation</w:t>
                              </w:r>
                            </w:p>
                          </w:txbxContent>
                        </wps:txbx>
                        <wps:bodyPr wrap="square" rtlCol="0">
                          <a:noAutofit/>
                        </wps:bodyPr>
                      </wps:wsp>
                      <wps:wsp>
                        <wps:cNvPr id="72" name="CuadroTexto 7"/>
                        <wps:cNvSpPr txBox="1"/>
                        <wps:spPr>
                          <a:xfrm>
                            <a:off x="18606" y="4459687"/>
                            <a:ext cx="1403498" cy="261610"/>
                          </a:xfrm>
                          <a:prstGeom prst="rect">
                            <a:avLst/>
                          </a:prstGeom>
                        </wps:spPr>
                        <wps:style>
                          <a:lnRef idx="2">
                            <a:schemeClr val="dk1"/>
                          </a:lnRef>
                          <a:fillRef idx="1">
                            <a:schemeClr val="lt1"/>
                          </a:fillRef>
                          <a:effectRef idx="0">
                            <a:schemeClr val="dk1"/>
                          </a:effectRef>
                          <a:fontRef idx="minor">
                            <a:schemeClr val="dk1"/>
                          </a:fontRef>
                        </wps:style>
                        <wps:txbx>
                          <w:txbxContent>
                            <w:p w14:paraId="41CC3755"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Post-test measures</w:t>
                              </w:r>
                            </w:p>
                          </w:txbxContent>
                        </wps:txbx>
                        <wps:bodyPr wrap="square" rtlCol="0">
                          <a:noAutofit/>
                        </wps:bodyPr>
                      </wps:wsp>
                      <wps:wsp>
                        <wps:cNvPr id="73" name="CuadroTexto 8"/>
                        <wps:cNvSpPr txBox="1"/>
                        <wps:spPr>
                          <a:xfrm>
                            <a:off x="19046" y="2919129"/>
                            <a:ext cx="1616149" cy="261610"/>
                          </a:xfrm>
                          <a:prstGeom prst="rect">
                            <a:avLst/>
                          </a:prstGeom>
                        </wps:spPr>
                        <wps:style>
                          <a:lnRef idx="2">
                            <a:schemeClr val="dk1"/>
                          </a:lnRef>
                          <a:fillRef idx="1">
                            <a:schemeClr val="lt1"/>
                          </a:fillRef>
                          <a:effectRef idx="0">
                            <a:schemeClr val="dk1"/>
                          </a:effectRef>
                          <a:fontRef idx="minor">
                            <a:schemeClr val="dk1"/>
                          </a:fontRef>
                        </wps:style>
                        <wps:txbx>
                          <w:txbxContent>
                            <w:p w14:paraId="3892BB88"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Randomisation</w:t>
                              </w:r>
                            </w:p>
                          </w:txbxContent>
                        </wps:txbx>
                        <wps:bodyPr wrap="square" rtlCol="0">
                          <a:noAutofit/>
                        </wps:bodyPr>
                      </wps:wsp>
                      <wps:wsp>
                        <wps:cNvPr id="74" name="CuadroTexto 9"/>
                        <wps:cNvSpPr txBox="1"/>
                        <wps:spPr>
                          <a:xfrm>
                            <a:off x="3274831" y="-83456"/>
                            <a:ext cx="2445488" cy="345067"/>
                          </a:xfrm>
                          <a:prstGeom prst="rect">
                            <a:avLst/>
                          </a:prstGeom>
                        </wps:spPr>
                        <wps:style>
                          <a:lnRef idx="2">
                            <a:schemeClr val="dk1"/>
                          </a:lnRef>
                          <a:fillRef idx="1">
                            <a:schemeClr val="lt1"/>
                          </a:fillRef>
                          <a:effectRef idx="0">
                            <a:schemeClr val="dk1"/>
                          </a:effectRef>
                          <a:fontRef idx="minor">
                            <a:schemeClr val="dk1"/>
                          </a:fontRef>
                        </wps:style>
                        <wps:txbx>
                          <w:txbxContent>
                            <w:p w14:paraId="279C16AA" w14:textId="6BCF5048"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 xml:space="preserve">Recruited </w:t>
                              </w:r>
                              <w:r>
                                <w:rPr>
                                  <w:rFonts w:ascii="Arial" w:hAnsi="Arial" w:cs="Arial"/>
                                  <w:color w:val="000000" w:themeColor="dark1"/>
                                  <w:kern w:val="24"/>
                                  <w:sz w:val="18"/>
                                  <w:szCs w:val="18"/>
                                </w:rPr>
                                <w:t>(</w:t>
                              </w:r>
                              <w:r w:rsidRPr="004D2DCA">
                                <w:rPr>
                                  <w:rFonts w:ascii="Arial" w:hAnsi="Arial" w:cs="Arial"/>
                                  <w:color w:val="000000" w:themeColor="dark1"/>
                                  <w:kern w:val="24"/>
                                  <w:sz w:val="18"/>
                                  <w:szCs w:val="18"/>
                                </w:rPr>
                                <w:t>N=309</w:t>
                              </w:r>
                              <w:r>
                                <w:rPr>
                                  <w:rFonts w:ascii="Arial" w:hAnsi="Arial" w:cs="Arial"/>
                                  <w:color w:val="000000" w:themeColor="dark1"/>
                                  <w:kern w:val="24"/>
                                  <w:sz w:val="18"/>
                                  <w:szCs w:val="18"/>
                                </w:rPr>
                                <w:t>)</w:t>
                              </w:r>
                            </w:p>
                          </w:txbxContent>
                        </wps:txbx>
                        <wps:bodyPr wrap="square" rtlCol="0">
                          <a:noAutofit/>
                        </wps:bodyPr>
                      </wps:wsp>
                      <wps:wsp>
                        <wps:cNvPr id="75" name="CuadroTexto 10"/>
                        <wps:cNvSpPr txBox="1"/>
                        <wps:spPr>
                          <a:xfrm>
                            <a:off x="5304860" y="362889"/>
                            <a:ext cx="2173595" cy="344912"/>
                          </a:xfrm>
                          <a:prstGeom prst="rect">
                            <a:avLst/>
                          </a:prstGeom>
                        </wps:spPr>
                        <wps:style>
                          <a:lnRef idx="2">
                            <a:schemeClr val="dk1"/>
                          </a:lnRef>
                          <a:fillRef idx="1">
                            <a:schemeClr val="lt1"/>
                          </a:fillRef>
                          <a:effectRef idx="0">
                            <a:schemeClr val="dk1"/>
                          </a:effectRef>
                          <a:fontRef idx="minor">
                            <a:schemeClr val="dk1"/>
                          </a:fontRef>
                        </wps:style>
                        <wps:txbx>
                          <w:txbxContent>
                            <w:p w14:paraId="685B2A2F" w14:textId="77777777" w:rsidR="004D2DCA" w:rsidRPr="004D2DCA" w:rsidRDefault="004D2DCA" w:rsidP="00DC3C49">
                              <w:pPr>
                                <w:pStyle w:val="NormalWeb"/>
                                <w:spacing w:before="0" w:beforeAutospacing="0" w:after="0" w:afterAutospacing="0"/>
                                <w:jc w:val="center"/>
                                <w:rPr>
                                  <w:sz w:val="18"/>
                                  <w:szCs w:val="18"/>
                                </w:rPr>
                              </w:pPr>
                              <w:r w:rsidRPr="004D2DCA">
                                <w:rPr>
                                  <w:rFonts w:ascii="Arial" w:hAnsi="Arial" w:cs="Arial"/>
                                  <w:color w:val="000000" w:themeColor="dark1"/>
                                  <w:kern w:val="24"/>
                                  <w:sz w:val="18"/>
                                  <w:szCs w:val="18"/>
                                </w:rPr>
                                <w:t>Reported FD (n = 8)</w:t>
                              </w:r>
                            </w:p>
                          </w:txbxContent>
                        </wps:txbx>
                        <wps:bodyPr wrap="square" rtlCol="0">
                          <a:noAutofit/>
                        </wps:bodyPr>
                      </wps:wsp>
                      <wps:wsp>
                        <wps:cNvPr id="76" name="CuadroTexto 11"/>
                        <wps:cNvSpPr txBox="1"/>
                        <wps:spPr>
                          <a:xfrm>
                            <a:off x="3274831" y="851195"/>
                            <a:ext cx="2445488" cy="329129"/>
                          </a:xfrm>
                          <a:prstGeom prst="rect">
                            <a:avLst/>
                          </a:prstGeom>
                        </wps:spPr>
                        <wps:style>
                          <a:lnRef idx="2">
                            <a:schemeClr val="dk1"/>
                          </a:lnRef>
                          <a:fillRef idx="1">
                            <a:schemeClr val="lt1"/>
                          </a:fillRef>
                          <a:effectRef idx="0">
                            <a:schemeClr val="dk1"/>
                          </a:effectRef>
                          <a:fontRef idx="minor">
                            <a:schemeClr val="dk1"/>
                          </a:fontRef>
                        </wps:style>
                        <wps:txbx>
                          <w:txbxContent>
                            <w:p w14:paraId="7A645ED4"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Final sample (n = 301)</w:t>
                              </w:r>
                            </w:p>
                          </w:txbxContent>
                        </wps:txbx>
                        <wps:bodyPr wrap="square" rtlCol="0">
                          <a:noAutofit/>
                        </wps:bodyPr>
                      </wps:wsp>
                      <wps:wsp>
                        <wps:cNvPr id="77" name="CuadroTexto 12"/>
                        <wps:cNvSpPr txBox="1"/>
                        <wps:spPr>
                          <a:xfrm>
                            <a:off x="2192929" y="2274545"/>
                            <a:ext cx="1855371" cy="541646"/>
                          </a:xfrm>
                          <a:prstGeom prst="rect">
                            <a:avLst/>
                          </a:prstGeom>
                        </wps:spPr>
                        <wps:style>
                          <a:lnRef idx="2">
                            <a:schemeClr val="dk1"/>
                          </a:lnRef>
                          <a:fillRef idx="1">
                            <a:schemeClr val="lt1"/>
                          </a:fillRef>
                          <a:effectRef idx="0">
                            <a:schemeClr val="dk1"/>
                          </a:effectRef>
                          <a:fontRef idx="minor">
                            <a:schemeClr val="dk1"/>
                          </a:fontRef>
                        </wps:style>
                        <wps:txbx>
                          <w:txbxContent>
                            <w:p w14:paraId="74BC0A39"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Written awareness message (n = 100)</w:t>
                              </w:r>
                            </w:p>
                          </w:txbxContent>
                        </wps:txbx>
                        <wps:bodyPr wrap="square" rtlCol="0">
                          <a:noAutofit/>
                        </wps:bodyPr>
                      </wps:wsp>
                      <wps:wsp>
                        <wps:cNvPr id="78" name="CuadroTexto 13"/>
                        <wps:cNvSpPr txBox="1"/>
                        <wps:spPr>
                          <a:xfrm>
                            <a:off x="4102615" y="2221467"/>
                            <a:ext cx="1777013" cy="746760"/>
                          </a:xfrm>
                          <a:prstGeom prst="rect">
                            <a:avLst/>
                          </a:prstGeom>
                        </wps:spPr>
                        <wps:style>
                          <a:lnRef idx="2">
                            <a:schemeClr val="dk1"/>
                          </a:lnRef>
                          <a:fillRef idx="1">
                            <a:schemeClr val="lt1"/>
                          </a:fillRef>
                          <a:effectRef idx="0">
                            <a:schemeClr val="dk1"/>
                          </a:effectRef>
                          <a:fontRef idx="minor">
                            <a:schemeClr val="dk1"/>
                          </a:fontRef>
                        </wps:style>
                        <wps:txbx>
                          <w:txbxContent>
                            <w:p w14:paraId="165F2E91" w14:textId="772A4806"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Video-clip awareness message (n = 94</w:t>
                              </w:r>
                              <w:r>
                                <w:rPr>
                                  <w:rFonts w:ascii="Arial" w:hAnsi="Arial" w:cs="Arial"/>
                                  <w:color w:val="000000" w:themeColor="dark1"/>
                                  <w:kern w:val="24"/>
                                  <w:sz w:val="18"/>
                                  <w:szCs w:val="18"/>
                                </w:rPr>
                                <w:t>)</w:t>
                              </w:r>
                            </w:p>
                          </w:txbxContent>
                        </wps:txbx>
                        <wps:bodyPr wrap="square" rtlCol="0">
                          <a:noAutofit/>
                        </wps:bodyPr>
                      </wps:wsp>
                      <wps:wsp>
                        <wps:cNvPr id="79" name="CuadroTexto 14"/>
                        <wps:cNvSpPr txBox="1"/>
                        <wps:spPr>
                          <a:xfrm>
                            <a:off x="6042851" y="2221468"/>
                            <a:ext cx="1623888" cy="594725"/>
                          </a:xfrm>
                          <a:prstGeom prst="rect">
                            <a:avLst/>
                          </a:prstGeom>
                        </wps:spPr>
                        <wps:style>
                          <a:lnRef idx="2">
                            <a:schemeClr val="dk1"/>
                          </a:lnRef>
                          <a:fillRef idx="1">
                            <a:schemeClr val="lt1"/>
                          </a:fillRef>
                          <a:effectRef idx="0">
                            <a:schemeClr val="dk1"/>
                          </a:effectRef>
                          <a:fontRef idx="minor">
                            <a:schemeClr val="dk1"/>
                          </a:fontRef>
                        </wps:style>
                        <wps:txbx>
                          <w:txbxContent>
                            <w:p w14:paraId="3AA53D53"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Control message (n = 108)</w:t>
                              </w:r>
                            </w:p>
                          </w:txbxContent>
                        </wps:txbx>
                        <wps:bodyPr wrap="square" rtlCol="0">
                          <a:noAutofit/>
                        </wps:bodyPr>
                      </wps:wsp>
                      <wps:wsp>
                        <wps:cNvPr id="80" name="CuadroTexto 15"/>
                        <wps:cNvSpPr txBox="1"/>
                        <wps:spPr>
                          <a:xfrm>
                            <a:off x="1248943" y="3672634"/>
                            <a:ext cx="1241962" cy="445511"/>
                          </a:xfrm>
                          <a:prstGeom prst="rect">
                            <a:avLst/>
                          </a:prstGeom>
                        </wps:spPr>
                        <wps:style>
                          <a:lnRef idx="2">
                            <a:schemeClr val="dk1"/>
                          </a:lnRef>
                          <a:fillRef idx="1">
                            <a:schemeClr val="lt1"/>
                          </a:fillRef>
                          <a:effectRef idx="0">
                            <a:schemeClr val="dk1"/>
                          </a:effectRef>
                          <a:fontRef idx="minor">
                            <a:schemeClr val="dk1"/>
                          </a:fontRef>
                        </wps:style>
                        <wps:txbx>
                          <w:txbxContent>
                            <w:p w14:paraId="3E74A92C"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IC (n = 56)</w:t>
                              </w:r>
                            </w:p>
                          </w:txbxContent>
                        </wps:txbx>
                        <wps:bodyPr wrap="square" rtlCol="0">
                          <a:noAutofit/>
                        </wps:bodyPr>
                      </wps:wsp>
                      <wps:wsp>
                        <wps:cNvPr id="81" name="CuadroTexto 16"/>
                        <wps:cNvSpPr txBox="1"/>
                        <wps:spPr>
                          <a:xfrm>
                            <a:off x="2594637" y="3771837"/>
                            <a:ext cx="1090295" cy="425450"/>
                          </a:xfrm>
                          <a:prstGeom prst="rect">
                            <a:avLst/>
                          </a:prstGeom>
                        </wps:spPr>
                        <wps:style>
                          <a:lnRef idx="2">
                            <a:schemeClr val="dk1"/>
                          </a:lnRef>
                          <a:fillRef idx="1">
                            <a:schemeClr val="lt1"/>
                          </a:fillRef>
                          <a:effectRef idx="0">
                            <a:schemeClr val="dk1"/>
                          </a:effectRef>
                          <a:fontRef idx="minor">
                            <a:schemeClr val="dk1"/>
                          </a:fontRef>
                        </wps:style>
                        <wps:txbx>
                          <w:txbxContent>
                            <w:p w14:paraId="16E71CBD"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IC control (n = 44)</w:t>
                              </w:r>
                            </w:p>
                          </w:txbxContent>
                        </wps:txbx>
                        <wps:bodyPr wrap="square" rtlCol="0">
                          <a:noAutofit/>
                        </wps:bodyPr>
                      </wps:wsp>
                      <wps:wsp>
                        <wps:cNvPr id="84" name="CuadroTexto 17"/>
                        <wps:cNvSpPr txBox="1"/>
                        <wps:spPr>
                          <a:xfrm>
                            <a:off x="3785528" y="3842127"/>
                            <a:ext cx="984178" cy="438760"/>
                          </a:xfrm>
                          <a:prstGeom prst="rect">
                            <a:avLst/>
                          </a:prstGeom>
                        </wps:spPr>
                        <wps:style>
                          <a:lnRef idx="2">
                            <a:schemeClr val="dk1"/>
                          </a:lnRef>
                          <a:fillRef idx="1">
                            <a:schemeClr val="lt1"/>
                          </a:fillRef>
                          <a:effectRef idx="0">
                            <a:schemeClr val="dk1"/>
                          </a:effectRef>
                          <a:fontRef idx="minor">
                            <a:schemeClr val="dk1"/>
                          </a:fontRef>
                        </wps:style>
                        <wps:txbx>
                          <w:txbxContent>
                            <w:p w14:paraId="112BE14D"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IC (n = 41)</w:t>
                              </w:r>
                            </w:p>
                          </w:txbxContent>
                        </wps:txbx>
                        <wps:bodyPr wrap="square" rtlCol="0">
                          <a:noAutofit/>
                        </wps:bodyPr>
                      </wps:wsp>
                      <wps:wsp>
                        <wps:cNvPr id="85" name="CuadroTexto 18"/>
                        <wps:cNvSpPr txBox="1"/>
                        <wps:spPr>
                          <a:xfrm>
                            <a:off x="4869978" y="3781327"/>
                            <a:ext cx="1009649" cy="678360"/>
                          </a:xfrm>
                          <a:prstGeom prst="rect">
                            <a:avLst/>
                          </a:prstGeom>
                        </wps:spPr>
                        <wps:style>
                          <a:lnRef idx="2">
                            <a:schemeClr val="dk1"/>
                          </a:lnRef>
                          <a:fillRef idx="1">
                            <a:schemeClr val="lt1"/>
                          </a:fillRef>
                          <a:effectRef idx="0">
                            <a:schemeClr val="dk1"/>
                          </a:effectRef>
                          <a:fontRef idx="minor">
                            <a:schemeClr val="dk1"/>
                          </a:fontRef>
                        </wps:style>
                        <wps:txbx>
                          <w:txbxContent>
                            <w:p w14:paraId="4C65559F"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IC control (n = 53)</w:t>
                              </w:r>
                            </w:p>
                          </w:txbxContent>
                        </wps:txbx>
                        <wps:bodyPr wrap="square" rtlCol="0">
                          <a:noAutofit/>
                        </wps:bodyPr>
                      </wps:wsp>
                      <wps:wsp>
                        <wps:cNvPr id="86" name="CuadroTexto 19"/>
                        <wps:cNvSpPr txBox="1"/>
                        <wps:spPr>
                          <a:xfrm>
                            <a:off x="6042852" y="3781327"/>
                            <a:ext cx="1227480" cy="419441"/>
                          </a:xfrm>
                          <a:prstGeom prst="rect">
                            <a:avLst/>
                          </a:prstGeom>
                        </wps:spPr>
                        <wps:style>
                          <a:lnRef idx="2">
                            <a:schemeClr val="dk1"/>
                          </a:lnRef>
                          <a:fillRef idx="1">
                            <a:schemeClr val="lt1"/>
                          </a:fillRef>
                          <a:effectRef idx="0">
                            <a:schemeClr val="dk1"/>
                          </a:effectRef>
                          <a:fontRef idx="minor">
                            <a:schemeClr val="dk1"/>
                          </a:fontRef>
                        </wps:style>
                        <wps:txbx>
                          <w:txbxContent>
                            <w:p w14:paraId="1E72C742" w14:textId="4810EE1D" w:rsidR="004D2DCA" w:rsidRPr="004D2DCA" w:rsidRDefault="004D2DCA" w:rsidP="00DC3C49">
                              <w:pPr>
                                <w:pStyle w:val="NormalWeb"/>
                                <w:spacing w:before="0" w:beforeAutospacing="0" w:after="0" w:afterAutospacing="0"/>
                                <w:rPr>
                                  <w:sz w:val="18"/>
                                  <w:szCs w:val="18"/>
                                </w:rPr>
                              </w:pPr>
                              <w:r>
                                <w:rPr>
                                  <w:rFonts w:ascii="Arial" w:hAnsi="Arial" w:cs="Arial"/>
                                  <w:color w:val="000000" w:themeColor="dark1"/>
                                  <w:kern w:val="24"/>
                                  <w:sz w:val="18"/>
                                  <w:szCs w:val="18"/>
                                </w:rPr>
                                <w:t xml:space="preserve">IC </w:t>
                              </w:r>
                              <w:r w:rsidRPr="004D2DCA">
                                <w:rPr>
                                  <w:rFonts w:ascii="Arial" w:hAnsi="Arial" w:cs="Arial"/>
                                  <w:color w:val="000000" w:themeColor="dark1"/>
                                  <w:kern w:val="24"/>
                                  <w:sz w:val="18"/>
                                  <w:szCs w:val="18"/>
                                </w:rPr>
                                <w:t xml:space="preserve">(n = </w:t>
                              </w:r>
                              <w:r>
                                <w:rPr>
                                  <w:rFonts w:ascii="Arial" w:hAnsi="Arial" w:cs="Arial"/>
                                  <w:color w:val="000000" w:themeColor="dark1"/>
                                  <w:kern w:val="24"/>
                                  <w:sz w:val="18"/>
                                  <w:szCs w:val="18"/>
                                </w:rPr>
                                <w:t>4</w:t>
                              </w:r>
                              <w:r w:rsidRPr="004D2DCA">
                                <w:rPr>
                                  <w:rFonts w:ascii="Arial" w:hAnsi="Arial" w:cs="Arial"/>
                                  <w:color w:val="000000" w:themeColor="dark1"/>
                                  <w:kern w:val="24"/>
                                  <w:sz w:val="18"/>
                                  <w:szCs w:val="18"/>
                                </w:rPr>
                                <w:t>6)</w:t>
                              </w:r>
                            </w:p>
                          </w:txbxContent>
                        </wps:txbx>
                        <wps:bodyPr wrap="square" rtlCol="0">
                          <a:noAutofit/>
                        </wps:bodyPr>
                      </wps:wsp>
                      <wps:wsp>
                        <wps:cNvPr id="87" name="CuadroTexto 20"/>
                        <wps:cNvSpPr txBox="1"/>
                        <wps:spPr>
                          <a:xfrm>
                            <a:off x="7478456" y="3762008"/>
                            <a:ext cx="1087674" cy="499561"/>
                          </a:xfrm>
                          <a:prstGeom prst="rect">
                            <a:avLst/>
                          </a:prstGeom>
                        </wps:spPr>
                        <wps:style>
                          <a:lnRef idx="2">
                            <a:schemeClr val="dk1"/>
                          </a:lnRef>
                          <a:fillRef idx="1">
                            <a:schemeClr val="lt1"/>
                          </a:fillRef>
                          <a:effectRef idx="0">
                            <a:schemeClr val="dk1"/>
                          </a:effectRef>
                          <a:fontRef idx="minor">
                            <a:schemeClr val="dk1"/>
                          </a:fontRef>
                        </wps:style>
                        <wps:txbx>
                          <w:txbxContent>
                            <w:p w14:paraId="6E8C225B"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IC control (n = 62)</w:t>
                              </w:r>
                            </w:p>
                          </w:txbxContent>
                        </wps:txbx>
                        <wps:bodyPr wrap="square" rtlCol="0">
                          <a:noAutofit/>
                        </wps:bodyPr>
                      </wps:wsp>
                      <wps:wsp>
                        <wps:cNvPr id="88" name="Conector recto de flecha 88"/>
                        <wps:cNvCnPr>
                          <a:stCxn id="4294967295" idx="2"/>
                        </wps:cNvCnPr>
                        <wps:spPr>
                          <a:xfrm>
                            <a:off x="4497575" y="261610"/>
                            <a:ext cx="0" cy="4461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Conector recto de flecha 89"/>
                        <wps:cNvCnPr/>
                        <wps:spPr>
                          <a:xfrm>
                            <a:off x="4499347" y="446191"/>
                            <a:ext cx="6999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Conector recto de flecha 90"/>
                        <wps:cNvCnPr/>
                        <wps:spPr>
                          <a:xfrm flipH="1">
                            <a:off x="3286350" y="1315539"/>
                            <a:ext cx="399604" cy="745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Conector recto de flecha 91"/>
                        <wps:cNvCnPr/>
                        <wps:spPr>
                          <a:xfrm>
                            <a:off x="4499347" y="1375142"/>
                            <a:ext cx="31231" cy="71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Conector recto de flecha 92"/>
                        <wps:cNvCnPr/>
                        <wps:spPr>
                          <a:xfrm>
                            <a:off x="5128438" y="1375142"/>
                            <a:ext cx="589223" cy="6558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Conector recto de flecha 93"/>
                        <wps:cNvCnPr/>
                        <wps:spPr>
                          <a:xfrm flipH="1">
                            <a:off x="2332961" y="2874744"/>
                            <a:ext cx="399604" cy="745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Conector recto de flecha 94"/>
                        <wps:cNvCnPr/>
                        <wps:spPr>
                          <a:xfrm>
                            <a:off x="3027176" y="2907802"/>
                            <a:ext cx="323855" cy="6954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Conector recto de flecha 95"/>
                        <wps:cNvCnPr/>
                        <wps:spPr>
                          <a:xfrm flipH="1">
                            <a:off x="4194979" y="3048956"/>
                            <a:ext cx="399604" cy="745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 name="Conector recto de flecha 96"/>
                        <wps:cNvCnPr/>
                        <wps:spPr>
                          <a:xfrm>
                            <a:off x="5142933" y="3075851"/>
                            <a:ext cx="323855" cy="6954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Conector recto de flecha 97"/>
                        <wps:cNvCnPr/>
                        <wps:spPr>
                          <a:xfrm flipH="1">
                            <a:off x="6597785" y="2960041"/>
                            <a:ext cx="362883" cy="753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Conector recto de flecha 98"/>
                        <wps:cNvCnPr/>
                        <wps:spPr>
                          <a:xfrm>
                            <a:off x="7478455" y="2960041"/>
                            <a:ext cx="371347" cy="712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Conector recto de flecha 101"/>
                        <wps:cNvCnPr/>
                        <wps:spPr>
                          <a:xfrm>
                            <a:off x="545805" y="418076"/>
                            <a:ext cx="7088" cy="4641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 name="Conector recto de flecha 102"/>
                        <wps:cNvCnPr/>
                        <wps:spPr>
                          <a:xfrm>
                            <a:off x="552893" y="1371383"/>
                            <a:ext cx="3544" cy="2817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Conector recto de flecha 103"/>
                        <wps:cNvCnPr/>
                        <wps:spPr>
                          <a:xfrm>
                            <a:off x="552893" y="2061190"/>
                            <a:ext cx="0" cy="846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Conector recto de flecha 104"/>
                        <wps:cNvCnPr/>
                        <wps:spPr>
                          <a:xfrm flipH="1">
                            <a:off x="607577" y="3421781"/>
                            <a:ext cx="10630" cy="983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B96741" id="Grupo 61" o:spid="_x0000_s1030" style="position:absolute;margin-left:-20.45pt;margin-top:31.7pt;width:447.45pt;height:302.2pt;z-index:251664384;mso-width-relative:margin;mso-height-relative:margin" coordorigin=",-834" coordsize="85661,4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">
                <v:shape id="CuadroTexto 3" o:spid="_x0000_s1031" type="#_x0000_t202" style="position:absolute;width:15310;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" fillcolor="white [3201]" strokecolor="black [3200]" strokeweight="1pt">
                  <v:textbox>
                    <w:txbxContent>
                      <w:p w14:paraId="3BE7667F" w14:textId="1ADF1943"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Recruitment</w:t>
                        </w:r>
                      </w:p>
                    </w:txbxContent>
                  </v:textbox>
                </v:shape>
                <v:shape id="CuadroTexto 4" o:spid="_x0000_s1032" type="#_x0000_t202" style="position:absolute;top:10877;width:1403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" fillcolor="white [3201]" strokecolor="black [3200]" strokeweight="1pt">
                  <v:textbox>
                    <w:txbxContent>
                      <w:p w14:paraId="2AA895CE"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Pre-test measures</w:t>
                        </w:r>
                      </w:p>
                    </w:txbxContent>
                  </v:textbox>
                </v:shape>
                <v:shape id="CuadroTexto 5" o:spid="_x0000_s1033" type="#_x0000_t202" style="position:absolute;left:186;top:16990;width:1616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" fillcolor="white [3201]" strokecolor="black [3200]" strokeweight="1pt">
                  <v:textbox>
                    <w:txbxContent>
                      <w:p w14:paraId="12780468"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Randomisation</w:t>
                        </w:r>
                      </w:p>
                    </w:txbxContent>
                  </v:textbox>
                </v:shape>
                <v:shape id="CuadroTexto 7" o:spid="_x0000_s1034" type="#_x0000_t202" style="position:absolute;left:186;top:44596;width:1403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" fillcolor="white [3201]" strokecolor="black [3200]" strokeweight="1pt">
                  <v:textbox>
                    <w:txbxContent>
                      <w:p w14:paraId="41CC3755"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Post-test measures</w:t>
                        </w:r>
                      </w:p>
                    </w:txbxContent>
                  </v:textbox>
                </v:shape>
                <v:shape id="CuadroTexto 8" o:spid="_x0000_s1035" type="#_x0000_t202" style="position:absolute;left:190;top:29191;width:1616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" fillcolor="white [3201]" strokecolor="black [3200]" strokeweight="1pt">
                  <v:textbox>
                    <w:txbxContent>
                      <w:p w14:paraId="3892BB88"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Randomisation</w:t>
                        </w:r>
                      </w:p>
                    </w:txbxContent>
                  </v:textbox>
                </v:shape>
                <v:shape id="CuadroTexto 9" o:spid="_x0000_s1036" type="#_x0000_t202" style="position:absolute;left:32748;top:-834;width:24455;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" fillcolor="white [3201]" strokecolor="black [3200]" strokeweight="1pt">
                  <v:textbox>
                    <w:txbxContent>
                      <w:p w14:paraId="279C16AA" w14:textId="6BCF5048"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 xml:space="preserve">Recruited </w:t>
                        </w:r>
                        <w:r>
                          <w:rPr>
                            <w:rFonts w:ascii="Arial" w:hAnsi="Arial" w:cs="Arial"/>
                            <w:color w:val="000000" w:themeColor="dark1"/>
                            <w:kern w:val="24"/>
                            <w:sz w:val="18"/>
                            <w:szCs w:val="18"/>
                          </w:rPr>
                          <w:t>(</w:t>
                        </w:r>
                        <w:r w:rsidRPr="004D2DCA">
                          <w:rPr>
                            <w:rFonts w:ascii="Arial" w:hAnsi="Arial" w:cs="Arial"/>
                            <w:color w:val="000000" w:themeColor="dark1"/>
                            <w:kern w:val="24"/>
                            <w:sz w:val="18"/>
                            <w:szCs w:val="18"/>
                          </w:rPr>
                          <w:t>N=309</w:t>
                        </w:r>
                        <w:r>
                          <w:rPr>
                            <w:rFonts w:ascii="Arial" w:hAnsi="Arial" w:cs="Arial"/>
                            <w:color w:val="000000" w:themeColor="dark1"/>
                            <w:kern w:val="24"/>
                            <w:sz w:val="18"/>
                            <w:szCs w:val="18"/>
                          </w:rPr>
                          <w:t>)</w:t>
                        </w:r>
                      </w:p>
                    </w:txbxContent>
                  </v:textbox>
                </v:shape>
                <v:shape id="CuadroTexto 10" o:spid="_x0000_s1037" type="#_x0000_t202" style="position:absolute;left:53048;top:3628;width:21736;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" fillcolor="white [3201]" strokecolor="black [3200]" strokeweight="1pt">
                  <v:textbox>
                    <w:txbxContent>
                      <w:p w14:paraId="685B2A2F" w14:textId="77777777" w:rsidR="004D2DCA" w:rsidRPr="004D2DCA" w:rsidRDefault="004D2DCA" w:rsidP="00DC3C49">
                        <w:pPr>
                          <w:pStyle w:val="NormalWeb"/>
                          <w:spacing w:before="0" w:beforeAutospacing="0" w:after="0" w:afterAutospacing="0"/>
                          <w:jc w:val="center"/>
                          <w:rPr>
                            <w:sz w:val="18"/>
                            <w:szCs w:val="18"/>
                          </w:rPr>
                        </w:pPr>
                        <w:r w:rsidRPr="004D2DCA">
                          <w:rPr>
                            <w:rFonts w:ascii="Arial" w:hAnsi="Arial" w:cs="Arial"/>
                            <w:color w:val="000000" w:themeColor="dark1"/>
                            <w:kern w:val="24"/>
                            <w:sz w:val="18"/>
                            <w:szCs w:val="18"/>
                          </w:rPr>
                          <w:t>Reported FD (n = 8)</w:t>
                        </w:r>
                      </w:p>
                    </w:txbxContent>
                  </v:textbox>
                </v:shape>
                <v:shape id="CuadroTexto 11" o:spid="_x0000_s1038" type="#_x0000_t202" style="position:absolute;left:32748;top:8511;width:24455;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" fillcolor="white [3201]" strokecolor="black [3200]" strokeweight="1pt">
                  <v:textbox>
                    <w:txbxContent>
                      <w:p w14:paraId="7A645ED4"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Final sample (n = 301)</w:t>
                        </w:r>
                      </w:p>
                    </w:txbxContent>
                  </v:textbox>
                </v:shape>
                <v:shape id="CuadroTexto 12" o:spid="_x0000_s1039" type="#_x0000_t202" style="position:absolute;left:21929;top:22745;width:18554;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" fillcolor="white [3201]" strokecolor="black [3200]" strokeweight="1pt">
                  <v:textbox>
                    <w:txbxContent>
                      <w:p w14:paraId="74BC0A39"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Written awareness message (n = 100)</w:t>
                        </w:r>
                      </w:p>
                    </w:txbxContent>
                  </v:textbox>
                </v:shape>
                <v:shape id="CuadroTexto 13" o:spid="_x0000_s1040" type="#_x0000_t202" style="position:absolute;left:41026;top:22214;width:17770;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" fillcolor="white [3201]" strokecolor="black [3200]" strokeweight="1pt">
                  <v:textbox>
                    <w:txbxContent>
                      <w:p w14:paraId="165F2E91" w14:textId="772A4806"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Video-clip awareness message (n = 94</w:t>
                        </w:r>
                        <w:r>
                          <w:rPr>
                            <w:rFonts w:ascii="Arial" w:hAnsi="Arial" w:cs="Arial"/>
                            <w:color w:val="000000" w:themeColor="dark1"/>
                            <w:kern w:val="24"/>
                            <w:sz w:val="18"/>
                            <w:szCs w:val="18"/>
                          </w:rPr>
                          <w:t>)</w:t>
                        </w:r>
                      </w:p>
                    </w:txbxContent>
                  </v:textbox>
                </v:shape>
                <v:shape id="CuadroTexto 14" o:spid="_x0000_s1041" type="#_x0000_t202" style="position:absolute;left:60428;top:22214;width:16239;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" fillcolor="white [3201]" strokecolor="black [3200]" strokeweight="1pt">
                  <v:textbox>
                    <w:txbxContent>
                      <w:p w14:paraId="3AA53D53"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Control message (n = 108)</w:t>
                        </w:r>
                      </w:p>
                    </w:txbxContent>
                  </v:textbox>
                </v:shape>
                <v:shape id="CuadroTexto 15" o:spid="_x0000_s1042" type="#_x0000_t202" style="position:absolute;left:12489;top:36726;width:12420;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" fillcolor="white [3201]" strokecolor="black [3200]" strokeweight="1pt">
                  <v:textbox>
                    <w:txbxContent>
                      <w:p w14:paraId="3E74A92C"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IC (n = 56)</w:t>
                        </w:r>
                      </w:p>
                    </w:txbxContent>
                  </v:textbox>
                </v:shape>
                <v:shape id="_x0000_s1043" type="#_x0000_t202" style="position:absolute;left:25946;top:37718;width:1090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" fillcolor="white [3201]" strokecolor="black [3200]" strokeweight="1pt">
                  <v:textbox>
                    <w:txbxContent>
                      <w:p w14:paraId="16E71CBD"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IC control (n = 44)</w:t>
                        </w:r>
                      </w:p>
                    </w:txbxContent>
                  </v:textbox>
                </v:shape>
                <v:shape id="CuadroTexto 17" o:spid="_x0000_s1044" type="#_x0000_t202" style="position:absolute;left:37855;top:38421;width:9842;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" fillcolor="white [3201]" strokecolor="black [3200]" strokeweight="1pt">
                  <v:textbox>
                    <w:txbxContent>
                      <w:p w14:paraId="112BE14D"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IC (n = 41)</w:t>
                        </w:r>
                      </w:p>
                    </w:txbxContent>
                  </v:textbox>
                </v:shape>
                <v:shape id="CuadroTexto 18" o:spid="_x0000_s1045" type="#_x0000_t202" style="position:absolute;left:48699;top:37813;width:10097;height: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" fillcolor="white [3201]" strokecolor="black [3200]" strokeweight="1pt">
                  <v:textbox>
                    <w:txbxContent>
                      <w:p w14:paraId="4C65559F"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IC control (n = 53)</w:t>
                        </w:r>
                      </w:p>
                    </w:txbxContent>
                  </v:textbox>
                </v:shape>
                <v:shape id="CuadroTexto 19" o:spid="_x0000_s1046" type="#_x0000_t202" style="position:absolute;left:60428;top:37813;width:12275;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" fillcolor="white [3201]" strokecolor="black [3200]" strokeweight="1pt">
                  <v:textbox>
                    <w:txbxContent>
                      <w:p w14:paraId="1E72C742" w14:textId="4810EE1D" w:rsidR="004D2DCA" w:rsidRPr="004D2DCA" w:rsidRDefault="004D2DCA" w:rsidP="00DC3C49">
                        <w:pPr>
                          <w:pStyle w:val="NormalWeb"/>
                          <w:spacing w:before="0" w:beforeAutospacing="0" w:after="0" w:afterAutospacing="0"/>
                          <w:rPr>
                            <w:sz w:val="18"/>
                            <w:szCs w:val="18"/>
                          </w:rPr>
                        </w:pPr>
                        <w:r>
                          <w:rPr>
                            <w:rFonts w:ascii="Arial" w:hAnsi="Arial" w:cs="Arial"/>
                            <w:color w:val="000000" w:themeColor="dark1"/>
                            <w:kern w:val="24"/>
                            <w:sz w:val="18"/>
                            <w:szCs w:val="18"/>
                          </w:rPr>
                          <w:t xml:space="preserve">IC </w:t>
                        </w:r>
                        <w:r w:rsidRPr="004D2DCA">
                          <w:rPr>
                            <w:rFonts w:ascii="Arial" w:hAnsi="Arial" w:cs="Arial"/>
                            <w:color w:val="000000" w:themeColor="dark1"/>
                            <w:kern w:val="24"/>
                            <w:sz w:val="18"/>
                            <w:szCs w:val="18"/>
                          </w:rPr>
                          <w:t xml:space="preserve">(n = </w:t>
                        </w:r>
                        <w:r>
                          <w:rPr>
                            <w:rFonts w:ascii="Arial" w:hAnsi="Arial" w:cs="Arial"/>
                            <w:color w:val="000000" w:themeColor="dark1"/>
                            <w:kern w:val="24"/>
                            <w:sz w:val="18"/>
                            <w:szCs w:val="18"/>
                          </w:rPr>
                          <w:t>4</w:t>
                        </w:r>
                        <w:r w:rsidRPr="004D2DCA">
                          <w:rPr>
                            <w:rFonts w:ascii="Arial" w:hAnsi="Arial" w:cs="Arial"/>
                            <w:color w:val="000000" w:themeColor="dark1"/>
                            <w:kern w:val="24"/>
                            <w:sz w:val="18"/>
                            <w:szCs w:val="18"/>
                          </w:rPr>
                          <w:t>6)</w:t>
                        </w:r>
                      </w:p>
                    </w:txbxContent>
                  </v:textbox>
                </v:shape>
                <v:shape id="CuadroTexto 20" o:spid="_x0000_s1047" type="#_x0000_t202" style="position:absolute;left:74784;top:37620;width:10877;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" fillcolor="white [3201]" strokecolor="black [3200]" strokeweight="1pt">
                  <v:textbox>
                    <w:txbxContent>
                      <w:p w14:paraId="6E8C225B" w14:textId="77777777" w:rsidR="004D2DCA" w:rsidRPr="004D2DCA" w:rsidRDefault="004D2DCA" w:rsidP="00DC3C49">
                        <w:pPr>
                          <w:pStyle w:val="NormalWeb"/>
                          <w:spacing w:before="0" w:beforeAutospacing="0" w:after="0" w:afterAutospacing="0"/>
                          <w:rPr>
                            <w:sz w:val="18"/>
                            <w:szCs w:val="18"/>
                          </w:rPr>
                        </w:pPr>
                        <w:r w:rsidRPr="004D2DCA">
                          <w:rPr>
                            <w:rFonts w:ascii="Arial" w:hAnsi="Arial" w:cs="Arial"/>
                            <w:color w:val="000000" w:themeColor="dark1"/>
                            <w:kern w:val="24"/>
                            <w:sz w:val="18"/>
                            <w:szCs w:val="18"/>
                          </w:rPr>
                          <w:t>IC control (n = 62)</w:t>
                        </w:r>
                      </w:p>
                    </w:txbxContent>
                  </v:textbox>
                </v:shape>
                <v:shapetype id="_x0000_t32" coordsize="21600,21600" o:spt="32" o:oned="t" path="m,l21600,21600e" filled="f">
                  <v:path arrowok="t" fillok="f" o:connecttype="none"/>
                  <o:lock v:ext="edit" shapetype="t"/>
                </v:shapetype>
                <v:shape id="Conector recto de flecha 88" o:spid="_x0000_s1048" type="#_x0000_t32" style="position:absolute;left:44975;top:2616;width:0;height:4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" strokecolor="black [3200]" strokeweight=".5pt">
                  <v:stroke endarrow="block" joinstyle="miter"/>
                </v:shape>
                <v:shape id="Conector recto de flecha 89" o:spid="_x0000_s1049" type="#_x0000_t32" style="position:absolute;left:44993;top:4461;width:7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" strokecolor="black [3200]" strokeweight=".5pt">
                  <v:stroke endarrow="block" joinstyle="miter"/>
                </v:shape>
                <v:shape id="Conector recto de flecha 90" o:spid="_x0000_s1050" type="#_x0000_t32" style="position:absolute;left:32863;top:13155;width:3996;height:7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" strokecolor="black [3200]" strokeweight=".5pt">
                  <v:stroke endarrow="block" joinstyle="miter"/>
                </v:shape>
                <v:shape id="Conector recto de flecha 91" o:spid="_x0000_s1051" type="#_x0000_t32" style="position:absolute;left:44993;top:13751;width:312;height:7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" strokecolor="black [3200]" strokeweight=".5pt">
                  <v:stroke endarrow="block" joinstyle="miter"/>
                </v:shape>
                <v:shape id="Conector recto de flecha 92" o:spid="_x0000_s1052" type="#_x0000_t32" style="position:absolute;left:51284;top:13751;width:5892;height:6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" strokecolor="black [3200]" strokeweight=".5pt">
                  <v:stroke endarrow="block" joinstyle="miter"/>
                </v:shape>
                <v:shape id="Conector recto de flecha 93" o:spid="_x0000_s1053" type="#_x0000_t32" style="position:absolute;left:23329;top:28747;width:3996;height:7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" strokecolor="black [3200]" strokeweight=".5pt">
                  <v:stroke endarrow="block" joinstyle="miter"/>
                </v:shape>
                <v:shape id="Conector recto de flecha 94" o:spid="_x0000_s1054" type="#_x0000_t32" style="position:absolute;left:30271;top:29078;width:3239;height:6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" strokecolor="black [3200]" strokeweight=".5pt">
                  <v:stroke endarrow="block" joinstyle="miter"/>
                </v:shape>
                <v:shape id="Conector recto de flecha 95" o:spid="_x0000_s1055" type="#_x0000_t32" style="position:absolute;left:41949;top:30489;width:3996;height:7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" strokecolor="black [3200]" strokeweight=".5pt">
                  <v:stroke endarrow="block" joinstyle="miter"/>
                </v:shape>
                <v:shape id="Conector recto de flecha 96" o:spid="_x0000_s1056" type="#_x0000_t32" style="position:absolute;left:51429;top:30758;width:3238;height:6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" strokecolor="black [3200]" strokeweight=".5pt">
                  <v:stroke endarrow="block" joinstyle="miter"/>
                </v:shape>
                <v:shape id="Conector recto de flecha 97" o:spid="_x0000_s1057" type="#_x0000_t32" style="position:absolute;left:65977;top:29600;width:3629;height:75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" strokecolor="black [3200]" strokeweight=".5pt">
                  <v:stroke endarrow="block" joinstyle="miter"/>
                </v:shape>
                <v:shape id="Conector recto de flecha 98" o:spid="_x0000_s1058" type="#_x0000_t32" style="position:absolute;left:74784;top:29600;width:3714;height:7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" strokecolor="black [3200]" strokeweight=".5pt">
                  <v:stroke endarrow="block" joinstyle="miter"/>
                </v:shape>
                <v:shape id="Conector recto de flecha 101" o:spid="_x0000_s1059" type="#_x0000_t32" style="position:absolute;left:5458;top:4180;width:70;height:4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" strokecolor="black [3200]" strokeweight=".5pt">
                  <v:stroke endarrow="block" joinstyle="miter"/>
                </v:shape>
                <v:shape id="Conector recto de flecha 102" o:spid="_x0000_s1060" type="#_x0000_t32" style="position:absolute;left:5528;top:13713;width:36;height:2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" strokecolor="black [3200]" strokeweight=".5pt">
                  <v:stroke endarrow="block" joinstyle="miter"/>
                </v:shape>
                <v:shape id="Conector recto de flecha 103" o:spid="_x0000_s1061" type="#_x0000_t32" style="position:absolute;left:5528;top:20611;width:0;height:8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" strokecolor="black [3200]" strokeweight=".5pt">
                  <v:stroke endarrow="block" joinstyle="miter"/>
                </v:shape>
                <v:shape id="Conector recto de flecha 104" o:spid="_x0000_s1062" type="#_x0000_t32" style="position:absolute;left:6075;top:34217;width:107;height:98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" strokecolor="black [3200]" strokeweight=".5pt">
                  <v:stroke endarrow="block" joinstyle="miter"/>
                </v:shape>
                <w10:wrap type="square"/>
              </v:group>
            </w:pict>
          </mc:Fallback>
        </mc:AlternateContent>
      </w:r>
      <w:r w:rsidR="000F1616" w:rsidRPr="00D40C27">
        <w:rPr>
          <w:lang w:eastAsia="en-US"/>
        </w:rPr>
        <w:t xml:space="preserve">Figure </w:t>
      </w:r>
      <w:r w:rsidR="00A427E8">
        <w:rPr>
          <w:lang w:eastAsia="en-US"/>
        </w:rPr>
        <w:t>4.2</w:t>
      </w:r>
      <w:r w:rsidR="000F1616" w:rsidRPr="00D40C27">
        <w:rPr>
          <w:lang w:eastAsia="en-US"/>
        </w:rPr>
        <w:t>. Recruitment flow diagram</w:t>
      </w:r>
      <w:bookmarkEnd w:id="93"/>
    </w:p>
    <w:p w14:paraId="46398F75" w14:textId="0E673EC6" w:rsidR="000F1616" w:rsidRPr="00D40C27" w:rsidRDefault="00DC3C49" w:rsidP="000F1616">
      <w:pPr>
        <w:pBdr>
          <w:top w:val="none" w:sz="0" w:space="0" w:color="auto"/>
          <w:left w:val="none" w:sz="0" w:space="0" w:color="auto"/>
          <w:bottom w:val="none" w:sz="0" w:space="0" w:color="auto"/>
          <w:right w:val="none" w:sz="0" w:space="0" w:color="auto"/>
          <w:between w:val="none" w:sz="0" w:space="0" w:color="auto"/>
        </w:pBdr>
        <w:spacing w:line="259" w:lineRule="auto"/>
        <w:ind w:firstLine="0"/>
        <w:rPr>
          <w:rFonts w:ascii="Times New Roman" w:eastAsia="Calibri" w:hAnsi="Times New Roman" w:cs="Times New Roman"/>
          <w:b/>
          <w:bCs/>
          <w:color w:val="auto"/>
          <w:sz w:val="24"/>
          <w:szCs w:val="24"/>
          <w:lang w:eastAsia="en-US"/>
        </w:rPr>
      </w:pPr>
      <w:r w:rsidRPr="004D2DCA">
        <w:rPr>
          <w:noProof/>
          <w:lang w:eastAsia="es-CO"/>
        </w:rPr>
        <w:t xml:space="preserve"> </w:t>
      </w:r>
    </w:p>
    <w:p w14:paraId="2941653B"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spacing w:line="259" w:lineRule="auto"/>
        <w:ind w:firstLine="0"/>
        <w:rPr>
          <w:rFonts w:ascii="Times New Roman" w:eastAsia="Calibri" w:hAnsi="Times New Roman" w:cs="Times New Roman"/>
          <w:b/>
          <w:bCs/>
          <w:color w:val="auto"/>
          <w:sz w:val="24"/>
          <w:szCs w:val="24"/>
          <w:lang w:eastAsia="en-US"/>
        </w:rPr>
      </w:pPr>
    </w:p>
    <w:p w14:paraId="4CD54739"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spacing w:line="259" w:lineRule="auto"/>
        <w:ind w:firstLine="0"/>
        <w:rPr>
          <w:rFonts w:ascii="Times New Roman" w:eastAsia="Calibri" w:hAnsi="Times New Roman" w:cs="Times New Roman"/>
          <w:b/>
          <w:bCs/>
          <w:color w:val="auto"/>
          <w:sz w:val="24"/>
          <w:szCs w:val="24"/>
          <w:lang w:eastAsia="en-US"/>
        </w:rPr>
      </w:pPr>
    </w:p>
    <w:p w14:paraId="2D1A37CA" w14:textId="77777777" w:rsidR="000F1616" w:rsidRPr="00D40C27" w:rsidRDefault="000F1616" w:rsidP="00A427E8">
      <w:pPr>
        <w:pStyle w:val="Heading3"/>
        <w:rPr>
          <w:lang w:eastAsia="en-US"/>
        </w:rPr>
      </w:pPr>
      <w:bookmarkStart w:id="94" w:name="_Toc12024662"/>
      <w:r w:rsidRPr="00D40C27">
        <w:rPr>
          <w:lang w:eastAsia="en-US"/>
        </w:rPr>
        <w:t>Measures</w:t>
      </w:r>
      <w:bookmarkEnd w:id="94"/>
    </w:p>
    <w:p w14:paraId="61DB114E" w14:textId="49CA4186" w:rsidR="000F1616" w:rsidRPr="004D2DCA" w:rsidRDefault="000F1616" w:rsidP="004D2DCA">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8B6AF5">
        <w:rPr>
          <w:rFonts w:eastAsia="Calibri"/>
          <w:i/>
          <w:iCs/>
          <w:color w:val="auto"/>
          <w:lang w:eastAsia="en-US"/>
        </w:rPr>
        <w:t>Demographic Information</w:t>
      </w:r>
      <w:r w:rsidRPr="00D40C27">
        <w:rPr>
          <w:rFonts w:eastAsia="Calibri"/>
          <w:b/>
          <w:bCs/>
          <w:color w:val="auto"/>
          <w:lang w:eastAsia="en-US"/>
        </w:rPr>
        <w:t xml:space="preserve">. </w:t>
      </w:r>
      <w:r w:rsidRPr="00D40C27">
        <w:rPr>
          <w:rFonts w:eastAsia="Calibri"/>
          <w:color w:val="auto"/>
          <w:lang w:eastAsia="en-US"/>
        </w:rPr>
        <w:t>All participants provide</w:t>
      </w:r>
      <w:r w:rsidR="00382D91">
        <w:rPr>
          <w:rFonts w:eastAsia="Calibri"/>
          <w:color w:val="auto"/>
          <w:lang w:eastAsia="en-US"/>
        </w:rPr>
        <w:t>d</w:t>
      </w:r>
      <w:r w:rsidRPr="00D40C27">
        <w:rPr>
          <w:rFonts w:eastAsia="Calibri"/>
          <w:color w:val="auto"/>
          <w:lang w:eastAsia="en-US"/>
        </w:rPr>
        <w:t xml:space="preserve"> their age, gender, ethnicity, and whether they perceive themselves to have severe facial disfigurement. </w:t>
      </w:r>
    </w:p>
    <w:p w14:paraId="2C33BDC5" w14:textId="6F40860C"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rPr>
          <w:rFonts w:eastAsia="Calibri"/>
          <w:color w:val="0A0905"/>
          <w:shd w:val="clear" w:color="auto" w:fill="FFFFFF"/>
          <w:lang w:eastAsia="en-US"/>
        </w:rPr>
      </w:pPr>
      <w:r w:rsidRPr="008B6AF5">
        <w:rPr>
          <w:rFonts w:eastAsia="Calibri"/>
          <w:bCs/>
          <w:i/>
          <w:color w:val="auto"/>
          <w:lang w:eastAsia="en-US"/>
        </w:rPr>
        <w:t>Disgust sensitivity.</w:t>
      </w:r>
      <w:r w:rsidRPr="00D40C27">
        <w:rPr>
          <w:rFonts w:eastAsia="Calibri"/>
          <w:b/>
          <w:i/>
          <w:iCs/>
          <w:color w:val="auto"/>
          <w:lang w:eastAsia="en-US"/>
        </w:rPr>
        <w:t xml:space="preserve"> </w:t>
      </w:r>
      <w:r w:rsidRPr="00D40C27">
        <w:rPr>
          <w:rFonts w:eastAsia="Calibri"/>
          <w:color w:val="auto"/>
          <w:lang w:eastAsia="en-US"/>
        </w:rPr>
        <w:t>The Disgust Scale Revised (DS-R</w:t>
      </w:r>
      <w:r w:rsidR="00B32D9C">
        <w:rPr>
          <w:rFonts w:eastAsia="Calibri"/>
          <w:color w:val="auto"/>
          <w:lang w:eastAsia="en-US"/>
        </w:rPr>
        <w:t xml:space="preserve">; </w:t>
      </w:r>
      <w:r w:rsidR="00B32D9C" w:rsidRPr="00B32D9C">
        <w:rPr>
          <w:rFonts w:eastAsia="Calibri"/>
          <w:color w:val="auto"/>
          <w:lang w:eastAsia="en-US"/>
        </w:rPr>
        <w:t>Olatunji &amp; Williams, 2007)</w:t>
      </w:r>
      <w:r w:rsidRPr="00D40C27">
        <w:rPr>
          <w:rFonts w:eastAsia="Calibri"/>
          <w:color w:val="auto"/>
          <w:lang w:eastAsia="en-US"/>
        </w:rPr>
        <w:t xml:space="preserve"> is a 27-item questionnaire that measures disgust sensitivity in three subscales: core disgust, animal-reminder disgust</w:t>
      </w:r>
      <w:r w:rsidR="00B32D9C">
        <w:rPr>
          <w:rFonts w:eastAsia="Calibri"/>
          <w:color w:val="auto"/>
          <w:lang w:eastAsia="en-US"/>
        </w:rPr>
        <w:t>,</w:t>
      </w:r>
      <w:r w:rsidRPr="00D40C27">
        <w:rPr>
          <w:rFonts w:eastAsia="Calibri"/>
          <w:color w:val="auto"/>
          <w:lang w:eastAsia="en-US"/>
        </w:rPr>
        <w:t xml:space="preserve"> and contamination disgust.  Items are rated on a 5-point scale and, as well as a score for each subscale, a total score out of 100 is calculated. This test has been widely used for the study of disgust sensitivity and posses</w:t>
      </w:r>
      <w:r w:rsidR="00B32D9C">
        <w:rPr>
          <w:rFonts w:eastAsia="Calibri"/>
          <w:color w:val="auto"/>
          <w:lang w:eastAsia="en-US"/>
        </w:rPr>
        <w:t>se</w:t>
      </w:r>
      <w:r w:rsidRPr="00D40C27">
        <w:rPr>
          <w:rFonts w:eastAsia="Calibri"/>
          <w:color w:val="auto"/>
          <w:lang w:eastAsia="en-US"/>
        </w:rPr>
        <w:t>s good psychometric properties overall (</w:t>
      </w:r>
      <w:r w:rsidRPr="00D40C27">
        <w:rPr>
          <w:rFonts w:eastAsia="Calibri"/>
          <w:bCs/>
          <w:color w:val="auto"/>
          <w:lang w:eastAsia="en-US"/>
        </w:rPr>
        <w:t xml:space="preserve">α </w:t>
      </w:r>
      <w:r w:rsidRPr="00D40C27">
        <w:rPr>
          <w:rFonts w:eastAsia="Calibri"/>
          <w:color w:val="auto"/>
          <w:lang w:eastAsia="en-US"/>
        </w:rPr>
        <w:t>= .88) and for each subscale (</w:t>
      </w:r>
      <w:r w:rsidRPr="00D40C27">
        <w:rPr>
          <w:rFonts w:eastAsia="Calibri"/>
          <w:color w:val="0A0905"/>
          <w:shd w:val="clear" w:color="auto" w:fill="FFFFFF"/>
          <w:lang w:eastAsia="en-US"/>
        </w:rPr>
        <w:t xml:space="preserve">Core Disgust, </w:t>
      </w:r>
      <w:r w:rsidRPr="00D40C27">
        <w:rPr>
          <w:rFonts w:eastAsia="Calibri"/>
          <w:bCs/>
          <w:color w:val="auto"/>
          <w:lang w:eastAsia="en-US"/>
        </w:rPr>
        <w:t xml:space="preserve">α </w:t>
      </w:r>
      <w:r w:rsidRPr="00D40C27">
        <w:rPr>
          <w:rFonts w:eastAsia="Calibri"/>
          <w:color w:val="0A0905"/>
          <w:shd w:val="clear" w:color="auto" w:fill="FFFFFF"/>
          <w:lang w:eastAsia="en-US"/>
        </w:rPr>
        <w:t xml:space="preserve">= .82; Animal Reminder Disgust, </w:t>
      </w:r>
      <w:r w:rsidRPr="00D40C27">
        <w:rPr>
          <w:rFonts w:eastAsia="Calibri"/>
          <w:bCs/>
          <w:color w:val="auto"/>
          <w:lang w:eastAsia="en-US"/>
        </w:rPr>
        <w:t xml:space="preserve">α </w:t>
      </w:r>
      <w:r w:rsidRPr="00D40C27">
        <w:rPr>
          <w:rFonts w:eastAsia="Calibri"/>
          <w:color w:val="0A0905"/>
          <w:shd w:val="clear" w:color="auto" w:fill="FFFFFF"/>
          <w:lang w:eastAsia="en-US"/>
        </w:rPr>
        <w:t xml:space="preserve">= .73; and Contamination-Based Disgust, </w:t>
      </w:r>
      <w:r w:rsidRPr="00D40C27">
        <w:rPr>
          <w:rFonts w:eastAsia="Calibri"/>
          <w:bCs/>
          <w:color w:val="auto"/>
          <w:lang w:eastAsia="en-US"/>
        </w:rPr>
        <w:t xml:space="preserve">α </w:t>
      </w:r>
      <w:r w:rsidRPr="00D40C27">
        <w:rPr>
          <w:rFonts w:eastAsia="Calibri"/>
          <w:color w:val="0A0905"/>
          <w:shd w:val="clear" w:color="auto" w:fill="FFFFFF"/>
          <w:lang w:eastAsia="en-US"/>
        </w:rPr>
        <w:t>= .71)</w:t>
      </w:r>
      <w:r w:rsidRPr="00D40C27">
        <w:rPr>
          <w:rFonts w:eastAsia="Calibri"/>
          <w:color w:val="0A0905"/>
          <w:shd w:val="clear" w:color="auto" w:fill="FFFFFF"/>
          <w:lang w:eastAsia="en-US"/>
        </w:rPr>
        <w:fldChar w:fldCharType="begin"/>
      </w:r>
      <w:r w:rsidRPr="00D40C27">
        <w:rPr>
          <w:rFonts w:eastAsia="Calibri"/>
          <w:color w:val="0A0905"/>
          <w:shd w:val="clear" w:color="auto" w:fill="FFFFFF"/>
          <w:lang w:eastAsia="en-US"/>
        </w:rPr>
        <w:instrText xml:space="preserve">   EN.CITE &lt;EndNote&gt;&lt;Cite&gt;&lt;Author&gt;Olatunji&lt;/Author&gt;&lt;Year&gt;2007&lt;/Year&gt;&lt;IDText&gt;The Disgust Scale: Item Analysis, Factor Structure, and Suggestions for Refinement&lt;/IDText&gt;&lt;DisplayText&gt;(Olatunji et al., 2007)&lt;/DisplayText&gt;&lt;record&gt;&lt;keywords&gt;&lt;keyword&gt;Article.&lt;/keyword&gt;&lt;/keywords&gt;&lt;urls&gt;&lt;related-urls&gt;&lt;url&gt;http://ovidsp.ovid.com/ovidweb.cgi?T=JS&amp;amp;CSC=Y&amp;amp;NEWS=N&amp;amp;PAGE=fulltext&amp;amp;D=ovfti&amp;amp;AN=00012030-200709000-00003&lt;/url&gt;&lt;url&gt;http://resolver.shef.ac.uk/?http://find.shef.ac.uk/openurl/44SFD/44SFD_services_page?sid=OVID:ovftdb&amp;amp;id=pmid:&amp;amp;id=doi:10.1037/1040-3590.19.3.281&amp;amp;issn=1040-3590&amp;amp;isbn=&amp;amp;volume=19&amp;amp;issue=3&amp;amp;spage=281&amp;amp;pages=281-297&amp;amp;date=2007&amp;amp;title=Psychological+Assessment&amp;amp;atitle=The+Disgust+Scale:+Item+Analysis,+Factor+Structure,+and+Suggestions+for+Refinement.&amp;amp;aulast=Olatunji&amp;amp;pid=&amp;lt;author&amp;gt;Olatunji,+Bunmi&lt;/url&gt;&lt;/related-urls&gt;&lt;/urls&gt;&lt;titles&gt;&lt;title&gt;The Disgust Scale: Item Analysis, Factor Structure, and Suggestions for Refinement&lt;/title&gt;&lt;secondary-title&gt;Psychological Assessment&lt;/secondary-title&gt;&lt;/titles&gt;&lt;pages&gt;281-297&lt;/pages&gt;&lt;number&gt;3&lt;/number&gt;&lt;contributors&gt;&lt;authors&gt;&lt;author&gt;Olatunji, Bunmi O.&lt;/author&gt;&lt;author&gt;Williams, Nathan L.&lt;/author&gt;&lt;author&gt;Tolin, David F.&lt;/author&gt;&lt;author&gt;Abramowitz, Jonathan S.&lt;/author&gt;&lt;author&gt;Sawchuk, Craig N.&lt;/author&gt;&lt;author&gt;Lohr, Jeffrey M.&lt;/author&gt;&lt;author&gt;Elwood, Lisa S.&lt;/author&gt;&lt;/authors&gt;&lt;/contributors&gt;&lt;added-date format="utc"&gt;1423578445&lt;/added-date&gt;&lt;ref-type name="Journal Article"&gt;17&lt;/ref-type&gt;&lt;dates&gt;&lt;year&gt;2007&lt;/year&gt;&lt;/dates&gt;&lt;rec-number&gt;412&lt;/rec-number&gt;&lt;last-updated-date format="utc"&gt;1423578445&lt;/last-updated-date&gt;&lt;volume&gt;19&lt;/volume&gt;&lt;/record&gt;&lt;/Cite&gt;&lt;/EndNote&gt;</w:instrText>
      </w:r>
      <w:r w:rsidRPr="00D40C27">
        <w:rPr>
          <w:rFonts w:eastAsia="Calibri"/>
          <w:color w:val="0A0905"/>
          <w:shd w:val="clear" w:color="auto" w:fill="FFFFFF"/>
          <w:lang w:eastAsia="en-US"/>
        </w:rPr>
        <w:fldChar w:fldCharType="separate"/>
      </w:r>
      <w:r w:rsidRPr="00D40C27">
        <w:rPr>
          <w:rFonts w:eastAsia="Calibri"/>
          <w:noProof/>
          <w:color w:val="0A0905"/>
          <w:shd w:val="clear" w:color="auto" w:fill="FFFFFF"/>
          <w:lang w:eastAsia="en-US"/>
        </w:rPr>
        <w:t>Olatunji et al., 2007)</w:t>
      </w:r>
      <w:r w:rsidRPr="00D40C27">
        <w:rPr>
          <w:rFonts w:eastAsia="Calibri"/>
          <w:color w:val="0A0905"/>
          <w:shd w:val="clear" w:color="auto" w:fill="FFFFFF"/>
          <w:lang w:eastAsia="en-US"/>
        </w:rPr>
        <w:fldChar w:fldCharType="end"/>
      </w:r>
      <w:r w:rsidRPr="00D40C27">
        <w:rPr>
          <w:rFonts w:eastAsia="Calibri"/>
          <w:color w:val="0A0905"/>
          <w:shd w:val="clear" w:color="auto" w:fill="FFFFFF"/>
          <w:lang w:eastAsia="en-US"/>
        </w:rPr>
        <w:t>. Psychometric analysis conducted with this sample showed good internal reliability for the full scale (</w:t>
      </w:r>
      <w:r w:rsidRPr="00D40C27">
        <w:rPr>
          <w:rFonts w:eastAsia="Calibri"/>
          <w:bCs/>
          <w:color w:val="auto"/>
          <w:lang w:eastAsia="en-US"/>
        </w:rPr>
        <w:t xml:space="preserve">α </w:t>
      </w:r>
      <w:r w:rsidRPr="00D40C27">
        <w:rPr>
          <w:rFonts w:eastAsia="Calibri"/>
          <w:color w:val="0A0905"/>
          <w:shd w:val="clear" w:color="auto" w:fill="FFFFFF"/>
          <w:lang w:eastAsia="en-US"/>
        </w:rPr>
        <w:t>= .86).</w:t>
      </w:r>
      <w:r w:rsidR="00685A7E">
        <w:rPr>
          <w:rFonts w:eastAsia="Calibri"/>
          <w:color w:val="0A0905"/>
          <w:shd w:val="clear" w:color="auto" w:fill="FFFFFF"/>
          <w:lang w:eastAsia="en-US"/>
        </w:rPr>
        <w:t xml:space="preserve"> The psychometric properties for </w:t>
      </w:r>
      <w:r w:rsidR="001A540C">
        <w:rPr>
          <w:rFonts w:eastAsia="Calibri"/>
          <w:color w:val="0A0905"/>
          <w:shd w:val="clear" w:color="auto" w:fill="FFFFFF"/>
          <w:lang w:eastAsia="en-US"/>
        </w:rPr>
        <w:t>the DS-R</w:t>
      </w:r>
      <w:r w:rsidR="00685A7E">
        <w:rPr>
          <w:rFonts w:eastAsia="Calibri"/>
          <w:color w:val="0A0905"/>
          <w:shd w:val="clear" w:color="auto" w:fill="FFFFFF"/>
          <w:lang w:eastAsia="en-US"/>
        </w:rPr>
        <w:t xml:space="preserve"> sub-scales were also acceptable in this sample </w:t>
      </w:r>
      <w:r w:rsidR="00685A7E" w:rsidRPr="00D40C27">
        <w:rPr>
          <w:rFonts w:eastAsia="Calibri"/>
          <w:color w:val="auto"/>
          <w:lang w:eastAsia="en-US"/>
        </w:rPr>
        <w:t>(</w:t>
      </w:r>
      <w:r w:rsidR="00685A7E">
        <w:rPr>
          <w:rFonts w:eastAsia="Calibri"/>
          <w:color w:val="auto"/>
          <w:lang w:eastAsia="en-US"/>
        </w:rPr>
        <w:t>i.e., c</w:t>
      </w:r>
      <w:r w:rsidR="00685A7E" w:rsidRPr="00D40C27">
        <w:rPr>
          <w:rFonts w:eastAsia="Calibri"/>
          <w:color w:val="0A0905"/>
          <w:shd w:val="clear" w:color="auto" w:fill="FFFFFF"/>
          <w:lang w:eastAsia="en-US"/>
        </w:rPr>
        <w:t xml:space="preserve">ore Disgust, </w:t>
      </w:r>
      <w:r w:rsidR="00685A7E" w:rsidRPr="00D40C27">
        <w:rPr>
          <w:rFonts w:eastAsia="Calibri"/>
          <w:bCs/>
          <w:color w:val="auto"/>
          <w:lang w:eastAsia="en-US"/>
        </w:rPr>
        <w:t xml:space="preserve">α </w:t>
      </w:r>
      <w:r w:rsidR="00685A7E">
        <w:rPr>
          <w:rFonts w:eastAsia="Calibri"/>
          <w:color w:val="0A0905"/>
          <w:shd w:val="clear" w:color="auto" w:fill="FFFFFF"/>
          <w:lang w:eastAsia="en-US"/>
        </w:rPr>
        <w:t>= .76</w:t>
      </w:r>
      <w:r w:rsidR="00685A7E" w:rsidRPr="00D40C27">
        <w:rPr>
          <w:rFonts w:eastAsia="Calibri"/>
          <w:color w:val="0A0905"/>
          <w:shd w:val="clear" w:color="auto" w:fill="FFFFFF"/>
          <w:lang w:eastAsia="en-US"/>
        </w:rPr>
        <w:t xml:space="preserve">; Animal Reminder Disgust, </w:t>
      </w:r>
      <w:r w:rsidR="00685A7E" w:rsidRPr="00D40C27">
        <w:rPr>
          <w:rFonts w:eastAsia="Calibri"/>
          <w:bCs/>
          <w:color w:val="auto"/>
          <w:lang w:eastAsia="en-US"/>
        </w:rPr>
        <w:t xml:space="preserve">α </w:t>
      </w:r>
      <w:r w:rsidR="00685A7E">
        <w:rPr>
          <w:rFonts w:eastAsia="Calibri"/>
          <w:color w:val="0A0905"/>
          <w:shd w:val="clear" w:color="auto" w:fill="FFFFFF"/>
          <w:lang w:eastAsia="en-US"/>
        </w:rPr>
        <w:t>= .74</w:t>
      </w:r>
      <w:r w:rsidR="00685A7E" w:rsidRPr="00D40C27">
        <w:rPr>
          <w:rFonts w:eastAsia="Calibri"/>
          <w:color w:val="0A0905"/>
          <w:shd w:val="clear" w:color="auto" w:fill="FFFFFF"/>
          <w:lang w:eastAsia="en-US"/>
        </w:rPr>
        <w:t xml:space="preserve">; and Contamination-Based Disgust, </w:t>
      </w:r>
      <w:r w:rsidR="00685A7E" w:rsidRPr="00D40C27">
        <w:rPr>
          <w:rFonts w:eastAsia="Calibri"/>
          <w:bCs/>
          <w:color w:val="auto"/>
          <w:lang w:eastAsia="en-US"/>
        </w:rPr>
        <w:t xml:space="preserve">α </w:t>
      </w:r>
      <w:r w:rsidR="00685A7E">
        <w:rPr>
          <w:rFonts w:eastAsia="Calibri"/>
          <w:color w:val="0A0905"/>
          <w:shd w:val="clear" w:color="auto" w:fill="FFFFFF"/>
          <w:lang w:eastAsia="en-US"/>
        </w:rPr>
        <w:t>= .64</w:t>
      </w:r>
      <w:r w:rsidR="00685A7E" w:rsidRPr="00D40C27">
        <w:rPr>
          <w:rFonts w:eastAsia="Calibri"/>
          <w:color w:val="0A0905"/>
          <w:shd w:val="clear" w:color="auto" w:fill="FFFFFF"/>
          <w:lang w:eastAsia="en-US"/>
        </w:rPr>
        <w:t>)</w:t>
      </w:r>
      <w:r w:rsidR="00685A7E">
        <w:rPr>
          <w:rFonts w:eastAsia="Calibri"/>
          <w:color w:val="0A0905"/>
          <w:shd w:val="clear" w:color="auto" w:fill="FFFFFF"/>
          <w:lang w:eastAsia="en-US"/>
        </w:rPr>
        <w:t>.</w:t>
      </w:r>
    </w:p>
    <w:p w14:paraId="5803FFA3" w14:textId="1963686F"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bCs/>
          <w:i/>
          <w:color w:val="auto"/>
          <w:lang w:eastAsia="en-US"/>
        </w:rPr>
        <w:t>Internal and external motivation to respond without prejudice.</w:t>
      </w:r>
      <w:r w:rsidRPr="00D40C27">
        <w:rPr>
          <w:rFonts w:eastAsia="Calibri"/>
          <w:b/>
          <w:iCs/>
          <w:color w:val="auto"/>
          <w:lang w:eastAsia="en-US"/>
        </w:rPr>
        <w:t xml:space="preserve"> </w:t>
      </w:r>
      <w:r w:rsidRPr="00D40C27">
        <w:rPr>
          <w:rFonts w:eastAsia="Calibri"/>
          <w:color w:val="auto"/>
          <w:lang w:eastAsia="en-US"/>
        </w:rPr>
        <w:t>The Internal and External Motivation Scale (IMS/EMS</w:t>
      </w:r>
      <w:r w:rsidR="008B6AF5">
        <w:rPr>
          <w:rFonts w:eastAsia="Calibri"/>
          <w:color w:val="auto"/>
          <w:lang w:eastAsia="en-US"/>
        </w:rPr>
        <w:t>;</w:t>
      </w:r>
      <w:r w:rsidRPr="00D40C27">
        <w:rPr>
          <w:rFonts w:eastAsia="Calibri"/>
          <w:color w:val="auto"/>
          <w:lang w:eastAsia="en-US"/>
        </w:rPr>
        <w:fldChar w:fldCharType="begin"/>
      </w:r>
      <w:r w:rsidRPr="00D40C27">
        <w:rPr>
          <w:rFonts w:eastAsia="Calibri"/>
          <w:color w:val="auto"/>
          <w:lang w:eastAsia="en-US"/>
        </w:rPr>
        <w:instrText xml:space="preserve">   EN.CITE &lt;EndNote&gt;&lt;Cite&gt;&lt;Author&gt;Plant&lt;/Author&gt;&lt;Year&gt;1998&lt;/Year&gt;&lt;IDText&gt;Internal and external motivation to respond without prejudice&lt;/IDText&gt;&lt;DisplayText&gt;(Plant &amp;amp; Devine, 1998)&lt;/DisplayText&gt;&lt;record&gt;&lt;isbn&gt;1939-1315&lt;/isbn&gt;&lt;titles&gt;&lt;title&gt;Internal and external motivation to respond without prejudice&lt;/title&gt;&lt;secondary-title&gt;Journal of personality and social psychology&lt;/secondary-title&gt;&lt;/titles&gt;&lt;pages&gt;811&lt;/pages&gt;&lt;number&gt;3&lt;/number&gt;&lt;contributors&gt;&lt;authors&gt;&lt;author&gt;Plant, E. Ashby&lt;/author&gt;&lt;author&gt;Devine, Patricia G.&lt;/author&gt;&lt;/authors&gt;&lt;/contributors&gt;&lt;added-date format="utc"&gt;1435557568&lt;/added-date&gt;&lt;ref-type name="Journal Article"&gt;17&lt;/ref-type&gt;&lt;dates&gt;&lt;year&gt;1998&lt;/year&gt;&lt;/dates&gt;&lt;rec-number&gt;456&lt;/rec-number&gt;&lt;publisher&gt;American Psychological Association&lt;/publisher&gt;&lt;last-updated-date format="utc"&gt;1435557568&lt;/last-updated-date&gt;&lt;volume&gt;75&lt;/volume&gt;&lt;/record&gt;&lt;/Cite&gt;&lt;/EndNote&gt;</w:instrText>
      </w:r>
      <w:r w:rsidRPr="00D40C27">
        <w:rPr>
          <w:rFonts w:eastAsia="Calibri"/>
          <w:color w:val="auto"/>
          <w:lang w:eastAsia="en-US"/>
        </w:rPr>
        <w:fldChar w:fldCharType="separate"/>
      </w:r>
      <w:r w:rsidRPr="00D40C27">
        <w:rPr>
          <w:rFonts w:eastAsia="Calibri"/>
          <w:noProof/>
          <w:color w:val="FFFFFF"/>
          <w:lang w:eastAsia="en-US"/>
        </w:rPr>
        <w:t>(</w:t>
      </w:r>
      <w:r w:rsidRPr="00D40C27">
        <w:rPr>
          <w:rFonts w:eastAsia="Calibri"/>
          <w:noProof/>
          <w:color w:val="auto"/>
          <w:lang w:eastAsia="en-US"/>
        </w:rPr>
        <w:t>Plant &amp; Devine, 1998)</w:t>
      </w:r>
      <w:r w:rsidRPr="00D40C27">
        <w:rPr>
          <w:rFonts w:eastAsia="Calibri"/>
          <w:color w:val="auto"/>
          <w:lang w:eastAsia="en-US"/>
        </w:rPr>
        <w:fldChar w:fldCharType="end"/>
      </w:r>
      <w:r w:rsidRPr="00D40C27">
        <w:rPr>
          <w:rFonts w:eastAsia="Calibri"/>
          <w:color w:val="auto"/>
          <w:lang w:eastAsia="en-US"/>
        </w:rPr>
        <w:t xml:space="preserve"> </w:t>
      </w:r>
      <w:r w:rsidR="008B6AF5" w:rsidRPr="008B6AF5">
        <w:rPr>
          <w:rFonts w:eastAsia="Calibri"/>
          <w:color w:val="auto"/>
          <w:lang w:eastAsia="en-US"/>
        </w:rPr>
        <w:t>Plant &amp; Devine, 1998)</w:t>
      </w:r>
      <w:r w:rsidR="008B6AF5">
        <w:rPr>
          <w:rFonts w:eastAsia="Calibri"/>
          <w:color w:val="auto"/>
          <w:lang w:eastAsia="en-US"/>
        </w:rPr>
        <w:t xml:space="preserve"> </w:t>
      </w:r>
      <w:r w:rsidRPr="00D40C27">
        <w:rPr>
          <w:rFonts w:eastAsia="Calibri"/>
          <w:color w:val="auto"/>
          <w:lang w:eastAsia="en-US"/>
        </w:rPr>
        <w:t xml:space="preserve">was initially developed to </w:t>
      </w:r>
      <w:r w:rsidRPr="00D40C27">
        <w:rPr>
          <w:rFonts w:eastAsia="Calibri"/>
          <w:color w:val="auto"/>
          <w:lang w:eastAsia="en-US"/>
        </w:rPr>
        <w:lastRenderedPageBreak/>
        <w:t>measure motivations to respond without prejudice towards black people; however, it has also been adapted to measure other forms of prejudice</w:t>
      </w:r>
      <w:r w:rsidRPr="00D40C27">
        <w:rPr>
          <w:rFonts w:eastAsia="Calibri"/>
          <w:color w:val="auto"/>
          <w:lang w:eastAsia="en-US"/>
        </w:rPr>
        <w:fldChar w:fldCharType="begin"/>
      </w:r>
      <w:r w:rsidRPr="00D40C27">
        <w:rPr>
          <w:rFonts w:eastAsia="Calibri"/>
          <w:color w:val="auto"/>
          <w:lang w:eastAsia="en-US"/>
        </w:rPr>
        <w:instrText xml:space="preserve">   EN.CITE &lt;EndNote&gt;&lt;Cite&gt;&lt;Author&gt;Klonis&lt;/Author&gt;&lt;Year&gt;2005&lt;/Year&gt;&lt;IDText&gt;Internal and external motivation to respond without sexism&lt;/IDText&gt;&lt;DisplayText&gt;(Klonis, Plant, &amp;amp; Devine, 2005; Pruett et al., 2014)&lt;/DisplayText&gt;&lt;record&gt;&lt;isbn&gt;0146-1672&lt;/isbn&gt;&lt;titles&gt;&lt;title&gt;Internal and external motivation to respond without sexism&lt;/title&gt;&lt;secondary-title&gt;Personality and Social Psychology Bulletin&lt;/secondary-title&gt;&lt;/titles&gt;&lt;pages&gt;1237-1249&lt;/pages&gt;&lt;number&gt;9&lt;/number&gt;&lt;contributors&gt;&lt;authors&gt;&lt;author&gt;Klonis, Suzanne C.&lt;/author&gt;&lt;author&gt;Plant, E. Ashby&lt;/author&gt;&lt;author&gt;Devine, Patricia G.&lt;/author&gt;&lt;/authors&gt;&lt;/contributors&gt;&lt;added-date format="utc"&gt;1435558977&lt;/added-date&gt;&lt;ref-type name="Journal Article"&gt;17&lt;/ref-type&gt;&lt;dates&gt;&lt;year&gt;2005&lt;/year&gt;&lt;/dates&gt;&lt;rec-number&gt;458&lt;/rec-number&gt;&lt;publisher&gt;Sage Publications&lt;/publisher&gt;&lt;last-updated-date format="utc"&gt;1435558977&lt;/last-updated-date&gt;&lt;volume&gt;31&lt;/volume&gt;&lt;/record&gt;&lt;/Cite&gt;&lt;Cite&gt;&lt;Author&gt;Pruett&lt;/Author&gt;&lt;Year&gt;2014&lt;/Year&gt;&lt;IDText&gt;A Psychometric Validation of the Internal and External Motivation to Respond Without Prejudice Toward People With Disabilities Scale&lt;/IDText&gt;&lt;record&gt;&lt;isbn&gt;2168-6653&lt;/isbn&gt;&lt;titles&gt;&lt;title&gt;A Psychometric Validation of the Internal and External Motivation to Respond Without Prejudice Toward People With Disabilities Scale&lt;/title&gt;&lt;secondary-title&gt;Rehabilitation Research, Policy, and Education&lt;/secondary-title&gt;&lt;/titles&gt;&lt;pages&gt;24-32&lt;/pages&gt;&lt;number&gt;1&lt;/number&gt;&lt;contributors&gt;&lt;authors&gt;&lt;author&gt;Pruett, Steven R.&lt;/author&gt;&lt;author&gt;Deiches, Jon&lt;/author&gt;&lt;author&gt;Pfaller, Joseph&lt;/author&gt;&lt;author&gt;Moser, Erin&lt;/author&gt;&lt;author&gt;Chan, Fong&lt;/author&gt;&lt;/authors&gt;&lt;/contributors&gt;&lt;added-date format="utc"&gt;1435559195&lt;/added-date&gt;&lt;ref-type name="Journal Article"&gt;17&lt;/ref-type&gt;&lt;dates&gt;&lt;year&gt;2014&lt;/year&gt;&lt;/dates&gt;&lt;rec-number&gt;459&lt;/rec-number&gt;&lt;publisher&gt;Springer Publishing Company&lt;/publisher&gt;&lt;last-updated-date format="utc"&gt;1435559195&lt;/last-updated-date&gt;&lt;volume&gt;28&lt;/volume&gt;&lt;/record&gt;&lt;/Cite&gt;&lt;/EndNote&gt;</w:instrText>
      </w:r>
      <w:r w:rsidRPr="00D40C27">
        <w:rPr>
          <w:rFonts w:eastAsia="Calibri"/>
          <w:color w:val="auto"/>
          <w:lang w:eastAsia="en-US"/>
        </w:rPr>
        <w:fldChar w:fldCharType="separate"/>
      </w:r>
      <w:r w:rsidRPr="00D40C27">
        <w:rPr>
          <w:rFonts w:eastAsia="Calibri"/>
          <w:noProof/>
          <w:color w:val="auto"/>
          <w:lang w:eastAsia="en-US"/>
        </w:rPr>
        <w:t>(Klonis, Plant, &amp; Devine, 2005; Pruett et al., 2014)</w:t>
      </w:r>
      <w:r w:rsidRPr="00D40C27">
        <w:rPr>
          <w:rFonts w:eastAsia="Calibri"/>
          <w:color w:val="auto"/>
          <w:lang w:eastAsia="en-US"/>
        </w:rPr>
        <w:fldChar w:fldCharType="end"/>
      </w:r>
      <w:r w:rsidRPr="00D40C27">
        <w:rPr>
          <w:rFonts w:eastAsia="Calibri"/>
          <w:color w:val="auto"/>
          <w:lang w:eastAsia="en-US"/>
        </w:rPr>
        <w:t xml:space="preserve">, including towards individuals with visible differences (Grandfield, 2008). This instrument contains ten items that measure internal (self-beliefs) and external (social desirability) motivations to respond without prejudice and responses range from 1 (Strongly disagree) to 10 (Strongly agree). The instrument adapted for skin conditions has shown good psychometric properties with Cronbach's alphas ranging from .77 to .85 </w:t>
      </w:r>
      <w:r w:rsidRPr="00D40C27">
        <w:rPr>
          <w:rFonts w:eastAsia="Calibri"/>
          <w:color w:val="auto"/>
          <w:lang w:eastAsia="en-US"/>
        </w:rPr>
        <w:fldChar w:fldCharType="begin"/>
      </w:r>
      <w:r w:rsidRPr="00D40C27">
        <w:rPr>
          <w:rFonts w:eastAsia="Calibri"/>
          <w:color w:val="auto"/>
          <w:lang w:eastAsia="en-US"/>
        </w:rPr>
        <w:instrText xml:space="preserve">   EN.CITE &lt;EndNote&gt;&lt;Cite&gt;&lt;Author&gt;Grandfield&lt;/Author&gt;&lt;Year&gt;2008&lt;/Year&gt;&lt;IDText&gt;Exploring Attitudinal and Psychophysiological Responses towards Visible Difference: The Role of Shame, Disgust, Self-Esteem and Appearance Schema  (Unpublished Thesis)&lt;/IDText&gt;&lt;DisplayText&gt;(Grandfield, 2008)&lt;/DisplayText&gt;&lt;record&gt;&lt;titles&gt;&lt;title&gt;Exploring Attitudinal and Psychophysiological Responses towards Visible Difference: The Role of Shame, Disgust, Self-Esteem and Appearance Schema  (Unpublished Thesis)&lt;/title&gt;&lt;/titles&gt;&lt;contributors&gt;&lt;authors&gt;&lt;author&gt;Grandfield, Tracey&lt;/author&gt;&lt;/authors&gt;&lt;/contributors&gt;&lt;edition&gt;University of Sheffield&lt;/edition&gt;&lt;added-date format="utc"&gt;1435562763&lt;/added-date&gt;&lt;pub-location&gt;Sheffield, United Kingdom&lt;/pub-location&gt;&lt;ref-type name="Generic"&gt;13&lt;/ref-type&gt;&lt;dates&gt;&lt;year&gt;2008&lt;/year&gt;&lt;/dates&gt;&lt;rec-number&gt;460&lt;/rec-number&gt;&lt;last-updated-date format="utc"&gt;1435562969&lt;/last-updated-date&gt;&lt;/record&gt;&lt;/Cite&gt;&lt;/EndNote&gt;</w:instrText>
      </w:r>
      <w:r w:rsidRPr="00D40C27">
        <w:rPr>
          <w:rFonts w:eastAsia="Calibri"/>
          <w:color w:val="auto"/>
          <w:lang w:eastAsia="en-US"/>
        </w:rPr>
        <w:fldChar w:fldCharType="separate"/>
      </w:r>
      <w:r w:rsidRPr="00D40C27">
        <w:rPr>
          <w:rFonts w:eastAsia="Calibri"/>
          <w:noProof/>
          <w:color w:val="auto"/>
          <w:lang w:eastAsia="en-US"/>
        </w:rPr>
        <w:t>(Grandfield, 2008)</w:t>
      </w:r>
      <w:r w:rsidRPr="00D40C27">
        <w:rPr>
          <w:rFonts w:eastAsia="Calibri"/>
          <w:color w:val="auto"/>
          <w:lang w:eastAsia="en-US"/>
        </w:rPr>
        <w:fldChar w:fldCharType="end"/>
      </w:r>
      <w:r w:rsidRPr="00D40C27">
        <w:rPr>
          <w:rFonts w:eastAsia="Calibri"/>
          <w:color w:val="auto"/>
          <w:lang w:eastAsia="en-US"/>
        </w:rPr>
        <w:t>. The measure showed good internal reliability (</w:t>
      </w:r>
      <w:r w:rsidRPr="00D40C27">
        <w:rPr>
          <w:rFonts w:eastAsia="Calibri"/>
          <w:bCs/>
          <w:color w:val="auto"/>
          <w:lang w:eastAsia="en-US"/>
        </w:rPr>
        <w:t xml:space="preserve">α </w:t>
      </w:r>
      <w:r w:rsidRPr="00D40C27">
        <w:rPr>
          <w:rFonts w:eastAsia="Calibri"/>
          <w:color w:val="0A0905"/>
          <w:shd w:val="clear" w:color="auto" w:fill="FFFFFF"/>
          <w:lang w:eastAsia="en-US"/>
        </w:rPr>
        <w:t>= .74) for the current sample.</w:t>
      </w:r>
    </w:p>
    <w:p w14:paraId="2C72FE96"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bCs/>
          <w:color w:val="auto"/>
          <w:lang w:eastAsia="en-US"/>
        </w:rPr>
      </w:pPr>
      <w:r w:rsidRPr="00D40C27">
        <w:rPr>
          <w:rFonts w:eastAsia="Calibri"/>
          <w:bCs/>
          <w:i/>
          <w:color w:val="auto"/>
          <w:lang w:eastAsia="en-US"/>
        </w:rPr>
        <w:t xml:space="preserve">Sociocultural attitudes towards appearance. </w:t>
      </w:r>
      <w:r w:rsidRPr="00D40C27">
        <w:rPr>
          <w:rFonts w:eastAsia="Calibri"/>
          <w:bCs/>
          <w:color w:val="auto"/>
          <w:lang w:eastAsia="en-US"/>
        </w:rPr>
        <w:t xml:space="preserve">The Sociocultural Attitudes towards Appearance Questionnaire (SATAQ-3: </w:t>
      </w:r>
      <w:r w:rsidRPr="00D40C27">
        <w:rPr>
          <w:rFonts w:eastAsia="Calibri"/>
          <w:bCs/>
          <w:color w:val="auto"/>
          <w:lang w:eastAsia="en-US"/>
        </w:rPr>
        <w:fldChar w:fldCharType="begin" w:fldLock="1"/>
      </w:r>
      <w:r w:rsidRPr="00D40C27">
        <w:rPr>
          <w:rFonts w:eastAsia="Calibri"/>
          <w:bCs/>
          <w:color w:val="auto"/>
          <w:lang w:eastAsia="en-US"/>
        </w:rPr>
        <w:instrText xml:space="preserve">  CSL_CITATION {"citationItems":[{"id":"ITEM-1","itemData":{"author":[{"dropping-particle":"","family":"Thompson","given":"JK","non-dropping-particle":"","parse-names":false,"suffix":""},{"dropping-particle":"van den","family":"Berg","given":"P","non-dropping-particle":"","parse-names":false,"suffix":""}],"container-title":"journal of eating  …","id":"ITEM-1","issued":{"date-parts":[["2004"]]},"title":"The sociocultural attitudes towards appearance scale</w:instrText>
      </w:r>
      <w:r w:rsidRPr="00D40C27">
        <w:rPr>
          <w:rFonts w:ascii="Cambria Math" w:eastAsia="Calibri" w:hAnsi="Cambria Math" w:cs="Cambria Math"/>
          <w:bCs/>
          <w:color w:val="auto"/>
          <w:lang w:eastAsia="en-US"/>
        </w:rPr>
        <w:instrText>‐</w:instrText>
      </w:r>
      <w:r w:rsidRPr="00D40C27">
        <w:rPr>
          <w:rFonts w:eastAsia="Calibri"/>
          <w:bCs/>
          <w:color w:val="auto"/>
          <w:lang w:eastAsia="en-US"/>
        </w:rPr>
        <w:instrText>3 (SATAQ</w:instrText>
      </w:r>
      <w:r w:rsidRPr="00D40C27">
        <w:rPr>
          <w:rFonts w:ascii="Cambria Math" w:eastAsia="Calibri" w:hAnsi="Cambria Math" w:cs="Cambria Math"/>
          <w:bCs/>
          <w:color w:val="auto"/>
          <w:lang w:eastAsia="en-US"/>
        </w:rPr>
        <w:instrText>‐</w:instrText>
      </w:r>
      <w:r w:rsidRPr="00D40C27">
        <w:rPr>
          <w:rFonts w:eastAsia="Calibri"/>
          <w:bCs/>
          <w:color w:val="auto"/>
          <w:lang w:eastAsia="en-US"/>
        </w:rPr>
        <w:instrText>3): Development and validation","type":"article-journal"},"uris":["http://www.mendeley.com/documents/?uuid=d8391637-f5f8-37ee-a294-6cbe720b5fee"]}],"mendeley":{"formattedCitation":"(Thompson &amp; Berg, 2004)","manualFormatting":"Thompson &amp; Berg, 2004)","plainTextFormattedCitation":"(Thompson &amp; Berg, 2004)","previouslyFormattedCitation":"(Thompson &amp; Berg, 2004)"},"properties":{"noteIndex":0},"schema":"https://github.com/citation-style-language/schema/raw/master/csl-citation.json"}</w:instrText>
      </w:r>
      <w:r w:rsidRPr="00D40C27">
        <w:rPr>
          <w:rFonts w:eastAsia="Calibri"/>
          <w:bCs/>
          <w:color w:val="auto"/>
          <w:lang w:eastAsia="en-US"/>
        </w:rPr>
        <w:fldChar w:fldCharType="separate"/>
      </w:r>
      <w:r w:rsidRPr="00D40C27">
        <w:rPr>
          <w:rFonts w:eastAsia="Calibri"/>
          <w:bCs/>
          <w:noProof/>
          <w:color w:val="auto"/>
          <w:lang w:eastAsia="en-US"/>
        </w:rPr>
        <w:t>Thompson &amp; Berg, 2004)</w:t>
      </w:r>
      <w:r w:rsidRPr="00D40C27">
        <w:rPr>
          <w:rFonts w:eastAsia="Calibri"/>
          <w:bCs/>
          <w:color w:val="auto"/>
          <w:lang w:eastAsia="en-US"/>
        </w:rPr>
        <w:fldChar w:fldCharType="end"/>
      </w:r>
      <w:r w:rsidRPr="00D40C27">
        <w:rPr>
          <w:rFonts w:eastAsia="Calibri"/>
          <w:bCs/>
          <w:color w:val="auto"/>
          <w:lang w:eastAsia="en-US"/>
        </w:rPr>
        <w:t xml:space="preserve"> was developed to measure internalisation of appearance related material from media sources. It contains four main subscales; Information, Pressures, Internalization-General, and Internalization-Athlete.  The</w:t>
      </w:r>
      <w:r w:rsidRPr="00D40C27">
        <w:rPr>
          <w:rFonts w:eastAsia="Calibri"/>
          <w:b/>
          <w:color w:val="auto"/>
          <w:lang w:eastAsia="en-US"/>
        </w:rPr>
        <w:t xml:space="preserve"> </w:t>
      </w:r>
      <w:r w:rsidRPr="00D40C27">
        <w:rPr>
          <w:rFonts w:eastAsia="Calibri"/>
          <w:bCs/>
          <w:color w:val="auto"/>
          <w:lang w:eastAsia="en-US"/>
        </w:rPr>
        <w:t xml:space="preserve">information subscale measures the level of acknowledgement of </w:t>
      </w:r>
      <w:r w:rsidR="00B32D9C">
        <w:rPr>
          <w:rFonts w:eastAsia="Calibri"/>
          <w:bCs/>
          <w:color w:val="auto"/>
          <w:lang w:eastAsia="en-US"/>
        </w:rPr>
        <w:t xml:space="preserve">the </w:t>
      </w:r>
      <w:r w:rsidRPr="00D40C27">
        <w:rPr>
          <w:rFonts w:eastAsia="Calibri"/>
          <w:bCs/>
          <w:color w:val="auto"/>
          <w:lang w:eastAsia="en-US"/>
        </w:rPr>
        <w:t xml:space="preserve">information about appearance standards included in the media. The pressures subscale refers to the level of pressure subjectively experienced to modify one’s appearance based on exposure to media content. The two internalisation scales assess the level of internalisation of societal appearance standards into one’s self-identity. The SATAQ-3 has been tested in clinical populations of individuals with eating disorders and contrasted with normative samples of college students. Psychometric properties of this instrument are sound across subscales, with </w:t>
      </w:r>
      <w:r w:rsidRPr="00D40C27">
        <w:rPr>
          <w:rFonts w:eastAsia="Calibri"/>
          <w:color w:val="auto"/>
          <w:lang w:eastAsia="en-US"/>
        </w:rPr>
        <w:t>Cronbach's alphas ranging from .77 to .97</w:t>
      </w:r>
      <w:r w:rsidRPr="00D40C27">
        <w:rPr>
          <w:rFonts w:eastAsia="Calibri"/>
          <w:bCs/>
          <w:color w:val="auto"/>
          <w:lang w:eastAsia="en-US"/>
        </w:rPr>
        <w:t xml:space="preserve"> </w:t>
      </w:r>
      <w:r w:rsidRPr="00D40C27">
        <w:rPr>
          <w:rFonts w:eastAsia="Calibri"/>
          <w:bCs/>
          <w:color w:val="auto"/>
          <w:lang w:eastAsia="en-US"/>
        </w:rPr>
        <w:fldChar w:fldCharType="begin" w:fldLock="1"/>
      </w:r>
      <w:r w:rsidRPr="00D40C27">
        <w:rPr>
          <w:rFonts w:eastAsia="Calibri"/>
          <w:bCs/>
          <w:color w:val="auto"/>
          <w:lang w:eastAsia="en-US"/>
        </w:rPr>
        <w:instrText xml:space="preserve">  CSL_CITATION {"citationItems":[{"id":"ITEM-1","itemData":{"author":[{"dropping-particle":"","family":"Calogero","given":"RM","non-dropping-particle":"","parse-names":false,"suffix":""},{"dropping-particle":"","family":"Davis","given":"WN","non-dropping-particle":"","parse-names":false,"suffix":""},{"dropping-particle":"","family":"Thompson","given":"JK","non-dropping-particle":"","parse-names":false,"suffix":""}],"container-title":"Body Image","id":"ITEM-1","issued":{"date-parts":[["2004"]]},"title":"The Sociocultural Attitudes Toward Appearance Questionnaire (SATAQ-3): Reliability and normative comparisons of eating disordered patients","type":"article-journal"},"uris":["http://www.mendeley.com/documents/?uuid=bdfb6772-5005-3ebf-89e6-431ac7e37d24"]}],"mendeley":{"formattedCitation":"(Calogero et al., 2004)","plainTextFormattedCitation":"(Calogero et al., 2004)","previouslyFormattedCitation":"(Calogero et al., 2004)"},"properties":{"noteIndex":0},"schema":"https://github.com/citation-style-language/schema/raw/master/csl-citation.json"}</w:instrText>
      </w:r>
      <w:r w:rsidRPr="00D40C27">
        <w:rPr>
          <w:rFonts w:eastAsia="Calibri"/>
          <w:bCs/>
          <w:color w:val="auto"/>
          <w:lang w:eastAsia="en-US"/>
        </w:rPr>
        <w:fldChar w:fldCharType="separate"/>
      </w:r>
      <w:r w:rsidRPr="00D40C27">
        <w:rPr>
          <w:rFonts w:eastAsia="Calibri"/>
          <w:bCs/>
          <w:noProof/>
          <w:color w:val="auto"/>
          <w:lang w:eastAsia="en-US"/>
        </w:rPr>
        <w:t>(Calogero et al., 2004)</w:t>
      </w:r>
      <w:r w:rsidRPr="00D40C27">
        <w:rPr>
          <w:rFonts w:eastAsia="Calibri"/>
          <w:bCs/>
          <w:color w:val="auto"/>
          <w:lang w:eastAsia="en-US"/>
        </w:rPr>
        <w:fldChar w:fldCharType="end"/>
      </w:r>
      <w:r w:rsidRPr="00D40C27">
        <w:rPr>
          <w:rFonts w:eastAsia="Calibri"/>
          <w:bCs/>
          <w:color w:val="auto"/>
          <w:lang w:eastAsia="en-US"/>
        </w:rPr>
        <w:t xml:space="preserve">. The present study utilised the Internalization-General subscale, which had excellent internal reliability in this sample (α </w:t>
      </w:r>
      <w:r w:rsidRPr="00D40C27">
        <w:rPr>
          <w:rFonts w:eastAsia="Calibri"/>
          <w:color w:val="0A0905"/>
          <w:shd w:val="clear" w:color="auto" w:fill="FFFFFF"/>
          <w:lang w:eastAsia="en-US"/>
        </w:rPr>
        <w:t xml:space="preserve">= .93). </w:t>
      </w:r>
    </w:p>
    <w:p w14:paraId="529D8952"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jc w:val="both"/>
        <w:rPr>
          <w:rFonts w:eastAsia="Calibri"/>
          <w:b/>
          <w:bCs/>
          <w:iCs/>
          <w:color w:val="auto"/>
          <w:lang w:eastAsia="en-US"/>
        </w:rPr>
      </w:pPr>
      <w:r w:rsidRPr="00D40C27">
        <w:rPr>
          <w:rFonts w:eastAsia="Calibri"/>
          <w:b/>
          <w:bCs/>
          <w:iCs/>
          <w:color w:val="auto"/>
          <w:lang w:eastAsia="en-US"/>
        </w:rPr>
        <w:t>Outcome variables: Measures of stigma</w:t>
      </w:r>
    </w:p>
    <w:p w14:paraId="00A9FDE9" w14:textId="604BC453" w:rsidR="000F1616" w:rsidRPr="00D40C27" w:rsidRDefault="000F1616" w:rsidP="006D318E">
      <w:pPr>
        <w:pBdr>
          <w:top w:val="none" w:sz="0" w:space="0" w:color="auto"/>
          <w:left w:val="none" w:sz="0" w:space="0" w:color="auto"/>
          <w:bottom w:val="none" w:sz="0" w:space="0" w:color="auto"/>
          <w:right w:val="none" w:sz="0" w:space="0" w:color="auto"/>
          <w:between w:val="none" w:sz="0" w:space="0" w:color="auto"/>
        </w:pBdr>
        <w:rPr>
          <w:rFonts w:eastAsia="Calibri"/>
          <w:bCs/>
          <w:iCs/>
          <w:color w:val="auto"/>
          <w:lang w:eastAsia="en-US"/>
        </w:rPr>
      </w:pPr>
      <w:r w:rsidRPr="00D40C27">
        <w:rPr>
          <w:rFonts w:eastAsia="Calibri"/>
          <w:i/>
          <w:color w:val="auto"/>
          <w:lang w:eastAsia="en-US"/>
        </w:rPr>
        <w:t>Intended avoidance.</w:t>
      </w:r>
      <w:r w:rsidRPr="00D40C27">
        <w:rPr>
          <w:rFonts w:eastAsia="Calibri"/>
          <w:b/>
          <w:bCs/>
          <w:iCs/>
          <w:color w:val="auto"/>
          <w:lang w:eastAsia="en-US"/>
        </w:rPr>
        <w:t xml:space="preserve"> </w:t>
      </w:r>
      <w:r w:rsidRPr="00D40C27">
        <w:rPr>
          <w:rFonts w:eastAsia="Calibri"/>
          <w:bCs/>
          <w:iCs/>
          <w:color w:val="auto"/>
          <w:lang w:eastAsia="en-US"/>
        </w:rPr>
        <w:t>Participants were asked to report the desire to avoid individuals with FD before and after the experimental interventions</w:t>
      </w:r>
      <w:r w:rsidR="00172902">
        <w:rPr>
          <w:rFonts w:eastAsia="Calibri"/>
          <w:bCs/>
          <w:iCs/>
          <w:color w:val="auto"/>
          <w:lang w:eastAsia="en-US"/>
        </w:rPr>
        <w:t xml:space="preserve"> (see Appendix 4H)</w:t>
      </w:r>
      <w:r w:rsidRPr="00D40C27">
        <w:rPr>
          <w:rFonts w:eastAsia="Calibri"/>
          <w:bCs/>
          <w:iCs/>
          <w:color w:val="auto"/>
          <w:lang w:eastAsia="en-US"/>
        </w:rPr>
        <w:t xml:space="preserve">. </w:t>
      </w:r>
      <w:r w:rsidR="00B6602C">
        <w:rPr>
          <w:rFonts w:eastAsia="Calibri"/>
          <w:bCs/>
          <w:iCs/>
          <w:color w:val="auto"/>
          <w:lang w:eastAsia="en-US"/>
        </w:rPr>
        <w:t>The original scale used by</w:t>
      </w:r>
      <w:r w:rsidRPr="00D40C27">
        <w:rPr>
          <w:rFonts w:eastAsia="Calibri"/>
          <w:bCs/>
          <w:iCs/>
          <w:color w:val="auto"/>
          <w:lang w:eastAsia="en-US"/>
        </w:rPr>
        <w:t xml:space="preserve"> </w:t>
      </w:r>
      <w:r w:rsidRPr="00D40C27">
        <w:rPr>
          <w:rFonts w:eastAsia="Calibri"/>
          <w:bCs/>
          <w:iCs/>
          <w:color w:val="auto"/>
          <w:lang w:eastAsia="en-US"/>
        </w:rPr>
        <w:fldChar w:fldCharType="begin" w:fldLock="1"/>
      </w:r>
      <w:r w:rsidRPr="00D40C27">
        <w:rPr>
          <w:rFonts w:eastAsia="Calibri"/>
          <w:bCs/>
          <w:iCs/>
          <w:color w:val="auto"/>
          <w:lang w:eastAsia="en-US"/>
        </w:rPr>
        <w:instrText xml:space="preserve">  CSL_CITATION {"citationItems":[{"id":"ITEM-1","itemData":{"DOI":"10.1080/08870446.2011.603424","ISBN":"1476-8321","ISSN":"0887-0446","PMID":"21801076","abstract":"Medical conditions that are non-contagious, but that appear contagious, seem to result in the sufferer being avoided. Error management theory (EMT), suggests that such false alarms occur because the cost of infection poses a greater threat to ones fitness than avoidance. Study 1 attempted to demonstrate a disease-related false alarm effect by asking participants, to evaluate a series of vignettes, featuring people with infectious diseases, non-infectious diseases that looked infectious and non-infectious diseases that did not. Judgements of contracting infection under varying levels of contact, and desire to avoid were obtained. Consistent with EMT, a false alarm effect was evident. Study 2 examined the importance of the face as a key indicator of real and apparent infection, by determining whether facial symptoms result in a greater desire to avoid people with infectious and non-infectious diseases. Consistent with expectation, participants reported a greater desire to avoid people with facially displayed symptoms. Together, these results support the idea that humans have evolved a general tendency to avoid individuals with disease signs, especially if displayed upon the face. One consequence is that where a facially displayed disease sign persists, even if known to be benign, its bearer will experience chronic avoidance.","author":[{"dropping-particle":"","family":"Kouznetsova","given":"Daria","non-dropping-particle":"","parse-names":false,"suffix":""},{"dropping-particle":"","family":"Stevenson","given":"Richard J.","non-dropping-particle":"","parse-names":false,"suffix":""},{"dropping-particle":"","family":"Oaten","given":"Megan J.","non-dropping-particle":"","parse-names":false,"suffix":""},{"dropping-particle":"","family":"Case","given":"Trevor I.","non-dropping-particle":"","parse-names":false,"suffix":""}],"container-title":"Psychology &amp; Health","id":"ITEM-1","issue":"4","issued":{"date-parts":[["2012"]]},"page":"491-506","title":"Disease-avoidant behaviour and its consequences","type":"article-journal","volume":"27"},"uris":["http://www.mendeley.com/documents/?uuid=62fc8155-4316-4ab2-b8fc-c0adf53c0e53"]}],"mendeley":{"formattedCitation":"(Kouznetsova et al., 2012)","manualFormatting":"Kouznetsova, Stevenson, Oaten and Case (2012)","plainTextFormattedCitation":"(Kouznetsova et al., 2012)","previouslyFormattedCitation":"(Kouznetsova et al., 2012)"},"properties":{"noteIndex":0},"schema":"https://github.com/citation-style-language/schema/raw/master/csl-citation.json"}</w:instrText>
      </w:r>
      <w:r w:rsidRPr="00D40C27">
        <w:rPr>
          <w:rFonts w:eastAsia="Calibri"/>
          <w:bCs/>
          <w:iCs/>
          <w:color w:val="auto"/>
          <w:lang w:eastAsia="en-US"/>
        </w:rPr>
        <w:fldChar w:fldCharType="separate"/>
      </w:r>
      <w:r w:rsidRPr="00D40C27">
        <w:rPr>
          <w:rFonts w:eastAsia="Calibri"/>
          <w:bCs/>
          <w:iCs/>
          <w:noProof/>
          <w:color w:val="auto"/>
          <w:lang w:eastAsia="en-US"/>
        </w:rPr>
        <w:t>Kouznetsova, Stevenson, Oaten and Case (2012)</w:t>
      </w:r>
      <w:r w:rsidRPr="00D40C27">
        <w:rPr>
          <w:rFonts w:eastAsia="Calibri"/>
          <w:bCs/>
          <w:iCs/>
          <w:color w:val="auto"/>
          <w:lang w:eastAsia="en-US"/>
        </w:rPr>
        <w:fldChar w:fldCharType="end"/>
      </w:r>
      <w:r w:rsidRPr="00D40C27">
        <w:rPr>
          <w:rFonts w:eastAsia="Calibri"/>
          <w:bCs/>
          <w:iCs/>
          <w:color w:val="auto"/>
          <w:lang w:eastAsia="en-US"/>
        </w:rPr>
        <w:t xml:space="preserve"> and include</w:t>
      </w:r>
      <w:r w:rsidR="00CF171C">
        <w:rPr>
          <w:rFonts w:eastAsia="Calibri"/>
          <w:bCs/>
          <w:iCs/>
          <w:color w:val="auto"/>
          <w:lang w:eastAsia="en-US"/>
        </w:rPr>
        <w:t>d</w:t>
      </w:r>
      <w:r w:rsidRPr="00D40C27">
        <w:rPr>
          <w:rFonts w:eastAsia="Calibri"/>
          <w:bCs/>
          <w:iCs/>
          <w:color w:val="auto"/>
          <w:lang w:eastAsia="en-US"/>
        </w:rPr>
        <w:t xml:space="preserve"> three levels of contact</w:t>
      </w:r>
      <w:r w:rsidR="00CF171C">
        <w:rPr>
          <w:rFonts w:eastAsia="Calibri"/>
          <w:bCs/>
          <w:iCs/>
          <w:color w:val="auto"/>
          <w:lang w:eastAsia="en-US"/>
        </w:rPr>
        <w:t>.</w:t>
      </w:r>
      <w:r w:rsidRPr="00D40C27">
        <w:rPr>
          <w:rFonts w:eastAsia="Calibri"/>
          <w:bCs/>
          <w:iCs/>
          <w:color w:val="auto"/>
          <w:lang w:eastAsia="en-US"/>
        </w:rPr>
        <w:t xml:space="preserve"> </w:t>
      </w:r>
      <w:r w:rsidR="00CF171C">
        <w:rPr>
          <w:rFonts w:eastAsia="Calibri"/>
          <w:bCs/>
          <w:iCs/>
          <w:color w:val="auto"/>
          <w:lang w:eastAsia="en-US"/>
        </w:rPr>
        <w:t>P</w:t>
      </w:r>
      <w:r w:rsidRPr="00D40C27">
        <w:rPr>
          <w:rFonts w:eastAsia="Calibri"/>
          <w:bCs/>
          <w:iCs/>
          <w:color w:val="auto"/>
          <w:lang w:eastAsia="en-US"/>
        </w:rPr>
        <w:t>articipants were asked to rate on a 7-point Likert scale (1 = definitely would not/7 = Definitely would) whether they would sit on a chair where someone with FD has been sat (1), sit next to someone with FD (2), and greet someone with FD (e.g.</w:t>
      </w:r>
      <w:r w:rsidR="008471FC">
        <w:rPr>
          <w:rFonts w:eastAsia="Calibri"/>
          <w:bCs/>
          <w:iCs/>
          <w:color w:val="auto"/>
          <w:lang w:eastAsia="en-US"/>
        </w:rPr>
        <w:t xml:space="preserve">, </w:t>
      </w:r>
      <w:r w:rsidRPr="00D40C27">
        <w:rPr>
          <w:rFonts w:eastAsia="Calibri"/>
          <w:bCs/>
          <w:iCs/>
          <w:color w:val="auto"/>
          <w:lang w:eastAsia="en-US"/>
        </w:rPr>
        <w:t>with a kiss on the cheek and a hug) (3).  Reliability analysis conducted in this study showed that internal consistency was weak (</w:t>
      </w:r>
      <w:r w:rsidRPr="00D40C27">
        <w:rPr>
          <w:rFonts w:eastAsia="Calibri"/>
          <w:bCs/>
          <w:color w:val="auto"/>
          <w:lang w:eastAsia="en-US"/>
        </w:rPr>
        <w:t xml:space="preserve">α </w:t>
      </w:r>
      <w:r w:rsidRPr="00D40C27">
        <w:rPr>
          <w:rFonts w:eastAsia="Calibri"/>
          <w:color w:val="auto"/>
          <w:lang w:eastAsia="en-US"/>
        </w:rPr>
        <w:t xml:space="preserve">= .65); given that this scale was composed by only three items, alpha values were susceptible to be small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10.5116/ijme.4dfb.8dfd","ISSN":"2042-6372","author":[{"dropping-particle":"","family":"Tavakol","given":"Mohsen","non-dropping-particle":"","parse-names":false,"suffix":""},{"dropping-particle":"","family":"Dennick","given":"Reg","non-dropping-particle":"","parse-names":false,"suffix":""}],"container-title":"International Journal of Medical Education","id":"ITEM-1","issued":{"date-parts":[["2011","6","27"]]},"page":"53-55","publisher":"IJME","title":"Making sense of Cronbach's alpha","type":"article-journal","volume":"2"},"uris":["http://www.mendeley.com/documents/?uuid=46a454bd-17c9-4ac4-a137-c3262646d69a"]}],"mendeley":{"formattedCitation":"(Tavakol &amp; Dennick, 2011)","plainTextFormattedCitation":"(Tavakol &amp; Dennick, 2011)","previouslyFormattedCitation":"(Tavakol &amp; Dennick, 2011)"},"properties":{"noteIndex":0},"schema":"https://github.com/citation-style-language/schema/raw/master/csl-citation.json"}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(Tavakol &amp; Dennick, 2011)</w:t>
      </w:r>
      <w:r w:rsidRPr="00D40C27">
        <w:rPr>
          <w:rFonts w:eastAsia="Calibri"/>
          <w:color w:val="auto"/>
          <w:lang w:eastAsia="en-US"/>
        </w:rPr>
        <w:fldChar w:fldCharType="end"/>
      </w:r>
      <w:r w:rsidRPr="00D40C27">
        <w:rPr>
          <w:rFonts w:eastAsia="Calibri"/>
          <w:color w:val="auto"/>
          <w:lang w:eastAsia="en-US"/>
        </w:rPr>
        <w:t xml:space="preserve"> and thus further calculations of inter-item correlations were conducted. The mean inter-item correlation for this scale was 0.42, falling within the acceptable range for internal consistency (0.15-0.50 as advised by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{"citationItems":[{"id":"ITEM-1","itemData":{"ISSN":"1557983208","author":[{"dropping-particle":"","family":"Clark","given":"Lee Anna","non-dropping-particle":"","parse-names":false,"suffix":""},{"dropping-particle":"","family":"Watson","given":"David","non-dropping-particle":"","parse-names":false,"suffix":""}],"container-title":"Psychological assessment","id":"ITEM-1","issue":"3","issued":{"date-parts":[["1995"]]},"page":"309","publisher":"American Psychological Association","title":"Constructing validity: Basic issues in objective scale development.","type":"article-journal","volume":"7"},"uris":["http://www.mendeley.com/documents/?uuid=33eef14c-c9a5-461b-9fd2-1b5ebcf05bec"]}],"mendeley":{"formattedCitation":"(Clark &amp; Watson, 1995)","manualFormatting":"(Clark and Watson, 1995)","plainTextFormattedCitation":"(Clark &amp; Watson, 1995)","previouslyFormattedCitation":"(Clark &amp; Watson, 1995)"},"properties":{"noteIndex":0},"schema":"https://github.com/citation-style-language/schema/raw/master/csl-citation.json"}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FFFFFF"/>
          <w:lang w:eastAsia="en-US"/>
        </w:rPr>
        <w:t>(</w:t>
      </w:r>
      <w:r w:rsidRPr="00D40C27">
        <w:rPr>
          <w:rFonts w:eastAsia="Calibri"/>
          <w:noProof/>
          <w:color w:val="auto"/>
          <w:lang w:eastAsia="en-US"/>
        </w:rPr>
        <w:t>Clark and Watson (1995)</w:t>
      </w:r>
      <w:r w:rsidRPr="00D40C27">
        <w:rPr>
          <w:rFonts w:eastAsia="Calibri"/>
          <w:color w:val="auto"/>
          <w:lang w:eastAsia="en-US"/>
        </w:rPr>
        <w:fldChar w:fldCharType="end"/>
      </w:r>
      <w:r w:rsidRPr="00D40C27">
        <w:rPr>
          <w:rFonts w:eastAsia="Calibri"/>
          <w:color w:val="auto"/>
          <w:lang w:eastAsia="en-US"/>
        </w:rPr>
        <w:t xml:space="preserve">. Moreover, all inter-item correlations were positive, suggesting that a </w:t>
      </w:r>
      <w:r w:rsidRPr="00D40C27">
        <w:rPr>
          <w:rFonts w:eastAsia="Calibri"/>
          <w:color w:val="auto"/>
          <w:lang w:eastAsia="en-US"/>
        </w:rPr>
        <w:lastRenderedPageBreak/>
        <w:t xml:space="preserve">common underlying construct was measured with this scale, therefore the scale was kept as reported by </w:t>
      </w:r>
      <w:r w:rsidRPr="00D40C27">
        <w:rPr>
          <w:rFonts w:eastAsia="Calibri"/>
          <w:bCs/>
          <w:iCs/>
          <w:color w:val="auto"/>
          <w:lang w:eastAsia="en-US"/>
        </w:rPr>
        <w:fldChar w:fldCharType="begin" w:fldLock="1"/>
      </w:r>
      <w:r w:rsidRPr="00D40C27">
        <w:rPr>
          <w:rFonts w:eastAsia="Calibri"/>
          <w:bCs/>
          <w:iCs/>
          <w:color w:val="auto"/>
          <w:lang w:eastAsia="en-US"/>
        </w:rPr>
        <w:instrText xml:space="preserve">  CSL_CITATION {"citationItems":[{"id":"ITEM-1","itemData":{"DOI":"10.1080/08870446.2011.603424","ISBN":"1476-8321","ISSN":"0887-0446","PMID":"21801076","abstract":"Medical conditions that are non-contagious, but that appear contagious, seem to result in the sufferer being avoided. Error management theory (EMT), suggests that such false alarms occur because the cost of infection poses a greater threat to ones fitness than avoidance. Study 1 attempted to demonstrate a disease-related false alarm effect by asking participants, to evaluate a series of vignettes, featuring people with infectious diseases, non-infectious diseases that looked infectious and non-infectious diseases that did not. Judgements of contracting infection under varying levels of contact, and desire to avoid were obtained. Consistent with EMT, a false alarm effect was evident. Study 2 examined the importance of the face as a key indicator of real and apparent infection, by determining whether facial symptoms result in a greater desire to avoid people with infectious and non-infectious diseases. Consistent with expectation, participants reported a greater desire to avoid people with facially displayed symptoms. Together, these results support the idea that humans have evolved a general tendency to avoid individuals with disease signs, especially if displayed upon the face. One consequence is that where a facially displayed disease sign persists, even if known to be benign, its bearer will experience chronic avoidance.","author":[{"dropping-particle":"","family":"Kouznetsova","given":"Daria","non-dropping-particle":"","parse-names":false,"suffix":""},{"dropping-particle":"","family":"Stevenson","given":"Richard J.","non-dropping-particle":"","parse-names":false,"suffix":""},{"dropping-particle":"","family":"Oaten","given":"Megan J.","non-dropping-particle":"","parse-names":false,"suffix":""},{"dropping-particle":"","family":"Case","given":"Trevor I.","non-dropping-particle":"","parse-names":false,"suffix":""}],"container-title":"Psychology &amp; Health","id":"ITEM-1","issue":"4","issued":{"date-parts":[["2012"]]},"page":"491-506","title":"Disease-avoidant behaviour and its consequences","type":"article-journal","volume":"27"},"uris":["http://www.mendeley.com/documents/?uuid=62fc8155-4316-4ab2-b8fc-c0adf53c0e53"]}],"mendeley":{"formattedCitation":"(Kouznetsova et al., 2012)","manualFormatting":"Kouznetsova, Stevenson, Oaten and Case (2012)","plainTextFormattedCitation":"(Kouznetsova et al., 2012)","previouslyFormattedCitation":"(Kouznetsova et al., 2012)"},"properties":{"noteIndex":0},"schema":"https://github.com/citation-style-language/schema/raw/master/csl-citation.json"}</w:instrText>
      </w:r>
      <w:r w:rsidRPr="00D40C27">
        <w:rPr>
          <w:rFonts w:eastAsia="Calibri"/>
          <w:bCs/>
          <w:iCs/>
          <w:color w:val="auto"/>
          <w:lang w:eastAsia="en-US"/>
        </w:rPr>
        <w:fldChar w:fldCharType="separate"/>
      </w:r>
      <w:r w:rsidRPr="00D40C27">
        <w:rPr>
          <w:rFonts w:eastAsia="Calibri"/>
          <w:bCs/>
          <w:iCs/>
          <w:noProof/>
          <w:color w:val="auto"/>
          <w:lang w:eastAsia="en-US"/>
        </w:rPr>
        <w:t>Kouznetsova, Stevenson, Oaten</w:t>
      </w:r>
      <w:r w:rsidR="00B32D9C">
        <w:rPr>
          <w:rFonts w:eastAsia="Calibri"/>
          <w:bCs/>
          <w:iCs/>
          <w:noProof/>
          <w:color w:val="auto"/>
          <w:lang w:eastAsia="en-US"/>
        </w:rPr>
        <w:t>,</w:t>
      </w:r>
      <w:r w:rsidRPr="00D40C27">
        <w:rPr>
          <w:rFonts w:eastAsia="Calibri"/>
          <w:bCs/>
          <w:iCs/>
          <w:noProof/>
          <w:color w:val="auto"/>
          <w:lang w:eastAsia="en-US"/>
        </w:rPr>
        <w:t xml:space="preserve"> and Case (2012)</w:t>
      </w:r>
      <w:r w:rsidRPr="00D40C27">
        <w:rPr>
          <w:rFonts w:eastAsia="Calibri"/>
          <w:bCs/>
          <w:iCs/>
          <w:color w:val="auto"/>
          <w:lang w:eastAsia="en-US"/>
        </w:rPr>
        <w:fldChar w:fldCharType="end"/>
      </w:r>
      <w:r w:rsidRPr="00D40C27">
        <w:rPr>
          <w:rFonts w:eastAsia="Calibri"/>
          <w:bCs/>
          <w:iCs/>
          <w:color w:val="auto"/>
          <w:lang w:eastAsia="en-US"/>
        </w:rPr>
        <w:t>.</w:t>
      </w:r>
    </w:p>
    <w:p w14:paraId="147E956F" w14:textId="1814370C" w:rsidR="000F1616"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bCs/>
          <w:i/>
          <w:iCs/>
          <w:color w:val="auto"/>
          <w:lang w:eastAsia="en-US"/>
        </w:rPr>
        <w:t xml:space="preserve"> Intergroup anxiety.</w:t>
      </w:r>
      <w:r w:rsidRPr="00D40C27">
        <w:rPr>
          <w:rFonts w:eastAsia="Calibri"/>
          <w:color w:val="auto"/>
          <w:lang w:eastAsia="en-US"/>
        </w:rPr>
        <w:t xml:space="preserve"> Participants were asked to complete a series of 11 items designed to measure the level of anxiety experienced given a hypothetical future interaction with an individual with FD (see Appendix </w:t>
      </w:r>
      <w:r w:rsidR="00172902">
        <w:rPr>
          <w:rFonts w:eastAsia="Calibri"/>
          <w:color w:val="auto"/>
          <w:lang w:eastAsia="en-US"/>
        </w:rPr>
        <w:t>4G</w:t>
      </w:r>
      <w:r w:rsidRPr="00D40C27">
        <w:rPr>
          <w:rFonts w:eastAsia="Calibri"/>
          <w:color w:val="auto"/>
          <w:lang w:eastAsia="en-US"/>
        </w:rPr>
        <w:t xml:space="preserve">). Participants </w:t>
      </w:r>
      <w:r w:rsidR="001A540C">
        <w:rPr>
          <w:rFonts w:eastAsia="Calibri"/>
          <w:color w:val="auto"/>
          <w:lang w:eastAsia="en-US"/>
        </w:rPr>
        <w:t>read</w:t>
      </w:r>
      <w:r w:rsidRPr="00D40C27">
        <w:rPr>
          <w:rFonts w:eastAsia="Calibri"/>
          <w:color w:val="auto"/>
          <w:lang w:eastAsia="en-US"/>
        </w:rPr>
        <w:t xml:space="preserve"> the statement</w:t>
      </w:r>
      <w:r w:rsidR="00685A7E">
        <w:rPr>
          <w:rFonts w:eastAsia="Calibri"/>
          <w:color w:val="auto"/>
          <w:lang w:eastAsia="en-US"/>
        </w:rPr>
        <w:t>:</w:t>
      </w:r>
      <w:r w:rsidRPr="00D40C27">
        <w:rPr>
          <w:rFonts w:eastAsia="Calibri"/>
          <w:color w:val="auto"/>
          <w:lang w:eastAsia="en-US"/>
        </w:rPr>
        <w:t xml:space="preserve"> “The next time you find yourself in a situation where you might interact with an adult with facial disfigurement, to what extent do you think you will feel…</w:t>
      </w:r>
      <w:r w:rsidR="001A540C" w:rsidRPr="00D40C27">
        <w:rPr>
          <w:rFonts w:eastAsia="Calibri"/>
          <w:color w:val="auto"/>
          <w:lang w:eastAsia="en-US"/>
        </w:rPr>
        <w:t>”</w:t>
      </w:r>
      <w:r w:rsidR="001A540C">
        <w:rPr>
          <w:rFonts w:eastAsia="Calibri"/>
          <w:color w:val="auto"/>
          <w:lang w:eastAsia="en-US"/>
        </w:rPr>
        <w:t xml:space="preserve"> Then, </w:t>
      </w:r>
      <w:r w:rsidR="001A540C" w:rsidRPr="00D40C27">
        <w:rPr>
          <w:rFonts w:eastAsia="Calibri"/>
          <w:color w:val="auto"/>
          <w:lang w:eastAsia="en-US"/>
        </w:rPr>
        <w:t>participants</w:t>
      </w:r>
      <w:r w:rsidRPr="00D40C27">
        <w:rPr>
          <w:rFonts w:eastAsia="Calibri"/>
          <w:color w:val="auto"/>
          <w:lang w:eastAsia="en-US"/>
        </w:rPr>
        <w:t xml:space="preserve"> </w:t>
      </w:r>
      <w:r w:rsidR="001A540C">
        <w:rPr>
          <w:rFonts w:eastAsia="Calibri"/>
          <w:color w:val="auto"/>
          <w:lang w:eastAsia="en-US"/>
        </w:rPr>
        <w:t>rated</w:t>
      </w:r>
      <w:r w:rsidRPr="00D40C27">
        <w:rPr>
          <w:rFonts w:eastAsia="Calibri"/>
          <w:color w:val="auto"/>
          <w:lang w:eastAsia="en-US"/>
        </w:rPr>
        <w:t xml:space="preserve"> on a 10 point Likert scale (0 = not at all, 10 = extremely) how certain, awkward, self-conscious, happy, accepted, confident, irritated, defensive, suspicious and careful would they feel during the encounter</w:t>
      </w:r>
      <w:r w:rsidR="001A540C">
        <w:rPr>
          <w:rFonts w:eastAsia="Calibri"/>
          <w:color w:val="auto"/>
          <w:lang w:eastAsia="en-US"/>
        </w:rPr>
        <w:t>.</w:t>
      </w:r>
      <w:r w:rsidRPr="00D40C27">
        <w:rPr>
          <w:rFonts w:eastAsia="Calibri"/>
          <w:color w:val="auto"/>
          <w:lang w:eastAsia="en-US"/>
        </w:rPr>
        <w:t xml:space="preserve"> </w:t>
      </w:r>
      <w:r w:rsidR="009F19D2">
        <w:rPr>
          <w:rFonts w:eastAsia="Calibri"/>
          <w:color w:val="auto"/>
          <w:lang w:eastAsia="en-US"/>
        </w:rPr>
        <w:t>After</w:t>
      </w:r>
      <w:r w:rsidRPr="00D40C27">
        <w:rPr>
          <w:rFonts w:eastAsia="Calibri"/>
          <w:color w:val="auto"/>
          <w:lang w:eastAsia="en-US"/>
        </w:rPr>
        <w:t xml:space="preserve"> </w:t>
      </w:r>
      <w:r w:rsidR="001A540C">
        <w:rPr>
          <w:rFonts w:eastAsia="Calibri"/>
          <w:color w:val="auto"/>
          <w:lang w:eastAsia="en-US"/>
        </w:rPr>
        <w:t xml:space="preserve">applying </w:t>
      </w:r>
      <w:r w:rsidRPr="00D40C27">
        <w:rPr>
          <w:rFonts w:eastAsia="Calibri"/>
          <w:color w:val="auto"/>
          <w:lang w:eastAsia="en-US"/>
        </w:rPr>
        <w:t>reverse scoring, higher</w:t>
      </w:r>
      <w:r w:rsidR="001A540C">
        <w:rPr>
          <w:rFonts w:eastAsia="Calibri"/>
          <w:color w:val="auto"/>
          <w:lang w:eastAsia="en-US"/>
        </w:rPr>
        <w:t xml:space="preserve"> scores indicated higher intergroup anxiety and vice versa</w:t>
      </w:r>
      <w:r w:rsidRPr="00D40C27">
        <w:rPr>
          <w:rFonts w:eastAsia="Calibri"/>
          <w:color w:val="auto"/>
          <w:lang w:eastAsia="en-US"/>
        </w:rPr>
        <w:t xml:space="preserve">.  This instrument is an adaptation taken from the Intergroup Anxiety Scale (IAS: Stephan &amp; Stephan, 1985). This instrument has shown good construct validity and adequate internal consistency (Stephan &amp; Stephan,  1985), with Cronbach’s alphas ranging from .75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Miller","given":"AK","non-dropping-particle":"","parse-names":false,"suffix":""},{"dropping-particle":"","family":"Markman","given":"KD","non-dropping-particle":"","parse-names":false,"suffix":""},{"dropping-particle":"","family":"Wagner","given":"MM","non-dropping-particle":"","parse-names":false,"suffix":""}],"container-title":"Journal of applied","id":"ITEM-1","issued":{"date-parts":[["2013"]]},"title":"Mental simulation and sexual prejudice reduction: The debiasing role of counterfactual thinking","type":"article-journal"},"uris":["http://www.mendeley.com/documents/?uuid=5741b3a8-1118-389d-a858-52f64e132bce"]}],"mendeley":{"formattedCitation":"(Miller, Markman, &amp; Wagner, 2013)","plainTextFormattedCitation":"(Miller, Markman, &amp; Wagner, 2013)","previouslyFormattedCitation":"(Miller, Markman, &amp; Wagner, 2013)"},"properties":{"noteIndex":0},"schema":"https://github.com/citation-style-language/schema/raw/master/csl-citation.json"}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(Miller, Markman, &amp; Wagner, 2013)</w:t>
      </w:r>
      <w:r w:rsidRPr="00D40C27">
        <w:rPr>
          <w:rFonts w:eastAsia="Calibri"/>
          <w:color w:val="auto"/>
          <w:lang w:eastAsia="en-US"/>
        </w:rPr>
        <w:fldChar w:fldCharType="end"/>
      </w:r>
      <w:r w:rsidRPr="00D40C27">
        <w:rPr>
          <w:rFonts w:eastAsia="Calibri"/>
          <w:color w:val="auto"/>
          <w:lang w:eastAsia="en-US"/>
        </w:rPr>
        <w:t xml:space="preserve"> to .86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Stephan","given":"WG","non-dropping-particle":"","parse-names":false,"suffix":""},{"dropping-particle":"","family":"Stephan","given":"CW","non-dropping-particle":"","parse-names":false,"suffix":""}],"container-title":"Journal of social issues","id":"ITEM-1","issued":{"date-parts":[["1985"]]},"title":"Intergroup anxiety","type":"article-journal"},"uris":["http://www.mendeley.com/documents/?uuid=202aebf6-597f-3bf7-b0f1-129e972ec14c"]}],"mendeley":{"formattedCitation":"(Stephan &amp; Stephan, 1985)","plainTextFormattedCitation":"(Stephan &amp; Stephan, 1985)","previouslyFormattedCitation":"(Stephan &amp; Stephan, 1985)"},"properties":{"noteIndex":0},"schema":"https://github.com/citation-style-language/schema/raw/master/csl-citation.json"}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(Stephan &amp; Stephan, 1985)</w:t>
      </w:r>
      <w:r w:rsidRPr="00D40C27">
        <w:rPr>
          <w:rFonts w:eastAsia="Calibri"/>
          <w:color w:val="auto"/>
          <w:lang w:eastAsia="en-US"/>
        </w:rPr>
        <w:fldChar w:fldCharType="end"/>
      </w:r>
      <w:r w:rsidRPr="00D40C27">
        <w:rPr>
          <w:rFonts w:eastAsia="Calibri"/>
          <w:color w:val="auto"/>
          <w:lang w:eastAsia="en-US"/>
        </w:rPr>
        <w:t>. Consistent with previous reports, the measure had good internal consistency in the current study (</w:t>
      </w:r>
      <w:r w:rsidRPr="00D40C27">
        <w:rPr>
          <w:rFonts w:eastAsia="Calibri"/>
          <w:bCs/>
          <w:color w:val="auto"/>
          <w:lang w:eastAsia="en-US"/>
        </w:rPr>
        <w:t xml:space="preserve">α </w:t>
      </w:r>
      <w:r w:rsidRPr="00D40C27">
        <w:rPr>
          <w:rFonts w:eastAsia="Calibri"/>
          <w:color w:val="auto"/>
          <w:lang w:eastAsia="en-US"/>
        </w:rPr>
        <w:t>= .82).</w:t>
      </w:r>
    </w:p>
    <w:p w14:paraId="5737893B" w14:textId="77777777" w:rsidR="000F1616" w:rsidRDefault="000F1616" w:rsidP="00A427E8">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p>
    <w:p w14:paraId="089893D6" w14:textId="77777777" w:rsidR="000F1616" w:rsidRPr="00D40C27" w:rsidRDefault="000F1616" w:rsidP="007A3FE4">
      <w:pPr>
        <w:pStyle w:val="Heading2"/>
      </w:pPr>
      <w:bookmarkStart w:id="95" w:name="_Toc12024663"/>
      <w:r w:rsidRPr="00D40C27">
        <w:t>Results</w:t>
      </w:r>
      <w:bookmarkEnd w:id="95"/>
    </w:p>
    <w:p w14:paraId="606C2A0B" w14:textId="77777777" w:rsidR="000F1616" w:rsidRPr="00D40C27" w:rsidRDefault="000F1616" w:rsidP="00A427E8">
      <w:pPr>
        <w:pStyle w:val="Heading3"/>
        <w:rPr>
          <w:lang w:eastAsia="en-US"/>
        </w:rPr>
      </w:pPr>
      <w:bookmarkStart w:id="96" w:name="_Toc12024664"/>
      <w:r w:rsidRPr="00D40C27">
        <w:rPr>
          <w:lang w:eastAsia="en-US"/>
        </w:rPr>
        <w:t>Demographics</w:t>
      </w:r>
      <w:bookmarkEnd w:id="96"/>
      <w:r w:rsidRPr="00D40C27">
        <w:rPr>
          <w:lang w:eastAsia="en-US"/>
        </w:rPr>
        <w:t xml:space="preserve"> </w:t>
      </w:r>
    </w:p>
    <w:p w14:paraId="3095D5C4" w14:textId="77777777" w:rsidR="000F1616" w:rsidRPr="00D40C27" w:rsidRDefault="000F1616" w:rsidP="006D318E">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r w:rsidRPr="00D40C27">
        <w:rPr>
          <w:rFonts w:eastAsia="Calibri"/>
          <w:color w:val="auto"/>
          <w:lang w:eastAsia="en-US"/>
        </w:rPr>
        <w:t xml:space="preserve">Data from 309 participants were collected; however, eight participants indicated that they had severe facial disfigurement and were therefore excluded from the analysis. The sample was mainly composed of students (78.6%) and university staff (18.4%), resulting in a final sample of 301 participants. </w:t>
      </w:r>
    </w:p>
    <w:p w14:paraId="7F369E03"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Respondents were 193 (64.1%) females, 106 (35.2%) males and 2 (0.7%) of other gender categories. Ages ranged from 18 to 68 years old (</w:t>
      </w:r>
      <w:r w:rsidRPr="00D40C27">
        <w:rPr>
          <w:rFonts w:eastAsia="Calibri"/>
          <w:i/>
          <w:color w:val="auto"/>
          <w:lang w:eastAsia="en-US"/>
        </w:rPr>
        <w:t>M</w:t>
      </w:r>
      <w:r w:rsidRPr="00D40C27">
        <w:rPr>
          <w:rFonts w:eastAsia="Calibri"/>
          <w:color w:val="auto"/>
          <w:lang w:eastAsia="en-US"/>
        </w:rPr>
        <w:t xml:space="preserve"> = 27.37, </w:t>
      </w:r>
      <w:r w:rsidRPr="00D40C27">
        <w:rPr>
          <w:rFonts w:eastAsia="Calibri"/>
          <w:i/>
          <w:color w:val="auto"/>
          <w:lang w:eastAsia="en-US"/>
        </w:rPr>
        <w:t>SD</w:t>
      </w:r>
      <w:r w:rsidRPr="00D40C27">
        <w:rPr>
          <w:rFonts w:eastAsia="Calibri"/>
          <w:color w:val="auto"/>
          <w:lang w:eastAsia="en-US"/>
        </w:rPr>
        <w:t xml:space="preserve"> = 10.77). Most participants were of white British ethnicity (85.5%), followed by Asian/Asian British (6.6%).  Distribution of participants to each intervention strategy was performed randomly by the Qualtrics software. For the intervention factor, 100 (33.2%) participants were allocated to an education message on FD, 94 (31.2%) watched a video clip depicting the experience of an individual with FD and the remaining 107 (35.5%) were assigned to a control condition (Educational message on smoking in the UK).  For the second factor, 142 (47.2%) participants completed the imagined contact task and 159 (52.8%) completed a control IC task. For details of demographic information see Table </w:t>
      </w:r>
      <w:r w:rsidR="00172902">
        <w:rPr>
          <w:rFonts w:eastAsia="Calibri"/>
          <w:color w:val="auto"/>
          <w:lang w:eastAsia="en-US"/>
        </w:rPr>
        <w:t>4.</w:t>
      </w:r>
      <w:r w:rsidRPr="00D40C27">
        <w:rPr>
          <w:rFonts w:eastAsia="Calibri"/>
          <w:color w:val="auto"/>
          <w:lang w:eastAsia="en-US"/>
        </w:rPr>
        <w:t xml:space="preserve">1. </w:t>
      </w:r>
    </w:p>
    <w:p w14:paraId="6D58C2D0" w14:textId="77777777" w:rsidR="000F1616" w:rsidRPr="00D40C27" w:rsidRDefault="000F1616" w:rsidP="00A427E8">
      <w:pPr>
        <w:pStyle w:val="Heading3"/>
        <w:rPr>
          <w:lang w:eastAsia="en-US"/>
        </w:rPr>
      </w:pPr>
      <w:bookmarkStart w:id="97" w:name="_Toc12024665"/>
      <w:r w:rsidRPr="00D40C27">
        <w:rPr>
          <w:lang w:eastAsia="en-US"/>
        </w:rPr>
        <w:lastRenderedPageBreak/>
        <w:t>Summary of scales: Reliability, outliers</w:t>
      </w:r>
      <w:r w:rsidR="00B32D9C">
        <w:rPr>
          <w:lang w:eastAsia="en-US"/>
        </w:rPr>
        <w:t>,</w:t>
      </w:r>
      <w:r w:rsidRPr="00D40C27">
        <w:rPr>
          <w:lang w:eastAsia="en-US"/>
        </w:rPr>
        <w:t xml:space="preserve"> and normality</w:t>
      </w:r>
      <w:bookmarkEnd w:id="97"/>
      <w:r w:rsidRPr="00D40C27">
        <w:rPr>
          <w:lang w:eastAsia="en-US"/>
        </w:rPr>
        <w:t xml:space="preserve"> </w:t>
      </w:r>
    </w:p>
    <w:p w14:paraId="01368ACB" w14:textId="77777777" w:rsidR="000F1616" w:rsidRDefault="000F1616" w:rsidP="008B6AF5">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r w:rsidRPr="00D40C27">
        <w:rPr>
          <w:rFonts w:eastAsia="Calibri"/>
          <w:color w:val="auto"/>
          <w:lang w:eastAsia="en-US"/>
        </w:rPr>
        <w:t xml:space="preserve">Data analysis was performed using SPSS v.23 (IBM, Armonk, NY: IBM Corp). Cronbach alphas and inter-item correlations were calculated to ensure good psychometric qualities of all instruments. The reliability for most scales was good (α &gt; .70). Outliers were assessed using Z scores; values which standard score was +/- 3 were deleted from the dataset. Normality was assessed for all the scales and it was found that the outcome variables of intergroup anxiety and intended avoidance were negatively skewed, thus, to complete a parametric analysis, these variables were log transformed and using the formula ‘Lg10 (k-x)’. Likewise, the construct of contaminating disgust was positively skewed, so it </w:t>
      </w:r>
      <w:r w:rsidR="00A427E8">
        <w:rPr>
          <w:rFonts w:eastAsia="Calibri"/>
          <w:color w:val="auto"/>
          <w:lang w:eastAsia="en-US"/>
        </w:rPr>
        <w:t>underwent a log transformation.</w:t>
      </w:r>
      <w:r w:rsidR="00CD2E16">
        <w:rPr>
          <w:rFonts w:eastAsia="Calibri"/>
          <w:color w:val="auto"/>
          <w:lang w:eastAsia="en-US"/>
        </w:rPr>
        <w:t xml:space="preserve"> See Appendix 4K for correlation matrix.</w:t>
      </w:r>
    </w:p>
    <w:p w14:paraId="7D0F6965" w14:textId="77777777" w:rsidR="000F1616" w:rsidRPr="00D40C27" w:rsidRDefault="000F1616" w:rsidP="008B6AF5">
      <w:pPr>
        <w:pStyle w:val="Tables"/>
        <w:spacing w:after="0" w:line="240" w:lineRule="auto"/>
        <w:rPr>
          <w:sz w:val="24"/>
          <w:szCs w:val="24"/>
          <w:lang w:eastAsia="en-US"/>
        </w:rPr>
      </w:pPr>
      <w:bookmarkStart w:id="98" w:name="_Toc12024833"/>
      <w:r w:rsidRPr="00D40C27">
        <w:rPr>
          <w:lang w:eastAsia="en-US"/>
        </w:rPr>
        <w:t>Table 4.1. Demographic information (N = 301)</w:t>
      </w:r>
      <w:bookmarkEnd w:id="98"/>
    </w:p>
    <w:p w14:paraId="534B3D8E"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Calibri" w:hAnsi="Times New Roman" w:cs="Times New Roman"/>
          <w:color w:val="auto"/>
          <w:sz w:val="24"/>
          <w:szCs w:val="24"/>
          <w:lang w:eastAsia="en-US"/>
        </w:rPr>
      </w:pPr>
    </w:p>
    <w:tbl>
      <w:tblPr>
        <w:tblW w:w="7763" w:type="dxa"/>
        <w:tblLook w:val="04A0" w:firstRow="1" w:lastRow="0" w:firstColumn="1" w:lastColumn="0" w:noHBand="0" w:noVBand="1"/>
      </w:tblPr>
      <w:tblGrid>
        <w:gridCol w:w="1892"/>
        <w:gridCol w:w="2222"/>
        <w:gridCol w:w="989"/>
        <w:gridCol w:w="1668"/>
        <w:gridCol w:w="992"/>
      </w:tblGrid>
      <w:tr w:rsidR="000F1616" w:rsidRPr="00D40C27" w14:paraId="426F5B03" w14:textId="77777777" w:rsidTr="008B6AF5">
        <w:trPr>
          <w:trHeight w:val="191"/>
        </w:trPr>
        <w:tc>
          <w:tcPr>
            <w:tcW w:w="5103" w:type="dxa"/>
            <w:gridSpan w:val="3"/>
            <w:tcBorders>
              <w:top w:val="single" w:sz="4" w:space="0" w:color="auto"/>
              <w:left w:val="nil"/>
              <w:bottom w:val="single" w:sz="4" w:space="0" w:color="auto"/>
              <w:right w:val="nil"/>
            </w:tcBorders>
            <w:shd w:val="clear" w:color="auto" w:fill="auto"/>
            <w:vAlign w:val="bottom"/>
            <w:hideMark/>
          </w:tcPr>
          <w:p w14:paraId="08853FCA"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 </w:t>
            </w:r>
          </w:p>
        </w:tc>
        <w:tc>
          <w:tcPr>
            <w:tcW w:w="1668" w:type="dxa"/>
            <w:tcBorders>
              <w:top w:val="single" w:sz="4" w:space="0" w:color="auto"/>
              <w:left w:val="nil"/>
              <w:bottom w:val="single" w:sz="4" w:space="0" w:color="auto"/>
              <w:right w:val="nil"/>
            </w:tcBorders>
            <w:shd w:val="clear" w:color="auto" w:fill="auto"/>
            <w:vAlign w:val="bottom"/>
            <w:hideMark/>
          </w:tcPr>
          <w:p w14:paraId="7AECDBA1"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rPr>
            </w:pPr>
            <w:r w:rsidRPr="00D40C27">
              <w:rPr>
                <w:rFonts w:eastAsia="Times New Roman"/>
                <w:b/>
                <w:bCs/>
              </w:rPr>
              <w:t>N</w:t>
            </w:r>
          </w:p>
        </w:tc>
        <w:tc>
          <w:tcPr>
            <w:tcW w:w="992" w:type="dxa"/>
            <w:tcBorders>
              <w:top w:val="single" w:sz="4" w:space="0" w:color="auto"/>
              <w:left w:val="nil"/>
              <w:bottom w:val="single" w:sz="4" w:space="0" w:color="auto"/>
              <w:right w:val="nil"/>
            </w:tcBorders>
            <w:shd w:val="clear" w:color="auto" w:fill="auto"/>
            <w:vAlign w:val="bottom"/>
            <w:hideMark/>
          </w:tcPr>
          <w:p w14:paraId="6BB2B8FB"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rPr>
            </w:pPr>
            <w:r w:rsidRPr="00D40C27">
              <w:rPr>
                <w:rFonts w:eastAsia="Times New Roman"/>
                <w:b/>
                <w:bCs/>
              </w:rPr>
              <w:t xml:space="preserve"> %</w:t>
            </w:r>
          </w:p>
        </w:tc>
      </w:tr>
      <w:tr w:rsidR="000F1616" w:rsidRPr="00D40C27" w14:paraId="1F0F2DF6" w14:textId="77777777" w:rsidTr="008B6AF5">
        <w:trPr>
          <w:trHeight w:val="191"/>
        </w:trPr>
        <w:tc>
          <w:tcPr>
            <w:tcW w:w="1892" w:type="dxa"/>
            <w:tcBorders>
              <w:top w:val="nil"/>
              <w:left w:val="nil"/>
              <w:bottom w:val="nil"/>
              <w:right w:val="nil"/>
            </w:tcBorders>
            <w:shd w:val="clear" w:color="auto" w:fill="auto"/>
            <w:hideMark/>
          </w:tcPr>
          <w:p w14:paraId="4503563C"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r w:rsidRPr="00D40C27">
              <w:rPr>
                <w:rFonts w:eastAsia="Times New Roman"/>
                <w:b/>
                <w:bCs/>
              </w:rPr>
              <w:t>Gender</w:t>
            </w:r>
          </w:p>
        </w:tc>
        <w:tc>
          <w:tcPr>
            <w:tcW w:w="2222" w:type="dxa"/>
            <w:tcBorders>
              <w:top w:val="nil"/>
              <w:left w:val="nil"/>
              <w:bottom w:val="nil"/>
              <w:right w:val="nil"/>
            </w:tcBorders>
            <w:shd w:val="clear" w:color="auto" w:fill="auto"/>
            <w:vAlign w:val="bottom"/>
            <w:hideMark/>
          </w:tcPr>
          <w:p w14:paraId="2C1014F7"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 </w:t>
            </w:r>
          </w:p>
        </w:tc>
        <w:tc>
          <w:tcPr>
            <w:tcW w:w="2657" w:type="dxa"/>
            <w:gridSpan w:val="2"/>
            <w:tcBorders>
              <w:top w:val="nil"/>
              <w:left w:val="nil"/>
              <w:bottom w:val="nil"/>
              <w:right w:val="nil"/>
            </w:tcBorders>
            <w:shd w:val="clear" w:color="auto" w:fill="auto"/>
            <w:vAlign w:val="bottom"/>
            <w:hideMark/>
          </w:tcPr>
          <w:p w14:paraId="0001010E"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tc>
        <w:tc>
          <w:tcPr>
            <w:tcW w:w="992" w:type="dxa"/>
            <w:tcBorders>
              <w:top w:val="nil"/>
              <w:left w:val="nil"/>
              <w:bottom w:val="nil"/>
              <w:right w:val="nil"/>
            </w:tcBorders>
            <w:shd w:val="clear" w:color="auto" w:fill="auto"/>
            <w:vAlign w:val="bottom"/>
            <w:hideMark/>
          </w:tcPr>
          <w:p w14:paraId="419227D7"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tc>
      </w:tr>
      <w:tr w:rsidR="000F1616" w:rsidRPr="00D40C27" w14:paraId="680C7705" w14:textId="77777777" w:rsidTr="008B6AF5">
        <w:trPr>
          <w:trHeight w:val="191"/>
        </w:trPr>
        <w:tc>
          <w:tcPr>
            <w:tcW w:w="1892" w:type="dxa"/>
            <w:tcBorders>
              <w:top w:val="nil"/>
              <w:left w:val="nil"/>
              <w:bottom w:val="nil"/>
              <w:right w:val="nil"/>
            </w:tcBorders>
            <w:shd w:val="clear" w:color="auto" w:fill="auto"/>
            <w:hideMark/>
          </w:tcPr>
          <w:p w14:paraId="24630951"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p>
        </w:tc>
        <w:tc>
          <w:tcPr>
            <w:tcW w:w="3211" w:type="dxa"/>
            <w:gridSpan w:val="2"/>
            <w:tcBorders>
              <w:top w:val="nil"/>
              <w:left w:val="nil"/>
              <w:bottom w:val="nil"/>
              <w:right w:val="nil"/>
            </w:tcBorders>
            <w:shd w:val="clear" w:color="auto" w:fill="auto"/>
            <w:hideMark/>
          </w:tcPr>
          <w:p w14:paraId="06691ED4"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Female</w:t>
            </w:r>
          </w:p>
        </w:tc>
        <w:tc>
          <w:tcPr>
            <w:tcW w:w="1668" w:type="dxa"/>
            <w:tcBorders>
              <w:top w:val="nil"/>
              <w:left w:val="nil"/>
              <w:bottom w:val="nil"/>
              <w:right w:val="nil"/>
            </w:tcBorders>
            <w:shd w:val="clear" w:color="auto" w:fill="auto"/>
            <w:noWrap/>
            <w:vAlign w:val="center"/>
            <w:hideMark/>
          </w:tcPr>
          <w:p w14:paraId="09D0598D"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193</w:t>
            </w:r>
          </w:p>
        </w:tc>
        <w:tc>
          <w:tcPr>
            <w:tcW w:w="992" w:type="dxa"/>
            <w:tcBorders>
              <w:top w:val="nil"/>
              <w:left w:val="nil"/>
              <w:bottom w:val="nil"/>
              <w:right w:val="nil"/>
            </w:tcBorders>
            <w:shd w:val="clear" w:color="auto" w:fill="auto"/>
            <w:noWrap/>
            <w:vAlign w:val="center"/>
            <w:hideMark/>
          </w:tcPr>
          <w:p w14:paraId="190821FC"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64.1%</w:t>
            </w:r>
          </w:p>
        </w:tc>
      </w:tr>
      <w:tr w:rsidR="000F1616" w:rsidRPr="00D40C27" w14:paraId="08263AD2" w14:textId="77777777" w:rsidTr="008B6AF5">
        <w:trPr>
          <w:trHeight w:val="191"/>
        </w:trPr>
        <w:tc>
          <w:tcPr>
            <w:tcW w:w="1892" w:type="dxa"/>
            <w:tcBorders>
              <w:top w:val="nil"/>
              <w:left w:val="nil"/>
              <w:bottom w:val="nil"/>
              <w:right w:val="nil"/>
            </w:tcBorders>
            <w:shd w:val="clear" w:color="auto" w:fill="auto"/>
            <w:hideMark/>
          </w:tcPr>
          <w:p w14:paraId="413ED6AE"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right"/>
              <w:rPr>
                <w:rFonts w:eastAsia="Times New Roman"/>
              </w:rPr>
            </w:pPr>
          </w:p>
        </w:tc>
        <w:tc>
          <w:tcPr>
            <w:tcW w:w="3211" w:type="dxa"/>
            <w:gridSpan w:val="2"/>
            <w:tcBorders>
              <w:top w:val="nil"/>
              <w:left w:val="nil"/>
              <w:bottom w:val="nil"/>
              <w:right w:val="nil"/>
            </w:tcBorders>
            <w:shd w:val="clear" w:color="auto" w:fill="auto"/>
            <w:hideMark/>
          </w:tcPr>
          <w:p w14:paraId="22BE9F37"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Male</w:t>
            </w:r>
          </w:p>
        </w:tc>
        <w:tc>
          <w:tcPr>
            <w:tcW w:w="1668" w:type="dxa"/>
            <w:tcBorders>
              <w:top w:val="nil"/>
              <w:left w:val="nil"/>
              <w:bottom w:val="nil"/>
              <w:right w:val="nil"/>
            </w:tcBorders>
            <w:shd w:val="clear" w:color="auto" w:fill="auto"/>
            <w:noWrap/>
            <w:vAlign w:val="center"/>
            <w:hideMark/>
          </w:tcPr>
          <w:p w14:paraId="05EEB7D5"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106</w:t>
            </w:r>
          </w:p>
        </w:tc>
        <w:tc>
          <w:tcPr>
            <w:tcW w:w="992" w:type="dxa"/>
            <w:tcBorders>
              <w:top w:val="nil"/>
              <w:left w:val="nil"/>
              <w:bottom w:val="nil"/>
              <w:right w:val="nil"/>
            </w:tcBorders>
            <w:shd w:val="clear" w:color="auto" w:fill="auto"/>
            <w:noWrap/>
            <w:vAlign w:val="center"/>
            <w:hideMark/>
          </w:tcPr>
          <w:p w14:paraId="320F185B"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35.2%</w:t>
            </w:r>
          </w:p>
        </w:tc>
      </w:tr>
      <w:tr w:rsidR="000F1616" w:rsidRPr="00D40C27" w14:paraId="29795B6A" w14:textId="77777777" w:rsidTr="008B6AF5">
        <w:trPr>
          <w:trHeight w:val="305"/>
        </w:trPr>
        <w:tc>
          <w:tcPr>
            <w:tcW w:w="1892" w:type="dxa"/>
            <w:tcBorders>
              <w:top w:val="nil"/>
              <w:left w:val="nil"/>
              <w:bottom w:val="single" w:sz="4" w:space="0" w:color="auto"/>
              <w:right w:val="nil"/>
            </w:tcBorders>
            <w:shd w:val="clear" w:color="auto" w:fill="auto"/>
            <w:hideMark/>
          </w:tcPr>
          <w:p w14:paraId="3DAB4303"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right"/>
              <w:rPr>
                <w:rFonts w:eastAsia="Times New Roman"/>
              </w:rPr>
            </w:pPr>
          </w:p>
        </w:tc>
        <w:tc>
          <w:tcPr>
            <w:tcW w:w="3211" w:type="dxa"/>
            <w:gridSpan w:val="2"/>
            <w:tcBorders>
              <w:top w:val="nil"/>
              <w:left w:val="nil"/>
              <w:bottom w:val="single" w:sz="4" w:space="0" w:color="auto"/>
              <w:right w:val="nil"/>
            </w:tcBorders>
            <w:shd w:val="clear" w:color="auto" w:fill="auto"/>
            <w:hideMark/>
          </w:tcPr>
          <w:p w14:paraId="6E3690D2"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Other</w:t>
            </w:r>
          </w:p>
        </w:tc>
        <w:tc>
          <w:tcPr>
            <w:tcW w:w="1668" w:type="dxa"/>
            <w:tcBorders>
              <w:top w:val="nil"/>
              <w:left w:val="nil"/>
              <w:bottom w:val="single" w:sz="4" w:space="0" w:color="auto"/>
              <w:right w:val="nil"/>
            </w:tcBorders>
            <w:shd w:val="clear" w:color="auto" w:fill="auto"/>
            <w:noWrap/>
            <w:vAlign w:val="center"/>
            <w:hideMark/>
          </w:tcPr>
          <w:p w14:paraId="3E5EB41C"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2</w:t>
            </w:r>
          </w:p>
        </w:tc>
        <w:tc>
          <w:tcPr>
            <w:tcW w:w="992" w:type="dxa"/>
            <w:tcBorders>
              <w:top w:val="nil"/>
              <w:left w:val="nil"/>
              <w:bottom w:val="single" w:sz="4" w:space="0" w:color="auto"/>
              <w:right w:val="nil"/>
            </w:tcBorders>
            <w:shd w:val="clear" w:color="auto" w:fill="auto"/>
            <w:noWrap/>
            <w:vAlign w:val="center"/>
            <w:hideMark/>
          </w:tcPr>
          <w:p w14:paraId="52307EB2"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.7%</w:t>
            </w:r>
          </w:p>
        </w:tc>
      </w:tr>
      <w:tr w:rsidR="000F1616" w:rsidRPr="00D40C27" w14:paraId="722EAEAF" w14:textId="77777777" w:rsidTr="008B6AF5">
        <w:trPr>
          <w:trHeight w:val="305"/>
        </w:trPr>
        <w:tc>
          <w:tcPr>
            <w:tcW w:w="1892" w:type="dxa"/>
            <w:tcBorders>
              <w:top w:val="single" w:sz="4" w:space="0" w:color="auto"/>
              <w:left w:val="nil"/>
              <w:bottom w:val="single" w:sz="4" w:space="0" w:color="auto"/>
              <w:right w:val="nil"/>
            </w:tcBorders>
            <w:shd w:val="clear" w:color="auto" w:fill="auto"/>
            <w:hideMark/>
          </w:tcPr>
          <w:p w14:paraId="2FB4C8CD"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b/>
                <w:bCs/>
              </w:rPr>
            </w:pPr>
            <w:r w:rsidRPr="00D40C27">
              <w:rPr>
                <w:rFonts w:eastAsia="Times New Roman"/>
                <w:b/>
                <w:bCs/>
              </w:rPr>
              <w:t>Age</w:t>
            </w:r>
          </w:p>
        </w:tc>
        <w:tc>
          <w:tcPr>
            <w:tcW w:w="3211" w:type="dxa"/>
            <w:gridSpan w:val="2"/>
            <w:tcBorders>
              <w:top w:val="single" w:sz="4" w:space="0" w:color="auto"/>
              <w:left w:val="nil"/>
              <w:bottom w:val="single" w:sz="4" w:space="0" w:color="auto"/>
              <w:right w:val="nil"/>
            </w:tcBorders>
            <w:shd w:val="clear" w:color="auto" w:fill="auto"/>
            <w:hideMark/>
          </w:tcPr>
          <w:p w14:paraId="45882B67"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Range</w:t>
            </w:r>
          </w:p>
          <w:p w14:paraId="13F5DA79"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M (SD)</w:t>
            </w:r>
          </w:p>
        </w:tc>
        <w:tc>
          <w:tcPr>
            <w:tcW w:w="1668" w:type="dxa"/>
            <w:tcBorders>
              <w:top w:val="single" w:sz="4" w:space="0" w:color="auto"/>
              <w:left w:val="nil"/>
              <w:bottom w:val="single" w:sz="4" w:space="0" w:color="auto"/>
              <w:right w:val="nil"/>
            </w:tcBorders>
            <w:shd w:val="clear" w:color="auto" w:fill="auto"/>
            <w:vAlign w:val="center"/>
            <w:hideMark/>
          </w:tcPr>
          <w:p w14:paraId="59CB1571"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 xml:space="preserve">18-68 </w:t>
            </w:r>
          </w:p>
          <w:p w14:paraId="5F0286D0"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27.37 (10.77)</w:t>
            </w:r>
          </w:p>
        </w:tc>
        <w:tc>
          <w:tcPr>
            <w:tcW w:w="992" w:type="dxa"/>
            <w:tcBorders>
              <w:top w:val="single" w:sz="4" w:space="0" w:color="auto"/>
              <w:left w:val="nil"/>
              <w:bottom w:val="single" w:sz="4" w:space="0" w:color="auto"/>
              <w:right w:val="nil"/>
            </w:tcBorders>
            <w:shd w:val="clear" w:color="auto" w:fill="auto"/>
            <w:vAlign w:val="center"/>
            <w:hideMark/>
          </w:tcPr>
          <w:p w14:paraId="7EFAAF94"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p>
        </w:tc>
      </w:tr>
      <w:tr w:rsidR="000F1616" w:rsidRPr="00D40C27" w14:paraId="11601D00" w14:textId="77777777" w:rsidTr="008B6AF5">
        <w:trPr>
          <w:trHeight w:val="191"/>
        </w:trPr>
        <w:tc>
          <w:tcPr>
            <w:tcW w:w="1892" w:type="dxa"/>
            <w:tcBorders>
              <w:top w:val="nil"/>
              <w:left w:val="nil"/>
              <w:bottom w:val="nil"/>
              <w:right w:val="nil"/>
            </w:tcBorders>
            <w:shd w:val="clear" w:color="auto" w:fill="auto"/>
            <w:hideMark/>
          </w:tcPr>
          <w:p w14:paraId="03F05B66"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b/>
                <w:bCs/>
              </w:rPr>
            </w:pPr>
            <w:r w:rsidRPr="00D40C27">
              <w:rPr>
                <w:rFonts w:eastAsia="Times New Roman"/>
                <w:b/>
                <w:bCs/>
              </w:rPr>
              <w:t>Ethnicity</w:t>
            </w:r>
          </w:p>
        </w:tc>
        <w:tc>
          <w:tcPr>
            <w:tcW w:w="3211" w:type="dxa"/>
            <w:gridSpan w:val="2"/>
            <w:tcBorders>
              <w:top w:val="nil"/>
              <w:left w:val="nil"/>
              <w:bottom w:val="nil"/>
              <w:right w:val="nil"/>
            </w:tcBorders>
            <w:shd w:val="clear" w:color="auto" w:fill="auto"/>
            <w:hideMark/>
          </w:tcPr>
          <w:p w14:paraId="36EF1A38"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 </w:t>
            </w:r>
          </w:p>
        </w:tc>
        <w:tc>
          <w:tcPr>
            <w:tcW w:w="1668" w:type="dxa"/>
            <w:tcBorders>
              <w:top w:val="nil"/>
              <w:left w:val="nil"/>
              <w:bottom w:val="nil"/>
              <w:right w:val="nil"/>
            </w:tcBorders>
            <w:shd w:val="clear" w:color="auto" w:fill="auto"/>
            <w:vAlign w:val="center"/>
            <w:hideMark/>
          </w:tcPr>
          <w:p w14:paraId="0DCD98BC"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p>
        </w:tc>
        <w:tc>
          <w:tcPr>
            <w:tcW w:w="992" w:type="dxa"/>
            <w:tcBorders>
              <w:top w:val="nil"/>
              <w:left w:val="nil"/>
              <w:bottom w:val="nil"/>
              <w:right w:val="nil"/>
            </w:tcBorders>
            <w:shd w:val="clear" w:color="auto" w:fill="auto"/>
            <w:vAlign w:val="center"/>
            <w:hideMark/>
          </w:tcPr>
          <w:p w14:paraId="2369153A"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p>
        </w:tc>
      </w:tr>
      <w:tr w:rsidR="000F1616" w:rsidRPr="00D40C27" w14:paraId="4D83B554" w14:textId="77777777" w:rsidTr="008B6AF5">
        <w:trPr>
          <w:trHeight w:val="191"/>
        </w:trPr>
        <w:tc>
          <w:tcPr>
            <w:tcW w:w="1892" w:type="dxa"/>
            <w:tcBorders>
              <w:top w:val="nil"/>
              <w:left w:val="nil"/>
              <w:bottom w:val="nil"/>
              <w:right w:val="nil"/>
            </w:tcBorders>
            <w:shd w:val="clear" w:color="auto" w:fill="auto"/>
            <w:hideMark/>
          </w:tcPr>
          <w:p w14:paraId="2F45550E"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p>
        </w:tc>
        <w:tc>
          <w:tcPr>
            <w:tcW w:w="3211" w:type="dxa"/>
            <w:gridSpan w:val="2"/>
            <w:tcBorders>
              <w:top w:val="nil"/>
              <w:left w:val="nil"/>
              <w:bottom w:val="nil"/>
              <w:right w:val="nil"/>
            </w:tcBorders>
            <w:shd w:val="clear" w:color="auto" w:fill="auto"/>
            <w:hideMark/>
          </w:tcPr>
          <w:p w14:paraId="11DCBB94"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 xml:space="preserve">White </w:t>
            </w:r>
          </w:p>
        </w:tc>
        <w:tc>
          <w:tcPr>
            <w:tcW w:w="1668" w:type="dxa"/>
            <w:tcBorders>
              <w:top w:val="nil"/>
              <w:left w:val="nil"/>
              <w:bottom w:val="nil"/>
              <w:right w:val="nil"/>
            </w:tcBorders>
            <w:shd w:val="clear" w:color="auto" w:fill="auto"/>
            <w:noWrap/>
            <w:vAlign w:val="center"/>
            <w:hideMark/>
          </w:tcPr>
          <w:p w14:paraId="5C14C6CD"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257</w:t>
            </w:r>
          </w:p>
        </w:tc>
        <w:tc>
          <w:tcPr>
            <w:tcW w:w="992" w:type="dxa"/>
            <w:tcBorders>
              <w:top w:val="nil"/>
              <w:left w:val="nil"/>
              <w:bottom w:val="nil"/>
              <w:right w:val="nil"/>
            </w:tcBorders>
            <w:shd w:val="clear" w:color="auto" w:fill="auto"/>
            <w:noWrap/>
            <w:vAlign w:val="center"/>
            <w:hideMark/>
          </w:tcPr>
          <w:p w14:paraId="241B7C7E"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85.4%</w:t>
            </w:r>
          </w:p>
        </w:tc>
      </w:tr>
      <w:tr w:rsidR="000F1616" w:rsidRPr="00D40C27" w14:paraId="6F31482E" w14:textId="77777777" w:rsidTr="008B6AF5">
        <w:trPr>
          <w:trHeight w:val="305"/>
        </w:trPr>
        <w:tc>
          <w:tcPr>
            <w:tcW w:w="1892" w:type="dxa"/>
            <w:tcBorders>
              <w:top w:val="nil"/>
              <w:left w:val="nil"/>
              <w:bottom w:val="nil"/>
              <w:right w:val="nil"/>
            </w:tcBorders>
            <w:shd w:val="clear" w:color="auto" w:fill="auto"/>
            <w:hideMark/>
          </w:tcPr>
          <w:p w14:paraId="50D04343"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right"/>
              <w:rPr>
                <w:rFonts w:eastAsia="Times New Roman"/>
              </w:rPr>
            </w:pPr>
          </w:p>
        </w:tc>
        <w:tc>
          <w:tcPr>
            <w:tcW w:w="3211" w:type="dxa"/>
            <w:gridSpan w:val="2"/>
            <w:tcBorders>
              <w:top w:val="nil"/>
              <w:left w:val="nil"/>
              <w:bottom w:val="nil"/>
              <w:right w:val="nil"/>
            </w:tcBorders>
            <w:shd w:val="clear" w:color="auto" w:fill="auto"/>
            <w:hideMark/>
          </w:tcPr>
          <w:p w14:paraId="60B142D2"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Asian/Asian British</w:t>
            </w:r>
          </w:p>
        </w:tc>
        <w:tc>
          <w:tcPr>
            <w:tcW w:w="1668" w:type="dxa"/>
            <w:tcBorders>
              <w:top w:val="nil"/>
              <w:left w:val="nil"/>
              <w:bottom w:val="nil"/>
              <w:right w:val="nil"/>
            </w:tcBorders>
            <w:shd w:val="clear" w:color="auto" w:fill="auto"/>
            <w:noWrap/>
            <w:vAlign w:val="center"/>
            <w:hideMark/>
          </w:tcPr>
          <w:p w14:paraId="0B5D5832"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20</w:t>
            </w:r>
          </w:p>
        </w:tc>
        <w:tc>
          <w:tcPr>
            <w:tcW w:w="992" w:type="dxa"/>
            <w:tcBorders>
              <w:top w:val="nil"/>
              <w:left w:val="nil"/>
              <w:bottom w:val="nil"/>
              <w:right w:val="nil"/>
            </w:tcBorders>
            <w:shd w:val="clear" w:color="auto" w:fill="auto"/>
            <w:noWrap/>
            <w:vAlign w:val="center"/>
            <w:hideMark/>
          </w:tcPr>
          <w:p w14:paraId="170D2AD7"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6.6%</w:t>
            </w:r>
          </w:p>
        </w:tc>
      </w:tr>
      <w:tr w:rsidR="000F1616" w:rsidRPr="00D40C27" w14:paraId="24BDABF0" w14:textId="77777777" w:rsidTr="008B6AF5">
        <w:trPr>
          <w:trHeight w:val="191"/>
        </w:trPr>
        <w:tc>
          <w:tcPr>
            <w:tcW w:w="1892" w:type="dxa"/>
            <w:tcBorders>
              <w:top w:val="nil"/>
              <w:left w:val="nil"/>
              <w:bottom w:val="nil"/>
              <w:right w:val="nil"/>
            </w:tcBorders>
            <w:shd w:val="clear" w:color="auto" w:fill="auto"/>
            <w:hideMark/>
          </w:tcPr>
          <w:p w14:paraId="50AAF0E4"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right"/>
              <w:rPr>
                <w:rFonts w:eastAsia="Times New Roman"/>
              </w:rPr>
            </w:pPr>
          </w:p>
        </w:tc>
        <w:tc>
          <w:tcPr>
            <w:tcW w:w="3211" w:type="dxa"/>
            <w:gridSpan w:val="2"/>
            <w:tcBorders>
              <w:top w:val="nil"/>
              <w:left w:val="nil"/>
              <w:bottom w:val="nil"/>
              <w:right w:val="nil"/>
            </w:tcBorders>
            <w:shd w:val="clear" w:color="auto" w:fill="auto"/>
            <w:hideMark/>
          </w:tcPr>
          <w:p w14:paraId="48E82F1F"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Mixed/Multiple ethnic group</w:t>
            </w:r>
            <w:r w:rsidR="00B32D9C">
              <w:rPr>
                <w:rFonts w:eastAsia="Times New Roman"/>
              </w:rPr>
              <w:t>s</w:t>
            </w:r>
          </w:p>
        </w:tc>
        <w:tc>
          <w:tcPr>
            <w:tcW w:w="1668" w:type="dxa"/>
            <w:tcBorders>
              <w:top w:val="nil"/>
              <w:left w:val="nil"/>
              <w:bottom w:val="nil"/>
              <w:right w:val="nil"/>
            </w:tcBorders>
            <w:shd w:val="clear" w:color="auto" w:fill="auto"/>
            <w:noWrap/>
            <w:vAlign w:val="center"/>
            <w:hideMark/>
          </w:tcPr>
          <w:p w14:paraId="0E649F5E"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13</w:t>
            </w:r>
          </w:p>
        </w:tc>
        <w:tc>
          <w:tcPr>
            <w:tcW w:w="992" w:type="dxa"/>
            <w:tcBorders>
              <w:top w:val="nil"/>
              <w:left w:val="nil"/>
              <w:bottom w:val="nil"/>
              <w:right w:val="nil"/>
            </w:tcBorders>
            <w:shd w:val="clear" w:color="auto" w:fill="auto"/>
            <w:noWrap/>
            <w:vAlign w:val="center"/>
            <w:hideMark/>
          </w:tcPr>
          <w:p w14:paraId="45428A3A"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4.3%</w:t>
            </w:r>
          </w:p>
        </w:tc>
      </w:tr>
      <w:tr w:rsidR="000F1616" w:rsidRPr="00D40C27" w14:paraId="2E1CBEEF" w14:textId="77777777" w:rsidTr="008B6AF5">
        <w:trPr>
          <w:trHeight w:val="191"/>
        </w:trPr>
        <w:tc>
          <w:tcPr>
            <w:tcW w:w="1892" w:type="dxa"/>
            <w:tcBorders>
              <w:top w:val="nil"/>
              <w:left w:val="nil"/>
              <w:right w:val="nil"/>
            </w:tcBorders>
            <w:shd w:val="clear" w:color="auto" w:fill="auto"/>
            <w:hideMark/>
          </w:tcPr>
          <w:p w14:paraId="1B79DA00"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right"/>
              <w:rPr>
                <w:rFonts w:eastAsia="Times New Roman"/>
              </w:rPr>
            </w:pPr>
          </w:p>
        </w:tc>
        <w:tc>
          <w:tcPr>
            <w:tcW w:w="3211" w:type="dxa"/>
            <w:gridSpan w:val="2"/>
            <w:tcBorders>
              <w:top w:val="nil"/>
              <w:left w:val="nil"/>
              <w:right w:val="nil"/>
            </w:tcBorders>
            <w:shd w:val="clear" w:color="auto" w:fill="auto"/>
            <w:hideMark/>
          </w:tcPr>
          <w:p w14:paraId="2CACF43D"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Other ethnic groups</w:t>
            </w:r>
          </w:p>
        </w:tc>
        <w:tc>
          <w:tcPr>
            <w:tcW w:w="1668" w:type="dxa"/>
            <w:tcBorders>
              <w:top w:val="nil"/>
              <w:left w:val="nil"/>
              <w:right w:val="nil"/>
            </w:tcBorders>
            <w:shd w:val="clear" w:color="auto" w:fill="auto"/>
            <w:noWrap/>
            <w:vAlign w:val="center"/>
            <w:hideMark/>
          </w:tcPr>
          <w:p w14:paraId="02229185"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7</w:t>
            </w:r>
          </w:p>
        </w:tc>
        <w:tc>
          <w:tcPr>
            <w:tcW w:w="992" w:type="dxa"/>
            <w:tcBorders>
              <w:top w:val="nil"/>
              <w:left w:val="nil"/>
              <w:right w:val="nil"/>
            </w:tcBorders>
            <w:shd w:val="clear" w:color="auto" w:fill="auto"/>
            <w:noWrap/>
            <w:vAlign w:val="center"/>
            <w:hideMark/>
          </w:tcPr>
          <w:p w14:paraId="03354821"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2.3%</w:t>
            </w:r>
          </w:p>
        </w:tc>
      </w:tr>
      <w:tr w:rsidR="000F1616" w:rsidRPr="00D40C27" w14:paraId="3F26C61B" w14:textId="77777777" w:rsidTr="008B6AF5">
        <w:trPr>
          <w:trHeight w:val="305"/>
        </w:trPr>
        <w:tc>
          <w:tcPr>
            <w:tcW w:w="1892" w:type="dxa"/>
            <w:tcBorders>
              <w:top w:val="nil"/>
              <w:left w:val="nil"/>
              <w:bottom w:val="single" w:sz="4" w:space="0" w:color="auto"/>
              <w:right w:val="nil"/>
            </w:tcBorders>
            <w:shd w:val="clear" w:color="auto" w:fill="auto"/>
            <w:hideMark/>
          </w:tcPr>
          <w:p w14:paraId="1FD58FFE"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right"/>
              <w:rPr>
                <w:rFonts w:eastAsia="Times New Roman"/>
              </w:rPr>
            </w:pPr>
          </w:p>
        </w:tc>
        <w:tc>
          <w:tcPr>
            <w:tcW w:w="3211" w:type="dxa"/>
            <w:gridSpan w:val="2"/>
            <w:tcBorders>
              <w:top w:val="nil"/>
              <w:left w:val="nil"/>
              <w:bottom w:val="single" w:sz="4" w:space="0" w:color="auto"/>
              <w:right w:val="nil"/>
            </w:tcBorders>
            <w:shd w:val="clear" w:color="auto" w:fill="auto"/>
            <w:hideMark/>
          </w:tcPr>
          <w:p w14:paraId="5F01C5CF"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rPr>
                <w:rFonts w:eastAsia="Times New Roman"/>
              </w:rPr>
            </w:pPr>
            <w:r w:rsidRPr="00D40C27">
              <w:rPr>
                <w:rFonts w:eastAsia="Times New Roman"/>
              </w:rPr>
              <w:t>Black/African/Caribbean/Black British</w:t>
            </w:r>
          </w:p>
        </w:tc>
        <w:tc>
          <w:tcPr>
            <w:tcW w:w="1668" w:type="dxa"/>
            <w:tcBorders>
              <w:top w:val="nil"/>
              <w:left w:val="nil"/>
              <w:bottom w:val="single" w:sz="4" w:space="0" w:color="auto"/>
              <w:right w:val="nil"/>
            </w:tcBorders>
            <w:shd w:val="clear" w:color="auto" w:fill="auto"/>
            <w:noWrap/>
            <w:vAlign w:val="center"/>
            <w:hideMark/>
          </w:tcPr>
          <w:p w14:paraId="620E7B6D"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4</w:t>
            </w:r>
          </w:p>
        </w:tc>
        <w:tc>
          <w:tcPr>
            <w:tcW w:w="992" w:type="dxa"/>
            <w:tcBorders>
              <w:top w:val="nil"/>
              <w:left w:val="nil"/>
              <w:bottom w:val="single" w:sz="4" w:space="0" w:color="auto"/>
              <w:right w:val="nil"/>
            </w:tcBorders>
            <w:shd w:val="clear" w:color="auto" w:fill="auto"/>
            <w:noWrap/>
            <w:vAlign w:val="center"/>
            <w:hideMark/>
          </w:tcPr>
          <w:p w14:paraId="60A1EDA5" w14:textId="77777777" w:rsidR="000F1616" w:rsidRPr="00D40C27" w:rsidRDefault="000F1616" w:rsidP="008B6AF5">
            <w:pPr>
              <w:pBdr>
                <w:top w:val="none" w:sz="0" w:space="0" w:color="auto"/>
                <w:left w:val="none" w:sz="0" w:space="0" w:color="auto"/>
                <w:bottom w:val="none" w:sz="0" w:space="0" w:color="auto"/>
                <w:right w:val="none" w:sz="0" w:space="0" w:color="auto"/>
                <w:between w:val="none" w:sz="0" w:space="0" w:color="auto"/>
              </w:pBdr>
              <w:spacing w:line="240" w:lineRule="auto"/>
              <w:ind w:firstLine="0"/>
              <w:jc w:val="center"/>
              <w:rPr>
                <w:rFonts w:eastAsia="Times New Roman"/>
              </w:rPr>
            </w:pPr>
            <w:r w:rsidRPr="00D40C27">
              <w:rPr>
                <w:rFonts w:eastAsia="Times New Roman"/>
              </w:rPr>
              <w:t>1.3%</w:t>
            </w:r>
          </w:p>
        </w:tc>
      </w:tr>
    </w:tbl>
    <w:p w14:paraId="4D8ADA9E"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Calibri" w:hAnsi="Times New Roman" w:cs="Times New Roman"/>
          <w:color w:val="auto"/>
          <w:sz w:val="24"/>
          <w:szCs w:val="24"/>
          <w:lang w:eastAsia="en-US"/>
        </w:rPr>
      </w:pPr>
    </w:p>
    <w:p w14:paraId="62F1ACF3" w14:textId="086B86A0" w:rsidR="000F1616"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bookmarkStart w:id="99" w:name="_Hlk8919312"/>
      <w:r w:rsidRPr="00D40C27">
        <w:rPr>
          <w:rFonts w:eastAsia="Calibri"/>
          <w:color w:val="auto"/>
          <w:lang w:eastAsia="en-US"/>
        </w:rPr>
        <w:t>Demographic differences between groups at baseline were assessed using Chi</w:t>
      </w:r>
      <w:r w:rsidRPr="00D40C27">
        <w:rPr>
          <w:rFonts w:eastAsia="Calibri"/>
          <w:color w:val="auto"/>
          <w:vertAlign w:val="superscript"/>
          <w:lang w:eastAsia="en-US"/>
        </w:rPr>
        <w:t>2</w:t>
      </w:r>
      <w:r w:rsidRPr="00D40C27">
        <w:rPr>
          <w:rFonts w:eastAsia="Calibri"/>
          <w:color w:val="auto"/>
          <w:lang w:eastAsia="en-US"/>
        </w:rPr>
        <w:t xml:space="preserve">-test and independent samples </w:t>
      </w:r>
      <w:r w:rsidRPr="00D40C27">
        <w:rPr>
          <w:rFonts w:eastAsia="Calibri"/>
          <w:i/>
          <w:iCs/>
          <w:color w:val="auto"/>
          <w:lang w:eastAsia="en-US"/>
        </w:rPr>
        <w:t>t</w:t>
      </w:r>
      <w:r w:rsidRPr="00D40C27">
        <w:rPr>
          <w:rFonts w:eastAsia="Calibri"/>
          <w:color w:val="auto"/>
          <w:lang w:eastAsia="en-US"/>
        </w:rPr>
        <w:t>-test for categorical and continuous variables, respectively. There were no baseline differences between experimental conditions in terms of gender, age, ethnicity (White/Non-White) or occupation (Student/non-student)</w:t>
      </w:r>
      <w:bookmarkEnd w:id="99"/>
      <w:r w:rsidRPr="00D40C27">
        <w:rPr>
          <w:rFonts w:eastAsia="Calibri"/>
          <w:color w:val="auto"/>
          <w:lang w:eastAsia="en-US"/>
        </w:rPr>
        <w:t xml:space="preserve"> (see Table </w:t>
      </w:r>
      <w:r w:rsidR="00172902">
        <w:rPr>
          <w:rFonts w:eastAsia="Calibri"/>
          <w:color w:val="auto"/>
          <w:lang w:eastAsia="en-US"/>
        </w:rPr>
        <w:t>4.</w:t>
      </w:r>
      <w:r w:rsidRPr="00D40C27">
        <w:rPr>
          <w:rFonts w:eastAsia="Calibri"/>
          <w:color w:val="auto"/>
          <w:lang w:eastAsia="en-US"/>
        </w:rPr>
        <w:t xml:space="preserve">2). </w:t>
      </w:r>
    </w:p>
    <w:p w14:paraId="20185D40" w14:textId="2C1A149A" w:rsidR="006763BA" w:rsidRDefault="006763BA"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p>
    <w:p w14:paraId="7F952CB0" w14:textId="18E0467D" w:rsidR="000411C2" w:rsidRDefault="000411C2"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p>
    <w:p w14:paraId="6EFCE846" w14:textId="77777777" w:rsidR="000411C2" w:rsidRDefault="000411C2"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p>
    <w:p w14:paraId="6C84C00A" w14:textId="77777777" w:rsidR="000F1616" w:rsidRPr="00D40C27" w:rsidRDefault="000F1616" w:rsidP="00A427E8">
      <w:pPr>
        <w:pStyle w:val="Tables"/>
        <w:rPr>
          <w:lang w:eastAsia="en-US"/>
        </w:rPr>
      </w:pPr>
      <w:bookmarkStart w:id="100" w:name="_Toc12024834"/>
      <w:r w:rsidRPr="00D40C27">
        <w:rPr>
          <w:lang w:eastAsia="en-US"/>
        </w:rPr>
        <w:lastRenderedPageBreak/>
        <w:t>Table 4.2. Baseline differences</w:t>
      </w:r>
      <w:bookmarkEnd w:id="100"/>
      <w:r w:rsidRPr="00D40C27">
        <w:rPr>
          <w:lang w:eastAsia="en-US"/>
        </w:rPr>
        <w:t xml:space="preserve"> </w:t>
      </w:r>
    </w:p>
    <w:tbl>
      <w:tblPr>
        <w:tblW w:w="8918" w:type="dxa"/>
        <w:tblInd w:w="108" w:type="dxa"/>
        <w:tblLayout w:type="fixed"/>
        <w:tblLook w:val="04A0" w:firstRow="1" w:lastRow="0" w:firstColumn="1" w:lastColumn="0" w:noHBand="0" w:noVBand="1"/>
      </w:tblPr>
      <w:tblGrid>
        <w:gridCol w:w="1348"/>
        <w:gridCol w:w="3400"/>
        <w:gridCol w:w="1523"/>
        <w:gridCol w:w="1843"/>
        <w:gridCol w:w="567"/>
        <w:gridCol w:w="237"/>
      </w:tblGrid>
      <w:tr w:rsidR="000F1616" w:rsidRPr="00D40C27" w14:paraId="12798798" w14:textId="77777777" w:rsidTr="00014EE0">
        <w:trPr>
          <w:trHeight w:val="522"/>
        </w:trPr>
        <w:tc>
          <w:tcPr>
            <w:tcW w:w="1348" w:type="dxa"/>
            <w:tcBorders>
              <w:top w:val="single" w:sz="4" w:space="0" w:color="auto"/>
              <w:left w:val="nil"/>
              <w:bottom w:val="single" w:sz="4" w:space="0" w:color="auto"/>
              <w:right w:val="nil"/>
            </w:tcBorders>
            <w:shd w:val="clear" w:color="auto" w:fill="auto"/>
            <w:noWrap/>
            <w:vAlign w:val="bottom"/>
            <w:hideMark/>
          </w:tcPr>
          <w:p w14:paraId="3BC830B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w:t>
            </w:r>
          </w:p>
        </w:tc>
        <w:tc>
          <w:tcPr>
            <w:tcW w:w="3400" w:type="dxa"/>
            <w:tcBorders>
              <w:top w:val="single" w:sz="4" w:space="0" w:color="auto"/>
              <w:left w:val="nil"/>
              <w:bottom w:val="single" w:sz="4" w:space="0" w:color="auto"/>
              <w:right w:val="nil"/>
            </w:tcBorders>
            <w:shd w:val="clear" w:color="auto" w:fill="auto"/>
            <w:noWrap/>
            <w:vAlign w:val="center"/>
            <w:hideMark/>
          </w:tcPr>
          <w:p w14:paraId="0A01209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Intervention group</w:t>
            </w:r>
          </w:p>
        </w:tc>
        <w:tc>
          <w:tcPr>
            <w:tcW w:w="1523" w:type="dxa"/>
            <w:tcBorders>
              <w:top w:val="single" w:sz="4" w:space="0" w:color="auto"/>
              <w:left w:val="nil"/>
              <w:bottom w:val="single" w:sz="4" w:space="0" w:color="auto"/>
              <w:right w:val="nil"/>
            </w:tcBorders>
            <w:shd w:val="clear" w:color="auto" w:fill="auto"/>
            <w:noWrap/>
            <w:vAlign w:val="center"/>
            <w:hideMark/>
          </w:tcPr>
          <w:p w14:paraId="684CFBD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χ² (df)</w:t>
            </w:r>
          </w:p>
        </w:tc>
        <w:tc>
          <w:tcPr>
            <w:tcW w:w="1843" w:type="dxa"/>
            <w:tcBorders>
              <w:top w:val="single" w:sz="4" w:space="0" w:color="auto"/>
              <w:left w:val="nil"/>
              <w:bottom w:val="single" w:sz="4" w:space="0" w:color="auto"/>
              <w:right w:val="nil"/>
            </w:tcBorders>
            <w:shd w:val="clear" w:color="auto" w:fill="auto"/>
            <w:vAlign w:val="center"/>
            <w:hideMark/>
          </w:tcPr>
          <w:p w14:paraId="6C66CBB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lang w:eastAsia="zh-CN"/>
              </w:rPr>
            </w:pPr>
            <w:r w:rsidRPr="00D40C27">
              <w:rPr>
                <w:rFonts w:eastAsia="Times New Roman"/>
                <w:lang w:eastAsia="zh-CN"/>
              </w:rPr>
              <w:t xml:space="preserve">T-test/ANOVA </w:t>
            </w:r>
          </w:p>
        </w:tc>
        <w:tc>
          <w:tcPr>
            <w:tcW w:w="567" w:type="dxa"/>
            <w:tcBorders>
              <w:top w:val="single" w:sz="4" w:space="0" w:color="auto"/>
              <w:left w:val="nil"/>
              <w:bottom w:val="single" w:sz="4" w:space="0" w:color="auto"/>
              <w:right w:val="nil"/>
            </w:tcBorders>
            <w:shd w:val="clear" w:color="auto" w:fill="auto"/>
            <w:noWrap/>
            <w:vAlign w:val="center"/>
            <w:hideMark/>
          </w:tcPr>
          <w:p w14:paraId="3EA1E61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i/>
                <w:iCs/>
                <w:lang w:eastAsia="zh-CN"/>
              </w:rPr>
            </w:pPr>
            <w:r w:rsidRPr="00D40C27">
              <w:rPr>
                <w:rFonts w:eastAsia="Times New Roman"/>
                <w:i/>
                <w:iCs/>
                <w:lang w:eastAsia="zh-CN"/>
              </w:rPr>
              <w:t>p</w:t>
            </w:r>
          </w:p>
        </w:tc>
        <w:tc>
          <w:tcPr>
            <w:tcW w:w="237" w:type="dxa"/>
            <w:tcBorders>
              <w:top w:val="nil"/>
              <w:left w:val="nil"/>
              <w:bottom w:val="nil"/>
              <w:right w:val="nil"/>
            </w:tcBorders>
            <w:shd w:val="clear" w:color="auto" w:fill="auto"/>
            <w:noWrap/>
            <w:vAlign w:val="bottom"/>
            <w:hideMark/>
          </w:tcPr>
          <w:p w14:paraId="6404428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i/>
                <w:iCs/>
                <w:lang w:eastAsia="zh-CN"/>
              </w:rPr>
            </w:pPr>
          </w:p>
        </w:tc>
      </w:tr>
      <w:tr w:rsidR="000F1616" w:rsidRPr="00D40C27" w14:paraId="381B5711" w14:textId="77777777" w:rsidTr="00014EE0">
        <w:trPr>
          <w:trHeight w:val="300"/>
        </w:trPr>
        <w:tc>
          <w:tcPr>
            <w:tcW w:w="1348" w:type="dxa"/>
            <w:tcBorders>
              <w:top w:val="nil"/>
              <w:left w:val="nil"/>
              <w:bottom w:val="nil"/>
              <w:right w:val="nil"/>
            </w:tcBorders>
            <w:shd w:val="clear" w:color="auto" w:fill="auto"/>
            <w:noWrap/>
            <w:vAlign w:val="bottom"/>
            <w:hideMark/>
          </w:tcPr>
          <w:p w14:paraId="5B53956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Age</w:t>
            </w:r>
          </w:p>
        </w:tc>
        <w:tc>
          <w:tcPr>
            <w:tcW w:w="3400" w:type="dxa"/>
            <w:tcBorders>
              <w:top w:val="nil"/>
              <w:left w:val="nil"/>
              <w:bottom w:val="nil"/>
              <w:right w:val="nil"/>
            </w:tcBorders>
            <w:shd w:val="clear" w:color="auto" w:fill="auto"/>
            <w:noWrap/>
            <w:vAlign w:val="bottom"/>
            <w:hideMark/>
          </w:tcPr>
          <w:p w14:paraId="3098742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w:t>
            </w:r>
          </w:p>
        </w:tc>
        <w:tc>
          <w:tcPr>
            <w:tcW w:w="1523" w:type="dxa"/>
            <w:tcBorders>
              <w:top w:val="nil"/>
              <w:left w:val="nil"/>
              <w:bottom w:val="nil"/>
              <w:right w:val="nil"/>
            </w:tcBorders>
            <w:shd w:val="clear" w:color="auto" w:fill="auto"/>
            <w:noWrap/>
            <w:vAlign w:val="bottom"/>
            <w:hideMark/>
          </w:tcPr>
          <w:p w14:paraId="63ADCCA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w:t>
            </w:r>
          </w:p>
        </w:tc>
        <w:tc>
          <w:tcPr>
            <w:tcW w:w="1843" w:type="dxa"/>
            <w:tcBorders>
              <w:top w:val="nil"/>
              <w:left w:val="nil"/>
              <w:bottom w:val="nil"/>
              <w:right w:val="nil"/>
            </w:tcBorders>
            <w:shd w:val="clear" w:color="auto" w:fill="auto"/>
            <w:noWrap/>
            <w:vAlign w:val="bottom"/>
            <w:hideMark/>
          </w:tcPr>
          <w:p w14:paraId="1D91B2A9"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w:t>
            </w:r>
          </w:p>
        </w:tc>
        <w:tc>
          <w:tcPr>
            <w:tcW w:w="567" w:type="dxa"/>
            <w:tcBorders>
              <w:top w:val="nil"/>
              <w:left w:val="nil"/>
              <w:bottom w:val="nil"/>
              <w:right w:val="nil"/>
            </w:tcBorders>
            <w:shd w:val="clear" w:color="auto" w:fill="auto"/>
            <w:noWrap/>
            <w:vAlign w:val="bottom"/>
            <w:hideMark/>
          </w:tcPr>
          <w:p w14:paraId="797FBE8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w:t>
            </w:r>
          </w:p>
        </w:tc>
        <w:tc>
          <w:tcPr>
            <w:tcW w:w="237" w:type="dxa"/>
            <w:tcBorders>
              <w:top w:val="nil"/>
              <w:left w:val="nil"/>
              <w:bottom w:val="nil"/>
              <w:right w:val="nil"/>
            </w:tcBorders>
            <w:shd w:val="clear" w:color="auto" w:fill="auto"/>
            <w:noWrap/>
            <w:vAlign w:val="bottom"/>
            <w:hideMark/>
          </w:tcPr>
          <w:p w14:paraId="34BC552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r>
      <w:tr w:rsidR="000F1616" w:rsidRPr="00D40C27" w14:paraId="26DAE1FB" w14:textId="77777777" w:rsidTr="00014EE0">
        <w:trPr>
          <w:trHeight w:val="300"/>
        </w:trPr>
        <w:tc>
          <w:tcPr>
            <w:tcW w:w="1348" w:type="dxa"/>
            <w:tcBorders>
              <w:top w:val="nil"/>
              <w:left w:val="nil"/>
              <w:bottom w:val="nil"/>
              <w:right w:val="nil"/>
            </w:tcBorders>
            <w:shd w:val="clear" w:color="auto" w:fill="auto"/>
            <w:noWrap/>
            <w:vAlign w:val="center"/>
            <w:hideMark/>
          </w:tcPr>
          <w:p w14:paraId="0BE7ECD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3400" w:type="dxa"/>
            <w:tcBorders>
              <w:top w:val="nil"/>
              <w:left w:val="nil"/>
              <w:bottom w:val="nil"/>
              <w:right w:val="nil"/>
            </w:tcBorders>
            <w:shd w:val="clear" w:color="auto" w:fill="auto"/>
            <w:noWrap/>
            <w:vAlign w:val="bottom"/>
            <w:hideMark/>
          </w:tcPr>
          <w:p w14:paraId="5B768AE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Media/Education/Control</w:t>
            </w:r>
          </w:p>
        </w:tc>
        <w:tc>
          <w:tcPr>
            <w:tcW w:w="1523" w:type="dxa"/>
            <w:tcBorders>
              <w:top w:val="nil"/>
              <w:left w:val="nil"/>
              <w:bottom w:val="nil"/>
              <w:right w:val="nil"/>
            </w:tcBorders>
            <w:shd w:val="clear" w:color="auto" w:fill="auto"/>
            <w:noWrap/>
            <w:vAlign w:val="bottom"/>
            <w:hideMark/>
          </w:tcPr>
          <w:p w14:paraId="6DBC086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1843" w:type="dxa"/>
            <w:tcBorders>
              <w:top w:val="nil"/>
              <w:left w:val="nil"/>
              <w:bottom w:val="nil"/>
              <w:right w:val="nil"/>
            </w:tcBorders>
            <w:shd w:val="clear" w:color="auto" w:fill="auto"/>
            <w:noWrap/>
            <w:vAlign w:val="bottom"/>
            <w:hideMark/>
          </w:tcPr>
          <w:p w14:paraId="619C1A2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i/>
                <w:iCs/>
                <w:lang w:eastAsia="zh-CN"/>
              </w:rPr>
              <w:t xml:space="preserve">F (2,306) </w:t>
            </w:r>
            <w:r w:rsidRPr="00D40C27">
              <w:rPr>
                <w:rFonts w:eastAsia="Times New Roman"/>
                <w:lang w:eastAsia="zh-CN"/>
              </w:rPr>
              <w:t xml:space="preserve">= 1.70 </w:t>
            </w:r>
          </w:p>
        </w:tc>
        <w:tc>
          <w:tcPr>
            <w:tcW w:w="567" w:type="dxa"/>
            <w:tcBorders>
              <w:top w:val="nil"/>
              <w:left w:val="nil"/>
              <w:bottom w:val="nil"/>
              <w:right w:val="nil"/>
            </w:tcBorders>
            <w:shd w:val="clear" w:color="auto" w:fill="auto"/>
            <w:noWrap/>
            <w:vAlign w:val="bottom"/>
            <w:hideMark/>
          </w:tcPr>
          <w:p w14:paraId="3CA370C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r w:rsidRPr="00D40C27">
              <w:rPr>
                <w:rFonts w:eastAsia="Times New Roman"/>
                <w:lang w:eastAsia="zh-CN"/>
              </w:rPr>
              <w:t>.17</w:t>
            </w:r>
          </w:p>
        </w:tc>
        <w:tc>
          <w:tcPr>
            <w:tcW w:w="237" w:type="dxa"/>
            <w:tcBorders>
              <w:top w:val="nil"/>
              <w:left w:val="nil"/>
              <w:bottom w:val="nil"/>
              <w:right w:val="nil"/>
            </w:tcBorders>
            <w:shd w:val="clear" w:color="auto" w:fill="auto"/>
            <w:noWrap/>
            <w:vAlign w:val="bottom"/>
            <w:hideMark/>
          </w:tcPr>
          <w:p w14:paraId="652A67B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p>
        </w:tc>
      </w:tr>
      <w:tr w:rsidR="000F1616" w:rsidRPr="00D40C27" w14:paraId="381528F4" w14:textId="77777777" w:rsidTr="00014EE0">
        <w:trPr>
          <w:trHeight w:val="300"/>
        </w:trPr>
        <w:tc>
          <w:tcPr>
            <w:tcW w:w="1348" w:type="dxa"/>
            <w:tcBorders>
              <w:top w:val="nil"/>
              <w:left w:val="nil"/>
              <w:bottom w:val="nil"/>
              <w:right w:val="nil"/>
            </w:tcBorders>
            <w:shd w:val="clear" w:color="auto" w:fill="auto"/>
            <w:noWrap/>
            <w:vAlign w:val="center"/>
            <w:hideMark/>
          </w:tcPr>
          <w:p w14:paraId="361C1A9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3400" w:type="dxa"/>
            <w:tcBorders>
              <w:top w:val="nil"/>
              <w:left w:val="nil"/>
              <w:bottom w:val="nil"/>
              <w:right w:val="nil"/>
            </w:tcBorders>
            <w:shd w:val="clear" w:color="auto" w:fill="auto"/>
            <w:noWrap/>
            <w:vAlign w:val="bottom"/>
            <w:hideMark/>
          </w:tcPr>
          <w:p w14:paraId="6F3627B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IC/Control</w:t>
            </w:r>
          </w:p>
        </w:tc>
        <w:tc>
          <w:tcPr>
            <w:tcW w:w="1523" w:type="dxa"/>
            <w:tcBorders>
              <w:top w:val="nil"/>
              <w:left w:val="nil"/>
              <w:bottom w:val="nil"/>
              <w:right w:val="nil"/>
            </w:tcBorders>
            <w:shd w:val="clear" w:color="auto" w:fill="auto"/>
            <w:noWrap/>
            <w:vAlign w:val="bottom"/>
            <w:hideMark/>
          </w:tcPr>
          <w:p w14:paraId="0B9D9AA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1843" w:type="dxa"/>
            <w:tcBorders>
              <w:top w:val="nil"/>
              <w:left w:val="nil"/>
              <w:bottom w:val="nil"/>
              <w:right w:val="nil"/>
            </w:tcBorders>
            <w:shd w:val="clear" w:color="auto" w:fill="auto"/>
            <w:noWrap/>
            <w:vAlign w:val="bottom"/>
            <w:hideMark/>
          </w:tcPr>
          <w:p w14:paraId="3842BB2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i/>
                <w:iCs/>
                <w:lang w:eastAsia="zh-CN"/>
              </w:rPr>
              <w:t xml:space="preserve">t </w:t>
            </w:r>
            <w:r w:rsidRPr="00D40C27">
              <w:rPr>
                <w:rFonts w:eastAsia="Times New Roman"/>
                <w:iCs/>
                <w:lang w:eastAsia="zh-CN"/>
              </w:rPr>
              <w:t xml:space="preserve">(306) </w:t>
            </w:r>
            <w:r w:rsidRPr="00D40C27">
              <w:rPr>
                <w:rFonts w:eastAsia="Times New Roman"/>
                <w:lang w:eastAsia="zh-CN"/>
              </w:rPr>
              <w:t xml:space="preserve">= -0.06 </w:t>
            </w:r>
          </w:p>
        </w:tc>
        <w:tc>
          <w:tcPr>
            <w:tcW w:w="567" w:type="dxa"/>
            <w:tcBorders>
              <w:top w:val="nil"/>
              <w:left w:val="nil"/>
              <w:bottom w:val="nil"/>
              <w:right w:val="nil"/>
            </w:tcBorders>
            <w:shd w:val="clear" w:color="auto" w:fill="auto"/>
            <w:noWrap/>
            <w:vAlign w:val="bottom"/>
            <w:hideMark/>
          </w:tcPr>
          <w:p w14:paraId="7311BF3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r w:rsidRPr="00D40C27">
              <w:rPr>
                <w:rFonts w:eastAsia="Times New Roman"/>
                <w:lang w:eastAsia="zh-CN"/>
              </w:rPr>
              <w:t>.94</w:t>
            </w:r>
          </w:p>
        </w:tc>
        <w:tc>
          <w:tcPr>
            <w:tcW w:w="237" w:type="dxa"/>
            <w:tcBorders>
              <w:top w:val="nil"/>
              <w:left w:val="nil"/>
              <w:bottom w:val="nil"/>
              <w:right w:val="nil"/>
            </w:tcBorders>
            <w:shd w:val="clear" w:color="auto" w:fill="auto"/>
            <w:noWrap/>
            <w:vAlign w:val="bottom"/>
            <w:hideMark/>
          </w:tcPr>
          <w:p w14:paraId="0AE2C11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p>
        </w:tc>
      </w:tr>
      <w:tr w:rsidR="000F1616" w:rsidRPr="00D40C27" w14:paraId="3BCEA50E" w14:textId="77777777" w:rsidTr="00014EE0">
        <w:trPr>
          <w:trHeight w:val="300"/>
        </w:trPr>
        <w:tc>
          <w:tcPr>
            <w:tcW w:w="1348" w:type="dxa"/>
            <w:tcBorders>
              <w:top w:val="nil"/>
              <w:left w:val="nil"/>
              <w:bottom w:val="nil"/>
              <w:right w:val="nil"/>
            </w:tcBorders>
            <w:shd w:val="clear" w:color="auto" w:fill="auto"/>
            <w:noWrap/>
            <w:vAlign w:val="center"/>
            <w:hideMark/>
          </w:tcPr>
          <w:p w14:paraId="1ED0DD9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Gender</w:t>
            </w:r>
          </w:p>
        </w:tc>
        <w:tc>
          <w:tcPr>
            <w:tcW w:w="3400" w:type="dxa"/>
            <w:tcBorders>
              <w:top w:val="nil"/>
              <w:left w:val="nil"/>
              <w:bottom w:val="nil"/>
              <w:right w:val="nil"/>
            </w:tcBorders>
            <w:shd w:val="clear" w:color="auto" w:fill="auto"/>
            <w:noWrap/>
            <w:vAlign w:val="bottom"/>
            <w:hideMark/>
          </w:tcPr>
          <w:p w14:paraId="4DD12E7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1523" w:type="dxa"/>
            <w:tcBorders>
              <w:top w:val="nil"/>
              <w:left w:val="nil"/>
              <w:bottom w:val="nil"/>
              <w:right w:val="nil"/>
            </w:tcBorders>
            <w:shd w:val="clear" w:color="auto" w:fill="auto"/>
            <w:noWrap/>
            <w:vAlign w:val="bottom"/>
            <w:hideMark/>
          </w:tcPr>
          <w:p w14:paraId="6CEF56F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1843" w:type="dxa"/>
            <w:tcBorders>
              <w:top w:val="nil"/>
              <w:left w:val="nil"/>
              <w:bottom w:val="nil"/>
              <w:right w:val="nil"/>
            </w:tcBorders>
            <w:shd w:val="clear" w:color="auto" w:fill="auto"/>
            <w:noWrap/>
            <w:vAlign w:val="bottom"/>
            <w:hideMark/>
          </w:tcPr>
          <w:p w14:paraId="34E7A76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567" w:type="dxa"/>
            <w:tcBorders>
              <w:top w:val="nil"/>
              <w:left w:val="nil"/>
              <w:bottom w:val="nil"/>
              <w:right w:val="nil"/>
            </w:tcBorders>
            <w:shd w:val="clear" w:color="auto" w:fill="auto"/>
            <w:noWrap/>
            <w:vAlign w:val="bottom"/>
            <w:hideMark/>
          </w:tcPr>
          <w:p w14:paraId="360F0A3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237" w:type="dxa"/>
            <w:tcBorders>
              <w:top w:val="nil"/>
              <w:left w:val="nil"/>
              <w:bottom w:val="nil"/>
              <w:right w:val="nil"/>
            </w:tcBorders>
            <w:shd w:val="clear" w:color="auto" w:fill="auto"/>
            <w:noWrap/>
            <w:vAlign w:val="bottom"/>
            <w:hideMark/>
          </w:tcPr>
          <w:p w14:paraId="7A08B9D9"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r>
      <w:tr w:rsidR="000F1616" w:rsidRPr="00D40C27" w14:paraId="5D59DADB" w14:textId="77777777" w:rsidTr="00014EE0">
        <w:trPr>
          <w:trHeight w:val="300"/>
        </w:trPr>
        <w:tc>
          <w:tcPr>
            <w:tcW w:w="1348" w:type="dxa"/>
            <w:tcBorders>
              <w:top w:val="nil"/>
              <w:left w:val="nil"/>
              <w:bottom w:val="nil"/>
              <w:right w:val="nil"/>
            </w:tcBorders>
            <w:shd w:val="clear" w:color="auto" w:fill="auto"/>
            <w:noWrap/>
            <w:vAlign w:val="center"/>
            <w:hideMark/>
          </w:tcPr>
          <w:p w14:paraId="019EE13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3400" w:type="dxa"/>
            <w:tcBorders>
              <w:top w:val="nil"/>
              <w:left w:val="nil"/>
              <w:bottom w:val="nil"/>
              <w:right w:val="nil"/>
            </w:tcBorders>
            <w:shd w:val="clear" w:color="auto" w:fill="auto"/>
            <w:noWrap/>
            <w:vAlign w:val="bottom"/>
            <w:hideMark/>
          </w:tcPr>
          <w:p w14:paraId="4733516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Media/Education/Control</w:t>
            </w:r>
          </w:p>
        </w:tc>
        <w:tc>
          <w:tcPr>
            <w:tcW w:w="1523" w:type="dxa"/>
            <w:tcBorders>
              <w:top w:val="nil"/>
              <w:left w:val="nil"/>
              <w:bottom w:val="nil"/>
              <w:right w:val="nil"/>
            </w:tcBorders>
            <w:shd w:val="clear" w:color="auto" w:fill="auto"/>
            <w:noWrap/>
            <w:vAlign w:val="bottom"/>
            <w:hideMark/>
          </w:tcPr>
          <w:p w14:paraId="16C796E5"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xml:space="preserve">χ² (2) = 0.94 </w:t>
            </w:r>
          </w:p>
        </w:tc>
        <w:tc>
          <w:tcPr>
            <w:tcW w:w="1843" w:type="dxa"/>
            <w:tcBorders>
              <w:top w:val="nil"/>
              <w:left w:val="nil"/>
              <w:bottom w:val="nil"/>
              <w:right w:val="nil"/>
            </w:tcBorders>
            <w:shd w:val="clear" w:color="auto" w:fill="auto"/>
            <w:noWrap/>
            <w:vAlign w:val="bottom"/>
            <w:hideMark/>
          </w:tcPr>
          <w:p w14:paraId="01F49B6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567" w:type="dxa"/>
            <w:tcBorders>
              <w:top w:val="nil"/>
              <w:left w:val="nil"/>
              <w:bottom w:val="nil"/>
              <w:right w:val="nil"/>
            </w:tcBorders>
            <w:shd w:val="clear" w:color="auto" w:fill="auto"/>
            <w:noWrap/>
            <w:vAlign w:val="bottom"/>
            <w:hideMark/>
          </w:tcPr>
          <w:p w14:paraId="1FFA411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r w:rsidRPr="00D40C27">
              <w:rPr>
                <w:rFonts w:eastAsia="Times New Roman"/>
                <w:lang w:eastAsia="zh-CN"/>
              </w:rPr>
              <w:t>.62</w:t>
            </w:r>
          </w:p>
        </w:tc>
        <w:tc>
          <w:tcPr>
            <w:tcW w:w="237" w:type="dxa"/>
            <w:tcBorders>
              <w:top w:val="nil"/>
              <w:left w:val="nil"/>
              <w:bottom w:val="nil"/>
              <w:right w:val="nil"/>
            </w:tcBorders>
            <w:shd w:val="clear" w:color="auto" w:fill="auto"/>
            <w:noWrap/>
            <w:vAlign w:val="bottom"/>
            <w:hideMark/>
          </w:tcPr>
          <w:p w14:paraId="5EA0E40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p>
        </w:tc>
      </w:tr>
      <w:tr w:rsidR="000F1616" w:rsidRPr="00D40C27" w14:paraId="207A4F65" w14:textId="77777777" w:rsidTr="00014EE0">
        <w:trPr>
          <w:trHeight w:val="300"/>
        </w:trPr>
        <w:tc>
          <w:tcPr>
            <w:tcW w:w="1348" w:type="dxa"/>
            <w:tcBorders>
              <w:top w:val="nil"/>
              <w:left w:val="nil"/>
              <w:bottom w:val="nil"/>
              <w:right w:val="nil"/>
            </w:tcBorders>
            <w:shd w:val="clear" w:color="auto" w:fill="auto"/>
            <w:noWrap/>
            <w:vAlign w:val="center"/>
            <w:hideMark/>
          </w:tcPr>
          <w:p w14:paraId="5B2DE15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3400" w:type="dxa"/>
            <w:tcBorders>
              <w:top w:val="nil"/>
              <w:left w:val="nil"/>
              <w:bottom w:val="nil"/>
              <w:right w:val="nil"/>
            </w:tcBorders>
            <w:shd w:val="clear" w:color="auto" w:fill="auto"/>
            <w:noWrap/>
            <w:vAlign w:val="bottom"/>
            <w:hideMark/>
          </w:tcPr>
          <w:p w14:paraId="0A2BBCE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IC/Control</w:t>
            </w:r>
          </w:p>
        </w:tc>
        <w:tc>
          <w:tcPr>
            <w:tcW w:w="1523" w:type="dxa"/>
            <w:tcBorders>
              <w:top w:val="nil"/>
              <w:left w:val="nil"/>
              <w:bottom w:val="nil"/>
              <w:right w:val="nil"/>
            </w:tcBorders>
            <w:shd w:val="clear" w:color="auto" w:fill="auto"/>
            <w:noWrap/>
            <w:vAlign w:val="bottom"/>
            <w:hideMark/>
          </w:tcPr>
          <w:p w14:paraId="4AF99C2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xml:space="preserve">χ² (1) = 0.26 </w:t>
            </w:r>
          </w:p>
        </w:tc>
        <w:tc>
          <w:tcPr>
            <w:tcW w:w="1843" w:type="dxa"/>
            <w:tcBorders>
              <w:top w:val="nil"/>
              <w:left w:val="nil"/>
              <w:bottom w:val="nil"/>
              <w:right w:val="nil"/>
            </w:tcBorders>
            <w:shd w:val="clear" w:color="auto" w:fill="auto"/>
            <w:noWrap/>
            <w:vAlign w:val="bottom"/>
            <w:hideMark/>
          </w:tcPr>
          <w:p w14:paraId="64E8D95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567" w:type="dxa"/>
            <w:tcBorders>
              <w:top w:val="nil"/>
              <w:left w:val="nil"/>
              <w:bottom w:val="nil"/>
              <w:right w:val="nil"/>
            </w:tcBorders>
            <w:shd w:val="clear" w:color="auto" w:fill="auto"/>
            <w:noWrap/>
            <w:vAlign w:val="bottom"/>
            <w:hideMark/>
          </w:tcPr>
          <w:p w14:paraId="53E6AF87"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r w:rsidRPr="00D40C27">
              <w:rPr>
                <w:rFonts w:eastAsia="Times New Roman"/>
                <w:lang w:eastAsia="zh-CN"/>
              </w:rPr>
              <w:t>.60</w:t>
            </w:r>
          </w:p>
        </w:tc>
        <w:tc>
          <w:tcPr>
            <w:tcW w:w="237" w:type="dxa"/>
            <w:tcBorders>
              <w:top w:val="nil"/>
              <w:left w:val="nil"/>
              <w:bottom w:val="nil"/>
              <w:right w:val="nil"/>
            </w:tcBorders>
            <w:shd w:val="clear" w:color="auto" w:fill="auto"/>
            <w:noWrap/>
            <w:vAlign w:val="bottom"/>
            <w:hideMark/>
          </w:tcPr>
          <w:p w14:paraId="53E8AE7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p>
        </w:tc>
      </w:tr>
      <w:tr w:rsidR="000F1616" w:rsidRPr="00D40C27" w14:paraId="1C8407C5" w14:textId="77777777" w:rsidTr="00014EE0">
        <w:trPr>
          <w:trHeight w:val="300"/>
        </w:trPr>
        <w:tc>
          <w:tcPr>
            <w:tcW w:w="1348" w:type="dxa"/>
            <w:tcBorders>
              <w:top w:val="nil"/>
              <w:left w:val="nil"/>
              <w:bottom w:val="nil"/>
              <w:right w:val="nil"/>
            </w:tcBorders>
            <w:shd w:val="clear" w:color="auto" w:fill="auto"/>
            <w:noWrap/>
            <w:vAlign w:val="center"/>
            <w:hideMark/>
          </w:tcPr>
          <w:p w14:paraId="0F449DB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Ethnicity</w:t>
            </w:r>
          </w:p>
        </w:tc>
        <w:tc>
          <w:tcPr>
            <w:tcW w:w="3400" w:type="dxa"/>
            <w:tcBorders>
              <w:top w:val="nil"/>
              <w:left w:val="nil"/>
              <w:bottom w:val="nil"/>
              <w:right w:val="nil"/>
            </w:tcBorders>
            <w:shd w:val="clear" w:color="auto" w:fill="auto"/>
            <w:noWrap/>
            <w:vAlign w:val="bottom"/>
            <w:hideMark/>
          </w:tcPr>
          <w:p w14:paraId="5662A4DB"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1523" w:type="dxa"/>
            <w:tcBorders>
              <w:top w:val="nil"/>
              <w:left w:val="nil"/>
              <w:bottom w:val="nil"/>
              <w:right w:val="nil"/>
            </w:tcBorders>
            <w:shd w:val="clear" w:color="auto" w:fill="auto"/>
            <w:noWrap/>
            <w:vAlign w:val="bottom"/>
            <w:hideMark/>
          </w:tcPr>
          <w:p w14:paraId="215B54A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1843" w:type="dxa"/>
            <w:tcBorders>
              <w:top w:val="nil"/>
              <w:left w:val="nil"/>
              <w:bottom w:val="nil"/>
              <w:right w:val="nil"/>
            </w:tcBorders>
            <w:shd w:val="clear" w:color="auto" w:fill="auto"/>
            <w:noWrap/>
            <w:vAlign w:val="bottom"/>
            <w:hideMark/>
          </w:tcPr>
          <w:p w14:paraId="47CC58F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567" w:type="dxa"/>
            <w:tcBorders>
              <w:top w:val="nil"/>
              <w:left w:val="nil"/>
              <w:bottom w:val="nil"/>
              <w:right w:val="nil"/>
            </w:tcBorders>
            <w:shd w:val="clear" w:color="auto" w:fill="auto"/>
            <w:noWrap/>
            <w:vAlign w:val="bottom"/>
            <w:hideMark/>
          </w:tcPr>
          <w:p w14:paraId="057F1AE9"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237" w:type="dxa"/>
            <w:tcBorders>
              <w:top w:val="nil"/>
              <w:left w:val="nil"/>
              <w:bottom w:val="nil"/>
              <w:right w:val="nil"/>
            </w:tcBorders>
            <w:shd w:val="clear" w:color="auto" w:fill="auto"/>
            <w:noWrap/>
            <w:vAlign w:val="bottom"/>
            <w:hideMark/>
          </w:tcPr>
          <w:p w14:paraId="7838222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r>
      <w:tr w:rsidR="000F1616" w:rsidRPr="00D40C27" w14:paraId="1D372581" w14:textId="77777777" w:rsidTr="00014EE0">
        <w:trPr>
          <w:trHeight w:val="300"/>
        </w:trPr>
        <w:tc>
          <w:tcPr>
            <w:tcW w:w="1348" w:type="dxa"/>
            <w:tcBorders>
              <w:top w:val="nil"/>
              <w:left w:val="nil"/>
              <w:bottom w:val="nil"/>
              <w:right w:val="nil"/>
            </w:tcBorders>
            <w:shd w:val="clear" w:color="auto" w:fill="auto"/>
            <w:noWrap/>
            <w:vAlign w:val="center"/>
            <w:hideMark/>
          </w:tcPr>
          <w:p w14:paraId="102AC7F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3400" w:type="dxa"/>
            <w:tcBorders>
              <w:top w:val="nil"/>
              <w:left w:val="nil"/>
              <w:bottom w:val="nil"/>
              <w:right w:val="nil"/>
            </w:tcBorders>
            <w:shd w:val="clear" w:color="auto" w:fill="auto"/>
            <w:noWrap/>
            <w:vAlign w:val="bottom"/>
            <w:hideMark/>
          </w:tcPr>
          <w:p w14:paraId="544524F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Media/Education/Control</w:t>
            </w:r>
          </w:p>
        </w:tc>
        <w:tc>
          <w:tcPr>
            <w:tcW w:w="1523" w:type="dxa"/>
            <w:tcBorders>
              <w:top w:val="nil"/>
              <w:left w:val="nil"/>
              <w:bottom w:val="nil"/>
              <w:right w:val="nil"/>
            </w:tcBorders>
            <w:shd w:val="clear" w:color="auto" w:fill="auto"/>
            <w:noWrap/>
            <w:vAlign w:val="bottom"/>
            <w:hideMark/>
          </w:tcPr>
          <w:p w14:paraId="7BA71AD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χ² (2) = 3.80</w:t>
            </w:r>
          </w:p>
        </w:tc>
        <w:tc>
          <w:tcPr>
            <w:tcW w:w="1843" w:type="dxa"/>
            <w:tcBorders>
              <w:top w:val="nil"/>
              <w:left w:val="nil"/>
              <w:bottom w:val="nil"/>
              <w:right w:val="nil"/>
            </w:tcBorders>
            <w:shd w:val="clear" w:color="auto" w:fill="auto"/>
            <w:noWrap/>
            <w:vAlign w:val="bottom"/>
            <w:hideMark/>
          </w:tcPr>
          <w:p w14:paraId="54BCF25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567" w:type="dxa"/>
            <w:tcBorders>
              <w:top w:val="nil"/>
              <w:left w:val="nil"/>
              <w:bottom w:val="nil"/>
              <w:right w:val="nil"/>
            </w:tcBorders>
            <w:shd w:val="clear" w:color="auto" w:fill="auto"/>
            <w:noWrap/>
            <w:vAlign w:val="bottom"/>
            <w:hideMark/>
          </w:tcPr>
          <w:p w14:paraId="6FAA87D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r w:rsidRPr="00D40C27">
              <w:rPr>
                <w:rFonts w:eastAsia="Times New Roman"/>
                <w:lang w:eastAsia="zh-CN"/>
              </w:rPr>
              <w:t>.14</w:t>
            </w:r>
          </w:p>
        </w:tc>
        <w:tc>
          <w:tcPr>
            <w:tcW w:w="237" w:type="dxa"/>
            <w:tcBorders>
              <w:top w:val="nil"/>
              <w:left w:val="nil"/>
              <w:bottom w:val="nil"/>
              <w:right w:val="nil"/>
            </w:tcBorders>
            <w:shd w:val="clear" w:color="auto" w:fill="auto"/>
            <w:noWrap/>
            <w:vAlign w:val="bottom"/>
            <w:hideMark/>
          </w:tcPr>
          <w:p w14:paraId="7C2B1E5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p>
        </w:tc>
      </w:tr>
      <w:tr w:rsidR="000F1616" w:rsidRPr="00D40C27" w14:paraId="6614FE70" w14:textId="77777777" w:rsidTr="00014EE0">
        <w:trPr>
          <w:trHeight w:val="300"/>
        </w:trPr>
        <w:tc>
          <w:tcPr>
            <w:tcW w:w="1348" w:type="dxa"/>
            <w:tcBorders>
              <w:top w:val="nil"/>
              <w:left w:val="nil"/>
              <w:bottom w:val="nil"/>
              <w:right w:val="nil"/>
            </w:tcBorders>
            <w:shd w:val="clear" w:color="auto" w:fill="auto"/>
            <w:noWrap/>
            <w:vAlign w:val="center"/>
            <w:hideMark/>
          </w:tcPr>
          <w:p w14:paraId="67A6872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3400" w:type="dxa"/>
            <w:tcBorders>
              <w:top w:val="nil"/>
              <w:left w:val="nil"/>
              <w:bottom w:val="nil"/>
              <w:right w:val="nil"/>
            </w:tcBorders>
            <w:shd w:val="clear" w:color="auto" w:fill="auto"/>
            <w:noWrap/>
            <w:vAlign w:val="bottom"/>
            <w:hideMark/>
          </w:tcPr>
          <w:p w14:paraId="7A9AB87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IC/Control</w:t>
            </w:r>
          </w:p>
        </w:tc>
        <w:tc>
          <w:tcPr>
            <w:tcW w:w="1523" w:type="dxa"/>
            <w:tcBorders>
              <w:top w:val="nil"/>
              <w:left w:val="nil"/>
              <w:bottom w:val="nil"/>
              <w:right w:val="nil"/>
            </w:tcBorders>
            <w:shd w:val="clear" w:color="auto" w:fill="auto"/>
            <w:noWrap/>
            <w:vAlign w:val="bottom"/>
            <w:hideMark/>
          </w:tcPr>
          <w:p w14:paraId="1CA42911"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χ² (1) = 0.68</w:t>
            </w:r>
          </w:p>
        </w:tc>
        <w:tc>
          <w:tcPr>
            <w:tcW w:w="1843" w:type="dxa"/>
            <w:tcBorders>
              <w:top w:val="nil"/>
              <w:left w:val="nil"/>
              <w:bottom w:val="nil"/>
              <w:right w:val="nil"/>
            </w:tcBorders>
            <w:shd w:val="clear" w:color="auto" w:fill="auto"/>
            <w:noWrap/>
            <w:vAlign w:val="bottom"/>
            <w:hideMark/>
          </w:tcPr>
          <w:p w14:paraId="60C837A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xml:space="preserve">            </w:t>
            </w:r>
          </w:p>
        </w:tc>
        <w:tc>
          <w:tcPr>
            <w:tcW w:w="567" w:type="dxa"/>
            <w:tcBorders>
              <w:top w:val="nil"/>
              <w:left w:val="nil"/>
              <w:bottom w:val="nil"/>
              <w:right w:val="nil"/>
            </w:tcBorders>
            <w:shd w:val="clear" w:color="auto" w:fill="auto"/>
            <w:noWrap/>
            <w:vAlign w:val="bottom"/>
            <w:hideMark/>
          </w:tcPr>
          <w:p w14:paraId="7C0D0B7D"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0"/>
              <w:jc w:val="right"/>
              <w:rPr>
                <w:rFonts w:eastAsia="Times New Roman"/>
                <w:lang w:eastAsia="zh-CN"/>
              </w:rPr>
            </w:pPr>
            <w:r w:rsidRPr="00D40C27">
              <w:rPr>
                <w:rFonts w:eastAsia="Times New Roman"/>
                <w:lang w:eastAsia="zh-CN"/>
              </w:rPr>
              <w:t xml:space="preserve"> .40</w:t>
            </w:r>
          </w:p>
        </w:tc>
        <w:tc>
          <w:tcPr>
            <w:tcW w:w="237" w:type="dxa"/>
            <w:tcBorders>
              <w:top w:val="nil"/>
              <w:left w:val="nil"/>
              <w:bottom w:val="nil"/>
              <w:right w:val="nil"/>
            </w:tcBorders>
            <w:shd w:val="clear" w:color="auto" w:fill="auto"/>
            <w:noWrap/>
            <w:vAlign w:val="bottom"/>
            <w:hideMark/>
          </w:tcPr>
          <w:p w14:paraId="1B7EAF3A"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0"/>
              <w:rPr>
                <w:rFonts w:eastAsia="Times New Roman"/>
                <w:lang w:eastAsia="zh-CN"/>
              </w:rPr>
            </w:pPr>
          </w:p>
        </w:tc>
      </w:tr>
      <w:tr w:rsidR="000F1616" w:rsidRPr="00D40C27" w14:paraId="4BF53EB5" w14:textId="77777777" w:rsidTr="00014EE0">
        <w:trPr>
          <w:trHeight w:val="300"/>
        </w:trPr>
        <w:tc>
          <w:tcPr>
            <w:tcW w:w="1348" w:type="dxa"/>
            <w:tcBorders>
              <w:top w:val="nil"/>
              <w:left w:val="nil"/>
              <w:bottom w:val="nil"/>
              <w:right w:val="nil"/>
            </w:tcBorders>
            <w:shd w:val="clear" w:color="auto" w:fill="auto"/>
            <w:noWrap/>
            <w:vAlign w:val="center"/>
            <w:hideMark/>
          </w:tcPr>
          <w:p w14:paraId="4E71FBA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Student Status</w:t>
            </w:r>
          </w:p>
        </w:tc>
        <w:tc>
          <w:tcPr>
            <w:tcW w:w="3400" w:type="dxa"/>
            <w:tcBorders>
              <w:top w:val="nil"/>
              <w:left w:val="nil"/>
              <w:bottom w:val="nil"/>
              <w:right w:val="nil"/>
            </w:tcBorders>
            <w:shd w:val="clear" w:color="auto" w:fill="auto"/>
            <w:noWrap/>
            <w:vAlign w:val="bottom"/>
            <w:hideMark/>
          </w:tcPr>
          <w:p w14:paraId="05CF53B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1523" w:type="dxa"/>
            <w:tcBorders>
              <w:top w:val="nil"/>
              <w:left w:val="nil"/>
              <w:bottom w:val="nil"/>
              <w:right w:val="nil"/>
            </w:tcBorders>
            <w:shd w:val="clear" w:color="auto" w:fill="auto"/>
            <w:noWrap/>
            <w:vAlign w:val="bottom"/>
            <w:hideMark/>
          </w:tcPr>
          <w:p w14:paraId="7DCC43F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1843" w:type="dxa"/>
            <w:tcBorders>
              <w:top w:val="nil"/>
              <w:left w:val="nil"/>
              <w:bottom w:val="nil"/>
              <w:right w:val="nil"/>
            </w:tcBorders>
            <w:shd w:val="clear" w:color="auto" w:fill="auto"/>
            <w:noWrap/>
            <w:vAlign w:val="bottom"/>
            <w:hideMark/>
          </w:tcPr>
          <w:p w14:paraId="205921F2"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567" w:type="dxa"/>
            <w:tcBorders>
              <w:top w:val="nil"/>
              <w:left w:val="nil"/>
              <w:bottom w:val="nil"/>
              <w:right w:val="nil"/>
            </w:tcBorders>
            <w:shd w:val="clear" w:color="auto" w:fill="auto"/>
            <w:noWrap/>
            <w:vAlign w:val="bottom"/>
            <w:hideMark/>
          </w:tcPr>
          <w:p w14:paraId="1677FD16"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237" w:type="dxa"/>
            <w:tcBorders>
              <w:top w:val="nil"/>
              <w:left w:val="nil"/>
              <w:bottom w:val="nil"/>
              <w:right w:val="nil"/>
            </w:tcBorders>
            <w:shd w:val="clear" w:color="auto" w:fill="auto"/>
            <w:noWrap/>
            <w:vAlign w:val="bottom"/>
            <w:hideMark/>
          </w:tcPr>
          <w:p w14:paraId="1434E30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Chars="200" w:firstLine="440"/>
              <w:rPr>
                <w:rFonts w:eastAsia="Times New Roman"/>
                <w:color w:val="auto"/>
                <w:lang w:eastAsia="zh-CN"/>
              </w:rPr>
            </w:pPr>
          </w:p>
        </w:tc>
      </w:tr>
      <w:tr w:rsidR="000F1616" w:rsidRPr="00D40C27" w14:paraId="2EB0B0BA" w14:textId="77777777" w:rsidTr="00014EE0">
        <w:trPr>
          <w:trHeight w:val="300"/>
        </w:trPr>
        <w:tc>
          <w:tcPr>
            <w:tcW w:w="1348" w:type="dxa"/>
            <w:tcBorders>
              <w:top w:val="nil"/>
              <w:left w:val="nil"/>
              <w:bottom w:val="nil"/>
              <w:right w:val="nil"/>
            </w:tcBorders>
            <w:shd w:val="clear" w:color="auto" w:fill="auto"/>
            <w:noWrap/>
            <w:vAlign w:val="center"/>
            <w:hideMark/>
          </w:tcPr>
          <w:p w14:paraId="1A73791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lang w:eastAsia="zh-CN"/>
              </w:rPr>
            </w:pPr>
          </w:p>
        </w:tc>
        <w:tc>
          <w:tcPr>
            <w:tcW w:w="3400" w:type="dxa"/>
            <w:tcBorders>
              <w:top w:val="nil"/>
              <w:left w:val="nil"/>
              <w:bottom w:val="nil"/>
              <w:right w:val="nil"/>
            </w:tcBorders>
            <w:shd w:val="clear" w:color="auto" w:fill="auto"/>
            <w:noWrap/>
            <w:vAlign w:val="bottom"/>
            <w:hideMark/>
          </w:tcPr>
          <w:p w14:paraId="5AF8A724"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Media/Education/Control</w:t>
            </w:r>
          </w:p>
        </w:tc>
        <w:tc>
          <w:tcPr>
            <w:tcW w:w="1523" w:type="dxa"/>
            <w:tcBorders>
              <w:top w:val="nil"/>
              <w:left w:val="nil"/>
              <w:bottom w:val="nil"/>
              <w:right w:val="nil"/>
            </w:tcBorders>
            <w:shd w:val="clear" w:color="auto" w:fill="auto"/>
            <w:noWrap/>
            <w:vAlign w:val="bottom"/>
            <w:hideMark/>
          </w:tcPr>
          <w:p w14:paraId="1030F6B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xml:space="preserve">χ² (2) = 0.28 </w:t>
            </w:r>
          </w:p>
        </w:tc>
        <w:tc>
          <w:tcPr>
            <w:tcW w:w="1843" w:type="dxa"/>
            <w:tcBorders>
              <w:top w:val="nil"/>
              <w:left w:val="nil"/>
              <w:bottom w:val="nil"/>
              <w:right w:val="nil"/>
            </w:tcBorders>
            <w:shd w:val="clear" w:color="auto" w:fill="auto"/>
            <w:noWrap/>
            <w:vAlign w:val="bottom"/>
            <w:hideMark/>
          </w:tcPr>
          <w:p w14:paraId="417637E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p>
        </w:tc>
        <w:tc>
          <w:tcPr>
            <w:tcW w:w="567" w:type="dxa"/>
            <w:tcBorders>
              <w:top w:val="nil"/>
              <w:left w:val="nil"/>
              <w:bottom w:val="nil"/>
              <w:right w:val="nil"/>
            </w:tcBorders>
            <w:shd w:val="clear" w:color="auto" w:fill="auto"/>
            <w:noWrap/>
            <w:vAlign w:val="bottom"/>
            <w:hideMark/>
          </w:tcPr>
          <w:p w14:paraId="6F4C70B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r w:rsidRPr="00D40C27">
              <w:rPr>
                <w:rFonts w:eastAsia="Times New Roman"/>
                <w:lang w:eastAsia="zh-CN"/>
              </w:rPr>
              <w:t>.86</w:t>
            </w:r>
          </w:p>
        </w:tc>
        <w:tc>
          <w:tcPr>
            <w:tcW w:w="237" w:type="dxa"/>
            <w:tcBorders>
              <w:top w:val="nil"/>
              <w:left w:val="nil"/>
              <w:bottom w:val="nil"/>
              <w:right w:val="nil"/>
            </w:tcBorders>
            <w:shd w:val="clear" w:color="auto" w:fill="auto"/>
            <w:noWrap/>
            <w:vAlign w:val="bottom"/>
            <w:hideMark/>
          </w:tcPr>
          <w:p w14:paraId="628BF7DC"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p>
        </w:tc>
      </w:tr>
      <w:tr w:rsidR="000F1616" w:rsidRPr="00D40C27" w14:paraId="03C5E13D" w14:textId="77777777" w:rsidTr="00014EE0">
        <w:trPr>
          <w:trHeight w:val="60"/>
        </w:trPr>
        <w:tc>
          <w:tcPr>
            <w:tcW w:w="1348" w:type="dxa"/>
            <w:tcBorders>
              <w:top w:val="nil"/>
              <w:left w:val="nil"/>
              <w:bottom w:val="single" w:sz="4" w:space="0" w:color="auto"/>
              <w:right w:val="nil"/>
            </w:tcBorders>
            <w:shd w:val="clear" w:color="auto" w:fill="auto"/>
            <w:noWrap/>
            <w:vAlign w:val="center"/>
            <w:hideMark/>
          </w:tcPr>
          <w:p w14:paraId="4B78A86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w:t>
            </w:r>
          </w:p>
        </w:tc>
        <w:tc>
          <w:tcPr>
            <w:tcW w:w="3400" w:type="dxa"/>
            <w:tcBorders>
              <w:top w:val="nil"/>
              <w:left w:val="nil"/>
              <w:bottom w:val="single" w:sz="4" w:space="0" w:color="auto"/>
              <w:right w:val="nil"/>
            </w:tcBorders>
            <w:shd w:val="clear" w:color="auto" w:fill="auto"/>
            <w:noWrap/>
            <w:vAlign w:val="bottom"/>
            <w:hideMark/>
          </w:tcPr>
          <w:p w14:paraId="6EE2947F"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IC/Control</w:t>
            </w:r>
          </w:p>
        </w:tc>
        <w:tc>
          <w:tcPr>
            <w:tcW w:w="1523" w:type="dxa"/>
            <w:tcBorders>
              <w:top w:val="nil"/>
              <w:left w:val="nil"/>
              <w:bottom w:val="single" w:sz="4" w:space="0" w:color="auto"/>
              <w:right w:val="nil"/>
            </w:tcBorders>
            <w:shd w:val="clear" w:color="auto" w:fill="auto"/>
            <w:noWrap/>
            <w:vAlign w:val="bottom"/>
            <w:hideMark/>
          </w:tcPr>
          <w:p w14:paraId="0567B4BE"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0.01 (1)</w:t>
            </w:r>
          </w:p>
        </w:tc>
        <w:tc>
          <w:tcPr>
            <w:tcW w:w="1843" w:type="dxa"/>
            <w:tcBorders>
              <w:top w:val="nil"/>
              <w:left w:val="nil"/>
              <w:bottom w:val="single" w:sz="4" w:space="0" w:color="auto"/>
              <w:right w:val="nil"/>
            </w:tcBorders>
            <w:shd w:val="clear" w:color="auto" w:fill="auto"/>
            <w:noWrap/>
            <w:vAlign w:val="bottom"/>
            <w:hideMark/>
          </w:tcPr>
          <w:p w14:paraId="768D800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lang w:eastAsia="zh-CN"/>
              </w:rPr>
            </w:pPr>
            <w:r w:rsidRPr="00D40C27">
              <w:rPr>
                <w:rFonts w:eastAsia="Times New Roman"/>
                <w:lang w:eastAsia="zh-CN"/>
              </w:rPr>
              <w:t> </w:t>
            </w:r>
          </w:p>
        </w:tc>
        <w:tc>
          <w:tcPr>
            <w:tcW w:w="567" w:type="dxa"/>
            <w:tcBorders>
              <w:top w:val="nil"/>
              <w:left w:val="nil"/>
              <w:bottom w:val="single" w:sz="4" w:space="0" w:color="auto"/>
              <w:right w:val="nil"/>
            </w:tcBorders>
            <w:shd w:val="clear" w:color="auto" w:fill="auto"/>
            <w:noWrap/>
            <w:vAlign w:val="bottom"/>
            <w:hideMark/>
          </w:tcPr>
          <w:p w14:paraId="2D74ECA0"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r w:rsidRPr="00D40C27">
              <w:rPr>
                <w:rFonts w:eastAsia="Times New Roman"/>
                <w:lang w:eastAsia="zh-CN"/>
              </w:rPr>
              <w:t>.91</w:t>
            </w:r>
          </w:p>
        </w:tc>
        <w:tc>
          <w:tcPr>
            <w:tcW w:w="237" w:type="dxa"/>
            <w:tcBorders>
              <w:top w:val="nil"/>
              <w:left w:val="nil"/>
              <w:bottom w:val="nil"/>
              <w:right w:val="nil"/>
            </w:tcBorders>
            <w:shd w:val="clear" w:color="auto" w:fill="auto"/>
            <w:noWrap/>
            <w:vAlign w:val="bottom"/>
            <w:hideMark/>
          </w:tcPr>
          <w:p w14:paraId="79A68193" w14:textId="77777777" w:rsidR="000F1616" w:rsidRPr="00D40C27" w:rsidRDefault="000F1616" w:rsidP="00014EE0">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eastAsia="Times New Roman"/>
                <w:lang w:eastAsia="zh-CN"/>
              </w:rPr>
            </w:pPr>
          </w:p>
        </w:tc>
      </w:tr>
    </w:tbl>
    <w:p w14:paraId="595E85F3"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spacing w:line="259" w:lineRule="auto"/>
        <w:rPr>
          <w:rFonts w:ascii="Times New Roman" w:eastAsia="Calibri" w:hAnsi="Times New Roman" w:cs="Times New Roman"/>
          <w:color w:val="auto"/>
          <w:sz w:val="24"/>
          <w:szCs w:val="24"/>
          <w:lang w:eastAsia="en-US"/>
        </w:rPr>
      </w:pPr>
    </w:p>
    <w:p w14:paraId="1A459C3D" w14:textId="77777777" w:rsidR="000F1616" w:rsidRPr="00D40C27" w:rsidRDefault="000F1616" w:rsidP="00A427E8">
      <w:pPr>
        <w:pStyle w:val="Heading3"/>
        <w:rPr>
          <w:lang w:eastAsia="en-US"/>
        </w:rPr>
      </w:pPr>
      <w:bookmarkStart w:id="101" w:name="_Toc12024666"/>
      <w:r w:rsidRPr="00D40C27">
        <w:rPr>
          <w:lang w:eastAsia="en-US"/>
        </w:rPr>
        <w:t>Intervention</w:t>
      </w:r>
      <w:bookmarkEnd w:id="101"/>
    </w:p>
    <w:p w14:paraId="1911130B" w14:textId="15C0C22A" w:rsidR="000F1616" w:rsidRDefault="009C7FAD"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bookmarkStart w:id="102" w:name="_Hlk11695869"/>
      <w:r>
        <w:rPr>
          <w:rFonts w:eastAsia="Calibri"/>
          <w:color w:val="auto"/>
          <w:lang w:eastAsia="en-US"/>
        </w:rPr>
        <w:t xml:space="preserve">A Pearson correlation analysis was conducted to assess the relationship between the outcome variables (Intergroup anxiety and Intended avoidance) and predispositional variables of disgust sensitivity, motivations to respond without prejudice (IMS and EMS) and sociocultural attitudes towards appearance (SATAQ). In order to correct for multiple testing, the alpha value underwent Bonferroni correction </w:t>
      </w:r>
      <w:r w:rsidRPr="009C7FAD">
        <w:rPr>
          <w:rFonts w:eastAsia="Calibri"/>
          <w:color w:val="auto"/>
          <w:lang w:eastAsia="en-US"/>
        </w:rPr>
        <w:t>(α</w:t>
      </w:r>
      <w:r>
        <w:rPr>
          <w:rFonts w:eastAsia="Calibri"/>
          <w:color w:val="auto"/>
          <w:lang w:eastAsia="en-US"/>
        </w:rPr>
        <w:t xml:space="preserve"> = .05/8</w:t>
      </w:r>
      <w:r w:rsidRPr="009C7FAD">
        <w:rPr>
          <w:rFonts w:eastAsia="Calibri"/>
          <w:color w:val="auto"/>
          <w:lang w:eastAsia="en-US"/>
        </w:rPr>
        <w:t>) = .006</w:t>
      </w:r>
      <w:r>
        <w:rPr>
          <w:rFonts w:eastAsia="Calibri"/>
          <w:color w:val="auto"/>
          <w:lang w:eastAsia="en-US"/>
        </w:rPr>
        <w:t xml:space="preserve">. </w:t>
      </w:r>
      <w:r w:rsidR="000074F5">
        <w:rPr>
          <w:rFonts w:eastAsia="Calibri"/>
          <w:color w:val="auto"/>
          <w:lang w:eastAsia="en-US"/>
        </w:rPr>
        <w:t>The variables found to be significantly correlated with the outcome variables were entered as covariates in the analysis.</w:t>
      </w:r>
    </w:p>
    <w:p w14:paraId="38133D01" w14:textId="4F82FD73" w:rsidR="009C7FAD" w:rsidRDefault="000074F5"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Pr>
          <w:rFonts w:eastAsia="Calibri"/>
          <w:color w:val="auto"/>
          <w:lang w:eastAsia="en-US"/>
        </w:rPr>
        <w:t xml:space="preserve">Table </w:t>
      </w:r>
      <w:r w:rsidR="000411C2">
        <w:rPr>
          <w:rFonts w:eastAsia="Calibri"/>
          <w:color w:val="auto"/>
          <w:lang w:eastAsia="en-US"/>
        </w:rPr>
        <w:t>4.3</w:t>
      </w:r>
      <w:r>
        <w:rPr>
          <w:rFonts w:eastAsia="Calibri"/>
          <w:color w:val="auto"/>
          <w:lang w:eastAsia="en-US"/>
        </w:rPr>
        <w:t>. Correlation matrix</w:t>
      </w:r>
    </w:p>
    <w:tbl>
      <w:tblPr>
        <w:tblW w:w="9863" w:type="dxa"/>
        <w:tblCellMar>
          <w:left w:w="70" w:type="dxa"/>
          <w:right w:w="70" w:type="dxa"/>
        </w:tblCellMar>
        <w:tblLook w:val="04A0" w:firstRow="1" w:lastRow="0" w:firstColumn="1" w:lastColumn="0" w:noHBand="0" w:noVBand="1"/>
      </w:tblPr>
      <w:tblGrid>
        <w:gridCol w:w="2655"/>
        <w:gridCol w:w="1403"/>
        <w:gridCol w:w="1079"/>
        <w:gridCol w:w="1036"/>
        <w:gridCol w:w="906"/>
        <w:gridCol w:w="842"/>
        <w:gridCol w:w="971"/>
        <w:gridCol w:w="971"/>
      </w:tblGrid>
      <w:tr w:rsidR="00643FAC" w:rsidRPr="00643FAC" w14:paraId="7EC70DC7" w14:textId="77777777" w:rsidTr="004D2DCA">
        <w:trPr>
          <w:trHeight w:val="731"/>
        </w:trPr>
        <w:tc>
          <w:tcPr>
            <w:tcW w:w="2655" w:type="dxa"/>
            <w:tcBorders>
              <w:top w:val="single" w:sz="4" w:space="0" w:color="auto"/>
              <w:left w:val="nil"/>
              <w:bottom w:val="single" w:sz="4" w:space="0" w:color="auto"/>
              <w:right w:val="nil"/>
            </w:tcBorders>
            <w:shd w:val="clear" w:color="auto" w:fill="auto"/>
            <w:noWrap/>
            <w:vAlign w:val="center"/>
            <w:hideMark/>
          </w:tcPr>
          <w:p w14:paraId="23AB2CD3" w14:textId="77777777" w:rsidR="00643FAC" w:rsidRPr="004D2DCA"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eastAsia="es-CO"/>
              </w:rPr>
            </w:pPr>
            <w:r w:rsidRPr="004D2DCA">
              <w:rPr>
                <w:rFonts w:eastAsia="Times New Roman"/>
                <w:sz w:val="20"/>
                <w:szCs w:val="20"/>
                <w:lang w:eastAsia="es-CO"/>
              </w:rPr>
              <w:t> </w:t>
            </w:r>
          </w:p>
        </w:tc>
        <w:tc>
          <w:tcPr>
            <w:tcW w:w="1403" w:type="dxa"/>
            <w:tcBorders>
              <w:top w:val="single" w:sz="4" w:space="0" w:color="auto"/>
              <w:left w:val="nil"/>
              <w:bottom w:val="single" w:sz="4" w:space="0" w:color="auto"/>
              <w:right w:val="nil"/>
            </w:tcBorders>
            <w:shd w:val="clear" w:color="auto" w:fill="auto"/>
            <w:vAlign w:val="center"/>
            <w:hideMark/>
          </w:tcPr>
          <w:p w14:paraId="78E360DB"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1. Intergroup Anxiety</w:t>
            </w:r>
          </w:p>
        </w:tc>
        <w:tc>
          <w:tcPr>
            <w:tcW w:w="1079" w:type="dxa"/>
            <w:tcBorders>
              <w:top w:val="single" w:sz="4" w:space="0" w:color="auto"/>
              <w:left w:val="nil"/>
              <w:bottom w:val="single" w:sz="4" w:space="0" w:color="auto"/>
              <w:right w:val="nil"/>
            </w:tcBorders>
            <w:shd w:val="clear" w:color="auto" w:fill="auto"/>
            <w:noWrap/>
            <w:vAlign w:val="center"/>
            <w:hideMark/>
          </w:tcPr>
          <w:p w14:paraId="4607B954"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lang w:val="es-CO" w:eastAsia="es-CO"/>
              </w:rPr>
            </w:pPr>
            <w:r w:rsidRPr="00643FAC">
              <w:rPr>
                <w:rFonts w:eastAsia="Times New Roman"/>
                <w:sz w:val="20"/>
                <w:szCs w:val="20"/>
                <w:lang w:val="es-CO" w:eastAsia="es-CO"/>
              </w:rPr>
              <w:t>2</w:t>
            </w:r>
          </w:p>
        </w:tc>
        <w:tc>
          <w:tcPr>
            <w:tcW w:w="1036" w:type="dxa"/>
            <w:tcBorders>
              <w:top w:val="single" w:sz="4" w:space="0" w:color="auto"/>
              <w:left w:val="nil"/>
              <w:bottom w:val="single" w:sz="4" w:space="0" w:color="auto"/>
              <w:right w:val="nil"/>
            </w:tcBorders>
            <w:shd w:val="clear" w:color="auto" w:fill="auto"/>
            <w:noWrap/>
            <w:vAlign w:val="center"/>
            <w:hideMark/>
          </w:tcPr>
          <w:p w14:paraId="315DAA73"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lang w:val="es-CO" w:eastAsia="es-CO"/>
              </w:rPr>
            </w:pPr>
            <w:r w:rsidRPr="00643FAC">
              <w:rPr>
                <w:rFonts w:eastAsia="Times New Roman"/>
                <w:sz w:val="20"/>
                <w:szCs w:val="20"/>
                <w:lang w:val="es-CO" w:eastAsia="es-CO"/>
              </w:rPr>
              <w:t>3</w:t>
            </w:r>
          </w:p>
        </w:tc>
        <w:tc>
          <w:tcPr>
            <w:tcW w:w="906" w:type="dxa"/>
            <w:tcBorders>
              <w:top w:val="single" w:sz="4" w:space="0" w:color="auto"/>
              <w:left w:val="nil"/>
              <w:bottom w:val="single" w:sz="4" w:space="0" w:color="auto"/>
              <w:right w:val="nil"/>
            </w:tcBorders>
            <w:shd w:val="clear" w:color="auto" w:fill="auto"/>
            <w:noWrap/>
            <w:vAlign w:val="center"/>
            <w:hideMark/>
          </w:tcPr>
          <w:p w14:paraId="7160DCEF"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lang w:val="es-CO" w:eastAsia="es-CO"/>
              </w:rPr>
            </w:pPr>
            <w:r w:rsidRPr="00643FAC">
              <w:rPr>
                <w:rFonts w:eastAsia="Times New Roman"/>
                <w:sz w:val="20"/>
                <w:szCs w:val="20"/>
                <w:lang w:val="es-CO" w:eastAsia="es-CO"/>
              </w:rPr>
              <w:t>4</w:t>
            </w:r>
          </w:p>
        </w:tc>
        <w:tc>
          <w:tcPr>
            <w:tcW w:w="842" w:type="dxa"/>
            <w:tcBorders>
              <w:top w:val="single" w:sz="4" w:space="0" w:color="auto"/>
              <w:left w:val="nil"/>
              <w:bottom w:val="single" w:sz="4" w:space="0" w:color="auto"/>
              <w:right w:val="nil"/>
            </w:tcBorders>
            <w:shd w:val="clear" w:color="auto" w:fill="auto"/>
            <w:noWrap/>
            <w:vAlign w:val="center"/>
            <w:hideMark/>
          </w:tcPr>
          <w:p w14:paraId="2C08B0E4"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lang w:val="es-CO" w:eastAsia="es-CO"/>
              </w:rPr>
            </w:pPr>
            <w:r w:rsidRPr="00643FAC">
              <w:rPr>
                <w:rFonts w:eastAsia="Times New Roman"/>
                <w:sz w:val="20"/>
                <w:szCs w:val="20"/>
                <w:lang w:val="es-CO" w:eastAsia="es-CO"/>
              </w:rPr>
              <w:t>5</w:t>
            </w:r>
          </w:p>
        </w:tc>
        <w:tc>
          <w:tcPr>
            <w:tcW w:w="971" w:type="dxa"/>
            <w:tcBorders>
              <w:top w:val="single" w:sz="4" w:space="0" w:color="auto"/>
              <w:left w:val="nil"/>
              <w:bottom w:val="single" w:sz="4" w:space="0" w:color="auto"/>
              <w:right w:val="nil"/>
            </w:tcBorders>
            <w:shd w:val="clear" w:color="auto" w:fill="auto"/>
            <w:noWrap/>
            <w:vAlign w:val="center"/>
            <w:hideMark/>
          </w:tcPr>
          <w:p w14:paraId="6476DC3D"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lang w:val="es-CO" w:eastAsia="es-CO"/>
              </w:rPr>
            </w:pPr>
            <w:r w:rsidRPr="00643FAC">
              <w:rPr>
                <w:rFonts w:eastAsia="Times New Roman"/>
                <w:sz w:val="20"/>
                <w:szCs w:val="20"/>
                <w:lang w:val="es-CO" w:eastAsia="es-CO"/>
              </w:rPr>
              <w:t>6</w:t>
            </w:r>
          </w:p>
        </w:tc>
        <w:tc>
          <w:tcPr>
            <w:tcW w:w="971" w:type="dxa"/>
            <w:tcBorders>
              <w:top w:val="single" w:sz="4" w:space="0" w:color="auto"/>
              <w:left w:val="nil"/>
              <w:bottom w:val="single" w:sz="4" w:space="0" w:color="auto"/>
              <w:right w:val="nil"/>
            </w:tcBorders>
            <w:shd w:val="clear" w:color="auto" w:fill="auto"/>
            <w:noWrap/>
            <w:vAlign w:val="center"/>
            <w:hideMark/>
          </w:tcPr>
          <w:p w14:paraId="3EEBFFF4"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sz w:val="20"/>
                <w:szCs w:val="20"/>
                <w:lang w:val="es-CO" w:eastAsia="es-CO"/>
              </w:rPr>
            </w:pPr>
            <w:r w:rsidRPr="00643FAC">
              <w:rPr>
                <w:rFonts w:eastAsia="Times New Roman"/>
                <w:sz w:val="20"/>
                <w:szCs w:val="20"/>
                <w:lang w:val="es-CO" w:eastAsia="es-CO"/>
              </w:rPr>
              <w:t>7</w:t>
            </w:r>
          </w:p>
        </w:tc>
      </w:tr>
      <w:tr w:rsidR="00643FAC" w:rsidRPr="00643FAC" w14:paraId="6CAEE75F" w14:textId="77777777" w:rsidTr="004D2DCA">
        <w:trPr>
          <w:trHeight w:val="309"/>
        </w:trPr>
        <w:tc>
          <w:tcPr>
            <w:tcW w:w="2655" w:type="dxa"/>
            <w:tcBorders>
              <w:top w:val="nil"/>
              <w:left w:val="nil"/>
              <w:bottom w:val="nil"/>
              <w:right w:val="nil"/>
            </w:tcBorders>
            <w:shd w:val="clear" w:color="auto" w:fill="auto"/>
            <w:vAlign w:val="center"/>
            <w:hideMark/>
          </w:tcPr>
          <w:p w14:paraId="356878D7"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2. Avoidance</w:t>
            </w:r>
          </w:p>
        </w:tc>
        <w:tc>
          <w:tcPr>
            <w:tcW w:w="1403" w:type="dxa"/>
            <w:tcBorders>
              <w:top w:val="nil"/>
              <w:left w:val="nil"/>
              <w:bottom w:val="nil"/>
              <w:right w:val="nil"/>
            </w:tcBorders>
            <w:shd w:val="clear" w:color="auto" w:fill="auto"/>
            <w:noWrap/>
            <w:vAlign w:val="center"/>
            <w:hideMark/>
          </w:tcPr>
          <w:p w14:paraId="03F0992A" w14:textId="56637DFB"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49</w:t>
            </w:r>
            <w:r w:rsidRPr="004D2DCA">
              <w:rPr>
                <w:rFonts w:eastAsia="Times New Roman"/>
                <w:sz w:val="20"/>
                <w:szCs w:val="20"/>
                <w:vertAlign w:val="superscript"/>
                <w:lang w:val="es-CO" w:eastAsia="es-CO"/>
              </w:rPr>
              <w:t>**</w:t>
            </w:r>
          </w:p>
        </w:tc>
        <w:tc>
          <w:tcPr>
            <w:tcW w:w="1079" w:type="dxa"/>
            <w:tcBorders>
              <w:top w:val="nil"/>
              <w:left w:val="nil"/>
              <w:bottom w:val="nil"/>
              <w:right w:val="nil"/>
            </w:tcBorders>
            <w:shd w:val="clear" w:color="auto" w:fill="auto"/>
            <w:noWrap/>
            <w:vAlign w:val="center"/>
            <w:hideMark/>
          </w:tcPr>
          <w:p w14:paraId="4030978E"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 </w:t>
            </w:r>
          </w:p>
        </w:tc>
        <w:tc>
          <w:tcPr>
            <w:tcW w:w="1036" w:type="dxa"/>
            <w:tcBorders>
              <w:top w:val="nil"/>
              <w:left w:val="nil"/>
              <w:bottom w:val="nil"/>
              <w:right w:val="nil"/>
            </w:tcBorders>
            <w:shd w:val="clear" w:color="auto" w:fill="auto"/>
            <w:noWrap/>
            <w:vAlign w:val="center"/>
            <w:hideMark/>
          </w:tcPr>
          <w:p w14:paraId="2332FE60"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 </w:t>
            </w:r>
          </w:p>
        </w:tc>
        <w:tc>
          <w:tcPr>
            <w:tcW w:w="906" w:type="dxa"/>
            <w:tcBorders>
              <w:top w:val="nil"/>
              <w:left w:val="nil"/>
              <w:bottom w:val="nil"/>
              <w:right w:val="nil"/>
            </w:tcBorders>
            <w:shd w:val="clear" w:color="auto" w:fill="auto"/>
            <w:noWrap/>
            <w:vAlign w:val="center"/>
            <w:hideMark/>
          </w:tcPr>
          <w:p w14:paraId="76556FE7"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 </w:t>
            </w:r>
          </w:p>
        </w:tc>
        <w:tc>
          <w:tcPr>
            <w:tcW w:w="842" w:type="dxa"/>
            <w:tcBorders>
              <w:top w:val="nil"/>
              <w:left w:val="nil"/>
              <w:bottom w:val="nil"/>
              <w:right w:val="nil"/>
            </w:tcBorders>
            <w:shd w:val="clear" w:color="auto" w:fill="auto"/>
            <w:noWrap/>
            <w:vAlign w:val="center"/>
            <w:hideMark/>
          </w:tcPr>
          <w:p w14:paraId="46B2F89D"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 </w:t>
            </w:r>
          </w:p>
        </w:tc>
        <w:tc>
          <w:tcPr>
            <w:tcW w:w="971" w:type="dxa"/>
            <w:tcBorders>
              <w:top w:val="nil"/>
              <w:left w:val="nil"/>
              <w:bottom w:val="nil"/>
              <w:right w:val="nil"/>
            </w:tcBorders>
            <w:shd w:val="clear" w:color="auto" w:fill="auto"/>
            <w:noWrap/>
            <w:vAlign w:val="center"/>
            <w:hideMark/>
          </w:tcPr>
          <w:p w14:paraId="5AF87713"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 </w:t>
            </w:r>
          </w:p>
        </w:tc>
        <w:tc>
          <w:tcPr>
            <w:tcW w:w="971" w:type="dxa"/>
            <w:tcBorders>
              <w:top w:val="nil"/>
              <w:left w:val="nil"/>
              <w:bottom w:val="nil"/>
              <w:right w:val="nil"/>
            </w:tcBorders>
            <w:shd w:val="clear" w:color="auto" w:fill="auto"/>
            <w:noWrap/>
            <w:vAlign w:val="center"/>
            <w:hideMark/>
          </w:tcPr>
          <w:p w14:paraId="08FCFE28"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 </w:t>
            </w:r>
          </w:p>
        </w:tc>
      </w:tr>
      <w:tr w:rsidR="00643FAC" w:rsidRPr="00643FAC" w14:paraId="25C94C30" w14:textId="77777777" w:rsidTr="004D2DCA">
        <w:trPr>
          <w:trHeight w:val="325"/>
        </w:trPr>
        <w:tc>
          <w:tcPr>
            <w:tcW w:w="2655" w:type="dxa"/>
            <w:tcBorders>
              <w:top w:val="nil"/>
              <w:left w:val="nil"/>
              <w:bottom w:val="nil"/>
              <w:right w:val="nil"/>
            </w:tcBorders>
            <w:shd w:val="clear" w:color="auto" w:fill="auto"/>
            <w:noWrap/>
            <w:vAlign w:val="center"/>
            <w:hideMark/>
          </w:tcPr>
          <w:p w14:paraId="0CEF131D"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3. SATAQ</w:t>
            </w:r>
          </w:p>
        </w:tc>
        <w:tc>
          <w:tcPr>
            <w:tcW w:w="1403" w:type="dxa"/>
            <w:tcBorders>
              <w:top w:val="nil"/>
              <w:left w:val="nil"/>
              <w:bottom w:val="nil"/>
              <w:right w:val="nil"/>
            </w:tcBorders>
            <w:shd w:val="clear" w:color="auto" w:fill="auto"/>
            <w:noWrap/>
            <w:vAlign w:val="center"/>
            <w:hideMark/>
          </w:tcPr>
          <w:p w14:paraId="4ABCECB7" w14:textId="47F625DB"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06</w:t>
            </w:r>
          </w:p>
        </w:tc>
        <w:tc>
          <w:tcPr>
            <w:tcW w:w="1079" w:type="dxa"/>
            <w:tcBorders>
              <w:top w:val="nil"/>
              <w:left w:val="nil"/>
              <w:bottom w:val="nil"/>
              <w:right w:val="nil"/>
            </w:tcBorders>
            <w:shd w:val="clear" w:color="auto" w:fill="auto"/>
            <w:noWrap/>
            <w:vAlign w:val="center"/>
            <w:hideMark/>
          </w:tcPr>
          <w:p w14:paraId="4CD216A0" w14:textId="7EF312E4"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w:t>
            </w:r>
            <w:r>
              <w:rPr>
                <w:rFonts w:eastAsia="Times New Roman"/>
                <w:sz w:val="20"/>
                <w:szCs w:val="20"/>
                <w:lang w:val="es-CO" w:eastAsia="es-CO"/>
              </w:rPr>
              <w:t>.</w:t>
            </w:r>
            <w:r w:rsidRPr="00643FAC">
              <w:rPr>
                <w:rFonts w:eastAsia="Times New Roman"/>
                <w:sz w:val="20"/>
                <w:szCs w:val="20"/>
                <w:lang w:val="es-CO" w:eastAsia="es-CO"/>
              </w:rPr>
              <w:t>05</w:t>
            </w:r>
          </w:p>
        </w:tc>
        <w:tc>
          <w:tcPr>
            <w:tcW w:w="1036" w:type="dxa"/>
            <w:tcBorders>
              <w:top w:val="nil"/>
              <w:left w:val="nil"/>
              <w:bottom w:val="nil"/>
              <w:right w:val="nil"/>
            </w:tcBorders>
            <w:shd w:val="clear" w:color="auto" w:fill="auto"/>
            <w:noWrap/>
            <w:vAlign w:val="center"/>
            <w:hideMark/>
          </w:tcPr>
          <w:p w14:paraId="32BAD26A"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p>
        </w:tc>
        <w:tc>
          <w:tcPr>
            <w:tcW w:w="906" w:type="dxa"/>
            <w:tcBorders>
              <w:top w:val="nil"/>
              <w:left w:val="nil"/>
              <w:bottom w:val="nil"/>
              <w:right w:val="nil"/>
            </w:tcBorders>
            <w:shd w:val="clear" w:color="auto" w:fill="auto"/>
            <w:noWrap/>
            <w:vAlign w:val="center"/>
            <w:hideMark/>
          </w:tcPr>
          <w:p w14:paraId="442701A0"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ascii="Times New Roman" w:eastAsia="Times New Roman" w:hAnsi="Times New Roman" w:cs="Times New Roman"/>
                <w:color w:val="auto"/>
                <w:sz w:val="20"/>
                <w:szCs w:val="20"/>
                <w:lang w:val="es-CO" w:eastAsia="es-CO"/>
              </w:rPr>
            </w:pPr>
          </w:p>
        </w:tc>
        <w:tc>
          <w:tcPr>
            <w:tcW w:w="842" w:type="dxa"/>
            <w:tcBorders>
              <w:top w:val="nil"/>
              <w:left w:val="nil"/>
              <w:bottom w:val="nil"/>
              <w:right w:val="nil"/>
            </w:tcBorders>
            <w:shd w:val="clear" w:color="auto" w:fill="auto"/>
            <w:noWrap/>
            <w:vAlign w:val="center"/>
            <w:hideMark/>
          </w:tcPr>
          <w:p w14:paraId="27763E27"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ascii="Times New Roman" w:eastAsia="Times New Roman" w:hAnsi="Times New Roman" w:cs="Times New Roman"/>
                <w:color w:val="auto"/>
                <w:sz w:val="20"/>
                <w:szCs w:val="20"/>
                <w:lang w:val="es-CO" w:eastAsia="es-CO"/>
              </w:rPr>
            </w:pPr>
          </w:p>
        </w:tc>
        <w:tc>
          <w:tcPr>
            <w:tcW w:w="971" w:type="dxa"/>
            <w:tcBorders>
              <w:top w:val="nil"/>
              <w:left w:val="nil"/>
              <w:bottom w:val="nil"/>
              <w:right w:val="nil"/>
            </w:tcBorders>
            <w:shd w:val="clear" w:color="auto" w:fill="auto"/>
            <w:noWrap/>
            <w:vAlign w:val="center"/>
            <w:hideMark/>
          </w:tcPr>
          <w:p w14:paraId="7E3B2EA3"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ascii="Times New Roman" w:eastAsia="Times New Roman" w:hAnsi="Times New Roman" w:cs="Times New Roman"/>
                <w:color w:val="auto"/>
                <w:sz w:val="20"/>
                <w:szCs w:val="20"/>
                <w:lang w:val="es-CO" w:eastAsia="es-CO"/>
              </w:rPr>
            </w:pPr>
          </w:p>
        </w:tc>
        <w:tc>
          <w:tcPr>
            <w:tcW w:w="971" w:type="dxa"/>
            <w:tcBorders>
              <w:top w:val="nil"/>
              <w:left w:val="nil"/>
              <w:bottom w:val="nil"/>
              <w:right w:val="nil"/>
            </w:tcBorders>
            <w:shd w:val="clear" w:color="auto" w:fill="auto"/>
            <w:noWrap/>
            <w:vAlign w:val="center"/>
            <w:hideMark/>
          </w:tcPr>
          <w:p w14:paraId="3F792691"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ascii="Times New Roman" w:eastAsia="Times New Roman" w:hAnsi="Times New Roman" w:cs="Times New Roman"/>
                <w:color w:val="auto"/>
                <w:sz w:val="20"/>
                <w:szCs w:val="20"/>
                <w:lang w:val="es-CO" w:eastAsia="es-CO"/>
              </w:rPr>
            </w:pPr>
          </w:p>
        </w:tc>
      </w:tr>
      <w:tr w:rsidR="00643FAC" w:rsidRPr="00643FAC" w14:paraId="7F62A0D2" w14:textId="77777777" w:rsidTr="004D2DCA">
        <w:trPr>
          <w:trHeight w:val="325"/>
        </w:trPr>
        <w:tc>
          <w:tcPr>
            <w:tcW w:w="2655" w:type="dxa"/>
            <w:tcBorders>
              <w:top w:val="nil"/>
              <w:left w:val="nil"/>
              <w:bottom w:val="nil"/>
              <w:right w:val="nil"/>
            </w:tcBorders>
            <w:shd w:val="clear" w:color="auto" w:fill="auto"/>
            <w:noWrap/>
            <w:vAlign w:val="center"/>
            <w:hideMark/>
          </w:tcPr>
          <w:p w14:paraId="367C9A2A"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4. EMS</w:t>
            </w:r>
          </w:p>
        </w:tc>
        <w:tc>
          <w:tcPr>
            <w:tcW w:w="1403" w:type="dxa"/>
            <w:tcBorders>
              <w:top w:val="nil"/>
              <w:left w:val="nil"/>
              <w:bottom w:val="nil"/>
              <w:right w:val="nil"/>
            </w:tcBorders>
            <w:shd w:val="clear" w:color="auto" w:fill="auto"/>
            <w:noWrap/>
            <w:vAlign w:val="center"/>
            <w:hideMark/>
          </w:tcPr>
          <w:p w14:paraId="65331718" w14:textId="11DC3594"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18</w:t>
            </w:r>
            <w:r w:rsidRPr="004D2DCA">
              <w:rPr>
                <w:rFonts w:eastAsia="Times New Roman"/>
                <w:sz w:val="20"/>
                <w:szCs w:val="20"/>
                <w:vertAlign w:val="superscript"/>
                <w:lang w:val="es-CO" w:eastAsia="es-CO"/>
              </w:rPr>
              <w:t>**</w:t>
            </w:r>
          </w:p>
        </w:tc>
        <w:tc>
          <w:tcPr>
            <w:tcW w:w="1079" w:type="dxa"/>
            <w:tcBorders>
              <w:top w:val="nil"/>
              <w:left w:val="nil"/>
              <w:bottom w:val="nil"/>
              <w:right w:val="nil"/>
            </w:tcBorders>
            <w:shd w:val="clear" w:color="auto" w:fill="auto"/>
            <w:noWrap/>
            <w:vAlign w:val="center"/>
            <w:hideMark/>
          </w:tcPr>
          <w:p w14:paraId="7409EBC0" w14:textId="023159A8"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w:t>
            </w:r>
            <w:r>
              <w:rPr>
                <w:rFonts w:eastAsia="Times New Roman"/>
                <w:sz w:val="20"/>
                <w:szCs w:val="20"/>
                <w:lang w:val="es-CO" w:eastAsia="es-CO"/>
              </w:rPr>
              <w:t>.</w:t>
            </w:r>
            <w:r w:rsidRPr="00643FAC">
              <w:rPr>
                <w:rFonts w:eastAsia="Times New Roman"/>
                <w:sz w:val="20"/>
                <w:szCs w:val="20"/>
                <w:lang w:val="es-CO" w:eastAsia="es-CO"/>
              </w:rPr>
              <w:t>09</w:t>
            </w:r>
          </w:p>
        </w:tc>
        <w:tc>
          <w:tcPr>
            <w:tcW w:w="1036" w:type="dxa"/>
            <w:tcBorders>
              <w:top w:val="nil"/>
              <w:left w:val="nil"/>
              <w:bottom w:val="nil"/>
              <w:right w:val="nil"/>
            </w:tcBorders>
            <w:shd w:val="clear" w:color="auto" w:fill="auto"/>
            <w:noWrap/>
            <w:vAlign w:val="center"/>
            <w:hideMark/>
          </w:tcPr>
          <w:p w14:paraId="3BA62481" w14:textId="6BF248DD"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17</w:t>
            </w:r>
            <w:r w:rsidR="000074F5" w:rsidRPr="004D2DCA">
              <w:rPr>
                <w:rFonts w:eastAsia="Times New Roman"/>
                <w:sz w:val="20"/>
                <w:szCs w:val="20"/>
                <w:vertAlign w:val="superscript"/>
                <w:lang w:val="es-CO" w:eastAsia="es-CO"/>
              </w:rPr>
              <w:t>**</w:t>
            </w:r>
          </w:p>
        </w:tc>
        <w:tc>
          <w:tcPr>
            <w:tcW w:w="906" w:type="dxa"/>
            <w:tcBorders>
              <w:top w:val="nil"/>
              <w:left w:val="nil"/>
              <w:bottom w:val="nil"/>
              <w:right w:val="nil"/>
            </w:tcBorders>
            <w:shd w:val="clear" w:color="auto" w:fill="auto"/>
            <w:noWrap/>
            <w:vAlign w:val="center"/>
            <w:hideMark/>
          </w:tcPr>
          <w:p w14:paraId="6FD33729"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p>
        </w:tc>
        <w:tc>
          <w:tcPr>
            <w:tcW w:w="842" w:type="dxa"/>
            <w:tcBorders>
              <w:top w:val="nil"/>
              <w:left w:val="nil"/>
              <w:bottom w:val="nil"/>
              <w:right w:val="nil"/>
            </w:tcBorders>
            <w:shd w:val="clear" w:color="auto" w:fill="auto"/>
            <w:noWrap/>
            <w:vAlign w:val="center"/>
            <w:hideMark/>
          </w:tcPr>
          <w:p w14:paraId="14F818FB"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ascii="Times New Roman" w:eastAsia="Times New Roman" w:hAnsi="Times New Roman" w:cs="Times New Roman"/>
                <w:color w:val="auto"/>
                <w:sz w:val="20"/>
                <w:szCs w:val="20"/>
                <w:lang w:val="es-CO" w:eastAsia="es-CO"/>
              </w:rPr>
            </w:pPr>
          </w:p>
        </w:tc>
        <w:tc>
          <w:tcPr>
            <w:tcW w:w="971" w:type="dxa"/>
            <w:tcBorders>
              <w:top w:val="nil"/>
              <w:left w:val="nil"/>
              <w:bottom w:val="nil"/>
              <w:right w:val="nil"/>
            </w:tcBorders>
            <w:shd w:val="clear" w:color="auto" w:fill="auto"/>
            <w:noWrap/>
            <w:vAlign w:val="center"/>
            <w:hideMark/>
          </w:tcPr>
          <w:p w14:paraId="0CE31D0B"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ascii="Times New Roman" w:eastAsia="Times New Roman" w:hAnsi="Times New Roman" w:cs="Times New Roman"/>
                <w:color w:val="auto"/>
                <w:sz w:val="20"/>
                <w:szCs w:val="20"/>
                <w:lang w:val="es-CO" w:eastAsia="es-CO"/>
              </w:rPr>
            </w:pPr>
          </w:p>
        </w:tc>
        <w:tc>
          <w:tcPr>
            <w:tcW w:w="971" w:type="dxa"/>
            <w:tcBorders>
              <w:top w:val="nil"/>
              <w:left w:val="nil"/>
              <w:bottom w:val="nil"/>
              <w:right w:val="nil"/>
            </w:tcBorders>
            <w:shd w:val="clear" w:color="auto" w:fill="auto"/>
            <w:noWrap/>
            <w:vAlign w:val="center"/>
            <w:hideMark/>
          </w:tcPr>
          <w:p w14:paraId="7FDDE9E3"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ascii="Times New Roman" w:eastAsia="Times New Roman" w:hAnsi="Times New Roman" w:cs="Times New Roman"/>
                <w:color w:val="auto"/>
                <w:sz w:val="20"/>
                <w:szCs w:val="20"/>
                <w:lang w:val="es-CO" w:eastAsia="es-CO"/>
              </w:rPr>
            </w:pPr>
          </w:p>
        </w:tc>
      </w:tr>
      <w:tr w:rsidR="00643FAC" w:rsidRPr="00643FAC" w14:paraId="6FBE07CB" w14:textId="77777777" w:rsidTr="004D2DCA">
        <w:trPr>
          <w:trHeight w:val="325"/>
        </w:trPr>
        <w:tc>
          <w:tcPr>
            <w:tcW w:w="2655" w:type="dxa"/>
            <w:tcBorders>
              <w:top w:val="nil"/>
              <w:left w:val="nil"/>
              <w:bottom w:val="nil"/>
              <w:right w:val="nil"/>
            </w:tcBorders>
            <w:shd w:val="clear" w:color="auto" w:fill="auto"/>
            <w:noWrap/>
            <w:vAlign w:val="center"/>
            <w:hideMark/>
          </w:tcPr>
          <w:p w14:paraId="05C0A622"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5. IMS</w:t>
            </w:r>
          </w:p>
        </w:tc>
        <w:tc>
          <w:tcPr>
            <w:tcW w:w="1403" w:type="dxa"/>
            <w:tcBorders>
              <w:top w:val="nil"/>
              <w:left w:val="nil"/>
              <w:bottom w:val="nil"/>
              <w:right w:val="nil"/>
            </w:tcBorders>
            <w:shd w:val="clear" w:color="auto" w:fill="auto"/>
            <w:noWrap/>
            <w:vAlign w:val="center"/>
            <w:hideMark/>
          </w:tcPr>
          <w:p w14:paraId="4AB213FC" w14:textId="344553CB"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w:t>
            </w:r>
            <w:r>
              <w:rPr>
                <w:rFonts w:eastAsia="Times New Roman"/>
                <w:sz w:val="20"/>
                <w:szCs w:val="20"/>
                <w:lang w:val="es-CO" w:eastAsia="es-CO"/>
              </w:rPr>
              <w:t>.</w:t>
            </w:r>
            <w:r w:rsidRPr="00643FAC">
              <w:rPr>
                <w:rFonts w:eastAsia="Times New Roman"/>
                <w:sz w:val="20"/>
                <w:szCs w:val="20"/>
                <w:lang w:val="es-CO" w:eastAsia="es-CO"/>
              </w:rPr>
              <w:t>32</w:t>
            </w:r>
            <w:r w:rsidRPr="004D2DCA">
              <w:rPr>
                <w:rFonts w:eastAsia="Times New Roman"/>
                <w:sz w:val="20"/>
                <w:szCs w:val="20"/>
                <w:vertAlign w:val="superscript"/>
                <w:lang w:val="es-CO" w:eastAsia="es-CO"/>
              </w:rPr>
              <w:t>**</w:t>
            </w:r>
          </w:p>
        </w:tc>
        <w:tc>
          <w:tcPr>
            <w:tcW w:w="1079" w:type="dxa"/>
            <w:tcBorders>
              <w:top w:val="nil"/>
              <w:left w:val="nil"/>
              <w:bottom w:val="nil"/>
              <w:right w:val="nil"/>
            </w:tcBorders>
            <w:shd w:val="clear" w:color="auto" w:fill="auto"/>
            <w:noWrap/>
            <w:vAlign w:val="center"/>
            <w:hideMark/>
          </w:tcPr>
          <w:p w14:paraId="2CB575C7" w14:textId="69CEE26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48</w:t>
            </w:r>
            <w:r w:rsidRPr="004D2DCA">
              <w:rPr>
                <w:rFonts w:eastAsia="Times New Roman"/>
                <w:sz w:val="20"/>
                <w:szCs w:val="20"/>
                <w:vertAlign w:val="superscript"/>
                <w:lang w:val="es-CO" w:eastAsia="es-CO"/>
              </w:rPr>
              <w:t>**</w:t>
            </w:r>
          </w:p>
        </w:tc>
        <w:tc>
          <w:tcPr>
            <w:tcW w:w="1036" w:type="dxa"/>
            <w:tcBorders>
              <w:top w:val="nil"/>
              <w:left w:val="nil"/>
              <w:bottom w:val="nil"/>
              <w:right w:val="nil"/>
            </w:tcBorders>
            <w:shd w:val="clear" w:color="auto" w:fill="auto"/>
            <w:noWrap/>
            <w:vAlign w:val="center"/>
            <w:hideMark/>
          </w:tcPr>
          <w:p w14:paraId="487414DB" w14:textId="01C341E9"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06</w:t>
            </w:r>
          </w:p>
        </w:tc>
        <w:tc>
          <w:tcPr>
            <w:tcW w:w="906" w:type="dxa"/>
            <w:tcBorders>
              <w:top w:val="nil"/>
              <w:left w:val="nil"/>
              <w:bottom w:val="nil"/>
              <w:right w:val="nil"/>
            </w:tcBorders>
            <w:shd w:val="clear" w:color="auto" w:fill="auto"/>
            <w:noWrap/>
            <w:vAlign w:val="center"/>
            <w:hideMark/>
          </w:tcPr>
          <w:p w14:paraId="2850ECED" w14:textId="46B3696F"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03</w:t>
            </w:r>
          </w:p>
        </w:tc>
        <w:tc>
          <w:tcPr>
            <w:tcW w:w="842" w:type="dxa"/>
            <w:tcBorders>
              <w:top w:val="nil"/>
              <w:left w:val="nil"/>
              <w:bottom w:val="nil"/>
              <w:right w:val="nil"/>
            </w:tcBorders>
            <w:shd w:val="clear" w:color="auto" w:fill="auto"/>
            <w:noWrap/>
            <w:vAlign w:val="center"/>
            <w:hideMark/>
          </w:tcPr>
          <w:p w14:paraId="439E11FF"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p>
        </w:tc>
        <w:tc>
          <w:tcPr>
            <w:tcW w:w="971" w:type="dxa"/>
            <w:tcBorders>
              <w:top w:val="nil"/>
              <w:left w:val="nil"/>
              <w:bottom w:val="nil"/>
              <w:right w:val="nil"/>
            </w:tcBorders>
            <w:shd w:val="clear" w:color="auto" w:fill="auto"/>
            <w:noWrap/>
            <w:vAlign w:val="center"/>
            <w:hideMark/>
          </w:tcPr>
          <w:p w14:paraId="22252B92"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ascii="Times New Roman" w:eastAsia="Times New Roman" w:hAnsi="Times New Roman" w:cs="Times New Roman"/>
                <w:color w:val="auto"/>
                <w:sz w:val="20"/>
                <w:szCs w:val="20"/>
                <w:lang w:val="es-CO" w:eastAsia="es-CO"/>
              </w:rPr>
            </w:pPr>
          </w:p>
        </w:tc>
        <w:tc>
          <w:tcPr>
            <w:tcW w:w="971" w:type="dxa"/>
            <w:tcBorders>
              <w:top w:val="nil"/>
              <w:left w:val="nil"/>
              <w:bottom w:val="nil"/>
              <w:right w:val="nil"/>
            </w:tcBorders>
            <w:shd w:val="clear" w:color="auto" w:fill="auto"/>
            <w:noWrap/>
            <w:vAlign w:val="center"/>
            <w:hideMark/>
          </w:tcPr>
          <w:p w14:paraId="070541E8"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ascii="Times New Roman" w:eastAsia="Times New Roman" w:hAnsi="Times New Roman" w:cs="Times New Roman"/>
                <w:color w:val="auto"/>
                <w:sz w:val="20"/>
                <w:szCs w:val="20"/>
                <w:lang w:val="es-CO" w:eastAsia="es-CO"/>
              </w:rPr>
            </w:pPr>
          </w:p>
        </w:tc>
      </w:tr>
      <w:tr w:rsidR="00643FAC" w:rsidRPr="00643FAC" w14:paraId="5B8B4DA6" w14:textId="77777777" w:rsidTr="004D2DCA">
        <w:trPr>
          <w:trHeight w:val="325"/>
        </w:trPr>
        <w:tc>
          <w:tcPr>
            <w:tcW w:w="2655" w:type="dxa"/>
            <w:tcBorders>
              <w:top w:val="nil"/>
              <w:left w:val="nil"/>
              <w:bottom w:val="nil"/>
              <w:right w:val="nil"/>
            </w:tcBorders>
            <w:shd w:val="clear" w:color="auto" w:fill="auto"/>
            <w:noWrap/>
            <w:vAlign w:val="center"/>
            <w:hideMark/>
          </w:tcPr>
          <w:p w14:paraId="683DDE85"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6. Core Disgust</w:t>
            </w:r>
          </w:p>
        </w:tc>
        <w:tc>
          <w:tcPr>
            <w:tcW w:w="1403" w:type="dxa"/>
            <w:tcBorders>
              <w:top w:val="nil"/>
              <w:left w:val="nil"/>
              <w:bottom w:val="nil"/>
              <w:right w:val="nil"/>
            </w:tcBorders>
            <w:shd w:val="clear" w:color="auto" w:fill="auto"/>
            <w:noWrap/>
            <w:vAlign w:val="center"/>
            <w:hideMark/>
          </w:tcPr>
          <w:p w14:paraId="288E8430" w14:textId="183317A4"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03</w:t>
            </w:r>
          </w:p>
        </w:tc>
        <w:tc>
          <w:tcPr>
            <w:tcW w:w="1079" w:type="dxa"/>
            <w:tcBorders>
              <w:top w:val="nil"/>
              <w:left w:val="nil"/>
              <w:bottom w:val="nil"/>
              <w:right w:val="nil"/>
            </w:tcBorders>
            <w:shd w:val="clear" w:color="auto" w:fill="auto"/>
            <w:noWrap/>
            <w:vAlign w:val="center"/>
            <w:hideMark/>
          </w:tcPr>
          <w:p w14:paraId="7E71E02E" w14:textId="048FA028" w:rsidR="00643FAC" w:rsidRPr="00643FAC" w:rsidRDefault="000074F5">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 xml:space="preserve"> </w:t>
            </w:r>
            <w:r w:rsidR="00643FAC">
              <w:rPr>
                <w:rFonts w:eastAsia="Times New Roman"/>
                <w:sz w:val="20"/>
                <w:szCs w:val="20"/>
                <w:lang w:val="es-CO" w:eastAsia="es-CO"/>
              </w:rPr>
              <w:t>.</w:t>
            </w:r>
            <w:r w:rsidR="00643FAC" w:rsidRPr="00643FAC">
              <w:rPr>
                <w:rFonts w:eastAsia="Times New Roman"/>
                <w:sz w:val="20"/>
                <w:szCs w:val="20"/>
                <w:lang w:val="es-CO" w:eastAsia="es-CO"/>
              </w:rPr>
              <w:t>08</w:t>
            </w:r>
          </w:p>
        </w:tc>
        <w:tc>
          <w:tcPr>
            <w:tcW w:w="1036" w:type="dxa"/>
            <w:tcBorders>
              <w:top w:val="nil"/>
              <w:left w:val="nil"/>
              <w:bottom w:val="nil"/>
              <w:right w:val="nil"/>
            </w:tcBorders>
            <w:shd w:val="clear" w:color="auto" w:fill="auto"/>
            <w:noWrap/>
            <w:vAlign w:val="center"/>
            <w:hideMark/>
          </w:tcPr>
          <w:p w14:paraId="71B22E22" w14:textId="39BCC0C3"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32</w:t>
            </w:r>
            <w:r w:rsidRPr="004D2DCA">
              <w:rPr>
                <w:rFonts w:eastAsia="Times New Roman"/>
                <w:sz w:val="20"/>
                <w:szCs w:val="20"/>
                <w:vertAlign w:val="superscript"/>
                <w:lang w:val="es-CO" w:eastAsia="es-CO"/>
              </w:rPr>
              <w:t>**</w:t>
            </w:r>
          </w:p>
        </w:tc>
        <w:tc>
          <w:tcPr>
            <w:tcW w:w="906" w:type="dxa"/>
            <w:tcBorders>
              <w:top w:val="nil"/>
              <w:left w:val="nil"/>
              <w:bottom w:val="nil"/>
              <w:right w:val="nil"/>
            </w:tcBorders>
            <w:shd w:val="clear" w:color="auto" w:fill="auto"/>
            <w:noWrap/>
            <w:vAlign w:val="center"/>
            <w:hideMark/>
          </w:tcPr>
          <w:p w14:paraId="5BA0BE11" w14:textId="291FEC1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14</w:t>
            </w:r>
          </w:p>
        </w:tc>
        <w:tc>
          <w:tcPr>
            <w:tcW w:w="842" w:type="dxa"/>
            <w:tcBorders>
              <w:top w:val="nil"/>
              <w:left w:val="nil"/>
              <w:bottom w:val="nil"/>
              <w:right w:val="nil"/>
            </w:tcBorders>
            <w:shd w:val="clear" w:color="auto" w:fill="auto"/>
            <w:noWrap/>
            <w:vAlign w:val="center"/>
            <w:hideMark/>
          </w:tcPr>
          <w:p w14:paraId="40A88BC9" w14:textId="7547A5D6"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04</w:t>
            </w:r>
          </w:p>
        </w:tc>
        <w:tc>
          <w:tcPr>
            <w:tcW w:w="971" w:type="dxa"/>
            <w:tcBorders>
              <w:top w:val="nil"/>
              <w:left w:val="nil"/>
              <w:bottom w:val="nil"/>
              <w:right w:val="nil"/>
            </w:tcBorders>
            <w:shd w:val="clear" w:color="auto" w:fill="auto"/>
            <w:noWrap/>
            <w:vAlign w:val="center"/>
            <w:hideMark/>
          </w:tcPr>
          <w:p w14:paraId="1D07704B"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p>
        </w:tc>
        <w:tc>
          <w:tcPr>
            <w:tcW w:w="971" w:type="dxa"/>
            <w:tcBorders>
              <w:top w:val="nil"/>
              <w:left w:val="nil"/>
              <w:bottom w:val="nil"/>
              <w:right w:val="nil"/>
            </w:tcBorders>
            <w:shd w:val="clear" w:color="auto" w:fill="auto"/>
            <w:noWrap/>
            <w:vAlign w:val="center"/>
            <w:hideMark/>
          </w:tcPr>
          <w:p w14:paraId="416BB1A8"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ascii="Times New Roman" w:eastAsia="Times New Roman" w:hAnsi="Times New Roman" w:cs="Times New Roman"/>
                <w:color w:val="auto"/>
                <w:sz w:val="20"/>
                <w:szCs w:val="20"/>
                <w:lang w:val="es-CO" w:eastAsia="es-CO"/>
              </w:rPr>
            </w:pPr>
          </w:p>
        </w:tc>
      </w:tr>
      <w:tr w:rsidR="00643FAC" w:rsidRPr="00643FAC" w14:paraId="2384651B" w14:textId="77777777" w:rsidTr="004D2DCA">
        <w:trPr>
          <w:trHeight w:val="325"/>
        </w:trPr>
        <w:tc>
          <w:tcPr>
            <w:tcW w:w="2655" w:type="dxa"/>
            <w:tcBorders>
              <w:top w:val="nil"/>
              <w:left w:val="nil"/>
              <w:bottom w:val="nil"/>
              <w:right w:val="nil"/>
            </w:tcBorders>
            <w:shd w:val="clear" w:color="auto" w:fill="auto"/>
            <w:noWrap/>
            <w:vAlign w:val="center"/>
            <w:hideMark/>
          </w:tcPr>
          <w:p w14:paraId="0A2ECE6C"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7. Disgust-Animal</w:t>
            </w:r>
          </w:p>
        </w:tc>
        <w:tc>
          <w:tcPr>
            <w:tcW w:w="1403" w:type="dxa"/>
            <w:tcBorders>
              <w:top w:val="nil"/>
              <w:left w:val="nil"/>
              <w:bottom w:val="nil"/>
              <w:right w:val="nil"/>
            </w:tcBorders>
            <w:shd w:val="clear" w:color="auto" w:fill="auto"/>
            <w:noWrap/>
            <w:vAlign w:val="center"/>
            <w:hideMark/>
          </w:tcPr>
          <w:p w14:paraId="40B1B50A" w14:textId="13F80938"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19</w:t>
            </w:r>
            <w:r w:rsidRPr="004D2DCA">
              <w:rPr>
                <w:rFonts w:eastAsia="Times New Roman"/>
                <w:sz w:val="20"/>
                <w:szCs w:val="20"/>
                <w:vertAlign w:val="superscript"/>
                <w:lang w:val="es-CO" w:eastAsia="es-CO"/>
              </w:rPr>
              <w:t>**</w:t>
            </w:r>
          </w:p>
        </w:tc>
        <w:tc>
          <w:tcPr>
            <w:tcW w:w="1079" w:type="dxa"/>
            <w:tcBorders>
              <w:top w:val="nil"/>
              <w:left w:val="nil"/>
              <w:bottom w:val="nil"/>
              <w:right w:val="nil"/>
            </w:tcBorders>
            <w:shd w:val="clear" w:color="auto" w:fill="auto"/>
            <w:noWrap/>
            <w:vAlign w:val="center"/>
            <w:hideMark/>
          </w:tcPr>
          <w:p w14:paraId="7C7B161F" w14:textId="698BD3B7"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w:t>
            </w:r>
            <w:r>
              <w:rPr>
                <w:rFonts w:eastAsia="Times New Roman"/>
                <w:sz w:val="20"/>
                <w:szCs w:val="20"/>
                <w:lang w:val="es-CO" w:eastAsia="es-CO"/>
              </w:rPr>
              <w:t>.</w:t>
            </w:r>
            <w:r w:rsidRPr="00643FAC">
              <w:rPr>
                <w:rFonts w:eastAsia="Times New Roman"/>
                <w:sz w:val="20"/>
                <w:szCs w:val="20"/>
                <w:lang w:val="es-CO" w:eastAsia="es-CO"/>
              </w:rPr>
              <w:t>14</w:t>
            </w:r>
          </w:p>
        </w:tc>
        <w:tc>
          <w:tcPr>
            <w:tcW w:w="1036" w:type="dxa"/>
            <w:tcBorders>
              <w:top w:val="nil"/>
              <w:left w:val="nil"/>
              <w:bottom w:val="nil"/>
              <w:right w:val="nil"/>
            </w:tcBorders>
            <w:shd w:val="clear" w:color="auto" w:fill="auto"/>
            <w:noWrap/>
            <w:vAlign w:val="center"/>
            <w:hideMark/>
          </w:tcPr>
          <w:p w14:paraId="190CAD22" w14:textId="36DA06C4"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29</w:t>
            </w:r>
            <w:r w:rsidRPr="004D2DCA">
              <w:rPr>
                <w:rFonts w:eastAsia="Times New Roman"/>
                <w:sz w:val="20"/>
                <w:szCs w:val="20"/>
                <w:vertAlign w:val="superscript"/>
                <w:lang w:val="es-CO" w:eastAsia="es-CO"/>
              </w:rPr>
              <w:t>**</w:t>
            </w:r>
          </w:p>
        </w:tc>
        <w:tc>
          <w:tcPr>
            <w:tcW w:w="906" w:type="dxa"/>
            <w:tcBorders>
              <w:top w:val="nil"/>
              <w:left w:val="nil"/>
              <w:bottom w:val="nil"/>
              <w:right w:val="nil"/>
            </w:tcBorders>
            <w:shd w:val="clear" w:color="auto" w:fill="auto"/>
            <w:noWrap/>
            <w:vAlign w:val="center"/>
            <w:hideMark/>
          </w:tcPr>
          <w:p w14:paraId="165AAD39" w14:textId="18202438"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19</w:t>
            </w:r>
            <w:r w:rsidRPr="004D2DCA">
              <w:rPr>
                <w:rFonts w:eastAsia="Times New Roman"/>
                <w:sz w:val="20"/>
                <w:szCs w:val="20"/>
                <w:vertAlign w:val="superscript"/>
                <w:lang w:val="es-CO" w:eastAsia="es-CO"/>
              </w:rPr>
              <w:t>**</w:t>
            </w:r>
          </w:p>
        </w:tc>
        <w:tc>
          <w:tcPr>
            <w:tcW w:w="842" w:type="dxa"/>
            <w:tcBorders>
              <w:top w:val="nil"/>
              <w:left w:val="nil"/>
              <w:bottom w:val="nil"/>
              <w:right w:val="nil"/>
            </w:tcBorders>
            <w:shd w:val="clear" w:color="auto" w:fill="auto"/>
            <w:noWrap/>
            <w:vAlign w:val="center"/>
            <w:hideMark/>
          </w:tcPr>
          <w:p w14:paraId="2FB41C34" w14:textId="5F22CDBE"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w:t>
            </w:r>
            <w:r>
              <w:rPr>
                <w:rFonts w:eastAsia="Times New Roman"/>
                <w:sz w:val="20"/>
                <w:szCs w:val="20"/>
                <w:lang w:val="es-CO" w:eastAsia="es-CO"/>
              </w:rPr>
              <w:t>.</w:t>
            </w:r>
            <w:r w:rsidRPr="00643FAC">
              <w:rPr>
                <w:rFonts w:eastAsia="Times New Roman"/>
                <w:sz w:val="20"/>
                <w:szCs w:val="20"/>
                <w:lang w:val="es-CO" w:eastAsia="es-CO"/>
              </w:rPr>
              <w:t>02</w:t>
            </w:r>
          </w:p>
        </w:tc>
        <w:tc>
          <w:tcPr>
            <w:tcW w:w="971" w:type="dxa"/>
            <w:tcBorders>
              <w:top w:val="nil"/>
              <w:left w:val="nil"/>
              <w:bottom w:val="nil"/>
              <w:right w:val="nil"/>
            </w:tcBorders>
            <w:shd w:val="clear" w:color="auto" w:fill="auto"/>
            <w:noWrap/>
            <w:vAlign w:val="center"/>
            <w:hideMark/>
          </w:tcPr>
          <w:p w14:paraId="2BAACF15" w14:textId="0748F202"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44</w:t>
            </w:r>
            <w:r w:rsidR="000074F5" w:rsidRPr="004D2DCA">
              <w:rPr>
                <w:rFonts w:eastAsia="Times New Roman"/>
                <w:sz w:val="20"/>
                <w:szCs w:val="20"/>
                <w:vertAlign w:val="superscript"/>
                <w:lang w:val="es-CO" w:eastAsia="es-CO"/>
              </w:rPr>
              <w:t>**</w:t>
            </w:r>
          </w:p>
        </w:tc>
        <w:tc>
          <w:tcPr>
            <w:tcW w:w="971" w:type="dxa"/>
            <w:tcBorders>
              <w:top w:val="nil"/>
              <w:left w:val="nil"/>
              <w:bottom w:val="nil"/>
              <w:right w:val="nil"/>
            </w:tcBorders>
            <w:shd w:val="clear" w:color="auto" w:fill="auto"/>
            <w:noWrap/>
            <w:vAlign w:val="center"/>
            <w:hideMark/>
          </w:tcPr>
          <w:p w14:paraId="52D72A73"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p>
        </w:tc>
      </w:tr>
      <w:tr w:rsidR="00643FAC" w:rsidRPr="00643FAC" w14:paraId="7C0B2AD7" w14:textId="77777777" w:rsidTr="004D2DCA">
        <w:trPr>
          <w:trHeight w:val="325"/>
        </w:trPr>
        <w:tc>
          <w:tcPr>
            <w:tcW w:w="2655" w:type="dxa"/>
            <w:tcBorders>
              <w:top w:val="nil"/>
              <w:left w:val="nil"/>
              <w:bottom w:val="single" w:sz="4" w:space="0" w:color="auto"/>
              <w:right w:val="nil"/>
            </w:tcBorders>
            <w:shd w:val="clear" w:color="auto" w:fill="auto"/>
            <w:noWrap/>
            <w:vAlign w:val="center"/>
            <w:hideMark/>
          </w:tcPr>
          <w:p w14:paraId="292782CB" w14:textId="77777777"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8. Disgust contamination</w:t>
            </w:r>
          </w:p>
        </w:tc>
        <w:tc>
          <w:tcPr>
            <w:tcW w:w="1403" w:type="dxa"/>
            <w:tcBorders>
              <w:top w:val="nil"/>
              <w:left w:val="nil"/>
              <w:bottom w:val="single" w:sz="4" w:space="0" w:color="auto"/>
              <w:right w:val="nil"/>
            </w:tcBorders>
            <w:shd w:val="clear" w:color="auto" w:fill="auto"/>
            <w:noWrap/>
            <w:vAlign w:val="center"/>
            <w:hideMark/>
          </w:tcPr>
          <w:p w14:paraId="6BD1723F" w14:textId="2338B436"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17</w:t>
            </w:r>
            <w:r w:rsidRPr="004D2DCA">
              <w:rPr>
                <w:rFonts w:eastAsia="Times New Roman"/>
                <w:sz w:val="20"/>
                <w:szCs w:val="20"/>
                <w:vertAlign w:val="superscript"/>
                <w:lang w:val="es-CO" w:eastAsia="es-CO"/>
              </w:rPr>
              <w:t>**</w:t>
            </w:r>
          </w:p>
        </w:tc>
        <w:tc>
          <w:tcPr>
            <w:tcW w:w="1079" w:type="dxa"/>
            <w:tcBorders>
              <w:top w:val="nil"/>
              <w:left w:val="nil"/>
              <w:bottom w:val="single" w:sz="4" w:space="0" w:color="auto"/>
              <w:right w:val="nil"/>
            </w:tcBorders>
            <w:shd w:val="clear" w:color="auto" w:fill="auto"/>
            <w:noWrap/>
            <w:vAlign w:val="center"/>
            <w:hideMark/>
          </w:tcPr>
          <w:p w14:paraId="5D18C62F" w14:textId="20A248CB"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w:t>
            </w:r>
            <w:r>
              <w:rPr>
                <w:rFonts w:eastAsia="Times New Roman"/>
                <w:sz w:val="20"/>
                <w:szCs w:val="20"/>
                <w:lang w:val="es-CO" w:eastAsia="es-CO"/>
              </w:rPr>
              <w:t>.</w:t>
            </w:r>
            <w:r w:rsidRPr="00643FAC">
              <w:rPr>
                <w:rFonts w:eastAsia="Times New Roman"/>
                <w:sz w:val="20"/>
                <w:szCs w:val="20"/>
                <w:lang w:val="es-CO" w:eastAsia="es-CO"/>
              </w:rPr>
              <w:t>12</w:t>
            </w:r>
          </w:p>
        </w:tc>
        <w:tc>
          <w:tcPr>
            <w:tcW w:w="1036" w:type="dxa"/>
            <w:tcBorders>
              <w:top w:val="nil"/>
              <w:left w:val="nil"/>
              <w:bottom w:val="single" w:sz="4" w:space="0" w:color="auto"/>
              <w:right w:val="nil"/>
            </w:tcBorders>
            <w:shd w:val="clear" w:color="auto" w:fill="auto"/>
            <w:noWrap/>
            <w:vAlign w:val="center"/>
            <w:hideMark/>
          </w:tcPr>
          <w:p w14:paraId="1A77D71D" w14:textId="0E19A939"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14</w:t>
            </w:r>
          </w:p>
        </w:tc>
        <w:tc>
          <w:tcPr>
            <w:tcW w:w="906" w:type="dxa"/>
            <w:tcBorders>
              <w:top w:val="nil"/>
              <w:left w:val="nil"/>
              <w:bottom w:val="single" w:sz="4" w:space="0" w:color="auto"/>
              <w:right w:val="nil"/>
            </w:tcBorders>
            <w:shd w:val="clear" w:color="auto" w:fill="auto"/>
            <w:noWrap/>
            <w:vAlign w:val="center"/>
            <w:hideMark/>
          </w:tcPr>
          <w:p w14:paraId="02842571" w14:textId="40582021"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08</w:t>
            </w:r>
          </w:p>
        </w:tc>
        <w:tc>
          <w:tcPr>
            <w:tcW w:w="842" w:type="dxa"/>
            <w:tcBorders>
              <w:top w:val="nil"/>
              <w:left w:val="nil"/>
              <w:bottom w:val="single" w:sz="4" w:space="0" w:color="auto"/>
              <w:right w:val="nil"/>
            </w:tcBorders>
            <w:shd w:val="clear" w:color="auto" w:fill="auto"/>
            <w:noWrap/>
            <w:vAlign w:val="center"/>
            <w:hideMark/>
          </w:tcPr>
          <w:p w14:paraId="229D127B" w14:textId="17B158A5"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sidRPr="00643FAC">
              <w:rPr>
                <w:rFonts w:eastAsia="Times New Roman"/>
                <w:sz w:val="20"/>
                <w:szCs w:val="20"/>
                <w:lang w:val="es-CO" w:eastAsia="es-CO"/>
              </w:rPr>
              <w:t>-</w:t>
            </w:r>
            <w:r>
              <w:rPr>
                <w:rFonts w:eastAsia="Times New Roman"/>
                <w:sz w:val="20"/>
                <w:szCs w:val="20"/>
                <w:lang w:val="es-CO" w:eastAsia="es-CO"/>
              </w:rPr>
              <w:t>.</w:t>
            </w:r>
            <w:r w:rsidRPr="00643FAC">
              <w:rPr>
                <w:rFonts w:eastAsia="Times New Roman"/>
                <w:sz w:val="20"/>
                <w:szCs w:val="20"/>
                <w:lang w:val="es-CO" w:eastAsia="es-CO"/>
              </w:rPr>
              <w:t>12</w:t>
            </w:r>
          </w:p>
        </w:tc>
        <w:tc>
          <w:tcPr>
            <w:tcW w:w="971" w:type="dxa"/>
            <w:tcBorders>
              <w:top w:val="nil"/>
              <w:left w:val="nil"/>
              <w:bottom w:val="single" w:sz="4" w:space="0" w:color="auto"/>
              <w:right w:val="nil"/>
            </w:tcBorders>
            <w:shd w:val="clear" w:color="auto" w:fill="auto"/>
            <w:noWrap/>
            <w:vAlign w:val="center"/>
            <w:hideMark/>
          </w:tcPr>
          <w:p w14:paraId="7EDAB586" w14:textId="00B72D9D" w:rsidR="00643FAC" w:rsidRPr="00643FAC" w:rsidRDefault="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52</w:t>
            </w:r>
            <w:r w:rsidR="000074F5" w:rsidRPr="004D2DCA">
              <w:rPr>
                <w:rFonts w:eastAsia="Times New Roman"/>
                <w:sz w:val="20"/>
                <w:szCs w:val="20"/>
                <w:vertAlign w:val="superscript"/>
                <w:lang w:val="es-CO" w:eastAsia="es-CO"/>
              </w:rPr>
              <w:t>**</w:t>
            </w:r>
          </w:p>
        </w:tc>
        <w:tc>
          <w:tcPr>
            <w:tcW w:w="971" w:type="dxa"/>
            <w:tcBorders>
              <w:top w:val="nil"/>
              <w:left w:val="nil"/>
              <w:bottom w:val="single" w:sz="4" w:space="0" w:color="auto"/>
              <w:right w:val="nil"/>
            </w:tcBorders>
            <w:shd w:val="clear" w:color="auto" w:fill="auto"/>
            <w:noWrap/>
            <w:vAlign w:val="center"/>
            <w:hideMark/>
          </w:tcPr>
          <w:p w14:paraId="2772D968" w14:textId="1DE0E88E" w:rsidR="00643FAC" w:rsidRPr="00643FAC" w:rsidRDefault="00643FAC" w:rsidP="00643FA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00"/>
              <w:rPr>
                <w:rFonts w:eastAsia="Times New Roman"/>
                <w:sz w:val="20"/>
                <w:szCs w:val="20"/>
                <w:lang w:val="es-CO" w:eastAsia="es-CO"/>
              </w:rPr>
            </w:pPr>
            <w:r>
              <w:rPr>
                <w:rFonts w:eastAsia="Times New Roman"/>
                <w:sz w:val="20"/>
                <w:szCs w:val="20"/>
                <w:lang w:val="es-CO" w:eastAsia="es-CO"/>
              </w:rPr>
              <w:t>.</w:t>
            </w:r>
            <w:r w:rsidRPr="00643FAC">
              <w:rPr>
                <w:rFonts w:eastAsia="Times New Roman"/>
                <w:sz w:val="20"/>
                <w:szCs w:val="20"/>
                <w:lang w:val="es-CO" w:eastAsia="es-CO"/>
              </w:rPr>
              <w:t>44</w:t>
            </w:r>
            <w:r w:rsidR="000074F5" w:rsidRPr="004D2DCA">
              <w:rPr>
                <w:rFonts w:eastAsia="Times New Roman"/>
                <w:sz w:val="20"/>
                <w:szCs w:val="20"/>
                <w:vertAlign w:val="superscript"/>
                <w:lang w:val="es-CO" w:eastAsia="es-CO"/>
              </w:rPr>
              <w:t>**</w:t>
            </w:r>
          </w:p>
        </w:tc>
      </w:tr>
    </w:tbl>
    <w:p w14:paraId="1FDF2208" w14:textId="4EA60E04" w:rsidR="009C7FAD" w:rsidRPr="004D2DCA" w:rsidRDefault="00643FAC" w:rsidP="004D2DCA">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Calibri"/>
          <w:color w:val="auto"/>
          <w:sz w:val="20"/>
          <w:lang w:eastAsia="en-US"/>
        </w:rPr>
      </w:pPr>
      <w:r w:rsidRPr="004D2DCA">
        <w:rPr>
          <w:rFonts w:eastAsia="Calibri"/>
          <w:color w:val="auto"/>
          <w:sz w:val="20"/>
          <w:lang w:eastAsia="en-US"/>
        </w:rPr>
        <w:t>Note *α = .006</w:t>
      </w:r>
    </w:p>
    <w:p w14:paraId="5374876B" w14:textId="76A2F838" w:rsidR="00643FAC" w:rsidRDefault="00643FAC" w:rsidP="004D2DCA">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Calibri"/>
          <w:color w:val="auto"/>
          <w:sz w:val="20"/>
          <w:lang w:eastAsia="en-US"/>
        </w:rPr>
      </w:pPr>
      <w:r>
        <w:rPr>
          <w:rFonts w:eastAsia="Calibri"/>
          <w:color w:val="auto"/>
          <w:sz w:val="20"/>
          <w:lang w:eastAsia="en-US"/>
        </w:rPr>
        <w:t xml:space="preserve">        </w:t>
      </w:r>
      <w:r w:rsidRPr="004D2DCA">
        <w:rPr>
          <w:rFonts w:eastAsia="Calibri"/>
          <w:color w:val="auto"/>
          <w:sz w:val="20"/>
          <w:lang w:eastAsia="en-US"/>
        </w:rPr>
        <w:t xml:space="preserve">** </w:t>
      </w:r>
      <w:r w:rsidRPr="00643FAC">
        <w:rPr>
          <w:rFonts w:eastAsia="Calibri"/>
          <w:color w:val="auto"/>
          <w:sz w:val="20"/>
          <w:lang w:eastAsia="en-US"/>
        </w:rPr>
        <w:t>Significant</w:t>
      </w:r>
      <w:r w:rsidRPr="004D2DCA">
        <w:rPr>
          <w:rFonts w:eastAsia="Calibri"/>
          <w:color w:val="auto"/>
          <w:sz w:val="20"/>
          <w:lang w:eastAsia="en-US"/>
        </w:rPr>
        <w:t xml:space="preserve"> after Bonferroni correction</w:t>
      </w:r>
    </w:p>
    <w:p w14:paraId="3295767B" w14:textId="77777777" w:rsidR="00643FAC" w:rsidRPr="004D2DCA" w:rsidRDefault="00643FAC" w:rsidP="004D2DCA">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Calibri"/>
          <w:color w:val="auto"/>
          <w:sz w:val="20"/>
          <w:lang w:eastAsia="en-US"/>
        </w:rPr>
      </w:pPr>
    </w:p>
    <w:p w14:paraId="3F145873" w14:textId="0B22972E" w:rsidR="000F1616" w:rsidRDefault="00E07EE6" w:rsidP="00A427E8">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Two</w:t>
      </w:r>
      <w:r>
        <w:rPr>
          <w:rFonts w:eastAsia="Calibri"/>
          <w:color w:val="auto"/>
          <w:lang w:eastAsia="en-US"/>
        </w:rPr>
        <w:t xml:space="preserve"> </w:t>
      </w:r>
      <w:r w:rsidRPr="00D40C27">
        <w:rPr>
          <w:rFonts w:eastAsia="Calibri"/>
          <w:color w:val="auto"/>
          <w:lang w:eastAsia="en-US"/>
        </w:rPr>
        <w:t>mixed</w:t>
      </w:r>
      <w:r>
        <w:rPr>
          <w:rFonts w:eastAsia="Calibri"/>
          <w:color w:val="auto"/>
          <w:lang w:eastAsia="en-US"/>
        </w:rPr>
        <w:t>-</w:t>
      </w:r>
      <w:r w:rsidR="000F1616" w:rsidRPr="00D40C27">
        <w:rPr>
          <w:rFonts w:eastAsia="Calibri"/>
          <w:color w:val="auto"/>
          <w:lang w:eastAsia="en-US"/>
        </w:rPr>
        <w:t xml:space="preserve">design 3 x 2 ANCOVAs were </w:t>
      </w:r>
      <w:r>
        <w:rPr>
          <w:rFonts w:eastAsia="Calibri"/>
          <w:color w:val="auto"/>
          <w:lang w:eastAsia="en-US"/>
        </w:rPr>
        <w:t>conducted</w:t>
      </w:r>
      <w:r w:rsidRPr="00D40C27">
        <w:rPr>
          <w:rFonts w:eastAsia="Calibri"/>
          <w:color w:val="auto"/>
          <w:lang w:eastAsia="en-US"/>
        </w:rPr>
        <w:t xml:space="preserve"> </w:t>
      </w:r>
      <w:r w:rsidR="000F1616" w:rsidRPr="00D40C27">
        <w:rPr>
          <w:rFonts w:eastAsia="Calibri"/>
          <w:color w:val="auto"/>
          <w:lang w:eastAsia="en-US"/>
        </w:rPr>
        <w:t>to test differences between conditions in intergroup anxiety and avoidance intention scores following intervention factors</w:t>
      </w:r>
      <w:r w:rsidR="00172902">
        <w:rPr>
          <w:rFonts w:eastAsia="Calibri"/>
          <w:color w:val="auto"/>
          <w:lang w:eastAsia="en-US"/>
        </w:rPr>
        <w:t xml:space="preserve"> (see Table 4.4 and 4.5)</w:t>
      </w:r>
      <w:r w:rsidR="000F1616" w:rsidRPr="00D40C27">
        <w:rPr>
          <w:rFonts w:eastAsia="Calibri"/>
          <w:color w:val="auto"/>
          <w:lang w:eastAsia="en-US"/>
        </w:rPr>
        <w:t>. There was no significant effect of awareness (i.e.</w:t>
      </w:r>
      <w:r w:rsidR="00C36BD1">
        <w:rPr>
          <w:rFonts w:eastAsia="Calibri"/>
          <w:color w:val="auto"/>
          <w:lang w:eastAsia="en-US"/>
        </w:rPr>
        <w:t>,</w:t>
      </w:r>
      <w:r w:rsidR="000F1616" w:rsidRPr="00D40C27">
        <w:rPr>
          <w:rFonts w:eastAsia="Calibri"/>
          <w:color w:val="auto"/>
          <w:lang w:eastAsia="en-US"/>
        </w:rPr>
        <w:t xml:space="preserve"> awareness vs control), </w:t>
      </w:r>
      <w:r w:rsidR="000F1616" w:rsidRPr="00D40C27">
        <w:rPr>
          <w:rFonts w:eastAsia="Calibri"/>
          <w:i/>
          <w:color w:val="auto"/>
          <w:lang w:eastAsia="en-US"/>
        </w:rPr>
        <w:t>F</w:t>
      </w:r>
      <w:r w:rsidR="000F1616" w:rsidRPr="00D40C27">
        <w:rPr>
          <w:rFonts w:eastAsia="Calibri"/>
          <w:color w:val="auto"/>
          <w:lang w:eastAsia="en-US"/>
        </w:rPr>
        <w:t xml:space="preserve">(2,293) = 0.94, </w:t>
      </w:r>
      <w:r w:rsidR="000F1616" w:rsidRPr="00D40C27">
        <w:rPr>
          <w:rFonts w:eastAsia="Calibri"/>
          <w:i/>
          <w:color w:val="auto"/>
          <w:lang w:eastAsia="en-US"/>
        </w:rPr>
        <w:t xml:space="preserve">p </w:t>
      </w:r>
      <w:r w:rsidR="000F1616" w:rsidRPr="00D40C27">
        <w:rPr>
          <w:rFonts w:eastAsia="Calibri"/>
          <w:color w:val="auto"/>
          <w:lang w:eastAsia="en-US"/>
        </w:rPr>
        <w:t xml:space="preserve">= .35, ES=0.006 on intergroup anxiety levels; </w:t>
      </w:r>
      <w:r w:rsidR="000F1616" w:rsidRPr="00D40C27">
        <w:rPr>
          <w:rFonts w:eastAsia="Calibri"/>
          <w:color w:val="auto"/>
          <w:lang w:eastAsia="en-US"/>
        </w:rPr>
        <w:lastRenderedPageBreak/>
        <w:t xml:space="preserve">nor was there an effect of IC in levels of intergroup anxiety  </w:t>
      </w:r>
      <w:r w:rsidR="000F1616" w:rsidRPr="00D40C27">
        <w:rPr>
          <w:rFonts w:eastAsia="Calibri"/>
          <w:i/>
          <w:color w:val="auto"/>
          <w:lang w:eastAsia="en-US"/>
        </w:rPr>
        <w:t>F</w:t>
      </w:r>
      <w:r w:rsidR="000F1616" w:rsidRPr="00D40C27">
        <w:rPr>
          <w:rFonts w:eastAsia="Calibri"/>
          <w:color w:val="auto"/>
          <w:lang w:eastAsia="en-US"/>
        </w:rPr>
        <w:t xml:space="preserve">(293)=1.57, </w:t>
      </w:r>
      <w:r w:rsidR="000F1616" w:rsidRPr="00D40C27">
        <w:rPr>
          <w:rFonts w:eastAsia="Calibri"/>
          <w:i/>
          <w:color w:val="auto"/>
          <w:lang w:eastAsia="en-US"/>
        </w:rPr>
        <w:t>p</w:t>
      </w:r>
      <w:r w:rsidR="000F1616" w:rsidRPr="00D40C27">
        <w:rPr>
          <w:rFonts w:eastAsia="Calibri"/>
          <w:color w:val="auto"/>
          <w:lang w:eastAsia="en-US"/>
        </w:rPr>
        <w:t>=0.16 ES=0.006. See Table 4</w:t>
      </w:r>
      <w:r w:rsidR="00CD2E16">
        <w:rPr>
          <w:rFonts w:eastAsia="Calibri"/>
          <w:color w:val="auto"/>
          <w:lang w:eastAsia="en-US"/>
        </w:rPr>
        <w:t>.4</w:t>
      </w:r>
      <w:r w:rsidR="000F1616" w:rsidRPr="00D40C27">
        <w:rPr>
          <w:rFonts w:eastAsia="Calibri"/>
          <w:color w:val="auto"/>
          <w:lang w:eastAsia="en-US"/>
        </w:rPr>
        <w:t xml:space="preserve"> for intergroup anxiety estimated means.</w:t>
      </w:r>
      <w:bookmarkEnd w:id="102"/>
    </w:p>
    <w:tbl>
      <w:tblPr>
        <w:tblW w:w="9345" w:type="dxa"/>
        <w:tblLook w:val="04A0" w:firstRow="1" w:lastRow="0" w:firstColumn="1" w:lastColumn="0" w:noHBand="0" w:noVBand="1"/>
      </w:tblPr>
      <w:tblGrid>
        <w:gridCol w:w="1765"/>
        <w:gridCol w:w="1241"/>
        <w:gridCol w:w="1135"/>
        <w:gridCol w:w="1259"/>
        <w:gridCol w:w="1280"/>
        <w:gridCol w:w="1452"/>
        <w:gridCol w:w="1213"/>
      </w:tblGrid>
      <w:tr w:rsidR="00993692" w:rsidRPr="00993692" w14:paraId="2C507050" w14:textId="77777777" w:rsidTr="004D2DCA">
        <w:trPr>
          <w:trHeight w:val="715"/>
        </w:trPr>
        <w:tc>
          <w:tcPr>
            <w:tcW w:w="1765" w:type="dxa"/>
            <w:vMerge w:val="restart"/>
            <w:tcBorders>
              <w:top w:val="single" w:sz="4" w:space="0" w:color="auto"/>
              <w:left w:val="nil"/>
              <w:bottom w:val="nil"/>
              <w:right w:val="nil"/>
            </w:tcBorders>
            <w:shd w:val="clear" w:color="auto" w:fill="auto"/>
            <w:vAlign w:val="center"/>
            <w:hideMark/>
          </w:tcPr>
          <w:p w14:paraId="6F22B251" w14:textId="4A4EEA04" w:rsidR="00993692" w:rsidRPr="00993692" w:rsidRDefault="00A427E8"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bookmarkStart w:id="103" w:name="_Toc12024836"/>
            <w:r w:rsidRPr="00D40C27">
              <w:rPr>
                <w:lang w:eastAsia="en-US"/>
              </w:rPr>
              <w:t xml:space="preserve">Table </w:t>
            </w:r>
            <w:r>
              <w:rPr>
                <w:lang w:eastAsia="en-US"/>
              </w:rPr>
              <w:t>4.</w:t>
            </w:r>
            <w:r w:rsidRPr="00D40C27">
              <w:rPr>
                <w:lang w:eastAsia="en-US"/>
              </w:rPr>
              <w:t>4</w:t>
            </w:r>
            <w:r>
              <w:rPr>
                <w:lang w:eastAsia="en-US"/>
              </w:rPr>
              <w:t>.</w:t>
            </w:r>
            <w:r w:rsidRPr="00D40C27">
              <w:rPr>
                <w:lang w:eastAsia="en-US"/>
              </w:rPr>
              <w:t xml:space="preserve"> </w:t>
            </w:r>
            <w:r w:rsidR="007F2A46">
              <w:rPr>
                <w:lang w:eastAsia="en-US"/>
              </w:rPr>
              <w:t>I</w:t>
            </w:r>
            <w:r w:rsidRPr="00D40C27">
              <w:rPr>
                <w:lang w:eastAsia="en-US"/>
              </w:rPr>
              <w:t>ntergroup anxiety estimated means.</w:t>
            </w:r>
            <w:bookmarkEnd w:id="103"/>
            <w:r w:rsidR="00993692" w:rsidRPr="00A427E8" w:rsidDel="00993692">
              <w:rPr>
                <w:lang w:eastAsia="en-US"/>
              </w:rPr>
              <w:t xml:space="preserve"> </w:t>
            </w:r>
            <w:r w:rsidR="00993692" w:rsidRPr="00993692">
              <w:rPr>
                <w:rFonts w:eastAsia="Times New Roman"/>
                <w:color w:val="auto"/>
                <w:sz w:val="20"/>
                <w:szCs w:val="20"/>
              </w:rPr>
              <w:t>Awareness</w:t>
            </w:r>
          </w:p>
        </w:tc>
        <w:tc>
          <w:tcPr>
            <w:tcW w:w="1241" w:type="dxa"/>
            <w:vMerge w:val="restart"/>
            <w:tcBorders>
              <w:top w:val="single" w:sz="4" w:space="0" w:color="auto"/>
              <w:left w:val="nil"/>
              <w:bottom w:val="nil"/>
              <w:right w:val="nil"/>
            </w:tcBorders>
            <w:shd w:val="clear" w:color="auto" w:fill="auto"/>
            <w:vAlign w:val="center"/>
            <w:hideMark/>
          </w:tcPr>
          <w:p w14:paraId="211FAF96"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IC</w:t>
            </w:r>
          </w:p>
        </w:tc>
        <w:tc>
          <w:tcPr>
            <w:tcW w:w="1135" w:type="dxa"/>
            <w:vMerge w:val="restart"/>
            <w:tcBorders>
              <w:top w:val="single" w:sz="4" w:space="0" w:color="auto"/>
              <w:left w:val="nil"/>
              <w:bottom w:val="nil"/>
              <w:right w:val="nil"/>
            </w:tcBorders>
            <w:shd w:val="clear" w:color="auto" w:fill="auto"/>
            <w:vAlign w:val="center"/>
            <w:hideMark/>
          </w:tcPr>
          <w:p w14:paraId="579FBF2B"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Time</w:t>
            </w:r>
          </w:p>
        </w:tc>
        <w:tc>
          <w:tcPr>
            <w:tcW w:w="1259" w:type="dxa"/>
            <w:vMerge w:val="restart"/>
            <w:tcBorders>
              <w:top w:val="single" w:sz="4" w:space="0" w:color="auto"/>
              <w:left w:val="nil"/>
              <w:bottom w:val="nil"/>
              <w:right w:val="nil"/>
            </w:tcBorders>
            <w:shd w:val="clear" w:color="auto" w:fill="auto"/>
            <w:vAlign w:val="center"/>
            <w:hideMark/>
          </w:tcPr>
          <w:p w14:paraId="2675BEDF"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Mean</w:t>
            </w:r>
          </w:p>
        </w:tc>
        <w:tc>
          <w:tcPr>
            <w:tcW w:w="1280" w:type="dxa"/>
            <w:vMerge w:val="restart"/>
            <w:tcBorders>
              <w:top w:val="single" w:sz="4" w:space="0" w:color="auto"/>
              <w:left w:val="nil"/>
              <w:bottom w:val="nil"/>
              <w:right w:val="nil"/>
            </w:tcBorders>
            <w:shd w:val="clear" w:color="auto" w:fill="auto"/>
            <w:vAlign w:val="center"/>
            <w:hideMark/>
          </w:tcPr>
          <w:p w14:paraId="0E283A38"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Std. Error</w:t>
            </w:r>
          </w:p>
        </w:tc>
        <w:tc>
          <w:tcPr>
            <w:tcW w:w="2665" w:type="dxa"/>
            <w:gridSpan w:val="2"/>
            <w:tcBorders>
              <w:top w:val="single" w:sz="4" w:space="0" w:color="auto"/>
              <w:left w:val="nil"/>
              <w:bottom w:val="nil"/>
              <w:right w:val="nil"/>
            </w:tcBorders>
            <w:shd w:val="clear" w:color="auto" w:fill="auto"/>
            <w:vAlign w:val="center"/>
            <w:hideMark/>
          </w:tcPr>
          <w:p w14:paraId="384E3B94"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95% Confidence Interval</w:t>
            </w:r>
          </w:p>
        </w:tc>
      </w:tr>
      <w:tr w:rsidR="00993692" w:rsidRPr="00993692" w14:paraId="52583B1A" w14:textId="77777777" w:rsidTr="004D2DCA">
        <w:trPr>
          <w:trHeight w:val="504"/>
        </w:trPr>
        <w:tc>
          <w:tcPr>
            <w:tcW w:w="1765" w:type="dxa"/>
            <w:vMerge/>
            <w:tcBorders>
              <w:top w:val="single" w:sz="4" w:space="0" w:color="auto"/>
              <w:left w:val="nil"/>
              <w:bottom w:val="nil"/>
              <w:right w:val="nil"/>
            </w:tcBorders>
            <w:vAlign w:val="center"/>
            <w:hideMark/>
          </w:tcPr>
          <w:p w14:paraId="24F174D9"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41" w:type="dxa"/>
            <w:vMerge/>
            <w:tcBorders>
              <w:top w:val="single" w:sz="4" w:space="0" w:color="auto"/>
              <w:left w:val="nil"/>
              <w:bottom w:val="nil"/>
              <w:right w:val="nil"/>
            </w:tcBorders>
            <w:vAlign w:val="center"/>
            <w:hideMark/>
          </w:tcPr>
          <w:p w14:paraId="5E1C5CC1"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35" w:type="dxa"/>
            <w:vMerge/>
            <w:tcBorders>
              <w:top w:val="single" w:sz="4" w:space="0" w:color="auto"/>
              <w:left w:val="nil"/>
              <w:bottom w:val="nil"/>
              <w:right w:val="nil"/>
            </w:tcBorders>
            <w:vAlign w:val="center"/>
            <w:hideMark/>
          </w:tcPr>
          <w:p w14:paraId="011F5399"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59" w:type="dxa"/>
            <w:vMerge/>
            <w:tcBorders>
              <w:top w:val="single" w:sz="4" w:space="0" w:color="auto"/>
              <w:left w:val="nil"/>
              <w:bottom w:val="nil"/>
              <w:right w:val="nil"/>
            </w:tcBorders>
            <w:vAlign w:val="center"/>
            <w:hideMark/>
          </w:tcPr>
          <w:p w14:paraId="29D6D53F"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80" w:type="dxa"/>
            <w:vMerge/>
            <w:tcBorders>
              <w:top w:val="single" w:sz="4" w:space="0" w:color="auto"/>
              <w:left w:val="nil"/>
              <w:bottom w:val="nil"/>
              <w:right w:val="nil"/>
            </w:tcBorders>
            <w:vAlign w:val="center"/>
            <w:hideMark/>
          </w:tcPr>
          <w:p w14:paraId="31BFA25D"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452" w:type="dxa"/>
            <w:tcBorders>
              <w:top w:val="nil"/>
              <w:left w:val="nil"/>
              <w:bottom w:val="nil"/>
              <w:right w:val="nil"/>
            </w:tcBorders>
            <w:shd w:val="clear" w:color="auto" w:fill="auto"/>
            <w:vAlign w:val="center"/>
            <w:hideMark/>
          </w:tcPr>
          <w:p w14:paraId="1FC48BE9"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Lower Bound</w:t>
            </w:r>
          </w:p>
        </w:tc>
        <w:tc>
          <w:tcPr>
            <w:tcW w:w="1212" w:type="dxa"/>
            <w:tcBorders>
              <w:top w:val="nil"/>
              <w:left w:val="nil"/>
              <w:bottom w:val="nil"/>
              <w:right w:val="nil"/>
            </w:tcBorders>
            <w:shd w:val="clear" w:color="auto" w:fill="auto"/>
            <w:vAlign w:val="center"/>
            <w:hideMark/>
          </w:tcPr>
          <w:p w14:paraId="52383BBA"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Upper Bound</w:t>
            </w:r>
          </w:p>
        </w:tc>
      </w:tr>
      <w:tr w:rsidR="00993692" w:rsidRPr="00993692" w14:paraId="0127937C" w14:textId="77777777" w:rsidTr="004D2DCA">
        <w:trPr>
          <w:trHeight w:val="342"/>
        </w:trPr>
        <w:tc>
          <w:tcPr>
            <w:tcW w:w="1765" w:type="dxa"/>
            <w:vMerge w:val="restart"/>
            <w:tcBorders>
              <w:top w:val="single" w:sz="4" w:space="0" w:color="auto"/>
              <w:left w:val="nil"/>
              <w:bottom w:val="nil"/>
              <w:right w:val="nil"/>
            </w:tcBorders>
            <w:shd w:val="clear" w:color="auto" w:fill="auto"/>
            <w:vAlign w:val="center"/>
            <w:hideMark/>
          </w:tcPr>
          <w:p w14:paraId="1DE04597"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Written Awareness</w:t>
            </w:r>
          </w:p>
        </w:tc>
        <w:tc>
          <w:tcPr>
            <w:tcW w:w="1241" w:type="dxa"/>
            <w:vMerge w:val="restart"/>
            <w:tcBorders>
              <w:top w:val="single" w:sz="4" w:space="0" w:color="auto"/>
              <w:left w:val="nil"/>
              <w:bottom w:val="nil"/>
              <w:right w:val="nil"/>
            </w:tcBorders>
            <w:shd w:val="clear" w:color="auto" w:fill="auto"/>
            <w:vAlign w:val="center"/>
            <w:hideMark/>
          </w:tcPr>
          <w:p w14:paraId="3FDA6FF9"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Control</w:t>
            </w:r>
          </w:p>
        </w:tc>
        <w:tc>
          <w:tcPr>
            <w:tcW w:w="1135" w:type="dxa"/>
            <w:tcBorders>
              <w:top w:val="single" w:sz="4" w:space="0" w:color="auto"/>
              <w:left w:val="nil"/>
              <w:bottom w:val="nil"/>
              <w:right w:val="nil"/>
            </w:tcBorders>
            <w:shd w:val="clear" w:color="auto" w:fill="auto"/>
            <w:noWrap/>
            <w:vAlign w:val="center"/>
            <w:hideMark/>
          </w:tcPr>
          <w:p w14:paraId="3A066D30"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Pre-test</w:t>
            </w:r>
          </w:p>
        </w:tc>
        <w:tc>
          <w:tcPr>
            <w:tcW w:w="1259" w:type="dxa"/>
            <w:tcBorders>
              <w:top w:val="single" w:sz="4" w:space="0" w:color="auto"/>
              <w:left w:val="nil"/>
              <w:bottom w:val="nil"/>
              <w:right w:val="nil"/>
            </w:tcBorders>
            <w:shd w:val="clear" w:color="auto" w:fill="auto"/>
            <w:noWrap/>
            <w:vAlign w:val="center"/>
            <w:hideMark/>
          </w:tcPr>
          <w:p w14:paraId="23979A17"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2.99</w:t>
            </w:r>
          </w:p>
        </w:tc>
        <w:tc>
          <w:tcPr>
            <w:tcW w:w="1280" w:type="dxa"/>
            <w:tcBorders>
              <w:top w:val="single" w:sz="4" w:space="0" w:color="auto"/>
              <w:left w:val="nil"/>
              <w:bottom w:val="nil"/>
              <w:right w:val="nil"/>
            </w:tcBorders>
            <w:shd w:val="clear" w:color="auto" w:fill="auto"/>
            <w:noWrap/>
            <w:vAlign w:val="center"/>
            <w:hideMark/>
          </w:tcPr>
          <w:p w14:paraId="09FF1B0F"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0.19</w:t>
            </w:r>
          </w:p>
        </w:tc>
        <w:tc>
          <w:tcPr>
            <w:tcW w:w="1452" w:type="dxa"/>
            <w:tcBorders>
              <w:top w:val="single" w:sz="4" w:space="0" w:color="auto"/>
              <w:left w:val="nil"/>
              <w:bottom w:val="nil"/>
              <w:right w:val="nil"/>
            </w:tcBorders>
            <w:shd w:val="clear" w:color="auto" w:fill="auto"/>
            <w:noWrap/>
            <w:vAlign w:val="center"/>
            <w:hideMark/>
          </w:tcPr>
          <w:p w14:paraId="1ABDB27E"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2.63</w:t>
            </w:r>
          </w:p>
        </w:tc>
        <w:tc>
          <w:tcPr>
            <w:tcW w:w="1212" w:type="dxa"/>
            <w:tcBorders>
              <w:top w:val="single" w:sz="4" w:space="0" w:color="auto"/>
              <w:left w:val="nil"/>
              <w:bottom w:val="nil"/>
              <w:right w:val="nil"/>
            </w:tcBorders>
            <w:shd w:val="clear" w:color="auto" w:fill="auto"/>
            <w:noWrap/>
            <w:vAlign w:val="center"/>
            <w:hideMark/>
          </w:tcPr>
          <w:p w14:paraId="7A754D68"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3.36</w:t>
            </w:r>
          </w:p>
        </w:tc>
      </w:tr>
      <w:tr w:rsidR="00993692" w:rsidRPr="00993692" w14:paraId="081FD664" w14:textId="77777777" w:rsidTr="004D2DCA">
        <w:trPr>
          <w:trHeight w:val="292"/>
        </w:trPr>
        <w:tc>
          <w:tcPr>
            <w:tcW w:w="1765" w:type="dxa"/>
            <w:vMerge/>
            <w:tcBorders>
              <w:top w:val="single" w:sz="4" w:space="0" w:color="auto"/>
              <w:left w:val="nil"/>
              <w:bottom w:val="nil"/>
              <w:right w:val="nil"/>
            </w:tcBorders>
            <w:vAlign w:val="center"/>
            <w:hideMark/>
          </w:tcPr>
          <w:p w14:paraId="6651A388"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41" w:type="dxa"/>
            <w:vMerge/>
            <w:tcBorders>
              <w:top w:val="single" w:sz="4" w:space="0" w:color="auto"/>
              <w:left w:val="nil"/>
              <w:bottom w:val="nil"/>
              <w:right w:val="nil"/>
            </w:tcBorders>
            <w:vAlign w:val="center"/>
            <w:hideMark/>
          </w:tcPr>
          <w:p w14:paraId="64FB8E0B"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35" w:type="dxa"/>
            <w:tcBorders>
              <w:top w:val="nil"/>
              <w:left w:val="nil"/>
              <w:bottom w:val="nil"/>
              <w:right w:val="nil"/>
            </w:tcBorders>
            <w:shd w:val="clear" w:color="auto" w:fill="auto"/>
            <w:noWrap/>
            <w:vAlign w:val="center"/>
            <w:hideMark/>
          </w:tcPr>
          <w:p w14:paraId="2185280B"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Post-test</w:t>
            </w:r>
          </w:p>
        </w:tc>
        <w:tc>
          <w:tcPr>
            <w:tcW w:w="1259" w:type="dxa"/>
            <w:tcBorders>
              <w:top w:val="nil"/>
              <w:left w:val="nil"/>
              <w:bottom w:val="nil"/>
              <w:right w:val="nil"/>
            </w:tcBorders>
            <w:shd w:val="clear" w:color="auto" w:fill="auto"/>
            <w:noWrap/>
            <w:vAlign w:val="center"/>
            <w:hideMark/>
          </w:tcPr>
          <w:p w14:paraId="0C5E04FE"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2.51</w:t>
            </w:r>
          </w:p>
        </w:tc>
        <w:tc>
          <w:tcPr>
            <w:tcW w:w="1280" w:type="dxa"/>
            <w:tcBorders>
              <w:top w:val="nil"/>
              <w:left w:val="nil"/>
              <w:bottom w:val="nil"/>
              <w:right w:val="nil"/>
            </w:tcBorders>
            <w:shd w:val="clear" w:color="auto" w:fill="auto"/>
            <w:noWrap/>
            <w:vAlign w:val="center"/>
            <w:hideMark/>
          </w:tcPr>
          <w:p w14:paraId="0DF23355"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0.19</w:t>
            </w:r>
          </w:p>
        </w:tc>
        <w:tc>
          <w:tcPr>
            <w:tcW w:w="1452" w:type="dxa"/>
            <w:tcBorders>
              <w:top w:val="nil"/>
              <w:left w:val="nil"/>
              <w:bottom w:val="nil"/>
              <w:right w:val="nil"/>
            </w:tcBorders>
            <w:shd w:val="clear" w:color="auto" w:fill="auto"/>
            <w:noWrap/>
            <w:vAlign w:val="center"/>
            <w:hideMark/>
          </w:tcPr>
          <w:p w14:paraId="1FA7FA0E"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2.13</w:t>
            </w:r>
          </w:p>
        </w:tc>
        <w:tc>
          <w:tcPr>
            <w:tcW w:w="1212" w:type="dxa"/>
            <w:tcBorders>
              <w:top w:val="nil"/>
              <w:left w:val="nil"/>
              <w:bottom w:val="nil"/>
              <w:right w:val="nil"/>
            </w:tcBorders>
            <w:shd w:val="clear" w:color="auto" w:fill="auto"/>
            <w:noWrap/>
            <w:vAlign w:val="center"/>
            <w:hideMark/>
          </w:tcPr>
          <w:p w14:paraId="0A30AB14"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2.89</w:t>
            </w:r>
          </w:p>
        </w:tc>
      </w:tr>
      <w:tr w:rsidR="00993692" w:rsidRPr="00993692" w14:paraId="39DFF496" w14:textId="77777777" w:rsidTr="004D2DCA">
        <w:trPr>
          <w:trHeight w:val="342"/>
        </w:trPr>
        <w:tc>
          <w:tcPr>
            <w:tcW w:w="1765" w:type="dxa"/>
            <w:vMerge/>
            <w:tcBorders>
              <w:top w:val="single" w:sz="4" w:space="0" w:color="auto"/>
              <w:left w:val="nil"/>
              <w:bottom w:val="nil"/>
              <w:right w:val="nil"/>
            </w:tcBorders>
            <w:vAlign w:val="center"/>
            <w:hideMark/>
          </w:tcPr>
          <w:p w14:paraId="48706FAD"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41" w:type="dxa"/>
            <w:vMerge w:val="restart"/>
            <w:tcBorders>
              <w:top w:val="nil"/>
              <w:left w:val="nil"/>
              <w:bottom w:val="nil"/>
              <w:right w:val="nil"/>
            </w:tcBorders>
            <w:shd w:val="clear" w:color="auto" w:fill="auto"/>
            <w:vAlign w:val="center"/>
            <w:hideMark/>
          </w:tcPr>
          <w:p w14:paraId="1C792647"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Imagined contact</w:t>
            </w:r>
          </w:p>
        </w:tc>
        <w:tc>
          <w:tcPr>
            <w:tcW w:w="1135" w:type="dxa"/>
            <w:tcBorders>
              <w:top w:val="nil"/>
              <w:left w:val="nil"/>
              <w:bottom w:val="nil"/>
              <w:right w:val="nil"/>
            </w:tcBorders>
            <w:shd w:val="clear" w:color="auto" w:fill="auto"/>
            <w:noWrap/>
            <w:vAlign w:val="center"/>
            <w:hideMark/>
          </w:tcPr>
          <w:p w14:paraId="6EBE30E1"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Pre-test</w:t>
            </w:r>
          </w:p>
        </w:tc>
        <w:tc>
          <w:tcPr>
            <w:tcW w:w="1259" w:type="dxa"/>
            <w:tcBorders>
              <w:top w:val="nil"/>
              <w:left w:val="nil"/>
              <w:bottom w:val="nil"/>
              <w:right w:val="nil"/>
            </w:tcBorders>
            <w:shd w:val="clear" w:color="auto" w:fill="auto"/>
            <w:noWrap/>
            <w:vAlign w:val="center"/>
            <w:hideMark/>
          </w:tcPr>
          <w:p w14:paraId="116625B2"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2.95</w:t>
            </w:r>
          </w:p>
        </w:tc>
        <w:tc>
          <w:tcPr>
            <w:tcW w:w="1280" w:type="dxa"/>
            <w:tcBorders>
              <w:top w:val="nil"/>
              <w:left w:val="nil"/>
              <w:bottom w:val="nil"/>
              <w:right w:val="nil"/>
            </w:tcBorders>
            <w:shd w:val="clear" w:color="auto" w:fill="auto"/>
            <w:noWrap/>
            <w:vAlign w:val="center"/>
            <w:hideMark/>
          </w:tcPr>
          <w:p w14:paraId="16C0DE2E"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0.16</w:t>
            </w:r>
          </w:p>
        </w:tc>
        <w:tc>
          <w:tcPr>
            <w:tcW w:w="1452" w:type="dxa"/>
            <w:tcBorders>
              <w:top w:val="nil"/>
              <w:left w:val="nil"/>
              <w:bottom w:val="nil"/>
              <w:right w:val="nil"/>
            </w:tcBorders>
            <w:shd w:val="clear" w:color="auto" w:fill="auto"/>
            <w:noWrap/>
            <w:vAlign w:val="center"/>
            <w:hideMark/>
          </w:tcPr>
          <w:p w14:paraId="00184D40"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2.64</w:t>
            </w:r>
          </w:p>
        </w:tc>
        <w:tc>
          <w:tcPr>
            <w:tcW w:w="1212" w:type="dxa"/>
            <w:tcBorders>
              <w:top w:val="nil"/>
              <w:left w:val="nil"/>
              <w:bottom w:val="nil"/>
              <w:right w:val="nil"/>
            </w:tcBorders>
            <w:shd w:val="clear" w:color="auto" w:fill="auto"/>
            <w:noWrap/>
            <w:vAlign w:val="center"/>
            <w:hideMark/>
          </w:tcPr>
          <w:p w14:paraId="3F584F1D"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3.27</w:t>
            </w:r>
          </w:p>
        </w:tc>
      </w:tr>
      <w:tr w:rsidR="00993692" w:rsidRPr="00993692" w14:paraId="38D898CE" w14:textId="77777777" w:rsidTr="004D2DCA">
        <w:trPr>
          <w:trHeight w:val="292"/>
        </w:trPr>
        <w:tc>
          <w:tcPr>
            <w:tcW w:w="1765" w:type="dxa"/>
            <w:vMerge/>
            <w:tcBorders>
              <w:top w:val="single" w:sz="4" w:space="0" w:color="auto"/>
              <w:left w:val="nil"/>
              <w:bottom w:val="nil"/>
              <w:right w:val="nil"/>
            </w:tcBorders>
            <w:vAlign w:val="center"/>
            <w:hideMark/>
          </w:tcPr>
          <w:p w14:paraId="5FB6F8EE"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41" w:type="dxa"/>
            <w:vMerge/>
            <w:tcBorders>
              <w:top w:val="nil"/>
              <w:left w:val="nil"/>
              <w:bottom w:val="nil"/>
              <w:right w:val="nil"/>
            </w:tcBorders>
            <w:vAlign w:val="center"/>
            <w:hideMark/>
          </w:tcPr>
          <w:p w14:paraId="0978A585"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35" w:type="dxa"/>
            <w:tcBorders>
              <w:top w:val="nil"/>
              <w:left w:val="nil"/>
              <w:bottom w:val="nil"/>
              <w:right w:val="nil"/>
            </w:tcBorders>
            <w:shd w:val="clear" w:color="auto" w:fill="auto"/>
            <w:noWrap/>
            <w:vAlign w:val="center"/>
            <w:hideMark/>
          </w:tcPr>
          <w:p w14:paraId="747297BC"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Post-test</w:t>
            </w:r>
          </w:p>
        </w:tc>
        <w:tc>
          <w:tcPr>
            <w:tcW w:w="1259" w:type="dxa"/>
            <w:tcBorders>
              <w:top w:val="nil"/>
              <w:left w:val="nil"/>
              <w:bottom w:val="nil"/>
              <w:right w:val="nil"/>
            </w:tcBorders>
            <w:shd w:val="clear" w:color="auto" w:fill="auto"/>
            <w:noWrap/>
            <w:vAlign w:val="center"/>
            <w:hideMark/>
          </w:tcPr>
          <w:p w14:paraId="6B33FEE1"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2.5</w:t>
            </w:r>
          </w:p>
        </w:tc>
        <w:tc>
          <w:tcPr>
            <w:tcW w:w="1280" w:type="dxa"/>
            <w:tcBorders>
              <w:top w:val="nil"/>
              <w:left w:val="nil"/>
              <w:bottom w:val="nil"/>
              <w:right w:val="nil"/>
            </w:tcBorders>
            <w:shd w:val="clear" w:color="auto" w:fill="auto"/>
            <w:noWrap/>
            <w:vAlign w:val="center"/>
            <w:hideMark/>
          </w:tcPr>
          <w:p w14:paraId="44C5FA0B"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0.17</w:t>
            </w:r>
          </w:p>
        </w:tc>
        <w:tc>
          <w:tcPr>
            <w:tcW w:w="1452" w:type="dxa"/>
            <w:tcBorders>
              <w:top w:val="nil"/>
              <w:left w:val="nil"/>
              <w:bottom w:val="nil"/>
              <w:right w:val="nil"/>
            </w:tcBorders>
            <w:shd w:val="clear" w:color="auto" w:fill="auto"/>
            <w:noWrap/>
            <w:vAlign w:val="center"/>
            <w:hideMark/>
          </w:tcPr>
          <w:p w14:paraId="7A165F05"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2.18</w:t>
            </w:r>
          </w:p>
        </w:tc>
        <w:tc>
          <w:tcPr>
            <w:tcW w:w="1212" w:type="dxa"/>
            <w:tcBorders>
              <w:top w:val="nil"/>
              <w:left w:val="nil"/>
              <w:bottom w:val="nil"/>
              <w:right w:val="nil"/>
            </w:tcBorders>
            <w:shd w:val="clear" w:color="auto" w:fill="auto"/>
            <w:noWrap/>
            <w:vAlign w:val="center"/>
            <w:hideMark/>
          </w:tcPr>
          <w:p w14:paraId="474839A7"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2.84</w:t>
            </w:r>
          </w:p>
        </w:tc>
      </w:tr>
      <w:tr w:rsidR="00993692" w:rsidRPr="00993692" w14:paraId="311CCE12" w14:textId="77777777" w:rsidTr="004D2DCA">
        <w:trPr>
          <w:trHeight w:val="292"/>
        </w:trPr>
        <w:tc>
          <w:tcPr>
            <w:tcW w:w="1765" w:type="dxa"/>
            <w:vMerge w:val="restart"/>
            <w:tcBorders>
              <w:top w:val="nil"/>
              <w:left w:val="nil"/>
              <w:bottom w:val="nil"/>
              <w:right w:val="nil"/>
            </w:tcBorders>
            <w:shd w:val="clear" w:color="auto" w:fill="auto"/>
            <w:vAlign w:val="center"/>
            <w:hideMark/>
          </w:tcPr>
          <w:p w14:paraId="686AE835"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Media</w:t>
            </w:r>
          </w:p>
        </w:tc>
        <w:tc>
          <w:tcPr>
            <w:tcW w:w="1241" w:type="dxa"/>
            <w:vMerge w:val="restart"/>
            <w:tcBorders>
              <w:top w:val="nil"/>
              <w:left w:val="nil"/>
              <w:bottom w:val="nil"/>
              <w:right w:val="nil"/>
            </w:tcBorders>
            <w:shd w:val="clear" w:color="auto" w:fill="auto"/>
            <w:vAlign w:val="center"/>
            <w:hideMark/>
          </w:tcPr>
          <w:p w14:paraId="685B1D22"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Control</w:t>
            </w:r>
          </w:p>
        </w:tc>
        <w:tc>
          <w:tcPr>
            <w:tcW w:w="1135" w:type="dxa"/>
            <w:tcBorders>
              <w:top w:val="nil"/>
              <w:left w:val="nil"/>
              <w:bottom w:val="nil"/>
              <w:right w:val="nil"/>
            </w:tcBorders>
            <w:shd w:val="clear" w:color="auto" w:fill="auto"/>
            <w:noWrap/>
            <w:vAlign w:val="center"/>
            <w:hideMark/>
          </w:tcPr>
          <w:p w14:paraId="0A798011"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Pre-test</w:t>
            </w:r>
          </w:p>
        </w:tc>
        <w:tc>
          <w:tcPr>
            <w:tcW w:w="1259" w:type="dxa"/>
            <w:tcBorders>
              <w:top w:val="nil"/>
              <w:left w:val="nil"/>
              <w:bottom w:val="nil"/>
              <w:right w:val="nil"/>
            </w:tcBorders>
            <w:shd w:val="clear" w:color="auto" w:fill="auto"/>
            <w:noWrap/>
            <w:vAlign w:val="center"/>
            <w:hideMark/>
          </w:tcPr>
          <w:p w14:paraId="7232B010"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2.65</w:t>
            </w:r>
          </w:p>
        </w:tc>
        <w:tc>
          <w:tcPr>
            <w:tcW w:w="1280" w:type="dxa"/>
            <w:tcBorders>
              <w:top w:val="nil"/>
              <w:left w:val="nil"/>
              <w:bottom w:val="nil"/>
              <w:right w:val="nil"/>
            </w:tcBorders>
            <w:shd w:val="clear" w:color="auto" w:fill="auto"/>
            <w:noWrap/>
            <w:vAlign w:val="center"/>
            <w:hideMark/>
          </w:tcPr>
          <w:p w14:paraId="1D99563E"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0.17</w:t>
            </w:r>
          </w:p>
        </w:tc>
        <w:tc>
          <w:tcPr>
            <w:tcW w:w="1452" w:type="dxa"/>
            <w:tcBorders>
              <w:top w:val="nil"/>
              <w:left w:val="nil"/>
              <w:bottom w:val="nil"/>
              <w:right w:val="nil"/>
            </w:tcBorders>
            <w:shd w:val="clear" w:color="auto" w:fill="auto"/>
            <w:noWrap/>
            <w:vAlign w:val="center"/>
            <w:hideMark/>
          </w:tcPr>
          <w:p w14:paraId="1E8E48E4"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2.32</w:t>
            </w:r>
          </w:p>
        </w:tc>
        <w:tc>
          <w:tcPr>
            <w:tcW w:w="1212" w:type="dxa"/>
            <w:tcBorders>
              <w:top w:val="nil"/>
              <w:left w:val="nil"/>
              <w:bottom w:val="nil"/>
              <w:right w:val="nil"/>
            </w:tcBorders>
            <w:shd w:val="clear" w:color="auto" w:fill="auto"/>
            <w:noWrap/>
            <w:vAlign w:val="center"/>
            <w:hideMark/>
          </w:tcPr>
          <w:p w14:paraId="538F076D"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2.99</w:t>
            </w:r>
          </w:p>
        </w:tc>
      </w:tr>
      <w:tr w:rsidR="00993692" w:rsidRPr="00993692" w14:paraId="5E6DB3E4" w14:textId="77777777" w:rsidTr="004D2DCA">
        <w:trPr>
          <w:trHeight w:val="292"/>
        </w:trPr>
        <w:tc>
          <w:tcPr>
            <w:tcW w:w="1765" w:type="dxa"/>
            <w:vMerge/>
            <w:tcBorders>
              <w:top w:val="nil"/>
              <w:left w:val="nil"/>
              <w:bottom w:val="nil"/>
              <w:right w:val="nil"/>
            </w:tcBorders>
            <w:vAlign w:val="center"/>
            <w:hideMark/>
          </w:tcPr>
          <w:p w14:paraId="391A4A7A"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41" w:type="dxa"/>
            <w:vMerge/>
            <w:tcBorders>
              <w:top w:val="nil"/>
              <w:left w:val="nil"/>
              <w:bottom w:val="nil"/>
              <w:right w:val="nil"/>
            </w:tcBorders>
            <w:vAlign w:val="center"/>
            <w:hideMark/>
          </w:tcPr>
          <w:p w14:paraId="40A7FE2A"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35" w:type="dxa"/>
            <w:tcBorders>
              <w:top w:val="nil"/>
              <w:left w:val="nil"/>
              <w:bottom w:val="nil"/>
              <w:right w:val="nil"/>
            </w:tcBorders>
            <w:shd w:val="clear" w:color="auto" w:fill="auto"/>
            <w:noWrap/>
            <w:vAlign w:val="center"/>
            <w:hideMark/>
          </w:tcPr>
          <w:p w14:paraId="07CE74EB"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Post-test</w:t>
            </w:r>
          </w:p>
        </w:tc>
        <w:tc>
          <w:tcPr>
            <w:tcW w:w="1259" w:type="dxa"/>
            <w:tcBorders>
              <w:top w:val="nil"/>
              <w:left w:val="nil"/>
              <w:bottom w:val="nil"/>
              <w:right w:val="nil"/>
            </w:tcBorders>
            <w:shd w:val="clear" w:color="auto" w:fill="auto"/>
            <w:noWrap/>
            <w:vAlign w:val="center"/>
            <w:hideMark/>
          </w:tcPr>
          <w:p w14:paraId="1667FED1"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2.4</w:t>
            </w:r>
          </w:p>
        </w:tc>
        <w:tc>
          <w:tcPr>
            <w:tcW w:w="1280" w:type="dxa"/>
            <w:tcBorders>
              <w:top w:val="nil"/>
              <w:left w:val="nil"/>
              <w:bottom w:val="nil"/>
              <w:right w:val="nil"/>
            </w:tcBorders>
            <w:shd w:val="clear" w:color="auto" w:fill="auto"/>
            <w:noWrap/>
            <w:vAlign w:val="center"/>
            <w:hideMark/>
          </w:tcPr>
          <w:p w14:paraId="2EA7482E"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0.18</w:t>
            </w:r>
          </w:p>
        </w:tc>
        <w:tc>
          <w:tcPr>
            <w:tcW w:w="1452" w:type="dxa"/>
            <w:tcBorders>
              <w:top w:val="nil"/>
              <w:left w:val="nil"/>
              <w:bottom w:val="nil"/>
              <w:right w:val="nil"/>
            </w:tcBorders>
            <w:shd w:val="clear" w:color="auto" w:fill="auto"/>
            <w:noWrap/>
            <w:vAlign w:val="center"/>
            <w:hideMark/>
          </w:tcPr>
          <w:p w14:paraId="6288E5A6"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2.05</w:t>
            </w:r>
          </w:p>
        </w:tc>
        <w:tc>
          <w:tcPr>
            <w:tcW w:w="1212" w:type="dxa"/>
            <w:tcBorders>
              <w:top w:val="nil"/>
              <w:left w:val="nil"/>
              <w:bottom w:val="nil"/>
              <w:right w:val="nil"/>
            </w:tcBorders>
            <w:shd w:val="clear" w:color="auto" w:fill="auto"/>
            <w:noWrap/>
            <w:vAlign w:val="center"/>
            <w:hideMark/>
          </w:tcPr>
          <w:p w14:paraId="38DF0272"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2.75</w:t>
            </w:r>
          </w:p>
        </w:tc>
      </w:tr>
      <w:tr w:rsidR="00993692" w:rsidRPr="00993692" w14:paraId="11F185BF" w14:textId="77777777" w:rsidTr="004D2DCA">
        <w:trPr>
          <w:trHeight w:val="302"/>
        </w:trPr>
        <w:tc>
          <w:tcPr>
            <w:tcW w:w="1765" w:type="dxa"/>
            <w:vMerge/>
            <w:tcBorders>
              <w:top w:val="nil"/>
              <w:left w:val="nil"/>
              <w:bottom w:val="nil"/>
              <w:right w:val="nil"/>
            </w:tcBorders>
            <w:vAlign w:val="center"/>
            <w:hideMark/>
          </w:tcPr>
          <w:p w14:paraId="319B21EC"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41" w:type="dxa"/>
            <w:vMerge w:val="restart"/>
            <w:tcBorders>
              <w:top w:val="nil"/>
              <w:left w:val="nil"/>
              <w:bottom w:val="nil"/>
              <w:right w:val="nil"/>
            </w:tcBorders>
            <w:shd w:val="clear" w:color="auto" w:fill="auto"/>
            <w:vAlign w:val="center"/>
            <w:hideMark/>
          </w:tcPr>
          <w:p w14:paraId="27712A63"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Imagined contact</w:t>
            </w:r>
          </w:p>
        </w:tc>
        <w:tc>
          <w:tcPr>
            <w:tcW w:w="1135" w:type="dxa"/>
            <w:tcBorders>
              <w:top w:val="nil"/>
              <w:left w:val="nil"/>
              <w:bottom w:val="nil"/>
              <w:right w:val="nil"/>
            </w:tcBorders>
            <w:shd w:val="clear" w:color="auto" w:fill="auto"/>
            <w:noWrap/>
            <w:vAlign w:val="center"/>
            <w:hideMark/>
          </w:tcPr>
          <w:p w14:paraId="3B73CEAA"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Pre-test</w:t>
            </w:r>
          </w:p>
        </w:tc>
        <w:tc>
          <w:tcPr>
            <w:tcW w:w="1259" w:type="dxa"/>
            <w:tcBorders>
              <w:top w:val="nil"/>
              <w:left w:val="nil"/>
              <w:bottom w:val="nil"/>
              <w:right w:val="nil"/>
            </w:tcBorders>
            <w:shd w:val="clear" w:color="auto" w:fill="auto"/>
            <w:noWrap/>
            <w:vAlign w:val="center"/>
            <w:hideMark/>
          </w:tcPr>
          <w:p w14:paraId="64CC1A29"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3.14</w:t>
            </w:r>
          </w:p>
        </w:tc>
        <w:tc>
          <w:tcPr>
            <w:tcW w:w="1280" w:type="dxa"/>
            <w:tcBorders>
              <w:top w:val="nil"/>
              <w:left w:val="nil"/>
              <w:bottom w:val="nil"/>
              <w:right w:val="nil"/>
            </w:tcBorders>
            <w:shd w:val="clear" w:color="auto" w:fill="auto"/>
            <w:noWrap/>
            <w:vAlign w:val="center"/>
            <w:hideMark/>
          </w:tcPr>
          <w:p w14:paraId="05147EE6"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0.19</w:t>
            </w:r>
          </w:p>
        </w:tc>
        <w:tc>
          <w:tcPr>
            <w:tcW w:w="1452" w:type="dxa"/>
            <w:tcBorders>
              <w:top w:val="nil"/>
              <w:left w:val="nil"/>
              <w:bottom w:val="nil"/>
              <w:right w:val="nil"/>
            </w:tcBorders>
            <w:shd w:val="clear" w:color="auto" w:fill="auto"/>
            <w:noWrap/>
            <w:vAlign w:val="center"/>
            <w:hideMark/>
          </w:tcPr>
          <w:p w14:paraId="7E54F586"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2.77</w:t>
            </w:r>
          </w:p>
        </w:tc>
        <w:tc>
          <w:tcPr>
            <w:tcW w:w="1212" w:type="dxa"/>
            <w:tcBorders>
              <w:top w:val="nil"/>
              <w:left w:val="nil"/>
              <w:bottom w:val="nil"/>
              <w:right w:val="nil"/>
            </w:tcBorders>
            <w:shd w:val="clear" w:color="auto" w:fill="auto"/>
            <w:noWrap/>
            <w:vAlign w:val="center"/>
            <w:hideMark/>
          </w:tcPr>
          <w:p w14:paraId="1C5C09D2"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3.52</w:t>
            </w:r>
          </w:p>
        </w:tc>
      </w:tr>
      <w:tr w:rsidR="00993692" w:rsidRPr="00993692" w14:paraId="4C2DAA10" w14:textId="77777777" w:rsidTr="004D2DCA">
        <w:trPr>
          <w:trHeight w:val="292"/>
        </w:trPr>
        <w:tc>
          <w:tcPr>
            <w:tcW w:w="1765" w:type="dxa"/>
            <w:vMerge/>
            <w:tcBorders>
              <w:top w:val="nil"/>
              <w:left w:val="nil"/>
              <w:bottom w:val="nil"/>
              <w:right w:val="nil"/>
            </w:tcBorders>
            <w:vAlign w:val="center"/>
            <w:hideMark/>
          </w:tcPr>
          <w:p w14:paraId="79A4BCA9"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41" w:type="dxa"/>
            <w:vMerge/>
            <w:tcBorders>
              <w:top w:val="nil"/>
              <w:left w:val="nil"/>
              <w:bottom w:val="nil"/>
              <w:right w:val="nil"/>
            </w:tcBorders>
            <w:vAlign w:val="center"/>
            <w:hideMark/>
          </w:tcPr>
          <w:p w14:paraId="3FE69C27"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35" w:type="dxa"/>
            <w:tcBorders>
              <w:top w:val="nil"/>
              <w:left w:val="nil"/>
              <w:bottom w:val="nil"/>
              <w:right w:val="nil"/>
            </w:tcBorders>
            <w:shd w:val="clear" w:color="auto" w:fill="auto"/>
            <w:noWrap/>
            <w:vAlign w:val="center"/>
            <w:hideMark/>
          </w:tcPr>
          <w:p w14:paraId="0D014848"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Post-test</w:t>
            </w:r>
          </w:p>
        </w:tc>
        <w:tc>
          <w:tcPr>
            <w:tcW w:w="1259" w:type="dxa"/>
            <w:tcBorders>
              <w:top w:val="nil"/>
              <w:left w:val="nil"/>
              <w:bottom w:val="nil"/>
              <w:right w:val="nil"/>
            </w:tcBorders>
            <w:shd w:val="clear" w:color="auto" w:fill="auto"/>
            <w:noWrap/>
            <w:vAlign w:val="center"/>
            <w:hideMark/>
          </w:tcPr>
          <w:p w14:paraId="053EA9E8"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2.59</w:t>
            </w:r>
          </w:p>
        </w:tc>
        <w:tc>
          <w:tcPr>
            <w:tcW w:w="1280" w:type="dxa"/>
            <w:tcBorders>
              <w:top w:val="nil"/>
              <w:left w:val="nil"/>
              <w:bottom w:val="nil"/>
              <w:right w:val="nil"/>
            </w:tcBorders>
            <w:shd w:val="clear" w:color="auto" w:fill="auto"/>
            <w:noWrap/>
            <w:vAlign w:val="center"/>
            <w:hideMark/>
          </w:tcPr>
          <w:p w14:paraId="5008E227"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0.20</w:t>
            </w:r>
          </w:p>
        </w:tc>
        <w:tc>
          <w:tcPr>
            <w:tcW w:w="1452" w:type="dxa"/>
            <w:tcBorders>
              <w:top w:val="nil"/>
              <w:left w:val="nil"/>
              <w:bottom w:val="nil"/>
              <w:right w:val="nil"/>
            </w:tcBorders>
            <w:shd w:val="clear" w:color="auto" w:fill="auto"/>
            <w:noWrap/>
            <w:vAlign w:val="center"/>
            <w:hideMark/>
          </w:tcPr>
          <w:p w14:paraId="7FD8C6D5"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2.20</w:t>
            </w:r>
          </w:p>
        </w:tc>
        <w:tc>
          <w:tcPr>
            <w:tcW w:w="1212" w:type="dxa"/>
            <w:tcBorders>
              <w:top w:val="nil"/>
              <w:left w:val="nil"/>
              <w:bottom w:val="nil"/>
              <w:right w:val="nil"/>
            </w:tcBorders>
            <w:shd w:val="clear" w:color="auto" w:fill="auto"/>
            <w:noWrap/>
            <w:vAlign w:val="center"/>
            <w:hideMark/>
          </w:tcPr>
          <w:p w14:paraId="3A50E353"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2.98</w:t>
            </w:r>
          </w:p>
        </w:tc>
      </w:tr>
      <w:tr w:rsidR="00993692" w:rsidRPr="00993692" w14:paraId="2CEAC608" w14:textId="77777777" w:rsidTr="004D2DCA">
        <w:trPr>
          <w:trHeight w:val="292"/>
        </w:trPr>
        <w:tc>
          <w:tcPr>
            <w:tcW w:w="1765" w:type="dxa"/>
            <w:vMerge w:val="restart"/>
            <w:tcBorders>
              <w:top w:val="nil"/>
              <w:left w:val="nil"/>
              <w:bottom w:val="single" w:sz="4" w:space="0" w:color="000000"/>
              <w:right w:val="nil"/>
            </w:tcBorders>
            <w:shd w:val="clear" w:color="auto" w:fill="auto"/>
            <w:vAlign w:val="center"/>
            <w:hideMark/>
          </w:tcPr>
          <w:p w14:paraId="0EE20986"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Control Education</w:t>
            </w:r>
          </w:p>
        </w:tc>
        <w:tc>
          <w:tcPr>
            <w:tcW w:w="1241" w:type="dxa"/>
            <w:vMerge w:val="restart"/>
            <w:tcBorders>
              <w:top w:val="nil"/>
              <w:left w:val="nil"/>
              <w:bottom w:val="nil"/>
              <w:right w:val="nil"/>
            </w:tcBorders>
            <w:shd w:val="clear" w:color="auto" w:fill="auto"/>
            <w:vAlign w:val="center"/>
            <w:hideMark/>
          </w:tcPr>
          <w:p w14:paraId="109407C4"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Control</w:t>
            </w:r>
          </w:p>
        </w:tc>
        <w:tc>
          <w:tcPr>
            <w:tcW w:w="1135" w:type="dxa"/>
            <w:tcBorders>
              <w:top w:val="nil"/>
              <w:left w:val="nil"/>
              <w:bottom w:val="nil"/>
              <w:right w:val="nil"/>
            </w:tcBorders>
            <w:shd w:val="clear" w:color="auto" w:fill="auto"/>
            <w:noWrap/>
            <w:vAlign w:val="center"/>
            <w:hideMark/>
          </w:tcPr>
          <w:p w14:paraId="19FA9284"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Pre-test</w:t>
            </w:r>
          </w:p>
        </w:tc>
        <w:tc>
          <w:tcPr>
            <w:tcW w:w="1259" w:type="dxa"/>
            <w:tcBorders>
              <w:top w:val="nil"/>
              <w:left w:val="nil"/>
              <w:bottom w:val="nil"/>
              <w:right w:val="nil"/>
            </w:tcBorders>
            <w:shd w:val="clear" w:color="auto" w:fill="auto"/>
            <w:noWrap/>
            <w:vAlign w:val="center"/>
            <w:hideMark/>
          </w:tcPr>
          <w:p w14:paraId="3CD3A127"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3.2</w:t>
            </w:r>
          </w:p>
        </w:tc>
        <w:tc>
          <w:tcPr>
            <w:tcW w:w="1280" w:type="dxa"/>
            <w:tcBorders>
              <w:top w:val="nil"/>
              <w:left w:val="nil"/>
              <w:bottom w:val="nil"/>
              <w:right w:val="nil"/>
            </w:tcBorders>
            <w:shd w:val="clear" w:color="auto" w:fill="auto"/>
            <w:noWrap/>
            <w:vAlign w:val="center"/>
            <w:hideMark/>
          </w:tcPr>
          <w:p w14:paraId="1DDA2EC9"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0.16</w:t>
            </w:r>
          </w:p>
        </w:tc>
        <w:tc>
          <w:tcPr>
            <w:tcW w:w="1452" w:type="dxa"/>
            <w:tcBorders>
              <w:top w:val="nil"/>
              <w:left w:val="nil"/>
              <w:bottom w:val="nil"/>
              <w:right w:val="nil"/>
            </w:tcBorders>
            <w:shd w:val="clear" w:color="auto" w:fill="auto"/>
            <w:noWrap/>
            <w:vAlign w:val="center"/>
            <w:hideMark/>
          </w:tcPr>
          <w:p w14:paraId="564191C9"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2.89</w:t>
            </w:r>
          </w:p>
        </w:tc>
        <w:tc>
          <w:tcPr>
            <w:tcW w:w="1212" w:type="dxa"/>
            <w:tcBorders>
              <w:top w:val="nil"/>
              <w:left w:val="nil"/>
              <w:bottom w:val="nil"/>
              <w:right w:val="nil"/>
            </w:tcBorders>
            <w:shd w:val="clear" w:color="auto" w:fill="auto"/>
            <w:noWrap/>
            <w:vAlign w:val="center"/>
            <w:hideMark/>
          </w:tcPr>
          <w:p w14:paraId="2C82B1C6"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3.51</w:t>
            </w:r>
          </w:p>
        </w:tc>
      </w:tr>
      <w:tr w:rsidR="00993692" w:rsidRPr="00993692" w14:paraId="46A840E4" w14:textId="77777777" w:rsidTr="004D2DCA">
        <w:trPr>
          <w:trHeight w:val="292"/>
        </w:trPr>
        <w:tc>
          <w:tcPr>
            <w:tcW w:w="1765" w:type="dxa"/>
            <w:vMerge/>
            <w:tcBorders>
              <w:top w:val="nil"/>
              <w:left w:val="nil"/>
              <w:bottom w:val="single" w:sz="4" w:space="0" w:color="000000"/>
              <w:right w:val="nil"/>
            </w:tcBorders>
            <w:vAlign w:val="center"/>
            <w:hideMark/>
          </w:tcPr>
          <w:p w14:paraId="45BBF739"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41" w:type="dxa"/>
            <w:vMerge/>
            <w:tcBorders>
              <w:top w:val="nil"/>
              <w:left w:val="nil"/>
              <w:bottom w:val="nil"/>
              <w:right w:val="nil"/>
            </w:tcBorders>
            <w:vAlign w:val="center"/>
            <w:hideMark/>
          </w:tcPr>
          <w:p w14:paraId="57082923"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35" w:type="dxa"/>
            <w:tcBorders>
              <w:top w:val="nil"/>
              <w:left w:val="nil"/>
              <w:bottom w:val="nil"/>
              <w:right w:val="nil"/>
            </w:tcBorders>
            <w:shd w:val="clear" w:color="auto" w:fill="auto"/>
            <w:noWrap/>
            <w:vAlign w:val="center"/>
            <w:hideMark/>
          </w:tcPr>
          <w:p w14:paraId="6F1EFEFA"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Post-test</w:t>
            </w:r>
          </w:p>
        </w:tc>
        <w:tc>
          <w:tcPr>
            <w:tcW w:w="1259" w:type="dxa"/>
            <w:tcBorders>
              <w:top w:val="nil"/>
              <w:left w:val="nil"/>
              <w:bottom w:val="nil"/>
              <w:right w:val="nil"/>
            </w:tcBorders>
            <w:shd w:val="clear" w:color="auto" w:fill="auto"/>
            <w:noWrap/>
            <w:vAlign w:val="center"/>
            <w:hideMark/>
          </w:tcPr>
          <w:p w14:paraId="13289FCE"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2.95</w:t>
            </w:r>
          </w:p>
        </w:tc>
        <w:tc>
          <w:tcPr>
            <w:tcW w:w="1280" w:type="dxa"/>
            <w:tcBorders>
              <w:top w:val="nil"/>
              <w:left w:val="nil"/>
              <w:bottom w:val="nil"/>
              <w:right w:val="nil"/>
            </w:tcBorders>
            <w:shd w:val="clear" w:color="auto" w:fill="auto"/>
            <w:noWrap/>
            <w:vAlign w:val="center"/>
            <w:hideMark/>
          </w:tcPr>
          <w:p w14:paraId="1887535E"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0.16</w:t>
            </w:r>
          </w:p>
        </w:tc>
        <w:tc>
          <w:tcPr>
            <w:tcW w:w="1452" w:type="dxa"/>
            <w:tcBorders>
              <w:top w:val="nil"/>
              <w:left w:val="nil"/>
              <w:bottom w:val="nil"/>
              <w:right w:val="nil"/>
            </w:tcBorders>
            <w:shd w:val="clear" w:color="auto" w:fill="auto"/>
            <w:noWrap/>
            <w:vAlign w:val="center"/>
            <w:hideMark/>
          </w:tcPr>
          <w:p w14:paraId="1A95F319"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2.64</w:t>
            </w:r>
          </w:p>
        </w:tc>
        <w:tc>
          <w:tcPr>
            <w:tcW w:w="1212" w:type="dxa"/>
            <w:tcBorders>
              <w:top w:val="nil"/>
              <w:left w:val="nil"/>
              <w:bottom w:val="nil"/>
              <w:right w:val="nil"/>
            </w:tcBorders>
            <w:shd w:val="clear" w:color="auto" w:fill="auto"/>
            <w:noWrap/>
            <w:vAlign w:val="center"/>
            <w:hideMark/>
          </w:tcPr>
          <w:p w14:paraId="059BD788"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3.28</w:t>
            </w:r>
          </w:p>
        </w:tc>
      </w:tr>
      <w:tr w:rsidR="00993692" w:rsidRPr="00993692" w14:paraId="526FBF8E" w14:textId="77777777" w:rsidTr="004D2DCA">
        <w:trPr>
          <w:trHeight w:val="463"/>
        </w:trPr>
        <w:tc>
          <w:tcPr>
            <w:tcW w:w="1765" w:type="dxa"/>
            <w:vMerge/>
            <w:tcBorders>
              <w:top w:val="nil"/>
              <w:left w:val="nil"/>
              <w:bottom w:val="single" w:sz="4" w:space="0" w:color="000000"/>
              <w:right w:val="nil"/>
            </w:tcBorders>
            <w:vAlign w:val="center"/>
            <w:hideMark/>
          </w:tcPr>
          <w:p w14:paraId="3FCE456B"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41" w:type="dxa"/>
            <w:vMerge w:val="restart"/>
            <w:tcBorders>
              <w:top w:val="nil"/>
              <w:left w:val="nil"/>
              <w:bottom w:val="single" w:sz="4" w:space="0" w:color="000000"/>
              <w:right w:val="nil"/>
            </w:tcBorders>
            <w:shd w:val="clear" w:color="auto" w:fill="auto"/>
            <w:vAlign w:val="center"/>
            <w:hideMark/>
          </w:tcPr>
          <w:p w14:paraId="6749E47F"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Imagined contact</w:t>
            </w:r>
          </w:p>
        </w:tc>
        <w:tc>
          <w:tcPr>
            <w:tcW w:w="1135" w:type="dxa"/>
            <w:tcBorders>
              <w:top w:val="nil"/>
              <w:left w:val="nil"/>
              <w:bottom w:val="nil"/>
              <w:right w:val="nil"/>
            </w:tcBorders>
            <w:shd w:val="clear" w:color="auto" w:fill="auto"/>
            <w:noWrap/>
            <w:vAlign w:val="center"/>
            <w:hideMark/>
          </w:tcPr>
          <w:p w14:paraId="18CFD90B"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Pre-test</w:t>
            </w:r>
          </w:p>
        </w:tc>
        <w:tc>
          <w:tcPr>
            <w:tcW w:w="1259" w:type="dxa"/>
            <w:tcBorders>
              <w:top w:val="nil"/>
              <w:left w:val="nil"/>
              <w:bottom w:val="nil"/>
              <w:right w:val="nil"/>
            </w:tcBorders>
            <w:shd w:val="clear" w:color="auto" w:fill="auto"/>
            <w:noWrap/>
            <w:vAlign w:val="center"/>
            <w:hideMark/>
          </w:tcPr>
          <w:p w14:paraId="78C64CF7" w14:textId="77777777" w:rsidR="00993692" w:rsidRPr="004D2DCA"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rPr>
            </w:pPr>
            <w:r w:rsidRPr="00993692">
              <w:rPr>
                <w:rFonts w:eastAsia="Times New Roman"/>
                <w:color w:val="auto"/>
                <w:sz w:val="20"/>
                <w:szCs w:val="20"/>
              </w:rPr>
              <w:t>2.95</w:t>
            </w:r>
          </w:p>
        </w:tc>
        <w:tc>
          <w:tcPr>
            <w:tcW w:w="1280" w:type="dxa"/>
            <w:tcBorders>
              <w:top w:val="nil"/>
              <w:left w:val="nil"/>
              <w:bottom w:val="nil"/>
              <w:right w:val="nil"/>
            </w:tcBorders>
            <w:shd w:val="clear" w:color="auto" w:fill="auto"/>
            <w:noWrap/>
            <w:vAlign w:val="center"/>
            <w:hideMark/>
          </w:tcPr>
          <w:p w14:paraId="6A8394FE"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0.18</w:t>
            </w:r>
          </w:p>
        </w:tc>
        <w:tc>
          <w:tcPr>
            <w:tcW w:w="1452" w:type="dxa"/>
            <w:tcBorders>
              <w:top w:val="nil"/>
              <w:left w:val="nil"/>
              <w:bottom w:val="nil"/>
              <w:right w:val="nil"/>
            </w:tcBorders>
            <w:shd w:val="clear" w:color="auto" w:fill="auto"/>
            <w:noWrap/>
            <w:vAlign w:val="center"/>
            <w:hideMark/>
          </w:tcPr>
          <w:p w14:paraId="54F7B874"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2.37</w:t>
            </w:r>
          </w:p>
        </w:tc>
        <w:tc>
          <w:tcPr>
            <w:tcW w:w="1212" w:type="dxa"/>
            <w:tcBorders>
              <w:top w:val="nil"/>
              <w:left w:val="nil"/>
              <w:bottom w:val="nil"/>
              <w:right w:val="nil"/>
            </w:tcBorders>
            <w:shd w:val="clear" w:color="auto" w:fill="auto"/>
            <w:noWrap/>
            <w:vAlign w:val="center"/>
            <w:hideMark/>
          </w:tcPr>
          <w:p w14:paraId="3E6C0E5C"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3.08</w:t>
            </w:r>
          </w:p>
        </w:tc>
      </w:tr>
      <w:tr w:rsidR="00993692" w:rsidRPr="00993692" w14:paraId="0E681674" w14:textId="77777777" w:rsidTr="004D2DCA">
        <w:trPr>
          <w:trHeight w:val="292"/>
        </w:trPr>
        <w:tc>
          <w:tcPr>
            <w:tcW w:w="1765" w:type="dxa"/>
            <w:vMerge/>
            <w:tcBorders>
              <w:top w:val="nil"/>
              <w:left w:val="nil"/>
              <w:bottom w:val="single" w:sz="4" w:space="0" w:color="000000"/>
              <w:right w:val="nil"/>
            </w:tcBorders>
            <w:vAlign w:val="center"/>
            <w:hideMark/>
          </w:tcPr>
          <w:p w14:paraId="24148626"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41" w:type="dxa"/>
            <w:vMerge/>
            <w:tcBorders>
              <w:top w:val="nil"/>
              <w:left w:val="nil"/>
              <w:bottom w:val="single" w:sz="4" w:space="0" w:color="000000"/>
              <w:right w:val="nil"/>
            </w:tcBorders>
            <w:vAlign w:val="center"/>
            <w:hideMark/>
          </w:tcPr>
          <w:p w14:paraId="426B384C"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35" w:type="dxa"/>
            <w:tcBorders>
              <w:top w:val="nil"/>
              <w:left w:val="nil"/>
              <w:bottom w:val="single" w:sz="4" w:space="0" w:color="auto"/>
              <w:right w:val="nil"/>
            </w:tcBorders>
            <w:shd w:val="clear" w:color="auto" w:fill="auto"/>
            <w:noWrap/>
            <w:vAlign w:val="center"/>
            <w:hideMark/>
          </w:tcPr>
          <w:p w14:paraId="265B82F1"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Post-test</w:t>
            </w:r>
          </w:p>
        </w:tc>
        <w:tc>
          <w:tcPr>
            <w:tcW w:w="1259" w:type="dxa"/>
            <w:tcBorders>
              <w:top w:val="nil"/>
              <w:left w:val="nil"/>
              <w:bottom w:val="single" w:sz="4" w:space="0" w:color="auto"/>
              <w:right w:val="nil"/>
            </w:tcBorders>
            <w:shd w:val="clear" w:color="auto" w:fill="auto"/>
            <w:noWrap/>
            <w:vAlign w:val="center"/>
            <w:hideMark/>
          </w:tcPr>
          <w:p w14:paraId="1FBB2E65"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2.95</w:t>
            </w:r>
          </w:p>
        </w:tc>
        <w:tc>
          <w:tcPr>
            <w:tcW w:w="1280" w:type="dxa"/>
            <w:tcBorders>
              <w:top w:val="nil"/>
              <w:left w:val="nil"/>
              <w:bottom w:val="single" w:sz="4" w:space="0" w:color="auto"/>
              <w:right w:val="nil"/>
            </w:tcBorders>
            <w:shd w:val="clear" w:color="auto" w:fill="auto"/>
            <w:noWrap/>
            <w:vAlign w:val="center"/>
            <w:hideMark/>
          </w:tcPr>
          <w:p w14:paraId="6AEFA02C"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0.19</w:t>
            </w:r>
          </w:p>
        </w:tc>
        <w:tc>
          <w:tcPr>
            <w:tcW w:w="1452" w:type="dxa"/>
            <w:tcBorders>
              <w:top w:val="nil"/>
              <w:left w:val="nil"/>
              <w:bottom w:val="single" w:sz="4" w:space="0" w:color="auto"/>
              <w:right w:val="nil"/>
            </w:tcBorders>
            <w:shd w:val="clear" w:color="auto" w:fill="auto"/>
            <w:noWrap/>
            <w:vAlign w:val="center"/>
            <w:hideMark/>
          </w:tcPr>
          <w:p w14:paraId="05E09CC4"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1.99</w:t>
            </w:r>
          </w:p>
        </w:tc>
        <w:tc>
          <w:tcPr>
            <w:tcW w:w="1212" w:type="dxa"/>
            <w:tcBorders>
              <w:top w:val="nil"/>
              <w:left w:val="nil"/>
              <w:bottom w:val="single" w:sz="4" w:space="0" w:color="auto"/>
              <w:right w:val="nil"/>
            </w:tcBorders>
            <w:shd w:val="clear" w:color="auto" w:fill="auto"/>
            <w:noWrap/>
            <w:vAlign w:val="center"/>
            <w:hideMark/>
          </w:tcPr>
          <w:p w14:paraId="14EACA85" w14:textId="77777777" w:rsidR="00993692" w:rsidRPr="00993692" w:rsidRDefault="00993692" w:rsidP="00993692">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993692">
              <w:rPr>
                <w:rFonts w:eastAsia="Times New Roman"/>
                <w:color w:val="auto"/>
                <w:sz w:val="20"/>
                <w:szCs w:val="20"/>
              </w:rPr>
              <w:t>2.73</w:t>
            </w:r>
          </w:p>
        </w:tc>
      </w:tr>
    </w:tbl>
    <w:p w14:paraId="79F80C38" w14:textId="632C73A0" w:rsidR="007042D1" w:rsidRDefault="007042D1" w:rsidP="000F1616">
      <w:pPr>
        <w:pBdr>
          <w:top w:val="none" w:sz="0" w:space="0" w:color="auto"/>
          <w:left w:val="none" w:sz="0" w:space="0" w:color="auto"/>
          <w:bottom w:val="none" w:sz="0" w:space="0" w:color="auto"/>
          <w:right w:val="none" w:sz="0" w:space="0" w:color="auto"/>
          <w:between w:val="none" w:sz="0" w:space="0" w:color="auto"/>
        </w:pBdr>
        <w:spacing w:after="0"/>
        <w:rPr>
          <w:rFonts w:eastAsia="Calibri"/>
          <w:color w:val="auto"/>
          <w:lang w:eastAsia="en-US"/>
        </w:rPr>
      </w:pPr>
      <w:r>
        <w:rPr>
          <w:rFonts w:eastAsia="Calibri"/>
          <w:color w:val="auto"/>
          <w:lang w:eastAsia="en-US"/>
        </w:rPr>
        <w:t>Covariates: IMS, EMS, contamination disgust and animal disgust</w:t>
      </w:r>
    </w:p>
    <w:p w14:paraId="5D10C383" w14:textId="55F6F333" w:rsidR="000F1616" w:rsidRPr="00D40C27" w:rsidRDefault="00CA789A" w:rsidP="000F1616">
      <w:pPr>
        <w:pBdr>
          <w:top w:val="none" w:sz="0" w:space="0" w:color="auto"/>
          <w:left w:val="none" w:sz="0" w:space="0" w:color="auto"/>
          <w:bottom w:val="none" w:sz="0" w:space="0" w:color="auto"/>
          <w:right w:val="none" w:sz="0" w:space="0" w:color="auto"/>
          <w:between w:val="none" w:sz="0" w:space="0" w:color="auto"/>
        </w:pBdr>
        <w:spacing w:after="0"/>
        <w:rPr>
          <w:rFonts w:eastAsia="Calibri"/>
          <w:color w:val="auto"/>
          <w:lang w:eastAsia="en-US"/>
        </w:rPr>
      </w:pPr>
      <w:r>
        <w:rPr>
          <w:rFonts w:eastAsia="Calibri"/>
          <w:color w:val="auto"/>
          <w:lang w:eastAsia="en-US"/>
        </w:rPr>
        <w:t>The effect of the interventions was also tested on the outcome variable of intended avoidance</w:t>
      </w:r>
      <w:r w:rsidR="00C36BD1">
        <w:rPr>
          <w:rFonts w:eastAsia="Calibri"/>
          <w:color w:val="auto"/>
          <w:lang w:eastAsia="en-US"/>
        </w:rPr>
        <w:t xml:space="preserve">. </w:t>
      </w:r>
      <w:r w:rsidR="000F1616" w:rsidRPr="00D40C27">
        <w:rPr>
          <w:rFonts w:eastAsia="Calibri"/>
          <w:color w:val="auto"/>
          <w:lang w:eastAsia="en-US"/>
        </w:rPr>
        <w:t xml:space="preserve">There was a significant effect of awareness on intended avoidance, </w:t>
      </w:r>
      <w:r w:rsidR="000F1616" w:rsidRPr="00D40C27">
        <w:rPr>
          <w:rFonts w:eastAsia="Calibri"/>
          <w:i/>
          <w:color w:val="auto"/>
          <w:lang w:eastAsia="en-US"/>
        </w:rPr>
        <w:t>F</w:t>
      </w:r>
      <w:r w:rsidR="000F1616" w:rsidRPr="00D40C27">
        <w:rPr>
          <w:rFonts w:eastAsia="Calibri"/>
          <w:iCs/>
          <w:color w:val="auto"/>
          <w:lang w:eastAsia="en-US"/>
        </w:rPr>
        <w:t>(299)</w:t>
      </w:r>
      <w:r w:rsidR="000F1616" w:rsidRPr="00D40C27">
        <w:rPr>
          <w:rFonts w:eastAsia="Calibri"/>
          <w:i/>
          <w:color w:val="auto"/>
          <w:lang w:eastAsia="en-US"/>
        </w:rPr>
        <w:t>=</w:t>
      </w:r>
      <w:r w:rsidR="000F1616" w:rsidRPr="00D40C27">
        <w:rPr>
          <w:rFonts w:eastAsia="Calibri"/>
          <w:iCs/>
          <w:color w:val="auto"/>
          <w:lang w:eastAsia="en-US"/>
        </w:rPr>
        <w:t>7.</w:t>
      </w:r>
      <w:r w:rsidR="007268FD">
        <w:rPr>
          <w:rFonts w:eastAsia="Calibri"/>
          <w:iCs/>
          <w:color w:val="auto"/>
          <w:lang w:eastAsia="en-US"/>
        </w:rPr>
        <w:t>33</w:t>
      </w:r>
      <w:r w:rsidR="000F1616" w:rsidRPr="00D40C27">
        <w:rPr>
          <w:rFonts w:eastAsia="Calibri"/>
          <w:iCs/>
          <w:color w:val="auto"/>
          <w:lang w:eastAsia="en-US"/>
        </w:rPr>
        <w:t>,</w:t>
      </w:r>
      <w:r w:rsidR="000F1616" w:rsidRPr="00D40C27">
        <w:rPr>
          <w:rFonts w:eastAsia="Calibri"/>
          <w:i/>
          <w:color w:val="auto"/>
          <w:lang w:eastAsia="en-US"/>
        </w:rPr>
        <w:t xml:space="preserve"> p=</w:t>
      </w:r>
      <w:r w:rsidR="000F1616" w:rsidRPr="00D40C27">
        <w:rPr>
          <w:rFonts w:eastAsia="Calibri"/>
          <w:iCs/>
          <w:color w:val="auto"/>
          <w:lang w:eastAsia="en-US"/>
        </w:rPr>
        <w:t>0.001, ES</w:t>
      </w:r>
      <w:r w:rsidR="000F1616" w:rsidRPr="00D40C27">
        <w:rPr>
          <w:rFonts w:eastAsia="Calibri"/>
          <w:i/>
          <w:color w:val="auto"/>
          <w:lang w:eastAsia="en-US"/>
        </w:rPr>
        <w:t>=</w:t>
      </w:r>
      <w:r w:rsidR="000F1616" w:rsidRPr="00D40C27">
        <w:rPr>
          <w:rFonts w:eastAsia="Calibri"/>
          <w:iCs/>
          <w:color w:val="auto"/>
          <w:lang w:eastAsia="en-US"/>
        </w:rPr>
        <w:t>0.05</w:t>
      </w:r>
      <w:r w:rsidR="000F1616" w:rsidRPr="00D40C27">
        <w:rPr>
          <w:rFonts w:eastAsia="Calibri"/>
          <w:color w:val="auto"/>
          <w:lang w:eastAsia="en-US"/>
        </w:rPr>
        <w:t>. Further tests using the Bonferroni correction showed a significant difference in intended avoidance between the awareness written message group</w:t>
      </w:r>
      <w:r w:rsidR="007268FD">
        <w:rPr>
          <w:rFonts w:eastAsia="Calibri"/>
          <w:color w:val="auto"/>
          <w:lang w:eastAsia="en-US"/>
        </w:rPr>
        <w:t xml:space="preserve"> (M</w:t>
      </w:r>
      <w:r w:rsidR="00806DE2">
        <w:rPr>
          <w:rFonts w:eastAsia="Calibri"/>
          <w:color w:val="auto"/>
          <w:lang w:eastAsia="en-US"/>
        </w:rPr>
        <w:t xml:space="preserve"> = 5.70, SD =1.01</w:t>
      </w:r>
      <w:r w:rsidR="007268FD">
        <w:rPr>
          <w:rFonts w:eastAsia="Calibri"/>
          <w:color w:val="auto"/>
          <w:lang w:eastAsia="en-US"/>
        </w:rPr>
        <w:t>)</w:t>
      </w:r>
      <w:r w:rsidR="000F1616" w:rsidRPr="00D40C27">
        <w:rPr>
          <w:rFonts w:eastAsia="Calibri"/>
          <w:color w:val="auto"/>
          <w:lang w:eastAsia="en-US"/>
        </w:rPr>
        <w:t xml:space="preserve"> and the control awareness group (</w:t>
      </w:r>
      <w:r w:rsidR="00806DE2">
        <w:rPr>
          <w:rFonts w:eastAsia="Calibri"/>
          <w:color w:val="auto"/>
          <w:lang w:eastAsia="en-US"/>
        </w:rPr>
        <w:t xml:space="preserve">M = 5.43, SD= 1.08; </w:t>
      </w:r>
      <w:r w:rsidR="000F1616" w:rsidRPr="00D40C27">
        <w:rPr>
          <w:rFonts w:eastAsia="Calibri"/>
          <w:i/>
          <w:iCs/>
          <w:color w:val="auto"/>
          <w:lang w:eastAsia="en-US"/>
        </w:rPr>
        <w:t>p</w:t>
      </w:r>
      <w:r w:rsidR="000F1616" w:rsidRPr="00D40C27">
        <w:rPr>
          <w:rFonts w:eastAsia="Calibri"/>
          <w:color w:val="auto"/>
          <w:lang w:eastAsia="en-US"/>
        </w:rPr>
        <w:t xml:space="preserve"> &lt;0.001), but no significant differences were found between the written awareness and the video-clip awareness group (</w:t>
      </w:r>
      <w:r w:rsidR="00806DE2">
        <w:rPr>
          <w:rFonts w:eastAsia="Calibri"/>
          <w:color w:val="auto"/>
          <w:lang w:eastAsia="en-US"/>
        </w:rPr>
        <w:t xml:space="preserve">M= 5.64, SD = 1.08; </w:t>
      </w:r>
      <w:r w:rsidR="000F1616" w:rsidRPr="00D40C27">
        <w:rPr>
          <w:rFonts w:eastAsia="Calibri"/>
          <w:i/>
          <w:iCs/>
          <w:color w:val="auto"/>
          <w:lang w:eastAsia="en-US"/>
        </w:rPr>
        <w:t>p</w:t>
      </w:r>
      <w:r w:rsidR="000F1616" w:rsidRPr="00D40C27">
        <w:rPr>
          <w:rFonts w:eastAsia="Calibri"/>
          <w:color w:val="auto"/>
          <w:lang w:eastAsia="en-US"/>
        </w:rPr>
        <w:t xml:space="preserve"> = 0.34). Furthermore, results from this analysis did not show any significant differences between the video-clip awareness and control awareness message groups (</w:t>
      </w:r>
      <w:r w:rsidR="000F1616" w:rsidRPr="00D40C27">
        <w:rPr>
          <w:rFonts w:eastAsia="Calibri"/>
          <w:i/>
          <w:iCs/>
          <w:color w:val="auto"/>
          <w:lang w:eastAsia="en-US"/>
        </w:rPr>
        <w:t>p</w:t>
      </w:r>
      <w:r w:rsidR="000F1616" w:rsidRPr="00D40C27">
        <w:rPr>
          <w:rFonts w:eastAsia="Calibri"/>
          <w:color w:val="auto"/>
          <w:lang w:eastAsia="en-US"/>
        </w:rPr>
        <w:t xml:space="preserve"> = 0.06).</w:t>
      </w:r>
      <w:r w:rsidR="007042D1" w:rsidRPr="004D2DCA">
        <w:rPr>
          <w:rStyle w:val="FootnoteReference"/>
        </w:rPr>
        <w:footnoteReference w:id="2"/>
      </w:r>
    </w:p>
    <w:p w14:paraId="33DD7B6E" w14:textId="6430617E" w:rsidR="0036059E" w:rsidRDefault="0036059E" w:rsidP="003605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hAnsi="Times New Roman" w:cs="Times New Roman"/>
          <w:color w:val="auto"/>
          <w:sz w:val="24"/>
          <w:szCs w:val="24"/>
          <w:lang w:eastAsia="es-CO"/>
        </w:rPr>
      </w:pPr>
    </w:p>
    <w:p w14:paraId="2F19110A" w14:textId="3C79E0D8" w:rsidR="007042D1" w:rsidRDefault="007042D1" w:rsidP="003605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hAnsi="Times New Roman" w:cs="Times New Roman"/>
          <w:color w:val="auto"/>
          <w:sz w:val="24"/>
          <w:szCs w:val="24"/>
          <w:lang w:eastAsia="es-CO"/>
        </w:rPr>
      </w:pPr>
    </w:p>
    <w:p w14:paraId="2AB3940A" w14:textId="464307BE" w:rsidR="007042D1" w:rsidRDefault="007042D1" w:rsidP="003605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hAnsi="Times New Roman" w:cs="Times New Roman"/>
          <w:color w:val="auto"/>
          <w:sz w:val="24"/>
          <w:szCs w:val="24"/>
          <w:lang w:eastAsia="es-CO"/>
        </w:rPr>
      </w:pPr>
    </w:p>
    <w:p w14:paraId="148CE223" w14:textId="7BCC1195" w:rsidR="007042D1" w:rsidRDefault="007042D1" w:rsidP="003605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hAnsi="Times New Roman" w:cs="Times New Roman"/>
          <w:color w:val="auto"/>
          <w:sz w:val="24"/>
          <w:szCs w:val="24"/>
          <w:lang w:eastAsia="es-CO"/>
        </w:rPr>
      </w:pPr>
    </w:p>
    <w:p w14:paraId="5ECB7C29" w14:textId="3F6714A0" w:rsidR="007042D1" w:rsidRDefault="007042D1" w:rsidP="003605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hAnsi="Times New Roman" w:cs="Times New Roman"/>
          <w:color w:val="auto"/>
          <w:sz w:val="24"/>
          <w:szCs w:val="24"/>
          <w:lang w:eastAsia="es-CO"/>
        </w:rPr>
      </w:pPr>
    </w:p>
    <w:p w14:paraId="708F0EE5" w14:textId="3B3B600D" w:rsidR="007042D1" w:rsidRDefault="007042D1" w:rsidP="003605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hAnsi="Times New Roman" w:cs="Times New Roman"/>
          <w:color w:val="auto"/>
          <w:sz w:val="24"/>
          <w:szCs w:val="24"/>
          <w:lang w:eastAsia="es-CO"/>
        </w:rPr>
      </w:pPr>
    </w:p>
    <w:p w14:paraId="6FE0AC1C" w14:textId="1937A2C3" w:rsidR="007042D1" w:rsidRDefault="007042D1" w:rsidP="003605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hAnsi="Times New Roman" w:cs="Times New Roman"/>
          <w:color w:val="auto"/>
          <w:sz w:val="24"/>
          <w:szCs w:val="24"/>
          <w:lang w:eastAsia="es-CO"/>
        </w:rPr>
      </w:pPr>
    </w:p>
    <w:p w14:paraId="066BDE99" w14:textId="73473931" w:rsidR="007042D1" w:rsidRDefault="007042D1" w:rsidP="003605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hAnsi="Times New Roman" w:cs="Times New Roman"/>
          <w:color w:val="auto"/>
          <w:sz w:val="24"/>
          <w:szCs w:val="24"/>
          <w:lang w:eastAsia="es-CO"/>
        </w:rPr>
      </w:pPr>
    </w:p>
    <w:p w14:paraId="0E6A140D" w14:textId="77777777" w:rsidR="007042D1" w:rsidRDefault="007042D1" w:rsidP="003605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hAnsi="Times New Roman" w:cs="Times New Roman"/>
          <w:color w:val="auto"/>
          <w:sz w:val="24"/>
          <w:szCs w:val="24"/>
          <w:lang w:eastAsia="es-CO"/>
        </w:rPr>
      </w:pPr>
    </w:p>
    <w:p w14:paraId="52D4E747" w14:textId="77777777" w:rsidR="0036059E" w:rsidRDefault="0036059E" w:rsidP="0036059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hAnsi="Times New Roman" w:cs="Times New Roman"/>
          <w:color w:val="auto"/>
          <w:sz w:val="24"/>
          <w:szCs w:val="24"/>
          <w:lang w:eastAsia="es-CO"/>
        </w:rPr>
      </w:pPr>
    </w:p>
    <w:p w14:paraId="1B0DC9B2" w14:textId="3975EACB" w:rsidR="00CA789A" w:rsidRDefault="00CA789A" w:rsidP="000F1616">
      <w:pPr>
        <w:pBdr>
          <w:top w:val="none" w:sz="0" w:space="0" w:color="auto"/>
          <w:left w:val="none" w:sz="0" w:space="0" w:color="auto"/>
          <w:bottom w:val="none" w:sz="0" w:space="0" w:color="auto"/>
          <w:right w:val="none" w:sz="0" w:space="0" w:color="auto"/>
          <w:between w:val="none" w:sz="0" w:space="0" w:color="auto"/>
        </w:pBdr>
        <w:spacing w:line="259" w:lineRule="auto"/>
        <w:ind w:firstLine="0"/>
        <w:rPr>
          <w:rFonts w:eastAsia="Calibri"/>
          <w:color w:val="auto"/>
          <w:sz w:val="24"/>
          <w:szCs w:val="24"/>
          <w:lang w:eastAsia="en-US"/>
        </w:rPr>
      </w:pPr>
    </w:p>
    <w:p w14:paraId="7BBD47CE" w14:textId="77777777" w:rsidR="00CA789A" w:rsidRDefault="00CA789A" w:rsidP="000F1616">
      <w:pPr>
        <w:pBdr>
          <w:top w:val="none" w:sz="0" w:space="0" w:color="auto"/>
          <w:left w:val="none" w:sz="0" w:space="0" w:color="auto"/>
          <w:bottom w:val="none" w:sz="0" w:space="0" w:color="auto"/>
          <w:right w:val="none" w:sz="0" w:space="0" w:color="auto"/>
          <w:between w:val="none" w:sz="0" w:space="0" w:color="auto"/>
        </w:pBdr>
        <w:spacing w:line="259" w:lineRule="auto"/>
        <w:ind w:firstLine="0"/>
        <w:rPr>
          <w:rFonts w:eastAsia="Calibri"/>
          <w:color w:val="auto"/>
          <w:sz w:val="24"/>
          <w:szCs w:val="24"/>
          <w:lang w:eastAsia="en-US"/>
        </w:rPr>
      </w:pPr>
    </w:p>
    <w:p w14:paraId="399F1CDD" w14:textId="20EEDED4" w:rsidR="000F1616" w:rsidRDefault="000F1616" w:rsidP="00A427E8">
      <w:pPr>
        <w:pStyle w:val="Tables"/>
        <w:rPr>
          <w:lang w:eastAsia="en-US"/>
        </w:rPr>
      </w:pPr>
      <w:bookmarkStart w:id="104" w:name="_Toc12024837"/>
      <w:r w:rsidRPr="00D40C27">
        <w:rPr>
          <w:lang w:eastAsia="en-US"/>
        </w:rPr>
        <w:t xml:space="preserve">Table </w:t>
      </w:r>
      <w:r w:rsidR="00A427E8">
        <w:rPr>
          <w:lang w:eastAsia="en-US"/>
        </w:rPr>
        <w:t>4.5</w:t>
      </w:r>
      <w:r w:rsidRPr="00D40C27">
        <w:rPr>
          <w:lang w:eastAsia="en-US"/>
        </w:rPr>
        <w:t>. Estimated means for intended avoidance</w:t>
      </w:r>
      <w:bookmarkEnd w:id="104"/>
    </w:p>
    <w:tbl>
      <w:tblPr>
        <w:tblW w:w="8382" w:type="dxa"/>
        <w:tblLook w:val="04A0" w:firstRow="1" w:lastRow="0" w:firstColumn="1" w:lastColumn="0" w:noHBand="0" w:noVBand="1"/>
      </w:tblPr>
      <w:tblGrid>
        <w:gridCol w:w="1435"/>
        <w:gridCol w:w="1236"/>
        <w:gridCol w:w="1142"/>
        <w:gridCol w:w="1142"/>
        <w:gridCol w:w="1142"/>
        <w:gridCol w:w="1142"/>
        <w:gridCol w:w="1143"/>
      </w:tblGrid>
      <w:tr w:rsidR="00CA789A" w:rsidRPr="00CA789A" w14:paraId="74EDFAD3" w14:textId="77777777" w:rsidTr="004D2DCA">
        <w:trPr>
          <w:trHeight w:val="520"/>
        </w:trPr>
        <w:tc>
          <w:tcPr>
            <w:tcW w:w="1435" w:type="dxa"/>
            <w:vMerge w:val="restart"/>
            <w:tcBorders>
              <w:top w:val="single" w:sz="4" w:space="0" w:color="auto"/>
              <w:left w:val="nil"/>
              <w:bottom w:val="single" w:sz="4" w:space="0" w:color="000000"/>
              <w:right w:val="nil"/>
            </w:tcBorders>
            <w:shd w:val="clear" w:color="auto" w:fill="auto"/>
            <w:vAlign w:val="center"/>
            <w:hideMark/>
          </w:tcPr>
          <w:p w14:paraId="61035936"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Awareness</w:t>
            </w:r>
          </w:p>
        </w:tc>
        <w:tc>
          <w:tcPr>
            <w:tcW w:w="1236" w:type="dxa"/>
            <w:vMerge w:val="restart"/>
            <w:tcBorders>
              <w:top w:val="single" w:sz="4" w:space="0" w:color="auto"/>
              <w:left w:val="nil"/>
              <w:bottom w:val="single" w:sz="4" w:space="0" w:color="000000"/>
              <w:right w:val="nil"/>
            </w:tcBorders>
            <w:shd w:val="clear" w:color="auto" w:fill="auto"/>
            <w:vAlign w:val="center"/>
            <w:hideMark/>
          </w:tcPr>
          <w:p w14:paraId="58825477"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IC</w:t>
            </w:r>
          </w:p>
        </w:tc>
        <w:tc>
          <w:tcPr>
            <w:tcW w:w="1142" w:type="dxa"/>
            <w:vMerge w:val="restart"/>
            <w:tcBorders>
              <w:top w:val="single" w:sz="4" w:space="0" w:color="auto"/>
              <w:left w:val="nil"/>
              <w:bottom w:val="single" w:sz="4" w:space="0" w:color="000000"/>
              <w:right w:val="nil"/>
            </w:tcBorders>
            <w:shd w:val="clear" w:color="auto" w:fill="auto"/>
            <w:vAlign w:val="center"/>
            <w:hideMark/>
          </w:tcPr>
          <w:p w14:paraId="1AEF4FFF"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Time</w:t>
            </w:r>
          </w:p>
        </w:tc>
        <w:tc>
          <w:tcPr>
            <w:tcW w:w="1142" w:type="dxa"/>
            <w:vMerge w:val="restart"/>
            <w:tcBorders>
              <w:top w:val="single" w:sz="4" w:space="0" w:color="auto"/>
              <w:left w:val="nil"/>
              <w:bottom w:val="single" w:sz="4" w:space="0" w:color="000000"/>
              <w:right w:val="nil"/>
            </w:tcBorders>
            <w:shd w:val="clear" w:color="auto" w:fill="auto"/>
            <w:vAlign w:val="center"/>
            <w:hideMark/>
          </w:tcPr>
          <w:p w14:paraId="69DC994A"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Mean</w:t>
            </w:r>
          </w:p>
        </w:tc>
        <w:tc>
          <w:tcPr>
            <w:tcW w:w="1142" w:type="dxa"/>
            <w:vMerge w:val="restart"/>
            <w:tcBorders>
              <w:top w:val="single" w:sz="4" w:space="0" w:color="auto"/>
              <w:left w:val="nil"/>
              <w:bottom w:val="single" w:sz="4" w:space="0" w:color="000000"/>
              <w:right w:val="nil"/>
            </w:tcBorders>
            <w:shd w:val="clear" w:color="auto" w:fill="auto"/>
            <w:vAlign w:val="center"/>
            <w:hideMark/>
          </w:tcPr>
          <w:p w14:paraId="4EF199C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Std. Error</w:t>
            </w:r>
          </w:p>
        </w:tc>
        <w:tc>
          <w:tcPr>
            <w:tcW w:w="2285" w:type="dxa"/>
            <w:gridSpan w:val="2"/>
            <w:tcBorders>
              <w:top w:val="single" w:sz="4" w:space="0" w:color="auto"/>
              <w:left w:val="nil"/>
              <w:bottom w:val="nil"/>
              <w:right w:val="nil"/>
            </w:tcBorders>
            <w:shd w:val="clear" w:color="auto" w:fill="auto"/>
            <w:vAlign w:val="center"/>
            <w:hideMark/>
          </w:tcPr>
          <w:p w14:paraId="25A63939"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95% Confidence Interval</w:t>
            </w:r>
          </w:p>
        </w:tc>
      </w:tr>
      <w:tr w:rsidR="00CA789A" w:rsidRPr="00CA789A" w14:paraId="31873C91" w14:textId="77777777" w:rsidTr="004D2DCA">
        <w:trPr>
          <w:trHeight w:val="472"/>
        </w:trPr>
        <w:tc>
          <w:tcPr>
            <w:tcW w:w="1435" w:type="dxa"/>
            <w:vMerge/>
            <w:tcBorders>
              <w:top w:val="single" w:sz="4" w:space="0" w:color="auto"/>
              <w:left w:val="nil"/>
              <w:bottom w:val="single" w:sz="4" w:space="0" w:color="000000"/>
              <w:right w:val="nil"/>
            </w:tcBorders>
            <w:vAlign w:val="center"/>
            <w:hideMark/>
          </w:tcPr>
          <w:p w14:paraId="68BC568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36" w:type="dxa"/>
            <w:vMerge/>
            <w:tcBorders>
              <w:top w:val="single" w:sz="4" w:space="0" w:color="auto"/>
              <w:left w:val="nil"/>
              <w:bottom w:val="single" w:sz="4" w:space="0" w:color="000000"/>
              <w:right w:val="nil"/>
            </w:tcBorders>
            <w:vAlign w:val="center"/>
            <w:hideMark/>
          </w:tcPr>
          <w:p w14:paraId="1C5160A0"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42" w:type="dxa"/>
            <w:vMerge/>
            <w:tcBorders>
              <w:top w:val="single" w:sz="4" w:space="0" w:color="auto"/>
              <w:left w:val="nil"/>
              <w:bottom w:val="single" w:sz="4" w:space="0" w:color="000000"/>
              <w:right w:val="nil"/>
            </w:tcBorders>
            <w:vAlign w:val="center"/>
            <w:hideMark/>
          </w:tcPr>
          <w:p w14:paraId="78F4A83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42" w:type="dxa"/>
            <w:vMerge/>
            <w:tcBorders>
              <w:top w:val="single" w:sz="4" w:space="0" w:color="auto"/>
              <w:left w:val="nil"/>
              <w:bottom w:val="single" w:sz="4" w:space="0" w:color="000000"/>
              <w:right w:val="nil"/>
            </w:tcBorders>
            <w:vAlign w:val="center"/>
            <w:hideMark/>
          </w:tcPr>
          <w:p w14:paraId="5CE590B4"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42" w:type="dxa"/>
            <w:vMerge/>
            <w:tcBorders>
              <w:top w:val="single" w:sz="4" w:space="0" w:color="auto"/>
              <w:left w:val="nil"/>
              <w:bottom w:val="single" w:sz="4" w:space="0" w:color="000000"/>
              <w:right w:val="nil"/>
            </w:tcBorders>
            <w:vAlign w:val="center"/>
            <w:hideMark/>
          </w:tcPr>
          <w:p w14:paraId="6DED440C"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42" w:type="dxa"/>
            <w:tcBorders>
              <w:top w:val="nil"/>
              <w:left w:val="nil"/>
              <w:bottom w:val="single" w:sz="4" w:space="0" w:color="auto"/>
              <w:right w:val="nil"/>
            </w:tcBorders>
            <w:shd w:val="clear" w:color="auto" w:fill="auto"/>
            <w:vAlign w:val="center"/>
            <w:hideMark/>
          </w:tcPr>
          <w:p w14:paraId="42586776"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Lower Bound</w:t>
            </w:r>
          </w:p>
        </w:tc>
        <w:tc>
          <w:tcPr>
            <w:tcW w:w="1142" w:type="dxa"/>
            <w:tcBorders>
              <w:top w:val="nil"/>
              <w:left w:val="nil"/>
              <w:bottom w:val="single" w:sz="4" w:space="0" w:color="auto"/>
              <w:right w:val="nil"/>
            </w:tcBorders>
            <w:shd w:val="clear" w:color="auto" w:fill="auto"/>
            <w:vAlign w:val="center"/>
            <w:hideMark/>
          </w:tcPr>
          <w:p w14:paraId="5485F14F"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Upper Bound</w:t>
            </w:r>
          </w:p>
        </w:tc>
      </w:tr>
      <w:tr w:rsidR="00CA789A" w:rsidRPr="00CA789A" w14:paraId="14DFDD40" w14:textId="77777777" w:rsidTr="004D2DCA">
        <w:trPr>
          <w:trHeight w:val="274"/>
        </w:trPr>
        <w:tc>
          <w:tcPr>
            <w:tcW w:w="1435" w:type="dxa"/>
            <w:vMerge w:val="restart"/>
            <w:tcBorders>
              <w:top w:val="nil"/>
              <w:left w:val="nil"/>
              <w:bottom w:val="nil"/>
              <w:right w:val="nil"/>
            </w:tcBorders>
            <w:shd w:val="clear" w:color="auto" w:fill="auto"/>
            <w:vAlign w:val="center"/>
            <w:hideMark/>
          </w:tcPr>
          <w:p w14:paraId="2C2B4A7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Written message</w:t>
            </w:r>
          </w:p>
        </w:tc>
        <w:tc>
          <w:tcPr>
            <w:tcW w:w="1236" w:type="dxa"/>
            <w:vMerge w:val="restart"/>
            <w:tcBorders>
              <w:top w:val="nil"/>
              <w:left w:val="nil"/>
              <w:bottom w:val="nil"/>
              <w:right w:val="nil"/>
            </w:tcBorders>
            <w:shd w:val="clear" w:color="auto" w:fill="auto"/>
            <w:vAlign w:val="center"/>
            <w:hideMark/>
          </w:tcPr>
          <w:p w14:paraId="13D55FA6"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Control</w:t>
            </w:r>
          </w:p>
        </w:tc>
        <w:tc>
          <w:tcPr>
            <w:tcW w:w="1142" w:type="dxa"/>
            <w:tcBorders>
              <w:top w:val="nil"/>
              <w:left w:val="nil"/>
              <w:bottom w:val="nil"/>
              <w:right w:val="nil"/>
            </w:tcBorders>
            <w:shd w:val="clear" w:color="auto" w:fill="auto"/>
            <w:noWrap/>
            <w:vAlign w:val="center"/>
            <w:hideMark/>
          </w:tcPr>
          <w:p w14:paraId="7BC32CA8"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Pre-test</w:t>
            </w:r>
          </w:p>
        </w:tc>
        <w:tc>
          <w:tcPr>
            <w:tcW w:w="1142" w:type="dxa"/>
            <w:tcBorders>
              <w:top w:val="nil"/>
              <w:left w:val="nil"/>
              <w:bottom w:val="nil"/>
              <w:right w:val="nil"/>
            </w:tcBorders>
            <w:shd w:val="clear" w:color="auto" w:fill="auto"/>
            <w:noWrap/>
            <w:hideMark/>
          </w:tcPr>
          <w:p w14:paraId="0995229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0.41</w:t>
            </w:r>
          </w:p>
        </w:tc>
        <w:tc>
          <w:tcPr>
            <w:tcW w:w="1142" w:type="dxa"/>
            <w:tcBorders>
              <w:top w:val="nil"/>
              <w:left w:val="nil"/>
              <w:bottom w:val="nil"/>
              <w:right w:val="nil"/>
            </w:tcBorders>
            <w:shd w:val="clear" w:color="auto" w:fill="auto"/>
            <w:noWrap/>
            <w:hideMark/>
          </w:tcPr>
          <w:p w14:paraId="395BE021"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0.03</w:t>
            </w:r>
          </w:p>
        </w:tc>
        <w:tc>
          <w:tcPr>
            <w:tcW w:w="1142" w:type="dxa"/>
            <w:tcBorders>
              <w:top w:val="nil"/>
              <w:left w:val="nil"/>
              <w:bottom w:val="nil"/>
              <w:right w:val="nil"/>
            </w:tcBorders>
            <w:shd w:val="clear" w:color="auto" w:fill="auto"/>
            <w:noWrap/>
            <w:hideMark/>
          </w:tcPr>
          <w:p w14:paraId="14B22875"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0.37</w:t>
            </w:r>
          </w:p>
        </w:tc>
        <w:tc>
          <w:tcPr>
            <w:tcW w:w="1142" w:type="dxa"/>
            <w:tcBorders>
              <w:top w:val="nil"/>
              <w:left w:val="nil"/>
              <w:bottom w:val="nil"/>
              <w:right w:val="nil"/>
            </w:tcBorders>
            <w:shd w:val="clear" w:color="auto" w:fill="auto"/>
            <w:noWrap/>
            <w:hideMark/>
          </w:tcPr>
          <w:p w14:paraId="11C6DB83"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0.47</w:t>
            </w:r>
          </w:p>
        </w:tc>
      </w:tr>
      <w:tr w:rsidR="00CA789A" w:rsidRPr="00CA789A" w14:paraId="37F76167" w14:textId="77777777" w:rsidTr="004D2DCA">
        <w:trPr>
          <w:trHeight w:val="274"/>
        </w:trPr>
        <w:tc>
          <w:tcPr>
            <w:tcW w:w="1435" w:type="dxa"/>
            <w:vMerge/>
            <w:tcBorders>
              <w:top w:val="nil"/>
              <w:left w:val="nil"/>
              <w:bottom w:val="nil"/>
              <w:right w:val="nil"/>
            </w:tcBorders>
            <w:vAlign w:val="center"/>
            <w:hideMark/>
          </w:tcPr>
          <w:p w14:paraId="6B379D9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36" w:type="dxa"/>
            <w:vMerge/>
            <w:tcBorders>
              <w:top w:val="nil"/>
              <w:left w:val="nil"/>
              <w:bottom w:val="nil"/>
              <w:right w:val="nil"/>
            </w:tcBorders>
            <w:vAlign w:val="center"/>
            <w:hideMark/>
          </w:tcPr>
          <w:p w14:paraId="4FA6872C"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42" w:type="dxa"/>
            <w:tcBorders>
              <w:top w:val="nil"/>
              <w:left w:val="nil"/>
              <w:bottom w:val="nil"/>
              <w:right w:val="nil"/>
            </w:tcBorders>
            <w:shd w:val="clear" w:color="auto" w:fill="auto"/>
            <w:noWrap/>
            <w:vAlign w:val="center"/>
            <w:hideMark/>
          </w:tcPr>
          <w:p w14:paraId="429C75A1"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Post-test</w:t>
            </w:r>
          </w:p>
        </w:tc>
        <w:tc>
          <w:tcPr>
            <w:tcW w:w="1142" w:type="dxa"/>
            <w:tcBorders>
              <w:top w:val="nil"/>
              <w:left w:val="nil"/>
              <w:bottom w:val="nil"/>
              <w:right w:val="nil"/>
            </w:tcBorders>
            <w:shd w:val="clear" w:color="auto" w:fill="auto"/>
            <w:noWrap/>
            <w:hideMark/>
          </w:tcPr>
          <w:p w14:paraId="075988BE"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0.37</w:t>
            </w:r>
          </w:p>
        </w:tc>
        <w:tc>
          <w:tcPr>
            <w:tcW w:w="1142" w:type="dxa"/>
            <w:tcBorders>
              <w:top w:val="nil"/>
              <w:left w:val="nil"/>
              <w:bottom w:val="nil"/>
              <w:right w:val="nil"/>
            </w:tcBorders>
            <w:shd w:val="clear" w:color="auto" w:fill="auto"/>
            <w:noWrap/>
            <w:hideMark/>
          </w:tcPr>
          <w:p w14:paraId="10DFA00B"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0.02</w:t>
            </w:r>
          </w:p>
        </w:tc>
        <w:tc>
          <w:tcPr>
            <w:tcW w:w="1142" w:type="dxa"/>
            <w:tcBorders>
              <w:top w:val="nil"/>
              <w:left w:val="nil"/>
              <w:bottom w:val="nil"/>
              <w:right w:val="nil"/>
            </w:tcBorders>
            <w:shd w:val="clear" w:color="auto" w:fill="auto"/>
            <w:noWrap/>
            <w:hideMark/>
          </w:tcPr>
          <w:p w14:paraId="6E0B7041"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0.33</w:t>
            </w:r>
          </w:p>
        </w:tc>
        <w:tc>
          <w:tcPr>
            <w:tcW w:w="1142" w:type="dxa"/>
            <w:tcBorders>
              <w:top w:val="nil"/>
              <w:left w:val="nil"/>
              <w:bottom w:val="nil"/>
              <w:right w:val="nil"/>
            </w:tcBorders>
            <w:shd w:val="clear" w:color="auto" w:fill="auto"/>
            <w:noWrap/>
            <w:hideMark/>
          </w:tcPr>
          <w:p w14:paraId="47DE5889"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0.42</w:t>
            </w:r>
          </w:p>
        </w:tc>
      </w:tr>
      <w:tr w:rsidR="00CA789A" w:rsidRPr="00CA789A" w14:paraId="452F1A82" w14:textId="77777777" w:rsidTr="004D2DCA">
        <w:trPr>
          <w:trHeight w:val="274"/>
        </w:trPr>
        <w:tc>
          <w:tcPr>
            <w:tcW w:w="1435" w:type="dxa"/>
            <w:vMerge/>
            <w:tcBorders>
              <w:top w:val="nil"/>
              <w:left w:val="nil"/>
              <w:bottom w:val="nil"/>
              <w:right w:val="nil"/>
            </w:tcBorders>
            <w:vAlign w:val="center"/>
            <w:hideMark/>
          </w:tcPr>
          <w:p w14:paraId="286079E5"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36" w:type="dxa"/>
            <w:vMerge w:val="restart"/>
            <w:tcBorders>
              <w:top w:val="nil"/>
              <w:left w:val="nil"/>
              <w:bottom w:val="nil"/>
              <w:right w:val="nil"/>
            </w:tcBorders>
            <w:shd w:val="clear" w:color="auto" w:fill="auto"/>
            <w:vAlign w:val="center"/>
            <w:hideMark/>
          </w:tcPr>
          <w:p w14:paraId="183118F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Imagined contact</w:t>
            </w:r>
          </w:p>
        </w:tc>
        <w:tc>
          <w:tcPr>
            <w:tcW w:w="1142" w:type="dxa"/>
            <w:tcBorders>
              <w:top w:val="nil"/>
              <w:left w:val="nil"/>
              <w:bottom w:val="nil"/>
              <w:right w:val="nil"/>
            </w:tcBorders>
            <w:shd w:val="clear" w:color="auto" w:fill="auto"/>
            <w:noWrap/>
            <w:vAlign w:val="center"/>
            <w:hideMark/>
          </w:tcPr>
          <w:p w14:paraId="2E9870BC"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Pre-test</w:t>
            </w:r>
          </w:p>
        </w:tc>
        <w:tc>
          <w:tcPr>
            <w:tcW w:w="1142" w:type="dxa"/>
            <w:tcBorders>
              <w:top w:val="nil"/>
              <w:left w:val="nil"/>
              <w:bottom w:val="nil"/>
              <w:right w:val="nil"/>
            </w:tcBorders>
            <w:shd w:val="clear" w:color="auto" w:fill="auto"/>
            <w:noWrap/>
            <w:hideMark/>
          </w:tcPr>
          <w:p w14:paraId="2929B96F"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0.33</w:t>
            </w:r>
          </w:p>
        </w:tc>
        <w:tc>
          <w:tcPr>
            <w:tcW w:w="1142" w:type="dxa"/>
            <w:tcBorders>
              <w:top w:val="nil"/>
              <w:left w:val="nil"/>
              <w:bottom w:val="nil"/>
              <w:right w:val="nil"/>
            </w:tcBorders>
            <w:shd w:val="clear" w:color="auto" w:fill="auto"/>
            <w:noWrap/>
            <w:hideMark/>
          </w:tcPr>
          <w:p w14:paraId="40BBA8B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0.02</w:t>
            </w:r>
          </w:p>
        </w:tc>
        <w:tc>
          <w:tcPr>
            <w:tcW w:w="1142" w:type="dxa"/>
            <w:tcBorders>
              <w:top w:val="nil"/>
              <w:left w:val="nil"/>
              <w:bottom w:val="nil"/>
              <w:right w:val="nil"/>
            </w:tcBorders>
            <w:shd w:val="clear" w:color="auto" w:fill="auto"/>
            <w:noWrap/>
            <w:hideMark/>
          </w:tcPr>
          <w:p w14:paraId="7A43988A"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0.29</w:t>
            </w:r>
          </w:p>
        </w:tc>
        <w:tc>
          <w:tcPr>
            <w:tcW w:w="1142" w:type="dxa"/>
            <w:tcBorders>
              <w:top w:val="nil"/>
              <w:left w:val="nil"/>
              <w:bottom w:val="nil"/>
              <w:right w:val="nil"/>
            </w:tcBorders>
            <w:shd w:val="clear" w:color="auto" w:fill="auto"/>
            <w:noWrap/>
            <w:hideMark/>
          </w:tcPr>
          <w:p w14:paraId="0E3FEB35"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0.38</w:t>
            </w:r>
          </w:p>
        </w:tc>
      </w:tr>
      <w:tr w:rsidR="00CA789A" w:rsidRPr="00CA789A" w14:paraId="7B18A770" w14:textId="77777777" w:rsidTr="004D2DCA">
        <w:trPr>
          <w:trHeight w:val="274"/>
        </w:trPr>
        <w:tc>
          <w:tcPr>
            <w:tcW w:w="1435" w:type="dxa"/>
            <w:vMerge/>
            <w:tcBorders>
              <w:top w:val="nil"/>
              <w:left w:val="nil"/>
              <w:bottom w:val="nil"/>
              <w:right w:val="nil"/>
            </w:tcBorders>
            <w:vAlign w:val="center"/>
            <w:hideMark/>
          </w:tcPr>
          <w:p w14:paraId="3B18C74A"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36" w:type="dxa"/>
            <w:vMerge/>
            <w:tcBorders>
              <w:top w:val="nil"/>
              <w:left w:val="nil"/>
              <w:bottom w:val="nil"/>
              <w:right w:val="nil"/>
            </w:tcBorders>
            <w:vAlign w:val="center"/>
            <w:hideMark/>
          </w:tcPr>
          <w:p w14:paraId="40A24876"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42" w:type="dxa"/>
            <w:tcBorders>
              <w:top w:val="nil"/>
              <w:left w:val="nil"/>
              <w:bottom w:val="nil"/>
              <w:right w:val="nil"/>
            </w:tcBorders>
            <w:shd w:val="clear" w:color="auto" w:fill="auto"/>
            <w:noWrap/>
            <w:vAlign w:val="center"/>
            <w:hideMark/>
          </w:tcPr>
          <w:p w14:paraId="2CC2A3E5"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Post-test</w:t>
            </w:r>
          </w:p>
        </w:tc>
        <w:tc>
          <w:tcPr>
            <w:tcW w:w="1142" w:type="dxa"/>
            <w:tcBorders>
              <w:top w:val="nil"/>
              <w:left w:val="nil"/>
              <w:bottom w:val="nil"/>
              <w:right w:val="nil"/>
            </w:tcBorders>
            <w:shd w:val="clear" w:color="auto" w:fill="auto"/>
            <w:noWrap/>
            <w:hideMark/>
          </w:tcPr>
          <w:p w14:paraId="4216578A"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0.29</w:t>
            </w:r>
          </w:p>
        </w:tc>
        <w:tc>
          <w:tcPr>
            <w:tcW w:w="1142" w:type="dxa"/>
            <w:tcBorders>
              <w:top w:val="nil"/>
              <w:left w:val="nil"/>
              <w:bottom w:val="nil"/>
              <w:right w:val="nil"/>
            </w:tcBorders>
            <w:shd w:val="clear" w:color="auto" w:fill="auto"/>
            <w:noWrap/>
            <w:hideMark/>
          </w:tcPr>
          <w:p w14:paraId="6E2930AE"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0.02</w:t>
            </w:r>
          </w:p>
        </w:tc>
        <w:tc>
          <w:tcPr>
            <w:tcW w:w="1142" w:type="dxa"/>
            <w:tcBorders>
              <w:top w:val="nil"/>
              <w:left w:val="nil"/>
              <w:bottom w:val="nil"/>
              <w:right w:val="nil"/>
            </w:tcBorders>
            <w:shd w:val="clear" w:color="auto" w:fill="auto"/>
            <w:noWrap/>
            <w:hideMark/>
          </w:tcPr>
          <w:p w14:paraId="3D3D8476"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0.25</w:t>
            </w:r>
          </w:p>
        </w:tc>
        <w:tc>
          <w:tcPr>
            <w:tcW w:w="1142" w:type="dxa"/>
            <w:tcBorders>
              <w:top w:val="nil"/>
              <w:left w:val="nil"/>
              <w:bottom w:val="nil"/>
              <w:right w:val="nil"/>
            </w:tcBorders>
            <w:shd w:val="clear" w:color="auto" w:fill="auto"/>
            <w:noWrap/>
            <w:hideMark/>
          </w:tcPr>
          <w:p w14:paraId="7C0F8971"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0.34</w:t>
            </w:r>
          </w:p>
        </w:tc>
      </w:tr>
      <w:tr w:rsidR="00CA789A" w:rsidRPr="00CA789A" w14:paraId="3E4A1D57" w14:textId="77777777" w:rsidTr="004D2DCA">
        <w:trPr>
          <w:trHeight w:val="274"/>
        </w:trPr>
        <w:tc>
          <w:tcPr>
            <w:tcW w:w="1435" w:type="dxa"/>
            <w:vMerge w:val="restart"/>
            <w:tcBorders>
              <w:top w:val="nil"/>
              <w:left w:val="nil"/>
              <w:bottom w:val="nil"/>
              <w:right w:val="nil"/>
            </w:tcBorders>
            <w:shd w:val="clear" w:color="auto" w:fill="auto"/>
            <w:vAlign w:val="center"/>
            <w:hideMark/>
          </w:tcPr>
          <w:p w14:paraId="7BDC6966"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Media</w:t>
            </w:r>
          </w:p>
        </w:tc>
        <w:tc>
          <w:tcPr>
            <w:tcW w:w="1236" w:type="dxa"/>
            <w:vMerge w:val="restart"/>
            <w:tcBorders>
              <w:top w:val="nil"/>
              <w:left w:val="nil"/>
              <w:bottom w:val="nil"/>
              <w:right w:val="nil"/>
            </w:tcBorders>
            <w:shd w:val="clear" w:color="auto" w:fill="auto"/>
            <w:vAlign w:val="center"/>
            <w:hideMark/>
          </w:tcPr>
          <w:p w14:paraId="51C455AE"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Control</w:t>
            </w:r>
          </w:p>
        </w:tc>
        <w:tc>
          <w:tcPr>
            <w:tcW w:w="1142" w:type="dxa"/>
            <w:tcBorders>
              <w:top w:val="nil"/>
              <w:left w:val="nil"/>
              <w:bottom w:val="nil"/>
              <w:right w:val="nil"/>
            </w:tcBorders>
            <w:shd w:val="clear" w:color="auto" w:fill="auto"/>
            <w:noWrap/>
            <w:vAlign w:val="center"/>
            <w:hideMark/>
          </w:tcPr>
          <w:p w14:paraId="7417D624"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Pre-test</w:t>
            </w:r>
          </w:p>
        </w:tc>
        <w:tc>
          <w:tcPr>
            <w:tcW w:w="1142" w:type="dxa"/>
            <w:tcBorders>
              <w:top w:val="nil"/>
              <w:left w:val="nil"/>
              <w:bottom w:val="nil"/>
              <w:right w:val="nil"/>
            </w:tcBorders>
            <w:shd w:val="clear" w:color="auto" w:fill="auto"/>
            <w:noWrap/>
            <w:hideMark/>
          </w:tcPr>
          <w:p w14:paraId="517F0C6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0.41</w:t>
            </w:r>
          </w:p>
        </w:tc>
        <w:tc>
          <w:tcPr>
            <w:tcW w:w="1142" w:type="dxa"/>
            <w:tcBorders>
              <w:top w:val="nil"/>
              <w:left w:val="nil"/>
              <w:bottom w:val="nil"/>
              <w:right w:val="nil"/>
            </w:tcBorders>
            <w:shd w:val="clear" w:color="auto" w:fill="auto"/>
            <w:noWrap/>
            <w:hideMark/>
          </w:tcPr>
          <w:p w14:paraId="120C9A6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0.02</w:t>
            </w:r>
          </w:p>
        </w:tc>
        <w:tc>
          <w:tcPr>
            <w:tcW w:w="1142" w:type="dxa"/>
            <w:tcBorders>
              <w:top w:val="nil"/>
              <w:left w:val="nil"/>
              <w:bottom w:val="nil"/>
              <w:right w:val="nil"/>
            </w:tcBorders>
            <w:shd w:val="clear" w:color="auto" w:fill="auto"/>
            <w:noWrap/>
            <w:hideMark/>
          </w:tcPr>
          <w:p w14:paraId="088CFF7F"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0.37</w:t>
            </w:r>
          </w:p>
        </w:tc>
        <w:tc>
          <w:tcPr>
            <w:tcW w:w="1142" w:type="dxa"/>
            <w:tcBorders>
              <w:top w:val="nil"/>
              <w:left w:val="nil"/>
              <w:bottom w:val="nil"/>
              <w:right w:val="nil"/>
            </w:tcBorders>
            <w:shd w:val="clear" w:color="auto" w:fill="auto"/>
            <w:noWrap/>
            <w:hideMark/>
          </w:tcPr>
          <w:p w14:paraId="243271F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0.45</w:t>
            </w:r>
          </w:p>
        </w:tc>
      </w:tr>
      <w:tr w:rsidR="00CA789A" w:rsidRPr="00CA789A" w14:paraId="640EB93C" w14:textId="77777777" w:rsidTr="004D2DCA">
        <w:trPr>
          <w:trHeight w:val="274"/>
        </w:trPr>
        <w:tc>
          <w:tcPr>
            <w:tcW w:w="1435" w:type="dxa"/>
            <w:vMerge/>
            <w:tcBorders>
              <w:top w:val="nil"/>
              <w:left w:val="nil"/>
              <w:bottom w:val="nil"/>
              <w:right w:val="nil"/>
            </w:tcBorders>
            <w:vAlign w:val="center"/>
            <w:hideMark/>
          </w:tcPr>
          <w:p w14:paraId="3C5476EF"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36" w:type="dxa"/>
            <w:vMerge/>
            <w:tcBorders>
              <w:top w:val="nil"/>
              <w:left w:val="nil"/>
              <w:bottom w:val="nil"/>
              <w:right w:val="nil"/>
            </w:tcBorders>
            <w:vAlign w:val="center"/>
            <w:hideMark/>
          </w:tcPr>
          <w:p w14:paraId="0F6390FC"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42" w:type="dxa"/>
            <w:tcBorders>
              <w:top w:val="nil"/>
              <w:left w:val="nil"/>
              <w:bottom w:val="nil"/>
              <w:right w:val="nil"/>
            </w:tcBorders>
            <w:shd w:val="clear" w:color="auto" w:fill="auto"/>
            <w:noWrap/>
            <w:vAlign w:val="center"/>
            <w:hideMark/>
          </w:tcPr>
          <w:p w14:paraId="79BDC51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Post-test</w:t>
            </w:r>
          </w:p>
        </w:tc>
        <w:tc>
          <w:tcPr>
            <w:tcW w:w="1142" w:type="dxa"/>
            <w:tcBorders>
              <w:top w:val="nil"/>
              <w:left w:val="nil"/>
              <w:bottom w:val="nil"/>
              <w:right w:val="nil"/>
            </w:tcBorders>
            <w:shd w:val="clear" w:color="auto" w:fill="auto"/>
            <w:noWrap/>
            <w:hideMark/>
          </w:tcPr>
          <w:p w14:paraId="003E4638"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0.42</w:t>
            </w:r>
          </w:p>
        </w:tc>
        <w:tc>
          <w:tcPr>
            <w:tcW w:w="1142" w:type="dxa"/>
            <w:tcBorders>
              <w:top w:val="nil"/>
              <w:left w:val="nil"/>
              <w:bottom w:val="nil"/>
              <w:right w:val="nil"/>
            </w:tcBorders>
            <w:shd w:val="clear" w:color="auto" w:fill="auto"/>
            <w:noWrap/>
            <w:hideMark/>
          </w:tcPr>
          <w:p w14:paraId="70187D6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0.02</w:t>
            </w:r>
          </w:p>
        </w:tc>
        <w:tc>
          <w:tcPr>
            <w:tcW w:w="1142" w:type="dxa"/>
            <w:tcBorders>
              <w:top w:val="nil"/>
              <w:left w:val="nil"/>
              <w:bottom w:val="nil"/>
              <w:right w:val="nil"/>
            </w:tcBorders>
            <w:shd w:val="clear" w:color="auto" w:fill="auto"/>
            <w:noWrap/>
            <w:hideMark/>
          </w:tcPr>
          <w:p w14:paraId="7690A97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0.38</w:t>
            </w:r>
          </w:p>
        </w:tc>
        <w:tc>
          <w:tcPr>
            <w:tcW w:w="1142" w:type="dxa"/>
            <w:tcBorders>
              <w:top w:val="nil"/>
              <w:left w:val="nil"/>
              <w:bottom w:val="nil"/>
              <w:right w:val="nil"/>
            </w:tcBorders>
            <w:shd w:val="clear" w:color="auto" w:fill="auto"/>
            <w:noWrap/>
            <w:hideMark/>
          </w:tcPr>
          <w:p w14:paraId="26C16364"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0.46</w:t>
            </w:r>
          </w:p>
        </w:tc>
      </w:tr>
      <w:tr w:rsidR="00CA789A" w:rsidRPr="00CA789A" w14:paraId="10E26553" w14:textId="77777777" w:rsidTr="004D2DCA">
        <w:trPr>
          <w:trHeight w:val="274"/>
        </w:trPr>
        <w:tc>
          <w:tcPr>
            <w:tcW w:w="1435" w:type="dxa"/>
            <w:vMerge/>
            <w:tcBorders>
              <w:top w:val="nil"/>
              <w:left w:val="nil"/>
              <w:bottom w:val="nil"/>
              <w:right w:val="nil"/>
            </w:tcBorders>
            <w:vAlign w:val="center"/>
            <w:hideMark/>
          </w:tcPr>
          <w:p w14:paraId="23E51EB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36" w:type="dxa"/>
            <w:vMerge w:val="restart"/>
            <w:tcBorders>
              <w:top w:val="nil"/>
              <w:left w:val="nil"/>
              <w:bottom w:val="nil"/>
              <w:right w:val="nil"/>
            </w:tcBorders>
            <w:shd w:val="clear" w:color="auto" w:fill="auto"/>
            <w:vAlign w:val="center"/>
            <w:hideMark/>
          </w:tcPr>
          <w:p w14:paraId="27D75BB9"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Imagined contact</w:t>
            </w:r>
          </w:p>
        </w:tc>
        <w:tc>
          <w:tcPr>
            <w:tcW w:w="1142" w:type="dxa"/>
            <w:tcBorders>
              <w:top w:val="nil"/>
              <w:left w:val="nil"/>
              <w:bottom w:val="nil"/>
              <w:right w:val="nil"/>
            </w:tcBorders>
            <w:shd w:val="clear" w:color="auto" w:fill="auto"/>
            <w:noWrap/>
            <w:vAlign w:val="center"/>
            <w:hideMark/>
          </w:tcPr>
          <w:p w14:paraId="0BE67F8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Pre-test</w:t>
            </w:r>
          </w:p>
        </w:tc>
        <w:tc>
          <w:tcPr>
            <w:tcW w:w="1142" w:type="dxa"/>
            <w:tcBorders>
              <w:top w:val="nil"/>
              <w:left w:val="nil"/>
              <w:bottom w:val="nil"/>
              <w:right w:val="nil"/>
            </w:tcBorders>
            <w:shd w:val="clear" w:color="auto" w:fill="auto"/>
            <w:noWrap/>
            <w:hideMark/>
          </w:tcPr>
          <w:p w14:paraId="24B653A7"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0.34</w:t>
            </w:r>
          </w:p>
        </w:tc>
        <w:tc>
          <w:tcPr>
            <w:tcW w:w="1142" w:type="dxa"/>
            <w:tcBorders>
              <w:top w:val="nil"/>
              <w:left w:val="nil"/>
              <w:bottom w:val="nil"/>
              <w:right w:val="nil"/>
            </w:tcBorders>
            <w:shd w:val="clear" w:color="auto" w:fill="auto"/>
            <w:noWrap/>
            <w:hideMark/>
          </w:tcPr>
          <w:p w14:paraId="01B3F4B4"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0.03</w:t>
            </w:r>
          </w:p>
        </w:tc>
        <w:tc>
          <w:tcPr>
            <w:tcW w:w="1142" w:type="dxa"/>
            <w:tcBorders>
              <w:top w:val="nil"/>
              <w:left w:val="nil"/>
              <w:bottom w:val="nil"/>
              <w:right w:val="nil"/>
            </w:tcBorders>
            <w:shd w:val="clear" w:color="auto" w:fill="auto"/>
            <w:noWrap/>
            <w:hideMark/>
          </w:tcPr>
          <w:p w14:paraId="6FBF585B"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0.29</w:t>
            </w:r>
          </w:p>
        </w:tc>
        <w:tc>
          <w:tcPr>
            <w:tcW w:w="1142" w:type="dxa"/>
            <w:tcBorders>
              <w:top w:val="nil"/>
              <w:left w:val="nil"/>
              <w:bottom w:val="nil"/>
              <w:right w:val="nil"/>
            </w:tcBorders>
            <w:shd w:val="clear" w:color="auto" w:fill="auto"/>
            <w:noWrap/>
            <w:hideMark/>
          </w:tcPr>
          <w:p w14:paraId="1AAD9965"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0.39</w:t>
            </w:r>
          </w:p>
        </w:tc>
      </w:tr>
      <w:tr w:rsidR="00CA789A" w:rsidRPr="00CA789A" w14:paraId="30EDE404" w14:textId="77777777" w:rsidTr="004D2DCA">
        <w:trPr>
          <w:trHeight w:val="274"/>
        </w:trPr>
        <w:tc>
          <w:tcPr>
            <w:tcW w:w="1435" w:type="dxa"/>
            <w:vMerge/>
            <w:tcBorders>
              <w:top w:val="nil"/>
              <w:left w:val="nil"/>
              <w:bottom w:val="nil"/>
              <w:right w:val="nil"/>
            </w:tcBorders>
            <w:vAlign w:val="center"/>
            <w:hideMark/>
          </w:tcPr>
          <w:p w14:paraId="5855EC61"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36" w:type="dxa"/>
            <w:vMerge/>
            <w:tcBorders>
              <w:top w:val="nil"/>
              <w:left w:val="nil"/>
              <w:bottom w:val="nil"/>
              <w:right w:val="nil"/>
            </w:tcBorders>
            <w:vAlign w:val="center"/>
            <w:hideMark/>
          </w:tcPr>
          <w:p w14:paraId="735A2D29"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42" w:type="dxa"/>
            <w:tcBorders>
              <w:top w:val="nil"/>
              <w:left w:val="nil"/>
              <w:bottom w:val="nil"/>
              <w:right w:val="nil"/>
            </w:tcBorders>
            <w:shd w:val="clear" w:color="auto" w:fill="auto"/>
            <w:noWrap/>
            <w:vAlign w:val="center"/>
            <w:hideMark/>
          </w:tcPr>
          <w:p w14:paraId="65837B9F"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Post-test</w:t>
            </w:r>
          </w:p>
        </w:tc>
        <w:tc>
          <w:tcPr>
            <w:tcW w:w="1142" w:type="dxa"/>
            <w:tcBorders>
              <w:top w:val="nil"/>
              <w:left w:val="nil"/>
              <w:bottom w:val="nil"/>
              <w:right w:val="nil"/>
            </w:tcBorders>
            <w:shd w:val="clear" w:color="auto" w:fill="auto"/>
            <w:noWrap/>
            <w:hideMark/>
          </w:tcPr>
          <w:p w14:paraId="002A7B2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0.31</w:t>
            </w:r>
          </w:p>
        </w:tc>
        <w:tc>
          <w:tcPr>
            <w:tcW w:w="1142" w:type="dxa"/>
            <w:tcBorders>
              <w:top w:val="nil"/>
              <w:left w:val="nil"/>
              <w:bottom w:val="nil"/>
              <w:right w:val="nil"/>
            </w:tcBorders>
            <w:shd w:val="clear" w:color="auto" w:fill="auto"/>
            <w:noWrap/>
            <w:hideMark/>
          </w:tcPr>
          <w:p w14:paraId="78C41CD9"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0.02</w:t>
            </w:r>
          </w:p>
        </w:tc>
        <w:tc>
          <w:tcPr>
            <w:tcW w:w="1142" w:type="dxa"/>
            <w:tcBorders>
              <w:top w:val="nil"/>
              <w:left w:val="nil"/>
              <w:bottom w:val="nil"/>
              <w:right w:val="nil"/>
            </w:tcBorders>
            <w:shd w:val="clear" w:color="auto" w:fill="auto"/>
            <w:noWrap/>
            <w:hideMark/>
          </w:tcPr>
          <w:p w14:paraId="1693B72F"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0.26</w:t>
            </w:r>
          </w:p>
        </w:tc>
        <w:tc>
          <w:tcPr>
            <w:tcW w:w="1142" w:type="dxa"/>
            <w:tcBorders>
              <w:top w:val="nil"/>
              <w:left w:val="nil"/>
              <w:bottom w:val="nil"/>
              <w:right w:val="nil"/>
            </w:tcBorders>
            <w:shd w:val="clear" w:color="auto" w:fill="auto"/>
            <w:noWrap/>
            <w:hideMark/>
          </w:tcPr>
          <w:p w14:paraId="3BE73BCC"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0.36</w:t>
            </w:r>
          </w:p>
        </w:tc>
      </w:tr>
      <w:tr w:rsidR="00CA789A" w:rsidRPr="00CA789A" w14:paraId="73C21CC8" w14:textId="77777777" w:rsidTr="004D2DCA">
        <w:trPr>
          <w:trHeight w:val="274"/>
        </w:trPr>
        <w:tc>
          <w:tcPr>
            <w:tcW w:w="1435" w:type="dxa"/>
            <w:vMerge w:val="restart"/>
            <w:tcBorders>
              <w:top w:val="nil"/>
              <w:left w:val="nil"/>
              <w:bottom w:val="single" w:sz="4" w:space="0" w:color="000000"/>
              <w:right w:val="nil"/>
            </w:tcBorders>
            <w:shd w:val="clear" w:color="auto" w:fill="auto"/>
            <w:vAlign w:val="center"/>
            <w:hideMark/>
          </w:tcPr>
          <w:p w14:paraId="31513E4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Control Education</w:t>
            </w:r>
          </w:p>
        </w:tc>
        <w:tc>
          <w:tcPr>
            <w:tcW w:w="1236" w:type="dxa"/>
            <w:vMerge w:val="restart"/>
            <w:tcBorders>
              <w:top w:val="nil"/>
              <w:left w:val="nil"/>
              <w:bottom w:val="nil"/>
              <w:right w:val="nil"/>
            </w:tcBorders>
            <w:shd w:val="clear" w:color="auto" w:fill="auto"/>
            <w:vAlign w:val="center"/>
            <w:hideMark/>
          </w:tcPr>
          <w:p w14:paraId="14CFE971"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Control</w:t>
            </w:r>
          </w:p>
        </w:tc>
        <w:tc>
          <w:tcPr>
            <w:tcW w:w="1142" w:type="dxa"/>
            <w:tcBorders>
              <w:top w:val="nil"/>
              <w:left w:val="nil"/>
              <w:bottom w:val="nil"/>
              <w:right w:val="nil"/>
            </w:tcBorders>
            <w:shd w:val="clear" w:color="auto" w:fill="auto"/>
            <w:noWrap/>
            <w:vAlign w:val="center"/>
            <w:hideMark/>
          </w:tcPr>
          <w:p w14:paraId="073B42E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Pre-test</w:t>
            </w:r>
          </w:p>
        </w:tc>
        <w:tc>
          <w:tcPr>
            <w:tcW w:w="1142" w:type="dxa"/>
            <w:tcBorders>
              <w:top w:val="nil"/>
              <w:left w:val="nil"/>
              <w:bottom w:val="nil"/>
              <w:right w:val="nil"/>
            </w:tcBorders>
            <w:shd w:val="clear" w:color="auto" w:fill="auto"/>
            <w:noWrap/>
            <w:hideMark/>
          </w:tcPr>
          <w:p w14:paraId="07819FBD"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0.38</w:t>
            </w:r>
          </w:p>
        </w:tc>
        <w:tc>
          <w:tcPr>
            <w:tcW w:w="1142" w:type="dxa"/>
            <w:tcBorders>
              <w:top w:val="nil"/>
              <w:left w:val="nil"/>
              <w:bottom w:val="nil"/>
              <w:right w:val="nil"/>
            </w:tcBorders>
            <w:shd w:val="clear" w:color="auto" w:fill="auto"/>
            <w:noWrap/>
            <w:hideMark/>
          </w:tcPr>
          <w:p w14:paraId="12D9BBA7"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0.02</w:t>
            </w:r>
          </w:p>
        </w:tc>
        <w:tc>
          <w:tcPr>
            <w:tcW w:w="1142" w:type="dxa"/>
            <w:tcBorders>
              <w:top w:val="nil"/>
              <w:left w:val="nil"/>
              <w:bottom w:val="nil"/>
              <w:right w:val="nil"/>
            </w:tcBorders>
            <w:shd w:val="clear" w:color="auto" w:fill="auto"/>
            <w:noWrap/>
            <w:hideMark/>
          </w:tcPr>
          <w:p w14:paraId="4600ACAA"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0.33</w:t>
            </w:r>
          </w:p>
        </w:tc>
        <w:tc>
          <w:tcPr>
            <w:tcW w:w="1142" w:type="dxa"/>
            <w:tcBorders>
              <w:top w:val="nil"/>
              <w:left w:val="nil"/>
              <w:bottom w:val="nil"/>
              <w:right w:val="nil"/>
            </w:tcBorders>
            <w:shd w:val="clear" w:color="auto" w:fill="auto"/>
            <w:noWrap/>
            <w:hideMark/>
          </w:tcPr>
          <w:p w14:paraId="22ECDC09"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0.43</w:t>
            </w:r>
          </w:p>
        </w:tc>
      </w:tr>
      <w:tr w:rsidR="00CA789A" w:rsidRPr="00CA789A" w14:paraId="6D84CF82" w14:textId="77777777" w:rsidTr="004D2DCA">
        <w:trPr>
          <w:trHeight w:val="274"/>
        </w:trPr>
        <w:tc>
          <w:tcPr>
            <w:tcW w:w="1435" w:type="dxa"/>
            <w:vMerge/>
            <w:tcBorders>
              <w:top w:val="nil"/>
              <w:left w:val="nil"/>
              <w:bottom w:val="single" w:sz="4" w:space="0" w:color="000000"/>
              <w:right w:val="nil"/>
            </w:tcBorders>
            <w:vAlign w:val="center"/>
            <w:hideMark/>
          </w:tcPr>
          <w:p w14:paraId="78D72ADA"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36" w:type="dxa"/>
            <w:vMerge/>
            <w:tcBorders>
              <w:top w:val="nil"/>
              <w:left w:val="nil"/>
              <w:bottom w:val="nil"/>
              <w:right w:val="nil"/>
            </w:tcBorders>
            <w:vAlign w:val="center"/>
            <w:hideMark/>
          </w:tcPr>
          <w:p w14:paraId="7193D35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42" w:type="dxa"/>
            <w:tcBorders>
              <w:top w:val="nil"/>
              <w:left w:val="nil"/>
              <w:bottom w:val="nil"/>
              <w:right w:val="nil"/>
            </w:tcBorders>
            <w:shd w:val="clear" w:color="auto" w:fill="auto"/>
            <w:noWrap/>
            <w:vAlign w:val="center"/>
            <w:hideMark/>
          </w:tcPr>
          <w:p w14:paraId="4F1EE0CE"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Post-test</w:t>
            </w:r>
          </w:p>
        </w:tc>
        <w:tc>
          <w:tcPr>
            <w:tcW w:w="1142" w:type="dxa"/>
            <w:tcBorders>
              <w:top w:val="nil"/>
              <w:left w:val="nil"/>
              <w:bottom w:val="nil"/>
              <w:right w:val="nil"/>
            </w:tcBorders>
            <w:shd w:val="clear" w:color="auto" w:fill="auto"/>
            <w:noWrap/>
            <w:hideMark/>
          </w:tcPr>
          <w:p w14:paraId="6EA32DF4"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0.35</w:t>
            </w:r>
          </w:p>
        </w:tc>
        <w:tc>
          <w:tcPr>
            <w:tcW w:w="1142" w:type="dxa"/>
            <w:tcBorders>
              <w:top w:val="nil"/>
              <w:left w:val="nil"/>
              <w:bottom w:val="nil"/>
              <w:right w:val="nil"/>
            </w:tcBorders>
            <w:shd w:val="clear" w:color="auto" w:fill="auto"/>
            <w:noWrap/>
            <w:hideMark/>
          </w:tcPr>
          <w:p w14:paraId="0526D1CB"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0.02</w:t>
            </w:r>
          </w:p>
        </w:tc>
        <w:tc>
          <w:tcPr>
            <w:tcW w:w="1142" w:type="dxa"/>
            <w:tcBorders>
              <w:top w:val="nil"/>
              <w:left w:val="nil"/>
              <w:bottom w:val="nil"/>
              <w:right w:val="nil"/>
            </w:tcBorders>
            <w:shd w:val="clear" w:color="auto" w:fill="auto"/>
            <w:noWrap/>
            <w:hideMark/>
          </w:tcPr>
          <w:p w14:paraId="3D4B1ECE"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0.30</w:t>
            </w:r>
          </w:p>
        </w:tc>
        <w:tc>
          <w:tcPr>
            <w:tcW w:w="1142" w:type="dxa"/>
            <w:tcBorders>
              <w:top w:val="nil"/>
              <w:left w:val="nil"/>
              <w:bottom w:val="nil"/>
              <w:right w:val="nil"/>
            </w:tcBorders>
            <w:shd w:val="clear" w:color="auto" w:fill="auto"/>
            <w:noWrap/>
            <w:hideMark/>
          </w:tcPr>
          <w:p w14:paraId="05E9984F"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0.39</w:t>
            </w:r>
          </w:p>
        </w:tc>
      </w:tr>
      <w:tr w:rsidR="00CA789A" w:rsidRPr="00CA789A" w14:paraId="379E829C" w14:textId="77777777" w:rsidTr="004D2DCA">
        <w:trPr>
          <w:trHeight w:val="274"/>
        </w:trPr>
        <w:tc>
          <w:tcPr>
            <w:tcW w:w="1435" w:type="dxa"/>
            <w:vMerge/>
            <w:tcBorders>
              <w:top w:val="nil"/>
              <w:left w:val="nil"/>
              <w:bottom w:val="single" w:sz="4" w:space="0" w:color="000000"/>
              <w:right w:val="nil"/>
            </w:tcBorders>
            <w:vAlign w:val="center"/>
            <w:hideMark/>
          </w:tcPr>
          <w:p w14:paraId="1B19B301"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36" w:type="dxa"/>
            <w:vMerge w:val="restart"/>
            <w:tcBorders>
              <w:top w:val="nil"/>
              <w:left w:val="nil"/>
              <w:bottom w:val="single" w:sz="4" w:space="0" w:color="000000"/>
              <w:right w:val="nil"/>
            </w:tcBorders>
            <w:shd w:val="clear" w:color="auto" w:fill="auto"/>
            <w:vAlign w:val="center"/>
            <w:hideMark/>
          </w:tcPr>
          <w:p w14:paraId="43F4DBBE"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Imagined contact</w:t>
            </w:r>
          </w:p>
        </w:tc>
        <w:tc>
          <w:tcPr>
            <w:tcW w:w="1142" w:type="dxa"/>
            <w:tcBorders>
              <w:top w:val="nil"/>
              <w:left w:val="nil"/>
              <w:bottom w:val="nil"/>
              <w:right w:val="nil"/>
            </w:tcBorders>
            <w:shd w:val="clear" w:color="auto" w:fill="auto"/>
            <w:noWrap/>
            <w:vAlign w:val="center"/>
            <w:hideMark/>
          </w:tcPr>
          <w:p w14:paraId="239EF293"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Pre-test</w:t>
            </w:r>
          </w:p>
        </w:tc>
        <w:tc>
          <w:tcPr>
            <w:tcW w:w="1142" w:type="dxa"/>
            <w:tcBorders>
              <w:top w:val="nil"/>
              <w:left w:val="nil"/>
              <w:bottom w:val="nil"/>
              <w:right w:val="nil"/>
            </w:tcBorders>
            <w:shd w:val="clear" w:color="auto" w:fill="auto"/>
            <w:noWrap/>
            <w:hideMark/>
          </w:tcPr>
          <w:p w14:paraId="23CCB01F"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0.40</w:t>
            </w:r>
          </w:p>
        </w:tc>
        <w:tc>
          <w:tcPr>
            <w:tcW w:w="1142" w:type="dxa"/>
            <w:tcBorders>
              <w:top w:val="nil"/>
              <w:left w:val="nil"/>
              <w:bottom w:val="nil"/>
              <w:right w:val="nil"/>
            </w:tcBorders>
            <w:shd w:val="clear" w:color="auto" w:fill="auto"/>
            <w:noWrap/>
            <w:hideMark/>
          </w:tcPr>
          <w:p w14:paraId="7E8D4A0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0.03</w:t>
            </w:r>
          </w:p>
        </w:tc>
        <w:tc>
          <w:tcPr>
            <w:tcW w:w="1142" w:type="dxa"/>
            <w:tcBorders>
              <w:top w:val="nil"/>
              <w:left w:val="nil"/>
              <w:bottom w:val="nil"/>
              <w:right w:val="nil"/>
            </w:tcBorders>
            <w:shd w:val="clear" w:color="auto" w:fill="auto"/>
            <w:noWrap/>
            <w:hideMark/>
          </w:tcPr>
          <w:p w14:paraId="0D5D2A23"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0.34</w:t>
            </w:r>
          </w:p>
        </w:tc>
        <w:tc>
          <w:tcPr>
            <w:tcW w:w="1142" w:type="dxa"/>
            <w:tcBorders>
              <w:top w:val="nil"/>
              <w:left w:val="nil"/>
              <w:bottom w:val="nil"/>
              <w:right w:val="nil"/>
            </w:tcBorders>
            <w:shd w:val="clear" w:color="auto" w:fill="auto"/>
            <w:noWrap/>
            <w:hideMark/>
          </w:tcPr>
          <w:p w14:paraId="4A263A7C"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0.45</w:t>
            </w:r>
          </w:p>
        </w:tc>
      </w:tr>
      <w:tr w:rsidR="00CA789A" w:rsidRPr="00CA789A" w14:paraId="2855AF54" w14:textId="77777777" w:rsidTr="004D2DCA">
        <w:trPr>
          <w:trHeight w:val="274"/>
        </w:trPr>
        <w:tc>
          <w:tcPr>
            <w:tcW w:w="1435" w:type="dxa"/>
            <w:vMerge/>
            <w:tcBorders>
              <w:top w:val="nil"/>
              <w:left w:val="nil"/>
              <w:bottom w:val="single" w:sz="4" w:space="0" w:color="000000"/>
              <w:right w:val="nil"/>
            </w:tcBorders>
            <w:vAlign w:val="center"/>
            <w:hideMark/>
          </w:tcPr>
          <w:p w14:paraId="57057329"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236" w:type="dxa"/>
            <w:vMerge/>
            <w:tcBorders>
              <w:top w:val="nil"/>
              <w:left w:val="nil"/>
              <w:bottom w:val="single" w:sz="4" w:space="0" w:color="000000"/>
              <w:right w:val="nil"/>
            </w:tcBorders>
            <w:vAlign w:val="center"/>
            <w:hideMark/>
          </w:tcPr>
          <w:p w14:paraId="071FD998"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rPr>
            </w:pPr>
          </w:p>
        </w:tc>
        <w:tc>
          <w:tcPr>
            <w:tcW w:w="1142" w:type="dxa"/>
            <w:tcBorders>
              <w:top w:val="nil"/>
              <w:left w:val="nil"/>
              <w:bottom w:val="single" w:sz="4" w:space="0" w:color="auto"/>
              <w:right w:val="nil"/>
            </w:tcBorders>
            <w:shd w:val="clear" w:color="auto" w:fill="auto"/>
            <w:noWrap/>
            <w:vAlign w:val="center"/>
            <w:hideMark/>
          </w:tcPr>
          <w:p w14:paraId="6BEB4CB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Post-test</w:t>
            </w:r>
          </w:p>
        </w:tc>
        <w:tc>
          <w:tcPr>
            <w:tcW w:w="1142" w:type="dxa"/>
            <w:tcBorders>
              <w:top w:val="nil"/>
              <w:left w:val="nil"/>
              <w:bottom w:val="single" w:sz="4" w:space="0" w:color="auto"/>
              <w:right w:val="nil"/>
            </w:tcBorders>
            <w:shd w:val="clear" w:color="auto" w:fill="auto"/>
            <w:noWrap/>
            <w:hideMark/>
          </w:tcPr>
          <w:p w14:paraId="3CEA3682"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0.29</w:t>
            </w:r>
          </w:p>
        </w:tc>
        <w:tc>
          <w:tcPr>
            <w:tcW w:w="1142" w:type="dxa"/>
            <w:tcBorders>
              <w:top w:val="nil"/>
              <w:left w:val="nil"/>
              <w:bottom w:val="single" w:sz="4" w:space="0" w:color="auto"/>
              <w:right w:val="nil"/>
            </w:tcBorders>
            <w:shd w:val="clear" w:color="auto" w:fill="auto"/>
            <w:noWrap/>
            <w:hideMark/>
          </w:tcPr>
          <w:p w14:paraId="0039FE29"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0.03</w:t>
            </w:r>
          </w:p>
        </w:tc>
        <w:tc>
          <w:tcPr>
            <w:tcW w:w="1142" w:type="dxa"/>
            <w:tcBorders>
              <w:top w:val="nil"/>
              <w:left w:val="nil"/>
              <w:bottom w:val="single" w:sz="4" w:space="0" w:color="auto"/>
              <w:right w:val="nil"/>
            </w:tcBorders>
            <w:shd w:val="clear" w:color="auto" w:fill="auto"/>
            <w:noWrap/>
            <w:hideMark/>
          </w:tcPr>
          <w:p w14:paraId="4BD811B5"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0.24</w:t>
            </w:r>
          </w:p>
        </w:tc>
        <w:tc>
          <w:tcPr>
            <w:tcW w:w="1142" w:type="dxa"/>
            <w:tcBorders>
              <w:top w:val="nil"/>
              <w:left w:val="nil"/>
              <w:bottom w:val="single" w:sz="4" w:space="0" w:color="auto"/>
              <w:right w:val="nil"/>
            </w:tcBorders>
            <w:shd w:val="clear" w:color="auto" w:fill="auto"/>
            <w:noWrap/>
            <w:hideMark/>
          </w:tcPr>
          <w:p w14:paraId="3B2C2A0B" w14:textId="77777777" w:rsidR="00CA789A" w:rsidRPr="00CA789A" w:rsidRDefault="00CA789A" w:rsidP="00CA789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rPr>
            </w:pPr>
            <w:r w:rsidRPr="00CA789A">
              <w:rPr>
                <w:rFonts w:eastAsia="Times New Roman"/>
                <w:color w:val="auto"/>
                <w:sz w:val="20"/>
                <w:szCs w:val="20"/>
              </w:rPr>
              <w:t>0.34</w:t>
            </w:r>
          </w:p>
        </w:tc>
      </w:tr>
    </w:tbl>
    <w:p w14:paraId="06E74096" w14:textId="4F631523" w:rsidR="00CA789A" w:rsidRPr="004D2DCA" w:rsidRDefault="007268FD" w:rsidP="00A427E8">
      <w:pPr>
        <w:pStyle w:val="Tables"/>
        <w:rPr>
          <w:i w:val="0"/>
          <w:iCs/>
          <w:lang w:eastAsia="en-US"/>
        </w:rPr>
      </w:pPr>
      <w:r>
        <w:rPr>
          <w:i w:val="0"/>
          <w:iCs/>
          <w:lang w:eastAsia="en-US"/>
        </w:rPr>
        <w:t>Covariates: Explicit motivation to respond without prejudice</w:t>
      </w:r>
    </w:p>
    <w:p w14:paraId="2DF9AF2E"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Calibri"/>
          <w:color w:val="auto"/>
          <w:sz w:val="24"/>
          <w:szCs w:val="24"/>
          <w:lang w:eastAsia="en-US"/>
        </w:rPr>
      </w:pPr>
    </w:p>
    <w:p w14:paraId="5FAB40CC" w14:textId="36165B38" w:rsidR="000F1616" w:rsidRPr="004D2DCA" w:rsidRDefault="000F1616" w:rsidP="000F1616">
      <w:pPr>
        <w:pBdr>
          <w:top w:val="none" w:sz="0" w:space="0" w:color="auto"/>
          <w:left w:val="none" w:sz="0" w:space="0" w:color="auto"/>
          <w:bottom w:val="none" w:sz="0" w:space="0" w:color="auto"/>
          <w:right w:val="none" w:sz="0" w:space="0" w:color="auto"/>
          <w:between w:val="none" w:sz="0" w:space="0" w:color="auto"/>
        </w:pBdr>
        <w:spacing w:after="0"/>
        <w:ind w:firstLine="0"/>
        <w:rPr>
          <w:rFonts w:eastAsia="Calibri"/>
          <w:color w:val="auto"/>
          <w:lang w:eastAsia="en-US"/>
        </w:rPr>
      </w:pPr>
      <w:r w:rsidRPr="004D2DCA">
        <w:rPr>
          <w:rFonts w:eastAsia="Calibri"/>
          <w:color w:val="auto"/>
          <w:lang w:eastAsia="en-US"/>
        </w:rPr>
        <w:t xml:space="preserve">The IC factor also showed a significant effect on avoidance intentions, </w:t>
      </w:r>
      <w:r w:rsidRPr="004D2DCA">
        <w:rPr>
          <w:rFonts w:eastAsia="Calibri"/>
          <w:i/>
          <w:color w:val="auto"/>
          <w:lang w:eastAsia="en-US"/>
        </w:rPr>
        <w:t>F</w:t>
      </w:r>
      <w:r w:rsidRPr="004D2DCA">
        <w:rPr>
          <w:rFonts w:eastAsia="Calibri"/>
          <w:color w:val="auto"/>
          <w:lang w:eastAsia="en-US"/>
        </w:rPr>
        <w:t xml:space="preserve">(299)=7.41, </w:t>
      </w:r>
      <w:r w:rsidRPr="004D2DCA">
        <w:rPr>
          <w:rFonts w:eastAsia="Calibri"/>
          <w:i/>
          <w:color w:val="auto"/>
          <w:lang w:eastAsia="en-US"/>
        </w:rPr>
        <w:t>p</w:t>
      </w:r>
      <w:r w:rsidRPr="004D2DCA">
        <w:rPr>
          <w:rFonts w:eastAsia="Calibri"/>
          <w:color w:val="auto"/>
          <w:lang w:eastAsia="en-US"/>
        </w:rPr>
        <w:t xml:space="preserve">=0.007, ES=0.03. </w:t>
      </w:r>
      <w:bookmarkStart w:id="105" w:name="_Hlk11696867"/>
      <w:r w:rsidRPr="004D2DCA">
        <w:rPr>
          <w:rFonts w:eastAsia="Calibri"/>
          <w:color w:val="auto"/>
          <w:lang w:eastAsia="en-US"/>
        </w:rPr>
        <w:t xml:space="preserve">Results from post-hoc tests </w:t>
      </w:r>
      <w:r w:rsidR="0036059E">
        <w:rPr>
          <w:rFonts w:eastAsia="Calibri"/>
          <w:color w:val="auto"/>
          <w:lang w:eastAsia="en-US"/>
        </w:rPr>
        <w:t xml:space="preserve">using Bonferroni correction </w:t>
      </w:r>
      <w:r w:rsidRPr="004D2DCA">
        <w:rPr>
          <w:rFonts w:eastAsia="Calibri"/>
          <w:color w:val="auto"/>
          <w:lang w:eastAsia="en-US"/>
        </w:rPr>
        <w:t xml:space="preserve">showed that respondents imagining a positive interaction with FD (IC) reported significantly </w:t>
      </w:r>
      <w:r w:rsidR="0036059E">
        <w:rPr>
          <w:rFonts w:eastAsia="Calibri"/>
          <w:color w:val="auto"/>
          <w:lang w:eastAsia="en-US"/>
        </w:rPr>
        <w:t xml:space="preserve">higher contact intention (M = 5.86, SD = 0.9) </w:t>
      </w:r>
      <w:r w:rsidRPr="004D2DCA">
        <w:rPr>
          <w:rFonts w:eastAsia="Calibri"/>
          <w:color w:val="auto"/>
          <w:lang w:eastAsia="en-US"/>
        </w:rPr>
        <w:t>than participants allocated to a control imagination task (</w:t>
      </w:r>
      <w:r w:rsidR="0036059E">
        <w:rPr>
          <w:rFonts w:eastAsia="Calibri"/>
          <w:color w:val="auto"/>
          <w:lang w:eastAsia="en-US"/>
        </w:rPr>
        <w:t xml:space="preserve">M = 5.33, SD = 1.13, </w:t>
      </w:r>
      <w:r w:rsidRPr="004D2DCA">
        <w:rPr>
          <w:rFonts w:eastAsia="Calibri"/>
          <w:i/>
          <w:iCs/>
          <w:color w:val="auto"/>
          <w:lang w:eastAsia="en-US"/>
        </w:rPr>
        <w:t>p</w:t>
      </w:r>
      <w:r w:rsidRPr="004D2DCA">
        <w:rPr>
          <w:rFonts w:eastAsia="Calibri"/>
          <w:color w:val="auto"/>
          <w:lang w:eastAsia="en-US"/>
        </w:rPr>
        <w:t xml:space="preserve"> &lt; 0.001). Participants allocated to IC did not differ in avoidance to those allocated to video-clip or written message. </w:t>
      </w:r>
      <w:r w:rsidR="007B6C77" w:rsidRPr="00774F56">
        <w:rPr>
          <w:rFonts w:eastAsia="Calibri"/>
          <w:color w:val="auto"/>
          <w:lang w:eastAsia="en-US"/>
        </w:rPr>
        <w:t>Nevertheless,</w:t>
      </w:r>
      <w:r w:rsidRPr="004D2DCA">
        <w:rPr>
          <w:rFonts w:eastAsia="Calibri"/>
          <w:color w:val="auto"/>
          <w:lang w:eastAsia="en-US"/>
        </w:rPr>
        <w:t xml:space="preserve"> participants allocated to the written awareness group showed more reduction in intended avoidance than those allocated to IC control (</w:t>
      </w:r>
      <w:r w:rsidRPr="004D2DCA">
        <w:rPr>
          <w:rFonts w:eastAsia="Calibri"/>
          <w:i/>
          <w:iCs/>
          <w:color w:val="auto"/>
          <w:lang w:eastAsia="en-US"/>
        </w:rPr>
        <w:t>p</w:t>
      </w:r>
      <w:r w:rsidRPr="004D2DCA">
        <w:rPr>
          <w:rFonts w:eastAsia="Calibri"/>
          <w:color w:val="auto"/>
          <w:lang w:eastAsia="en-US"/>
        </w:rPr>
        <w:t xml:space="preserve"> = 0.01).  An interaction effect between awareness and IC on intentions to avoid FD was also found </w:t>
      </w:r>
      <w:r w:rsidRPr="004D2DCA">
        <w:rPr>
          <w:rFonts w:eastAsia="Calibri"/>
          <w:i/>
          <w:color w:val="auto"/>
          <w:lang w:eastAsia="en-US"/>
        </w:rPr>
        <w:t>F</w:t>
      </w:r>
      <w:r w:rsidRPr="004D2DCA">
        <w:rPr>
          <w:rFonts w:eastAsia="Calibri"/>
          <w:color w:val="auto"/>
          <w:lang w:eastAsia="en-US"/>
        </w:rPr>
        <w:t>(299)=3.47,</w:t>
      </w:r>
      <w:r w:rsidRPr="004D2DCA">
        <w:rPr>
          <w:rFonts w:eastAsia="Calibri"/>
          <w:i/>
          <w:color w:val="auto"/>
          <w:lang w:eastAsia="en-US"/>
        </w:rPr>
        <w:t>p</w:t>
      </w:r>
      <w:r w:rsidRPr="004D2DCA">
        <w:rPr>
          <w:rFonts w:eastAsia="Calibri"/>
          <w:color w:val="auto"/>
          <w:lang w:eastAsia="en-US"/>
        </w:rPr>
        <w:t xml:space="preserve">=0.03, ES=0.02, though effect sizes </w:t>
      </w:r>
      <w:r w:rsidR="007042D1">
        <w:rPr>
          <w:rFonts w:eastAsia="Calibri"/>
          <w:color w:val="auto"/>
          <w:lang w:eastAsia="en-US"/>
        </w:rPr>
        <w:t xml:space="preserve">(ETA square) </w:t>
      </w:r>
      <w:r w:rsidRPr="004D2DCA">
        <w:rPr>
          <w:rFonts w:eastAsia="Calibri"/>
          <w:color w:val="auto"/>
          <w:lang w:eastAsia="en-US"/>
        </w:rPr>
        <w:t xml:space="preserve">were lower than the one associated with the awareness factor or imagined contact alone. </w:t>
      </w:r>
    </w:p>
    <w:bookmarkEnd w:id="105"/>
    <w:p w14:paraId="47E1C859" w14:textId="77777777" w:rsidR="000F1616" w:rsidRDefault="000F1616" w:rsidP="000F161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Calibri"/>
          <w:color w:val="auto"/>
          <w:sz w:val="24"/>
          <w:szCs w:val="24"/>
          <w:lang w:eastAsia="en-US"/>
        </w:rPr>
      </w:pPr>
    </w:p>
    <w:p w14:paraId="50804A82" w14:textId="15EFAB69" w:rsidR="000F1616" w:rsidRPr="004D2DCA" w:rsidRDefault="007B6C77"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Calibri"/>
          <w:b/>
          <w:color w:val="auto"/>
          <w:lang w:eastAsia="en-US"/>
        </w:rPr>
      </w:pPr>
      <w:r w:rsidRPr="004D2DCA">
        <w:rPr>
          <w:rFonts w:eastAsia="Calibri"/>
          <w:b/>
          <w:color w:val="auto"/>
          <w:lang w:eastAsia="en-US"/>
        </w:rPr>
        <w:t>Written</w:t>
      </w:r>
      <w:r w:rsidR="006763BA" w:rsidRPr="004D2DCA">
        <w:rPr>
          <w:rFonts w:eastAsia="Calibri"/>
          <w:b/>
          <w:color w:val="auto"/>
          <w:lang w:eastAsia="en-US"/>
        </w:rPr>
        <w:t xml:space="preserve"> account of</w:t>
      </w:r>
      <w:r w:rsidR="00461D39" w:rsidRPr="004D2DCA">
        <w:rPr>
          <w:rFonts w:eastAsia="Calibri"/>
          <w:b/>
          <w:color w:val="auto"/>
          <w:lang w:eastAsia="en-US"/>
        </w:rPr>
        <w:t xml:space="preserve"> imaginary tasks</w:t>
      </w:r>
      <w:r>
        <w:rPr>
          <w:rFonts w:eastAsia="Calibri"/>
          <w:b/>
          <w:color w:val="auto"/>
          <w:lang w:eastAsia="en-US"/>
        </w:rPr>
        <w:t xml:space="preserve"> (preliminary analysis)</w:t>
      </w:r>
    </w:p>
    <w:p w14:paraId="55B5ECCC" w14:textId="0CBBF76E" w:rsidR="00461D39" w:rsidRDefault="00461D39" w:rsidP="00461D39">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Calibri" w:hAnsi="Times New Roman" w:cs="Times New Roman"/>
          <w:b/>
          <w:color w:val="auto"/>
          <w:sz w:val="24"/>
          <w:szCs w:val="24"/>
          <w:lang w:eastAsia="en-US"/>
        </w:rPr>
      </w:pPr>
    </w:p>
    <w:p w14:paraId="5A11604B" w14:textId="268F8688" w:rsidR="006763BA" w:rsidRPr="002725D5" w:rsidRDefault="006763BA" w:rsidP="006763BA">
      <w:r w:rsidRPr="002725D5">
        <w:t xml:space="preserve">Participants allocated to the IC experimental condition (n = 148) imagined a positive interaction with an individual with FD and then provided a brief description of the person and the interaction they just imagined. Control participants (n = 161) were asked to imagine and describe a scenery (e.g., a beach or forest). Those imagining an interaction with a person with FD used between 1 – 81 words to describe the individual they imagined (M= 23.9, SD = 14,8) and between 1-111 words (M = 30.7, SD = 21.65) when retelling the interaction. Control participants wrote a range of 1-121 words (M = </w:t>
      </w:r>
      <w:r w:rsidRPr="002725D5">
        <w:lastRenderedPageBreak/>
        <w:t>31.5, SD = 22.8) to describe the scenery they imagined in the task. Results from a one-way between subjects ANOVA revealed a significant effect of question type on number of words typed by participants,</w:t>
      </w:r>
      <w:r w:rsidRPr="002725D5">
        <w:rPr>
          <w:i/>
          <w:iCs/>
        </w:rPr>
        <w:t xml:space="preserve"> F</w:t>
      </w:r>
      <w:r w:rsidRPr="002725D5">
        <w:t xml:space="preserve">(2, 439) = 4.94, </w:t>
      </w:r>
      <w:r w:rsidRPr="002725D5">
        <w:rPr>
          <w:i/>
          <w:iCs/>
        </w:rPr>
        <w:t>p</w:t>
      </w:r>
      <w:r w:rsidRPr="002725D5">
        <w:t xml:space="preserve"> = .008. Further post-hoc comparisons with Bonferroni correction indicated that participants used significantly less words to describe their imaginary person with FD than when they described the interaction (</w:t>
      </w:r>
      <w:r w:rsidRPr="002725D5">
        <w:rPr>
          <w:i/>
          <w:iCs/>
        </w:rPr>
        <w:t>p</w:t>
      </w:r>
      <w:r w:rsidRPr="002725D5">
        <w:t xml:space="preserve"> = .02). The number of words to describe a person with FD was also significantly lower than the wordcount of control participants describing a scenery </w:t>
      </w:r>
      <w:r w:rsidRPr="002725D5">
        <w:rPr>
          <w:i/>
          <w:iCs/>
        </w:rPr>
        <w:t>p</w:t>
      </w:r>
      <w:r w:rsidRPr="002725D5">
        <w:t xml:space="preserve"> = 0.01). However, there was no significant differences in wordcount between those describing an interaction and control participants retelling a scenery they just imagined (</w:t>
      </w:r>
      <w:r w:rsidRPr="002725D5">
        <w:rPr>
          <w:i/>
          <w:iCs/>
        </w:rPr>
        <w:t>p</w:t>
      </w:r>
      <w:r w:rsidRPr="002725D5">
        <w:t xml:space="preserve"> = .9). See figure </w:t>
      </w:r>
      <w:r w:rsidR="00774F56">
        <w:t>4.3</w:t>
      </w:r>
      <w:r w:rsidRPr="002725D5">
        <w:t>.</w:t>
      </w:r>
    </w:p>
    <w:p w14:paraId="67A81115" w14:textId="42432C06" w:rsidR="006763BA" w:rsidRDefault="00774F56" w:rsidP="006763BA">
      <w:r>
        <w:t xml:space="preserve">Figure 4.3. </w:t>
      </w:r>
      <w:r w:rsidR="001910BC">
        <w:t>Word count in imaginary tasks</w:t>
      </w:r>
    </w:p>
    <w:p w14:paraId="35A44BCA" w14:textId="77777777" w:rsidR="006763BA" w:rsidRDefault="006763BA" w:rsidP="006763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s-CO" w:eastAsia="es-CO"/>
        </w:rPr>
        <w:drawing>
          <wp:inline distT="0" distB="0" distL="0" distR="0" wp14:anchorId="7D885936" wp14:editId="72D3706A">
            <wp:extent cx="5731510" cy="337375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373755"/>
                    </a:xfrm>
                    <a:prstGeom prst="rect">
                      <a:avLst/>
                    </a:prstGeom>
                    <a:noFill/>
                    <a:ln>
                      <a:noFill/>
                    </a:ln>
                  </pic:spPr>
                </pic:pic>
              </a:graphicData>
            </a:graphic>
          </wp:inline>
        </w:drawing>
      </w:r>
    </w:p>
    <w:p w14:paraId="7AFC5334" w14:textId="77777777" w:rsidR="006763BA" w:rsidRDefault="006763BA" w:rsidP="006763BA">
      <w:pPr>
        <w:autoSpaceDE w:val="0"/>
        <w:autoSpaceDN w:val="0"/>
        <w:adjustRightInd w:val="0"/>
        <w:spacing w:after="0" w:line="240" w:lineRule="auto"/>
        <w:rPr>
          <w:rFonts w:ascii="Times New Roman" w:hAnsi="Times New Roman" w:cs="Times New Roman"/>
          <w:sz w:val="24"/>
          <w:szCs w:val="24"/>
        </w:rPr>
      </w:pPr>
    </w:p>
    <w:p w14:paraId="3D10F564" w14:textId="35C314AC" w:rsidR="006763BA" w:rsidRPr="002725D5" w:rsidRDefault="006763BA" w:rsidP="006763BA">
      <w:r w:rsidRPr="002725D5">
        <w:t xml:space="preserve">The instructions given to participants in the IC experimental condition did not specify gender or type of FD, only that the interaction had to be positive. Thus, participants were free to imagine a social exchange with a person of any gender and with whatever visible difference that they considered </w:t>
      </w:r>
      <w:r w:rsidR="007B6C77" w:rsidRPr="002725D5">
        <w:t>FD</w:t>
      </w:r>
      <w:r w:rsidRPr="002725D5">
        <w:t>. Close to 70% participants allocated to imagining an interaction with someone with FD were specific about the gender of their imaginary person with FD (n = 103). Out of these, sixty-four participants imagined an interacting with a male (n =64), and 39 described an interaction with a female. The remaining 43 participants did not specify gender within their descriptions (e.g., “The person was Tall, blue eyes, brown hair, white skin…</w:t>
      </w:r>
      <w:r w:rsidR="007F2A46" w:rsidRPr="002725D5">
        <w:t>”</w:t>
      </w:r>
      <w:r w:rsidRPr="002725D5">
        <w:t xml:space="preserve"> participant 179). </w:t>
      </w:r>
    </w:p>
    <w:p w14:paraId="4EA2CEC6" w14:textId="77777777" w:rsidR="006763BA" w:rsidRPr="002725D5" w:rsidRDefault="006763BA" w:rsidP="006763BA">
      <w:r w:rsidRPr="002725D5">
        <w:t xml:space="preserve">Sixty-two participants (n = 62) did not describe the type of disfigurement that the person they imagine had. These descriptions included general reference to the </w:t>
      </w:r>
      <w:r w:rsidRPr="002725D5">
        <w:lastRenderedPageBreak/>
        <w:t xml:space="preserve">persons’ facial difference: “Mostly ordinary appearance aside from his different face. Ordinary voice” (Participant 72). Other participants that did not describe the disfigurement but rather concentrated the description around personality traits and other aspects of the person’s appearance: </w:t>
      </w:r>
      <w:r w:rsidRPr="002725D5">
        <w:rPr>
          <w:i/>
          <w:iCs/>
        </w:rPr>
        <w:t>“</w:t>
      </w:r>
      <w:r w:rsidRPr="002725D5">
        <w:t>He was dressed very smartly in a suit and was very happy and cheerful. Very friendly and chatty</w:t>
      </w:r>
      <w:r w:rsidRPr="002725D5">
        <w:rPr>
          <w:i/>
          <w:iCs/>
        </w:rPr>
        <w:t>”</w:t>
      </w:r>
      <w:r w:rsidRPr="002725D5">
        <w:t xml:space="preserve"> (Participant 134). </w:t>
      </w:r>
    </w:p>
    <w:p w14:paraId="56E36CC7" w14:textId="77777777" w:rsidR="006763BA" w:rsidRPr="002725D5" w:rsidRDefault="006763BA" w:rsidP="006763BA">
      <w:r w:rsidRPr="002725D5">
        <w:t xml:space="preserve">When participants were explicit about the type of FD (n = 84), they mostly included physical asymmetries (n = 55) such as enlarged facial features: </w:t>
      </w:r>
      <w:r w:rsidRPr="002725D5">
        <w:rPr>
          <w:i/>
          <w:iCs/>
        </w:rPr>
        <w:t>“</w:t>
      </w:r>
      <w:r w:rsidRPr="002725D5">
        <w:t>Large forehead, different sized eyes, overbite</w:t>
      </w:r>
      <w:r w:rsidRPr="002725D5">
        <w:rPr>
          <w:i/>
          <w:iCs/>
        </w:rPr>
        <w:t xml:space="preserve">” </w:t>
      </w:r>
      <w:r w:rsidRPr="002725D5">
        <w:t xml:space="preserve">(Participant 117). Description of asymmetries also included disproportional size of the components of the face: </w:t>
      </w:r>
      <w:r w:rsidRPr="002725D5">
        <w:rPr>
          <w:i/>
          <w:iCs/>
        </w:rPr>
        <w:t>“</w:t>
      </w:r>
      <w:r w:rsidRPr="002725D5">
        <w:t>Face was asymmetrical - disfigurement only fully affected one side of the face. Eyes were smaller than average, tone of voice was low, and speech was slower than mine</w:t>
      </w:r>
      <w:r w:rsidRPr="002725D5">
        <w:rPr>
          <w:i/>
          <w:iCs/>
        </w:rPr>
        <w:t>.” (</w:t>
      </w:r>
      <w:r w:rsidRPr="002725D5">
        <w:t xml:space="preserve">Participant 93). FD associated with asymmetries also included missing organs or parts of the face: </w:t>
      </w:r>
      <w:r w:rsidRPr="002725D5">
        <w:rPr>
          <w:i/>
          <w:iCs/>
        </w:rPr>
        <w:t>“</w:t>
      </w:r>
      <w:r w:rsidRPr="002725D5">
        <w:t>The person was a male with a sunken face and missing eye. He had a deep, rich voice and scruffy beard</w:t>
      </w:r>
      <w:r w:rsidRPr="002725D5">
        <w:rPr>
          <w:i/>
          <w:iCs/>
        </w:rPr>
        <w:t>”</w:t>
      </w:r>
      <w:r w:rsidRPr="002725D5">
        <w:t xml:space="preserve"> (Participant 33).</w:t>
      </w:r>
    </w:p>
    <w:p w14:paraId="6DD0E8E1" w14:textId="37CC981C" w:rsidR="006763BA" w:rsidRPr="002725D5" w:rsidRDefault="006763BA" w:rsidP="006763BA">
      <w:r w:rsidRPr="002725D5">
        <w:t xml:space="preserve">Other </w:t>
      </w:r>
      <w:r w:rsidR="007B6C77">
        <w:t>d</w:t>
      </w:r>
      <w:r w:rsidRPr="002725D5">
        <w:t>escri</w:t>
      </w:r>
      <w:r w:rsidR="007B6C77">
        <w:t>ptions of FD</w:t>
      </w:r>
      <w:r w:rsidRPr="002725D5">
        <w:t xml:space="preserve"> in this sample </w:t>
      </w:r>
      <w:r w:rsidR="007B6C77">
        <w:t>included</w:t>
      </w:r>
      <w:r w:rsidRPr="002725D5">
        <w:t xml:space="preserve"> birthmarks, scars, burns and discolouring of the facial skin. For example, “…Burn scars across face, we didn't talk about how they occurred, more about where they were going, their family etc.” (Participant 39) and “…They had a big red patch of skin covering one side of their face. The tone of voice was friendly and welcoming…”  (Participant 4).</w:t>
      </w:r>
    </w:p>
    <w:p w14:paraId="0282F0BC" w14:textId="77777777" w:rsidR="006763BA" w:rsidRPr="002725D5" w:rsidRDefault="006763BA" w:rsidP="006763BA">
      <w:r w:rsidRPr="002725D5">
        <w:t xml:space="preserve">Although FD does not always involve damage to the senses, 27 participants described their imaginary person with FD with at least one functional impairment: </w:t>
      </w:r>
    </w:p>
    <w:p w14:paraId="745A0C79" w14:textId="3EF43660" w:rsidR="006763BA" w:rsidRPr="002725D5" w:rsidRDefault="006763BA" w:rsidP="006763BA">
      <w:pPr>
        <w:ind w:left="720"/>
      </w:pPr>
      <w:r w:rsidRPr="002725D5">
        <w:rPr>
          <w:i/>
          <w:iCs/>
        </w:rPr>
        <w:t>“</w:t>
      </w:r>
      <w:r w:rsidRPr="002725D5">
        <w:t xml:space="preserve">It was a woman whose face was distorted by her mouth hanging lower on one side, her voice was impaired I think by her the downward curve of her mouth and side of her face. She had long motty brownish hair and was wearing simple </w:t>
      </w:r>
      <w:r w:rsidR="007B6C77" w:rsidRPr="002725D5">
        <w:t>clothes;</w:t>
      </w:r>
      <w:r w:rsidRPr="002725D5">
        <w:t xml:space="preserve"> baggy jeans a white top and had a backpack with her</w:t>
      </w:r>
      <w:r w:rsidRPr="002725D5">
        <w:rPr>
          <w:i/>
          <w:iCs/>
        </w:rPr>
        <w:t>”</w:t>
      </w:r>
      <w:r w:rsidRPr="002725D5">
        <w:t xml:space="preserve"> (Participant 65).</w:t>
      </w:r>
    </w:p>
    <w:p w14:paraId="3D9D764B" w14:textId="77777777" w:rsidR="006763BA" w:rsidRPr="002725D5" w:rsidRDefault="006763BA" w:rsidP="006763BA">
      <w:r w:rsidRPr="002725D5">
        <w:t>The personality traits attributed to the imaginary person with FD were commonly positive. There were 41 explicit references to the imaginary person as being “friendly”, “pleasant”, “happy” and other synonyms (e.g., smiley, lively).  Ten participants described the person with FD as “confident” and further 9 participants used adjectives like “warm” or “kind”. Other common adjectives utilised in this sample were “polite” (n = 9) and “normal” or “ordinary” (n = 4). Explicit attributions of shyness or awkwardness were found in the discourse of 8 participants.</w:t>
      </w:r>
    </w:p>
    <w:p w14:paraId="5CD00139" w14:textId="39D6D04D" w:rsidR="006763BA" w:rsidRPr="002725D5" w:rsidRDefault="006763BA" w:rsidP="006763BA">
      <w:r w:rsidRPr="002725D5">
        <w:t>Participants largely imagined positive interactions as indicated in the instructions (n = 133). For example</w:t>
      </w:r>
      <w:r w:rsidR="007F2A46">
        <w:t xml:space="preserve">, </w:t>
      </w:r>
      <w:r w:rsidRPr="002725D5">
        <w:rPr>
          <w:i/>
          <w:iCs/>
        </w:rPr>
        <w:t>“</w:t>
      </w:r>
      <w:r w:rsidRPr="002725D5">
        <w:t xml:space="preserve">Very interesting - about his life, his achievements </w:t>
      </w:r>
      <w:r w:rsidRPr="002725D5">
        <w:lastRenderedPageBreak/>
        <w:t>and his goals. Also, his political motivations, the causes he fights for, especially disability legislation. We laughed and joked, it was a good conversation</w:t>
      </w:r>
      <w:r w:rsidRPr="002725D5">
        <w:rPr>
          <w:i/>
          <w:iCs/>
        </w:rPr>
        <w:t>.”</w:t>
      </w:r>
      <w:r w:rsidRPr="002725D5">
        <w:t xml:space="preserve"> (Participant 91). However, in 33 participants the interaction was not positive throughout the discourse, as participants included within the description moments of awkwardness: “Initially a little awkward ('elephant in the room' idea) but soon completely normal” (Participant 39); and other expressions of incertitude about the interaction: “It was awkward. I could not help but stare. It ended up well, but I still felt self-conscious about my behaviour during the interaction. I could not help but do that” (Participant 182).</w:t>
      </w:r>
    </w:p>
    <w:p w14:paraId="32CBC9B7" w14:textId="77777777" w:rsidR="006763BA" w:rsidRPr="002725D5" w:rsidRDefault="006763BA" w:rsidP="006763BA">
      <w:r w:rsidRPr="002725D5">
        <w:t xml:space="preserve">Other interactions included elements of surprise: “I was shocked at first but soon found something to focus on to distract my initial shock, they were just like anyone else to talk to and I soon found that I looked beyond the facial deformities” (Participant 276); and curiosity: </w:t>
      </w:r>
    </w:p>
    <w:p w14:paraId="4F063B6F" w14:textId="77777777" w:rsidR="006763BA" w:rsidRDefault="006763BA" w:rsidP="006763BA">
      <w:pPr>
        <w:ind w:left="720"/>
      </w:pPr>
      <w:r w:rsidRPr="002725D5">
        <w:t>“We struck up a conversation about a book she was reading and talked for a while about 'normal' things without any reference to her appearance. I managed not to stare or ask about it because I was enjoying our conversation not because I needed to make a special effort! …” (Participant 275).</w:t>
      </w:r>
    </w:p>
    <w:p w14:paraId="71F2063C" w14:textId="404CE2C1" w:rsidR="007B6C77" w:rsidRDefault="006763BA" w:rsidP="007B6C77">
      <w:r>
        <w:t>Based on the analysis of the written description provided by participants, the original design of 3 (awareness written, awareness media, control) x 2 (IC vs IC control), was further classified to include participants that did not imagine a complete positive interaction</w:t>
      </w:r>
      <w:r w:rsidR="00774F56">
        <w:t xml:space="preserve"> (see figure </w:t>
      </w:r>
      <w:r w:rsidR="00E21EB9">
        <w:t>4.4)</w:t>
      </w:r>
      <w:r>
        <w:t xml:space="preserve">. Thus, </w:t>
      </w:r>
      <w:r w:rsidR="007B6C77">
        <w:t>two</w:t>
      </w:r>
      <w:r>
        <w:t xml:space="preserve"> 3 x 3 (IC positive vs IC mixed vs control) </w:t>
      </w:r>
      <w:r w:rsidR="00391353">
        <w:t xml:space="preserve">mixed </w:t>
      </w:r>
      <w:r>
        <w:t>ANOVA</w:t>
      </w:r>
      <w:r w:rsidR="007B6C77">
        <w:t>s</w:t>
      </w:r>
      <w:r>
        <w:t xml:space="preserve"> w</w:t>
      </w:r>
      <w:r w:rsidR="007B6C77">
        <w:t>ere</w:t>
      </w:r>
      <w:r>
        <w:t xml:space="preserve"> conducted to test the effect of awareness </w:t>
      </w:r>
      <w:r w:rsidR="00391353">
        <w:t xml:space="preserve">and </w:t>
      </w:r>
      <w:r>
        <w:t>imaginary task</w:t>
      </w:r>
      <w:r w:rsidR="00391353">
        <w:t>s</w:t>
      </w:r>
      <w:r>
        <w:t xml:space="preserve"> on intergroup anxiety and intended avoidance.</w:t>
      </w:r>
      <w:r w:rsidR="00391353">
        <w:t xml:space="preserve"> </w:t>
      </w:r>
      <w:r w:rsidR="007B6C77">
        <w:t xml:space="preserve">Results did not show a significant effect of awareness on intergroup anxiety, </w:t>
      </w:r>
      <w:r w:rsidR="007B6C77" w:rsidRPr="002725D5">
        <w:rPr>
          <w:i/>
          <w:iCs/>
        </w:rPr>
        <w:t>F</w:t>
      </w:r>
      <w:r w:rsidR="007B6C77" w:rsidRPr="002725D5">
        <w:t>(2,</w:t>
      </w:r>
      <w:r w:rsidR="007B6C77">
        <w:t>295</w:t>
      </w:r>
      <w:r w:rsidR="007B6C77" w:rsidRPr="002725D5">
        <w:t xml:space="preserve">) = </w:t>
      </w:r>
      <w:r w:rsidR="007B6C77">
        <w:t xml:space="preserve">0.42, p = .65. Likewise, no significant effect of any of the three IC conditions on intentions to avoid FD, </w:t>
      </w:r>
      <w:r w:rsidR="007B6C77" w:rsidRPr="002725D5">
        <w:rPr>
          <w:i/>
          <w:iCs/>
        </w:rPr>
        <w:t>F</w:t>
      </w:r>
      <w:r w:rsidR="007B6C77" w:rsidRPr="002725D5">
        <w:t>(2,</w:t>
      </w:r>
      <w:r w:rsidR="007B6C77">
        <w:t>295</w:t>
      </w:r>
      <w:r w:rsidR="007B6C77" w:rsidRPr="002725D5">
        <w:t xml:space="preserve">) = </w:t>
      </w:r>
      <w:r w:rsidR="007B6C77">
        <w:t>1.09,</w:t>
      </w:r>
      <w:r w:rsidR="007B6C77" w:rsidRPr="004D2DCA">
        <w:rPr>
          <w:i/>
        </w:rPr>
        <w:t xml:space="preserve"> p</w:t>
      </w:r>
      <w:r w:rsidR="007B6C77">
        <w:t xml:space="preserve"> = .33</w:t>
      </w:r>
      <w:r w:rsidR="00592FDB">
        <w:t>. See table 4.6 for estimated means.</w:t>
      </w:r>
    </w:p>
    <w:p w14:paraId="4B70A0F1" w14:textId="2AE8B9A1" w:rsidR="001910BC" w:rsidRDefault="001910BC" w:rsidP="007B6C77"/>
    <w:p w14:paraId="3D261421" w14:textId="702434A0" w:rsidR="001910BC" w:rsidRDefault="001910BC" w:rsidP="007B6C77"/>
    <w:p w14:paraId="3803DA22" w14:textId="6A14D0D0" w:rsidR="001910BC" w:rsidRDefault="001910BC" w:rsidP="007B6C77"/>
    <w:p w14:paraId="3B9BA3A3" w14:textId="33FDADEF" w:rsidR="001910BC" w:rsidRDefault="001910BC" w:rsidP="007B6C77"/>
    <w:p w14:paraId="77C6EA0B" w14:textId="5F493D06" w:rsidR="001910BC" w:rsidRPr="00D40C27" w:rsidRDefault="001910BC" w:rsidP="001910BC">
      <w:pPr>
        <w:pStyle w:val="Figures"/>
        <w:rPr>
          <w:lang w:eastAsia="en-US"/>
        </w:rPr>
      </w:pPr>
      <w:r>
        <w:rPr>
          <w:lang w:val="es-CO" w:eastAsia="es-CO"/>
        </w:rPr>
        <w:lastRenderedPageBreak/>
        <mc:AlternateContent>
          <mc:Choice Requires="wps">
            <w:drawing>
              <wp:anchor distT="0" distB="0" distL="114300" distR="114300" simplePos="0" relativeHeight="251672576" behindDoc="0" locked="0" layoutInCell="1" allowOverlap="1" wp14:anchorId="50EA8A79" wp14:editId="731F52D8">
                <wp:simplePos x="0" y="0"/>
                <wp:positionH relativeFrom="column">
                  <wp:posOffset>4160520</wp:posOffset>
                </wp:positionH>
                <wp:positionV relativeFrom="paragraph">
                  <wp:posOffset>4032885</wp:posOffset>
                </wp:positionV>
                <wp:extent cx="1028700" cy="339725"/>
                <wp:effectExtent l="0" t="0" r="19050" b="22225"/>
                <wp:wrapNone/>
                <wp:docPr id="140" name="CuadroTexto 16"/>
                <wp:cNvGraphicFramePr/>
                <a:graphic xmlns:a="http://schemas.openxmlformats.org/drawingml/2006/main">
                  <a:graphicData uri="http://schemas.microsoft.com/office/word/2010/wordprocessingShape">
                    <wps:wsp>
                      <wps:cNvSpPr txBox="1"/>
                      <wps:spPr>
                        <a:xfrm>
                          <a:off x="0" y="0"/>
                          <a:ext cx="1028700" cy="339725"/>
                        </a:xfrm>
                        <a:prstGeom prst="rect">
                          <a:avLst/>
                        </a:prstGeom>
                      </wps:spPr>
                      <wps:style>
                        <a:lnRef idx="2">
                          <a:schemeClr val="dk1"/>
                        </a:lnRef>
                        <a:fillRef idx="1">
                          <a:schemeClr val="lt1"/>
                        </a:fillRef>
                        <a:effectRef idx="0">
                          <a:schemeClr val="dk1"/>
                        </a:effectRef>
                        <a:fontRef idx="minor">
                          <a:schemeClr val="dk1"/>
                        </a:fontRef>
                      </wps:style>
                      <wps:txbx>
                        <w:txbxContent>
                          <w:p w14:paraId="3402BD69" w14:textId="2734209D"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 xml:space="preserve">IC </w:t>
                            </w:r>
                            <w:r>
                              <w:rPr>
                                <w:rFonts w:ascii="Arial" w:hAnsi="Arial" w:cs="Arial"/>
                                <w:color w:val="000000" w:themeColor="dark1"/>
                                <w:kern w:val="24"/>
                                <w:sz w:val="18"/>
                                <w:szCs w:val="18"/>
                              </w:rPr>
                              <w:t>non-positive</w:t>
                            </w:r>
                            <w:r w:rsidRPr="007627C5">
                              <w:rPr>
                                <w:rFonts w:ascii="Arial" w:hAnsi="Arial" w:cs="Arial"/>
                                <w:color w:val="000000" w:themeColor="dark1"/>
                                <w:kern w:val="24"/>
                                <w:sz w:val="18"/>
                                <w:szCs w:val="18"/>
                              </w:rPr>
                              <w:t xml:space="preserve"> (n =</w:t>
                            </w:r>
                            <w:r>
                              <w:rPr>
                                <w:rFonts w:ascii="Arial" w:hAnsi="Arial" w:cs="Arial"/>
                                <w:color w:val="000000" w:themeColor="dark1"/>
                                <w:kern w:val="24"/>
                                <w:sz w:val="18"/>
                                <w:szCs w:val="18"/>
                              </w:rPr>
                              <w:t xml:space="preserve"> 9)</w:t>
                            </w:r>
                            <w:r w:rsidRPr="007627C5">
                              <w:rPr>
                                <w:rFonts w:ascii="Arial" w:hAnsi="Arial" w:cs="Arial"/>
                                <w:color w:val="000000" w:themeColor="dark1"/>
                                <w:kern w:val="24"/>
                                <w:sz w:val="18"/>
                                <w:szCs w:val="18"/>
                              </w:rPr>
                              <w:t xml:space="preserve"> </w:t>
                            </w:r>
                          </w:p>
                        </w:txbxContent>
                      </wps:txbx>
                      <wps:bodyPr wrap="square" rtlCol="0">
                        <a:noAutofit/>
                      </wps:bodyPr>
                    </wps:wsp>
                  </a:graphicData>
                </a:graphic>
                <wp14:sizeRelH relativeFrom="margin">
                  <wp14:pctWidth>0</wp14:pctWidth>
                </wp14:sizeRelH>
              </wp:anchor>
            </w:drawing>
          </mc:Choice>
          <mc:Fallback>
            <w:pict>
              <v:shape w14:anchorId="50EA8A79" id="CuadroTexto 16" o:spid="_x0000_s1063" type="#_x0000_t202" style="position:absolute;margin-left:327.6pt;margin-top:317.55pt;width:81pt;height:26.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" fillcolor="white [3201]" strokecolor="black [3200]" strokeweight="1pt">
                <v:textbox>
                  <w:txbxContent>
                    <w:p w14:paraId="3402BD69" w14:textId="2734209D"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 xml:space="preserve">IC </w:t>
                      </w:r>
                      <w:r>
                        <w:rPr>
                          <w:rFonts w:ascii="Arial" w:hAnsi="Arial" w:cs="Arial"/>
                          <w:color w:val="000000" w:themeColor="dark1"/>
                          <w:kern w:val="24"/>
                          <w:sz w:val="18"/>
                          <w:szCs w:val="18"/>
                        </w:rPr>
                        <w:t>non-positive</w:t>
                      </w:r>
                      <w:r w:rsidRPr="007627C5">
                        <w:rPr>
                          <w:rFonts w:ascii="Arial" w:hAnsi="Arial" w:cs="Arial"/>
                          <w:color w:val="000000" w:themeColor="dark1"/>
                          <w:kern w:val="24"/>
                          <w:sz w:val="18"/>
                          <w:szCs w:val="18"/>
                        </w:rPr>
                        <w:t xml:space="preserve"> (n =</w:t>
                      </w:r>
                      <w:r>
                        <w:rPr>
                          <w:rFonts w:ascii="Arial" w:hAnsi="Arial" w:cs="Arial"/>
                          <w:color w:val="000000" w:themeColor="dark1"/>
                          <w:kern w:val="24"/>
                          <w:sz w:val="18"/>
                          <w:szCs w:val="18"/>
                        </w:rPr>
                        <w:t xml:space="preserve"> 9)</w:t>
                      </w:r>
                      <w:r w:rsidRPr="007627C5">
                        <w:rPr>
                          <w:rFonts w:ascii="Arial" w:hAnsi="Arial" w:cs="Arial"/>
                          <w:color w:val="000000" w:themeColor="dark1"/>
                          <w:kern w:val="24"/>
                          <w:sz w:val="18"/>
                          <w:szCs w:val="18"/>
                        </w:rPr>
                        <w:t xml:space="preserve"> </w:t>
                      </w:r>
                    </w:p>
                  </w:txbxContent>
                </v:textbox>
              </v:shape>
            </w:pict>
          </mc:Fallback>
        </mc:AlternateContent>
      </w:r>
      <w:r>
        <w:rPr>
          <w:lang w:val="es-CO" w:eastAsia="es-CO"/>
        </w:rPr>
        <mc:AlternateContent>
          <mc:Choice Requires="wps">
            <w:drawing>
              <wp:anchor distT="0" distB="0" distL="114300" distR="114300" simplePos="0" relativeHeight="251670528" behindDoc="0" locked="0" layoutInCell="1" allowOverlap="1" wp14:anchorId="3C2D776C" wp14:editId="4E5A506F">
                <wp:simplePos x="0" y="0"/>
                <wp:positionH relativeFrom="column">
                  <wp:posOffset>2188845</wp:posOffset>
                </wp:positionH>
                <wp:positionV relativeFrom="paragraph">
                  <wp:posOffset>4099561</wp:posOffset>
                </wp:positionV>
                <wp:extent cx="1352105" cy="273050"/>
                <wp:effectExtent l="0" t="0" r="19685" b="12700"/>
                <wp:wrapNone/>
                <wp:docPr id="139" name="CuadroTexto 16"/>
                <wp:cNvGraphicFramePr/>
                <a:graphic xmlns:a="http://schemas.openxmlformats.org/drawingml/2006/main">
                  <a:graphicData uri="http://schemas.microsoft.com/office/word/2010/wordprocessingShape">
                    <wps:wsp>
                      <wps:cNvSpPr txBox="1"/>
                      <wps:spPr>
                        <a:xfrm>
                          <a:off x="0" y="0"/>
                          <a:ext cx="1352105" cy="273050"/>
                        </a:xfrm>
                        <a:prstGeom prst="rect">
                          <a:avLst/>
                        </a:prstGeom>
                      </wps:spPr>
                      <wps:style>
                        <a:lnRef idx="2">
                          <a:schemeClr val="dk1"/>
                        </a:lnRef>
                        <a:fillRef idx="1">
                          <a:schemeClr val="lt1"/>
                        </a:fillRef>
                        <a:effectRef idx="0">
                          <a:schemeClr val="dk1"/>
                        </a:effectRef>
                        <a:fontRef idx="minor">
                          <a:schemeClr val="dk1"/>
                        </a:fontRef>
                      </wps:style>
                      <wps:txbx>
                        <w:txbxContent>
                          <w:p w14:paraId="700F894F" w14:textId="7FF63145"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 xml:space="preserve">IC </w:t>
                            </w:r>
                            <w:r>
                              <w:rPr>
                                <w:rFonts w:ascii="Arial" w:hAnsi="Arial" w:cs="Arial"/>
                                <w:color w:val="000000" w:themeColor="dark1"/>
                                <w:kern w:val="24"/>
                                <w:sz w:val="18"/>
                                <w:szCs w:val="18"/>
                              </w:rPr>
                              <w:t>non-positive</w:t>
                            </w:r>
                            <w:r w:rsidRPr="007627C5">
                              <w:rPr>
                                <w:rFonts w:ascii="Arial" w:hAnsi="Arial" w:cs="Arial"/>
                                <w:color w:val="000000" w:themeColor="dark1"/>
                                <w:kern w:val="24"/>
                                <w:sz w:val="18"/>
                                <w:szCs w:val="18"/>
                              </w:rPr>
                              <w:t xml:space="preserve"> (n = </w:t>
                            </w:r>
                            <w:r>
                              <w:rPr>
                                <w:rFonts w:ascii="Arial" w:hAnsi="Arial" w:cs="Arial"/>
                                <w:color w:val="000000" w:themeColor="dark1"/>
                                <w:kern w:val="24"/>
                                <w:sz w:val="18"/>
                                <w:szCs w:val="18"/>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2D776C" id="_x0000_s1064" type="#_x0000_t202" style="position:absolute;margin-left:172.35pt;margin-top:322.8pt;width:106.45pt;height: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" fillcolor="white [3201]" strokecolor="black [3200]" strokeweight="1pt">
                <v:textbox>
                  <w:txbxContent>
                    <w:p w14:paraId="700F894F" w14:textId="7FF63145"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 xml:space="preserve">IC </w:t>
                      </w:r>
                      <w:r>
                        <w:rPr>
                          <w:rFonts w:ascii="Arial" w:hAnsi="Arial" w:cs="Arial"/>
                          <w:color w:val="000000" w:themeColor="dark1"/>
                          <w:kern w:val="24"/>
                          <w:sz w:val="18"/>
                          <w:szCs w:val="18"/>
                        </w:rPr>
                        <w:t>non-positive</w:t>
                      </w:r>
                      <w:r w:rsidRPr="007627C5">
                        <w:rPr>
                          <w:rFonts w:ascii="Arial" w:hAnsi="Arial" w:cs="Arial"/>
                          <w:color w:val="000000" w:themeColor="dark1"/>
                          <w:kern w:val="24"/>
                          <w:sz w:val="18"/>
                          <w:szCs w:val="18"/>
                        </w:rPr>
                        <w:t xml:space="preserve"> (n = </w:t>
                      </w:r>
                      <w:r>
                        <w:rPr>
                          <w:rFonts w:ascii="Arial" w:hAnsi="Arial" w:cs="Arial"/>
                          <w:color w:val="000000" w:themeColor="dark1"/>
                          <w:kern w:val="24"/>
                          <w:sz w:val="18"/>
                          <w:szCs w:val="18"/>
                        </w:rPr>
                        <w:t>9)</w:t>
                      </w:r>
                    </w:p>
                  </w:txbxContent>
                </v:textbox>
              </v:shape>
            </w:pict>
          </mc:Fallback>
        </mc:AlternateContent>
      </w:r>
      <w:r>
        <w:rPr>
          <w:lang w:val="es-CO" w:eastAsia="es-CO"/>
        </w:rPr>
        <mc:AlternateContent>
          <mc:Choice Requires="wps">
            <w:drawing>
              <wp:anchor distT="0" distB="0" distL="114300" distR="114300" simplePos="0" relativeHeight="251668480" behindDoc="0" locked="0" layoutInCell="1" allowOverlap="1" wp14:anchorId="380DF9FC" wp14:editId="52875BD4">
                <wp:simplePos x="0" y="0"/>
                <wp:positionH relativeFrom="column">
                  <wp:posOffset>1026795</wp:posOffset>
                </wp:positionH>
                <wp:positionV relativeFrom="paragraph">
                  <wp:posOffset>3918585</wp:posOffset>
                </wp:positionV>
                <wp:extent cx="1009650" cy="339725"/>
                <wp:effectExtent l="0" t="0" r="19050" b="22225"/>
                <wp:wrapNone/>
                <wp:docPr id="138" name="CuadroTexto 16"/>
                <wp:cNvGraphicFramePr/>
                <a:graphic xmlns:a="http://schemas.openxmlformats.org/drawingml/2006/main">
                  <a:graphicData uri="http://schemas.microsoft.com/office/word/2010/wordprocessingShape">
                    <wps:wsp>
                      <wps:cNvSpPr txBox="1"/>
                      <wps:spPr>
                        <a:xfrm>
                          <a:off x="0" y="0"/>
                          <a:ext cx="1009650" cy="339725"/>
                        </a:xfrm>
                        <a:prstGeom prst="rect">
                          <a:avLst/>
                        </a:prstGeom>
                      </wps:spPr>
                      <wps:style>
                        <a:lnRef idx="2">
                          <a:schemeClr val="dk1"/>
                        </a:lnRef>
                        <a:fillRef idx="1">
                          <a:schemeClr val="lt1"/>
                        </a:fillRef>
                        <a:effectRef idx="0">
                          <a:schemeClr val="dk1"/>
                        </a:effectRef>
                        <a:fontRef idx="minor">
                          <a:schemeClr val="dk1"/>
                        </a:fontRef>
                      </wps:style>
                      <wps:txbx>
                        <w:txbxContent>
                          <w:p w14:paraId="216B49A7" w14:textId="31D5C9BF"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 xml:space="preserve">IC </w:t>
                            </w:r>
                            <w:r>
                              <w:rPr>
                                <w:rFonts w:ascii="Arial" w:hAnsi="Arial" w:cs="Arial"/>
                                <w:color w:val="000000" w:themeColor="dark1"/>
                                <w:kern w:val="24"/>
                                <w:sz w:val="18"/>
                                <w:szCs w:val="18"/>
                              </w:rPr>
                              <w:t>non-positive</w:t>
                            </w:r>
                            <w:r w:rsidRPr="007627C5">
                              <w:rPr>
                                <w:rFonts w:ascii="Arial" w:hAnsi="Arial" w:cs="Arial"/>
                                <w:color w:val="000000" w:themeColor="dark1"/>
                                <w:kern w:val="24"/>
                                <w:sz w:val="18"/>
                                <w:szCs w:val="18"/>
                              </w:rPr>
                              <w:t xml:space="preserve"> (n = </w:t>
                            </w:r>
                            <w:r>
                              <w:rPr>
                                <w:rFonts w:ascii="Arial" w:hAnsi="Arial" w:cs="Arial"/>
                                <w:color w:val="000000" w:themeColor="dark1"/>
                                <w:kern w:val="24"/>
                                <w:sz w:val="18"/>
                                <w:szCs w:val="18"/>
                              </w:rPr>
                              <w:t>15</w:t>
                            </w:r>
                            <w:r w:rsidRPr="007627C5">
                              <w:rPr>
                                <w:rFonts w:ascii="Arial" w:hAnsi="Arial" w:cs="Arial"/>
                                <w:color w:val="000000" w:themeColor="dark1"/>
                                <w:kern w:val="24"/>
                                <w:sz w:val="18"/>
                                <w:szCs w:val="18"/>
                              </w:rPr>
                              <w:t>)</w:t>
                            </w:r>
                          </w:p>
                        </w:txbxContent>
                      </wps:txbx>
                      <wps:bodyPr wrap="square" rtlCol="0">
                        <a:noAutofit/>
                      </wps:bodyPr>
                    </wps:wsp>
                  </a:graphicData>
                </a:graphic>
                <wp14:sizeRelH relativeFrom="margin">
                  <wp14:pctWidth>0</wp14:pctWidth>
                </wp14:sizeRelH>
              </wp:anchor>
            </w:drawing>
          </mc:Choice>
          <mc:Fallback>
            <w:pict>
              <v:shape w14:anchorId="380DF9FC" id="_x0000_s1065" type="#_x0000_t202" style="position:absolute;margin-left:80.85pt;margin-top:308.55pt;width:79.5pt;height:26.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" fillcolor="white [3201]" strokecolor="black [3200]" strokeweight="1pt">
                <v:textbox>
                  <w:txbxContent>
                    <w:p w14:paraId="216B49A7" w14:textId="31D5C9BF"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 xml:space="preserve">IC </w:t>
                      </w:r>
                      <w:r>
                        <w:rPr>
                          <w:rFonts w:ascii="Arial" w:hAnsi="Arial" w:cs="Arial"/>
                          <w:color w:val="000000" w:themeColor="dark1"/>
                          <w:kern w:val="24"/>
                          <w:sz w:val="18"/>
                          <w:szCs w:val="18"/>
                        </w:rPr>
                        <w:t>non-positive</w:t>
                      </w:r>
                      <w:r w:rsidRPr="007627C5">
                        <w:rPr>
                          <w:rFonts w:ascii="Arial" w:hAnsi="Arial" w:cs="Arial"/>
                          <w:color w:val="000000" w:themeColor="dark1"/>
                          <w:kern w:val="24"/>
                          <w:sz w:val="18"/>
                          <w:szCs w:val="18"/>
                        </w:rPr>
                        <w:t xml:space="preserve"> (n = </w:t>
                      </w:r>
                      <w:r>
                        <w:rPr>
                          <w:rFonts w:ascii="Arial" w:hAnsi="Arial" w:cs="Arial"/>
                          <w:color w:val="000000" w:themeColor="dark1"/>
                          <w:kern w:val="24"/>
                          <w:sz w:val="18"/>
                          <w:szCs w:val="18"/>
                        </w:rPr>
                        <w:t>15</w:t>
                      </w:r>
                      <w:r w:rsidRPr="007627C5">
                        <w:rPr>
                          <w:rFonts w:ascii="Arial" w:hAnsi="Arial" w:cs="Arial"/>
                          <w:color w:val="000000" w:themeColor="dark1"/>
                          <w:kern w:val="24"/>
                          <w:sz w:val="18"/>
                          <w:szCs w:val="18"/>
                        </w:rPr>
                        <w:t>)</w:t>
                      </w:r>
                    </w:p>
                  </w:txbxContent>
                </v:textbox>
              </v:shape>
            </w:pict>
          </mc:Fallback>
        </mc:AlternateContent>
      </w:r>
      <w:r w:rsidRPr="00DC3C49">
        <w:rPr>
          <w:rFonts w:ascii="Times New Roman" w:eastAsia="Calibri" w:hAnsi="Times New Roman" w:cs="Times New Roman"/>
          <w:b/>
          <w:bCs/>
          <w:color w:val="auto"/>
          <w:sz w:val="24"/>
          <w:szCs w:val="24"/>
          <w:lang w:val="es-CO" w:eastAsia="es-CO"/>
        </w:rPr>
        <mc:AlternateContent>
          <mc:Choice Requires="wpg">
            <w:drawing>
              <wp:anchor distT="0" distB="0" distL="114300" distR="114300" simplePos="0" relativeHeight="251666432" behindDoc="0" locked="0" layoutInCell="1" allowOverlap="1" wp14:anchorId="250DA3A1" wp14:editId="7AA3C6B6">
                <wp:simplePos x="0" y="0"/>
                <wp:positionH relativeFrom="column">
                  <wp:posOffset>-259080</wp:posOffset>
                </wp:positionH>
                <wp:positionV relativeFrom="paragraph">
                  <wp:posOffset>403860</wp:posOffset>
                </wp:positionV>
                <wp:extent cx="5682615" cy="3837940"/>
                <wp:effectExtent l="0" t="0" r="13335" b="10160"/>
                <wp:wrapSquare wrapText="bothSides"/>
                <wp:docPr id="105" name="Grupo 61"/>
                <wp:cNvGraphicFramePr/>
                <a:graphic xmlns:a="http://schemas.openxmlformats.org/drawingml/2006/main">
                  <a:graphicData uri="http://schemas.microsoft.com/office/word/2010/wordprocessingGroup">
                    <wpg:wgp>
                      <wpg:cNvGrpSpPr/>
                      <wpg:grpSpPr>
                        <a:xfrm>
                          <a:off x="0" y="0"/>
                          <a:ext cx="5682615" cy="3837940"/>
                          <a:chOff x="0" y="-83456"/>
                          <a:chExt cx="8566130" cy="4804753"/>
                        </a:xfrm>
                      </wpg:grpSpPr>
                      <wps:wsp>
                        <wps:cNvPr id="106" name="CuadroTexto 3"/>
                        <wps:cNvSpPr txBox="1"/>
                        <wps:spPr>
                          <a:xfrm>
                            <a:off x="0" y="0"/>
                            <a:ext cx="1531089" cy="362888"/>
                          </a:xfrm>
                          <a:prstGeom prst="rect">
                            <a:avLst/>
                          </a:prstGeom>
                        </wps:spPr>
                        <wps:style>
                          <a:lnRef idx="2">
                            <a:schemeClr val="dk1"/>
                          </a:lnRef>
                          <a:fillRef idx="1">
                            <a:schemeClr val="lt1"/>
                          </a:fillRef>
                          <a:effectRef idx="0">
                            <a:schemeClr val="dk1"/>
                          </a:effectRef>
                          <a:fontRef idx="minor">
                            <a:schemeClr val="dk1"/>
                          </a:fontRef>
                        </wps:style>
                        <wps:txbx>
                          <w:txbxContent>
                            <w:p w14:paraId="70CEBD46"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Recruitment</w:t>
                              </w:r>
                            </w:p>
                          </w:txbxContent>
                        </wps:txbx>
                        <wps:bodyPr wrap="square" rtlCol="0">
                          <a:noAutofit/>
                        </wps:bodyPr>
                      </wps:wsp>
                      <wps:wsp>
                        <wps:cNvPr id="107" name="CuadroTexto 4"/>
                        <wps:cNvSpPr txBox="1"/>
                        <wps:spPr>
                          <a:xfrm>
                            <a:off x="0" y="1087762"/>
                            <a:ext cx="1403498" cy="261610"/>
                          </a:xfrm>
                          <a:prstGeom prst="rect">
                            <a:avLst/>
                          </a:prstGeom>
                        </wps:spPr>
                        <wps:style>
                          <a:lnRef idx="2">
                            <a:schemeClr val="dk1"/>
                          </a:lnRef>
                          <a:fillRef idx="1">
                            <a:schemeClr val="lt1"/>
                          </a:fillRef>
                          <a:effectRef idx="0">
                            <a:schemeClr val="dk1"/>
                          </a:effectRef>
                          <a:fontRef idx="minor">
                            <a:schemeClr val="dk1"/>
                          </a:fontRef>
                        </wps:style>
                        <wps:txbx>
                          <w:txbxContent>
                            <w:p w14:paraId="2328A86E"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Pre-test measures</w:t>
                              </w:r>
                            </w:p>
                          </w:txbxContent>
                        </wps:txbx>
                        <wps:bodyPr wrap="square" rtlCol="0">
                          <a:noAutofit/>
                        </wps:bodyPr>
                      </wps:wsp>
                      <wps:wsp>
                        <wps:cNvPr id="108" name="CuadroTexto 5"/>
                        <wps:cNvSpPr txBox="1"/>
                        <wps:spPr>
                          <a:xfrm>
                            <a:off x="18606" y="1699089"/>
                            <a:ext cx="1616149" cy="261610"/>
                          </a:xfrm>
                          <a:prstGeom prst="rect">
                            <a:avLst/>
                          </a:prstGeom>
                        </wps:spPr>
                        <wps:style>
                          <a:lnRef idx="2">
                            <a:schemeClr val="dk1"/>
                          </a:lnRef>
                          <a:fillRef idx="1">
                            <a:schemeClr val="lt1"/>
                          </a:fillRef>
                          <a:effectRef idx="0">
                            <a:schemeClr val="dk1"/>
                          </a:effectRef>
                          <a:fontRef idx="minor">
                            <a:schemeClr val="dk1"/>
                          </a:fontRef>
                        </wps:style>
                        <wps:txbx>
                          <w:txbxContent>
                            <w:p w14:paraId="42E19BA0"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Randomisation</w:t>
                              </w:r>
                            </w:p>
                          </w:txbxContent>
                        </wps:txbx>
                        <wps:bodyPr wrap="square" rtlCol="0">
                          <a:noAutofit/>
                        </wps:bodyPr>
                      </wps:wsp>
                      <wps:wsp>
                        <wps:cNvPr id="109" name="CuadroTexto 7"/>
                        <wps:cNvSpPr txBox="1"/>
                        <wps:spPr>
                          <a:xfrm>
                            <a:off x="18606" y="4459687"/>
                            <a:ext cx="1403498" cy="261610"/>
                          </a:xfrm>
                          <a:prstGeom prst="rect">
                            <a:avLst/>
                          </a:prstGeom>
                        </wps:spPr>
                        <wps:style>
                          <a:lnRef idx="2">
                            <a:schemeClr val="dk1"/>
                          </a:lnRef>
                          <a:fillRef idx="1">
                            <a:schemeClr val="lt1"/>
                          </a:fillRef>
                          <a:effectRef idx="0">
                            <a:schemeClr val="dk1"/>
                          </a:effectRef>
                          <a:fontRef idx="minor">
                            <a:schemeClr val="dk1"/>
                          </a:fontRef>
                        </wps:style>
                        <wps:txbx>
                          <w:txbxContent>
                            <w:p w14:paraId="243A2924"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Post-test measures</w:t>
                              </w:r>
                            </w:p>
                          </w:txbxContent>
                        </wps:txbx>
                        <wps:bodyPr wrap="square" rtlCol="0">
                          <a:noAutofit/>
                        </wps:bodyPr>
                      </wps:wsp>
                      <wps:wsp>
                        <wps:cNvPr id="110" name="CuadroTexto 8"/>
                        <wps:cNvSpPr txBox="1"/>
                        <wps:spPr>
                          <a:xfrm>
                            <a:off x="19046" y="2919129"/>
                            <a:ext cx="1616149" cy="261610"/>
                          </a:xfrm>
                          <a:prstGeom prst="rect">
                            <a:avLst/>
                          </a:prstGeom>
                        </wps:spPr>
                        <wps:style>
                          <a:lnRef idx="2">
                            <a:schemeClr val="dk1"/>
                          </a:lnRef>
                          <a:fillRef idx="1">
                            <a:schemeClr val="lt1"/>
                          </a:fillRef>
                          <a:effectRef idx="0">
                            <a:schemeClr val="dk1"/>
                          </a:effectRef>
                          <a:fontRef idx="minor">
                            <a:schemeClr val="dk1"/>
                          </a:fontRef>
                        </wps:style>
                        <wps:txbx>
                          <w:txbxContent>
                            <w:p w14:paraId="1B4D8A14"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Randomisation</w:t>
                              </w:r>
                            </w:p>
                          </w:txbxContent>
                        </wps:txbx>
                        <wps:bodyPr wrap="square" rtlCol="0">
                          <a:noAutofit/>
                        </wps:bodyPr>
                      </wps:wsp>
                      <wps:wsp>
                        <wps:cNvPr id="111" name="CuadroTexto 9"/>
                        <wps:cNvSpPr txBox="1"/>
                        <wps:spPr>
                          <a:xfrm>
                            <a:off x="3274831" y="-83456"/>
                            <a:ext cx="2445488" cy="345067"/>
                          </a:xfrm>
                          <a:prstGeom prst="rect">
                            <a:avLst/>
                          </a:prstGeom>
                        </wps:spPr>
                        <wps:style>
                          <a:lnRef idx="2">
                            <a:schemeClr val="dk1"/>
                          </a:lnRef>
                          <a:fillRef idx="1">
                            <a:schemeClr val="lt1"/>
                          </a:fillRef>
                          <a:effectRef idx="0">
                            <a:schemeClr val="dk1"/>
                          </a:effectRef>
                          <a:fontRef idx="minor">
                            <a:schemeClr val="dk1"/>
                          </a:fontRef>
                        </wps:style>
                        <wps:txbx>
                          <w:txbxContent>
                            <w:p w14:paraId="6879B54A"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 xml:space="preserve">Recruited </w:t>
                              </w:r>
                              <w:r>
                                <w:rPr>
                                  <w:rFonts w:ascii="Arial" w:hAnsi="Arial" w:cs="Arial"/>
                                  <w:color w:val="000000" w:themeColor="dark1"/>
                                  <w:kern w:val="24"/>
                                  <w:sz w:val="18"/>
                                  <w:szCs w:val="18"/>
                                </w:rPr>
                                <w:t>(</w:t>
                              </w:r>
                              <w:r w:rsidRPr="007627C5">
                                <w:rPr>
                                  <w:rFonts w:ascii="Arial" w:hAnsi="Arial" w:cs="Arial"/>
                                  <w:color w:val="000000" w:themeColor="dark1"/>
                                  <w:kern w:val="24"/>
                                  <w:sz w:val="18"/>
                                  <w:szCs w:val="18"/>
                                </w:rPr>
                                <w:t>N=309</w:t>
                              </w:r>
                              <w:r>
                                <w:rPr>
                                  <w:rFonts w:ascii="Arial" w:hAnsi="Arial" w:cs="Arial"/>
                                  <w:color w:val="000000" w:themeColor="dark1"/>
                                  <w:kern w:val="24"/>
                                  <w:sz w:val="18"/>
                                  <w:szCs w:val="18"/>
                                </w:rPr>
                                <w:t>)</w:t>
                              </w:r>
                            </w:p>
                          </w:txbxContent>
                        </wps:txbx>
                        <wps:bodyPr wrap="square" rtlCol="0">
                          <a:noAutofit/>
                        </wps:bodyPr>
                      </wps:wsp>
                      <wps:wsp>
                        <wps:cNvPr id="112" name="CuadroTexto 10"/>
                        <wps:cNvSpPr txBox="1"/>
                        <wps:spPr>
                          <a:xfrm>
                            <a:off x="5304860" y="362889"/>
                            <a:ext cx="2173595" cy="344912"/>
                          </a:xfrm>
                          <a:prstGeom prst="rect">
                            <a:avLst/>
                          </a:prstGeom>
                        </wps:spPr>
                        <wps:style>
                          <a:lnRef idx="2">
                            <a:schemeClr val="dk1"/>
                          </a:lnRef>
                          <a:fillRef idx="1">
                            <a:schemeClr val="lt1"/>
                          </a:fillRef>
                          <a:effectRef idx="0">
                            <a:schemeClr val="dk1"/>
                          </a:effectRef>
                          <a:fontRef idx="minor">
                            <a:schemeClr val="dk1"/>
                          </a:fontRef>
                        </wps:style>
                        <wps:txbx>
                          <w:txbxContent>
                            <w:p w14:paraId="7059D8F8" w14:textId="77777777" w:rsidR="004D2DCA" w:rsidRPr="007627C5" w:rsidRDefault="004D2DCA" w:rsidP="001910BC">
                              <w:pPr>
                                <w:pStyle w:val="NormalWeb"/>
                                <w:spacing w:before="0" w:beforeAutospacing="0" w:after="0" w:afterAutospacing="0"/>
                                <w:jc w:val="center"/>
                                <w:rPr>
                                  <w:sz w:val="18"/>
                                  <w:szCs w:val="18"/>
                                </w:rPr>
                              </w:pPr>
                              <w:r w:rsidRPr="007627C5">
                                <w:rPr>
                                  <w:rFonts w:ascii="Arial" w:hAnsi="Arial" w:cs="Arial"/>
                                  <w:color w:val="000000" w:themeColor="dark1"/>
                                  <w:kern w:val="24"/>
                                  <w:sz w:val="18"/>
                                  <w:szCs w:val="18"/>
                                </w:rPr>
                                <w:t>Reported FD (n = 8)</w:t>
                              </w:r>
                            </w:p>
                          </w:txbxContent>
                        </wps:txbx>
                        <wps:bodyPr wrap="square" rtlCol="0">
                          <a:noAutofit/>
                        </wps:bodyPr>
                      </wps:wsp>
                      <wps:wsp>
                        <wps:cNvPr id="113" name="CuadroTexto 11"/>
                        <wps:cNvSpPr txBox="1"/>
                        <wps:spPr>
                          <a:xfrm>
                            <a:off x="3274831" y="851195"/>
                            <a:ext cx="2445488" cy="329129"/>
                          </a:xfrm>
                          <a:prstGeom prst="rect">
                            <a:avLst/>
                          </a:prstGeom>
                        </wps:spPr>
                        <wps:style>
                          <a:lnRef idx="2">
                            <a:schemeClr val="dk1"/>
                          </a:lnRef>
                          <a:fillRef idx="1">
                            <a:schemeClr val="lt1"/>
                          </a:fillRef>
                          <a:effectRef idx="0">
                            <a:schemeClr val="dk1"/>
                          </a:effectRef>
                          <a:fontRef idx="minor">
                            <a:schemeClr val="dk1"/>
                          </a:fontRef>
                        </wps:style>
                        <wps:txbx>
                          <w:txbxContent>
                            <w:p w14:paraId="1D9F1CAD"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Final sample (n = 301)</w:t>
                              </w:r>
                            </w:p>
                          </w:txbxContent>
                        </wps:txbx>
                        <wps:bodyPr wrap="square" rtlCol="0">
                          <a:noAutofit/>
                        </wps:bodyPr>
                      </wps:wsp>
                      <wps:wsp>
                        <wps:cNvPr id="114" name="CuadroTexto 12"/>
                        <wps:cNvSpPr txBox="1"/>
                        <wps:spPr>
                          <a:xfrm>
                            <a:off x="2192929" y="2274545"/>
                            <a:ext cx="1855371" cy="541646"/>
                          </a:xfrm>
                          <a:prstGeom prst="rect">
                            <a:avLst/>
                          </a:prstGeom>
                        </wps:spPr>
                        <wps:style>
                          <a:lnRef idx="2">
                            <a:schemeClr val="dk1"/>
                          </a:lnRef>
                          <a:fillRef idx="1">
                            <a:schemeClr val="lt1"/>
                          </a:fillRef>
                          <a:effectRef idx="0">
                            <a:schemeClr val="dk1"/>
                          </a:effectRef>
                          <a:fontRef idx="minor">
                            <a:schemeClr val="dk1"/>
                          </a:fontRef>
                        </wps:style>
                        <wps:txbx>
                          <w:txbxContent>
                            <w:p w14:paraId="5576CFEA"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Written awareness message (n = 100)</w:t>
                              </w:r>
                            </w:p>
                          </w:txbxContent>
                        </wps:txbx>
                        <wps:bodyPr wrap="square" rtlCol="0">
                          <a:noAutofit/>
                        </wps:bodyPr>
                      </wps:wsp>
                      <wps:wsp>
                        <wps:cNvPr id="115" name="CuadroTexto 13"/>
                        <wps:cNvSpPr txBox="1"/>
                        <wps:spPr>
                          <a:xfrm>
                            <a:off x="4102615" y="2221467"/>
                            <a:ext cx="1777013" cy="746760"/>
                          </a:xfrm>
                          <a:prstGeom prst="rect">
                            <a:avLst/>
                          </a:prstGeom>
                        </wps:spPr>
                        <wps:style>
                          <a:lnRef idx="2">
                            <a:schemeClr val="dk1"/>
                          </a:lnRef>
                          <a:fillRef idx="1">
                            <a:schemeClr val="lt1"/>
                          </a:fillRef>
                          <a:effectRef idx="0">
                            <a:schemeClr val="dk1"/>
                          </a:effectRef>
                          <a:fontRef idx="minor">
                            <a:schemeClr val="dk1"/>
                          </a:fontRef>
                        </wps:style>
                        <wps:txbx>
                          <w:txbxContent>
                            <w:p w14:paraId="59982913"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Video-clip awareness message (n = 94</w:t>
                              </w:r>
                              <w:r>
                                <w:rPr>
                                  <w:rFonts w:ascii="Arial" w:hAnsi="Arial" w:cs="Arial"/>
                                  <w:color w:val="000000" w:themeColor="dark1"/>
                                  <w:kern w:val="24"/>
                                  <w:sz w:val="18"/>
                                  <w:szCs w:val="18"/>
                                </w:rPr>
                                <w:t>)</w:t>
                              </w:r>
                            </w:p>
                          </w:txbxContent>
                        </wps:txbx>
                        <wps:bodyPr wrap="square" rtlCol="0">
                          <a:noAutofit/>
                        </wps:bodyPr>
                      </wps:wsp>
                      <wps:wsp>
                        <wps:cNvPr id="116" name="CuadroTexto 14"/>
                        <wps:cNvSpPr txBox="1"/>
                        <wps:spPr>
                          <a:xfrm>
                            <a:off x="6042851" y="2221468"/>
                            <a:ext cx="1623888" cy="594725"/>
                          </a:xfrm>
                          <a:prstGeom prst="rect">
                            <a:avLst/>
                          </a:prstGeom>
                        </wps:spPr>
                        <wps:style>
                          <a:lnRef idx="2">
                            <a:schemeClr val="dk1"/>
                          </a:lnRef>
                          <a:fillRef idx="1">
                            <a:schemeClr val="lt1"/>
                          </a:fillRef>
                          <a:effectRef idx="0">
                            <a:schemeClr val="dk1"/>
                          </a:effectRef>
                          <a:fontRef idx="minor">
                            <a:schemeClr val="dk1"/>
                          </a:fontRef>
                        </wps:style>
                        <wps:txbx>
                          <w:txbxContent>
                            <w:p w14:paraId="09AA29D6"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Control message (n = 108)</w:t>
                              </w:r>
                            </w:p>
                          </w:txbxContent>
                        </wps:txbx>
                        <wps:bodyPr wrap="square" rtlCol="0">
                          <a:noAutofit/>
                        </wps:bodyPr>
                      </wps:wsp>
                      <wps:wsp>
                        <wps:cNvPr id="117" name="CuadroTexto 15"/>
                        <wps:cNvSpPr txBox="1"/>
                        <wps:spPr>
                          <a:xfrm>
                            <a:off x="1248943" y="3672634"/>
                            <a:ext cx="1241962" cy="445511"/>
                          </a:xfrm>
                          <a:prstGeom prst="rect">
                            <a:avLst/>
                          </a:prstGeom>
                        </wps:spPr>
                        <wps:style>
                          <a:lnRef idx="2">
                            <a:schemeClr val="dk1"/>
                          </a:lnRef>
                          <a:fillRef idx="1">
                            <a:schemeClr val="lt1"/>
                          </a:fillRef>
                          <a:effectRef idx="0">
                            <a:schemeClr val="dk1"/>
                          </a:effectRef>
                          <a:fontRef idx="minor">
                            <a:schemeClr val="dk1"/>
                          </a:fontRef>
                        </wps:style>
                        <wps:txbx>
                          <w:txbxContent>
                            <w:p w14:paraId="6FE89BD2" w14:textId="71A97ADA"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IC</w:t>
                              </w:r>
                              <w:r>
                                <w:rPr>
                                  <w:rFonts w:ascii="Arial" w:hAnsi="Arial" w:cs="Arial"/>
                                  <w:color w:val="000000" w:themeColor="dark1"/>
                                  <w:kern w:val="24"/>
                                  <w:sz w:val="18"/>
                                  <w:szCs w:val="18"/>
                                </w:rPr>
                                <w:t xml:space="preserve"> positive</w:t>
                              </w:r>
                              <w:r w:rsidRPr="007627C5">
                                <w:rPr>
                                  <w:rFonts w:ascii="Arial" w:hAnsi="Arial" w:cs="Arial"/>
                                  <w:color w:val="000000" w:themeColor="dark1"/>
                                  <w:kern w:val="24"/>
                                  <w:sz w:val="18"/>
                                  <w:szCs w:val="18"/>
                                </w:rPr>
                                <w:t xml:space="preserve"> (n = </w:t>
                              </w:r>
                              <w:r>
                                <w:rPr>
                                  <w:rFonts w:ascii="Arial" w:hAnsi="Arial" w:cs="Arial"/>
                                  <w:color w:val="000000" w:themeColor="dark1"/>
                                  <w:kern w:val="24"/>
                                  <w:sz w:val="18"/>
                                  <w:szCs w:val="18"/>
                                </w:rPr>
                                <w:t>41)</w:t>
                              </w:r>
                            </w:p>
                          </w:txbxContent>
                        </wps:txbx>
                        <wps:bodyPr wrap="square" rtlCol="0">
                          <a:noAutofit/>
                        </wps:bodyPr>
                      </wps:wsp>
                      <wps:wsp>
                        <wps:cNvPr id="118" name="CuadroTexto 16"/>
                        <wps:cNvSpPr txBox="1"/>
                        <wps:spPr>
                          <a:xfrm>
                            <a:off x="2695232" y="3672634"/>
                            <a:ext cx="1090295" cy="425450"/>
                          </a:xfrm>
                          <a:prstGeom prst="rect">
                            <a:avLst/>
                          </a:prstGeom>
                        </wps:spPr>
                        <wps:style>
                          <a:lnRef idx="2">
                            <a:schemeClr val="dk1"/>
                          </a:lnRef>
                          <a:fillRef idx="1">
                            <a:schemeClr val="lt1"/>
                          </a:fillRef>
                          <a:effectRef idx="0">
                            <a:schemeClr val="dk1"/>
                          </a:effectRef>
                          <a:fontRef idx="minor">
                            <a:schemeClr val="dk1"/>
                          </a:fontRef>
                        </wps:style>
                        <wps:txbx>
                          <w:txbxContent>
                            <w:p w14:paraId="4EAF9AF9"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IC control (n = 44)</w:t>
                              </w:r>
                            </w:p>
                          </w:txbxContent>
                        </wps:txbx>
                        <wps:bodyPr wrap="square" rtlCol="0">
                          <a:noAutofit/>
                        </wps:bodyPr>
                      </wps:wsp>
                      <wps:wsp>
                        <wps:cNvPr id="119" name="CuadroTexto 17"/>
                        <wps:cNvSpPr txBox="1"/>
                        <wps:spPr>
                          <a:xfrm>
                            <a:off x="3785526" y="3842127"/>
                            <a:ext cx="1247677" cy="438760"/>
                          </a:xfrm>
                          <a:prstGeom prst="rect">
                            <a:avLst/>
                          </a:prstGeom>
                        </wps:spPr>
                        <wps:style>
                          <a:lnRef idx="2">
                            <a:schemeClr val="dk1"/>
                          </a:lnRef>
                          <a:fillRef idx="1">
                            <a:schemeClr val="lt1"/>
                          </a:fillRef>
                          <a:effectRef idx="0">
                            <a:schemeClr val="dk1"/>
                          </a:effectRef>
                          <a:fontRef idx="minor">
                            <a:schemeClr val="dk1"/>
                          </a:fontRef>
                        </wps:style>
                        <wps:txbx>
                          <w:txbxContent>
                            <w:p w14:paraId="3FFD0E58" w14:textId="0DDAEE91"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IC</w:t>
                              </w:r>
                              <w:r>
                                <w:rPr>
                                  <w:rFonts w:ascii="Arial" w:hAnsi="Arial" w:cs="Arial"/>
                                  <w:color w:val="000000" w:themeColor="dark1"/>
                                  <w:kern w:val="24"/>
                                  <w:sz w:val="18"/>
                                  <w:szCs w:val="18"/>
                                </w:rPr>
                                <w:t xml:space="preserve"> positive</w:t>
                              </w:r>
                              <w:r w:rsidRPr="007627C5">
                                <w:rPr>
                                  <w:rFonts w:ascii="Arial" w:hAnsi="Arial" w:cs="Arial"/>
                                  <w:color w:val="000000" w:themeColor="dark1"/>
                                  <w:kern w:val="24"/>
                                  <w:sz w:val="18"/>
                                  <w:szCs w:val="18"/>
                                </w:rPr>
                                <w:t xml:space="preserve"> (n = </w:t>
                              </w:r>
                              <w:r>
                                <w:rPr>
                                  <w:rFonts w:ascii="Arial" w:hAnsi="Arial" w:cs="Arial"/>
                                  <w:color w:val="000000" w:themeColor="dark1"/>
                                  <w:kern w:val="24"/>
                                  <w:sz w:val="18"/>
                                  <w:szCs w:val="18"/>
                                </w:rPr>
                                <w:t>32</w:t>
                              </w:r>
                              <w:r w:rsidRPr="007627C5">
                                <w:rPr>
                                  <w:rFonts w:ascii="Arial" w:hAnsi="Arial" w:cs="Arial"/>
                                  <w:color w:val="000000" w:themeColor="dark1"/>
                                  <w:kern w:val="24"/>
                                  <w:sz w:val="18"/>
                                  <w:szCs w:val="18"/>
                                </w:rPr>
                                <w:t>)</w:t>
                              </w:r>
                            </w:p>
                          </w:txbxContent>
                        </wps:txbx>
                        <wps:bodyPr wrap="square" rtlCol="0">
                          <a:noAutofit/>
                        </wps:bodyPr>
                      </wps:wsp>
                      <wps:wsp>
                        <wps:cNvPr id="120" name="CuadroTexto 18"/>
                        <wps:cNvSpPr txBox="1"/>
                        <wps:spPr>
                          <a:xfrm>
                            <a:off x="5033202" y="3762008"/>
                            <a:ext cx="1009649" cy="678360"/>
                          </a:xfrm>
                          <a:prstGeom prst="rect">
                            <a:avLst/>
                          </a:prstGeom>
                        </wps:spPr>
                        <wps:style>
                          <a:lnRef idx="2">
                            <a:schemeClr val="dk1"/>
                          </a:lnRef>
                          <a:fillRef idx="1">
                            <a:schemeClr val="lt1"/>
                          </a:fillRef>
                          <a:effectRef idx="0">
                            <a:schemeClr val="dk1"/>
                          </a:effectRef>
                          <a:fontRef idx="minor">
                            <a:schemeClr val="dk1"/>
                          </a:fontRef>
                        </wps:style>
                        <wps:txbx>
                          <w:txbxContent>
                            <w:p w14:paraId="530E849B"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IC control (n = 53)</w:t>
                              </w:r>
                            </w:p>
                          </w:txbxContent>
                        </wps:txbx>
                        <wps:bodyPr wrap="square" rtlCol="0">
                          <a:noAutofit/>
                        </wps:bodyPr>
                      </wps:wsp>
                      <wps:wsp>
                        <wps:cNvPr id="121" name="CuadroTexto 19"/>
                        <wps:cNvSpPr txBox="1"/>
                        <wps:spPr>
                          <a:xfrm>
                            <a:off x="6042852" y="3781327"/>
                            <a:ext cx="1227480" cy="419441"/>
                          </a:xfrm>
                          <a:prstGeom prst="rect">
                            <a:avLst/>
                          </a:prstGeom>
                        </wps:spPr>
                        <wps:style>
                          <a:lnRef idx="2">
                            <a:schemeClr val="dk1"/>
                          </a:lnRef>
                          <a:fillRef idx="1">
                            <a:schemeClr val="lt1"/>
                          </a:fillRef>
                          <a:effectRef idx="0">
                            <a:schemeClr val="dk1"/>
                          </a:effectRef>
                          <a:fontRef idx="minor">
                            <a:schemeClr val="dk1"/>
                          </a:fontRef>
                        </wps:style>
                        <wps:txbx>
                          <w:txbxContent>
                            <w:p w14:paraId="3B7291D0" w14:textId="2680C97B" w:rsidR="004D2DCA" w:rsidRPr="007627C5" w:rsidRDefault="004D2DCA" w:rsidP="001910BC">
                              <w:pPr>
                                <w:pStyle w:val="NormalWeb"/>
                                <w:spacing w:before="0" w:beforeAutospacing="0" w:after="0" w:afterAutospacing="0"/>
                                <w:rPr>
                                  <w:sz w:val="18"/>
                                  <w:szCs w:val="18"/>
                                </w:rPr>
                              </w:pPr>
                              <w:r>
                                <w:rPr>
                                  <w:rFonts w:ascii="Arial" w:hAnsi="Arial" w:cs="Arial"/>
                                  <w:color w:val="000000" w:themeColor="dark1"/>
                                  <w:kern w:val="24"/>
                                  <w:sz w:val="18"/>
                                  <w:szCs w:val="18"/>
                                </w:rPr>
                                <w:t xml:space="preserve">IC positive </w:t>
                              </w:r>
                              <w:r w:rsidRPr="007627C5">
                                <w:rPr>
                                  <w:rFonts w:ascii="Arial" w:hAnsi="Arial" w:cs="Arial"/>
                                  <w:color w:val="000000" w:themeColor="dark1"/>
                                  <w:kern w:val="24"/>
                                  <w:sz w:val="18"/>
                                  <w:szCs w:val="18"/>
                                </w:rPr>
                                <w:t xml:space="preserve">(n = </w:t>
                              </w:r>
                              <w:r>
                                <w:rPr>
                                  <w:rFonts w:ascii="Arial" w:hAnsi="Arial" w:cs="Arial"/>
                                  <w:color w:val="000000" w:themeColor="dark1"/>
                                  <w:kern w:val="24"/>
                                  <w:sz w:val="18"/>
                                  <w:szCs w:val="18"/>
                                </w:rPr>
                                <w:t>37</w:t>
                              </w:r>
                              <w:r w:rsidRPr="007627C5">
                                <w:rPr>
                                  <w:rFonts w:ascii="Arial" w:hAnsi="Arial" w:cs="Arial"/>
                                  <w:color w:val="000000" w:themeColor="dark1"/>
                                  <w:kern w:val="24"/>
                                  <w:sz w:val="18"/>
                                  <w:szCs w:val="18"/>
                                </w:rPr>
                                <w:t>)</w:t>
                              </w:r>
                            </w:p>
                          </w:txbxContent>
                        </wps:txbx>
                        <wps:bodyPr wrap="square" rtlCol="0">
                          <a:noAutofit/>
                        </wps:bodyPr>
                      </wps:wsp>
                      <wps:wsp>
                        <wps:cNvPr id="122" name="CuadroTexto 20"/>
                        <wps:cNvSpPr txBox="1"/>
                        <wps:spPr>
                          <a:xfrm>
                            <a:off x="7478456" y="3762008"/>
                            <a:ext cx="1087674" cy="499561"/>
                          </a:xfrm>
                          <a:prstGeom prst="rect">
                            <a:avLst/>
                          </a:prstGeom>
                        </wps:spPr>
                        <wps:style>
                          <a:lnRef idx="2">
                            <a:schemeClr val="dk1"/>
                          </a:lnRef>
                          <a:fillRef idx="1">
                            <a:schemeClr val="lt1"/>
                          </a:fillRef>
                          <a:effectRef idx="0">
                            <a:schemeClr val="dk1"/>
                          </a:effectRef>
                          <a:fontRef idx="minor">
                            <a:schemeClr val="dk1"/>
                          </a:fontRef>
                        </wps:style>
                        <wps:txbx>
                          <w:txbxContent>
                            <w:p w14:paraId="754E9A46"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IC control (n = 62)</w:t>
                              </w:r>
                            </w:p>
                          </w:txbxContent>
                        </wps:txbx>
                        <wps:bodyPr wrap="square" rtlCol="0">
                          <a:noAutofit/>
                        </wps:bodyPr>
                      </wps:wsp>
                      <wps:wsp>
                        <wps:cNvPr id="123" name="Conector recto de flecha 123"/>
                        <wps:cNvCnPr/>
                        <wps:spPr>
                          <a:xfrm>
                            <a:off x="4497575" y="261610"/>
                            <a:ext cx="0" cy="4461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4" name="Conector recto de flecha 124"/>
                        <wps:cNvCnPr/>
                        <wps:spPr>
                          <a:xfrm>
                            <a:off x="4499347" y="446191"/>
                            <a:ext cx="69997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 name="Conector recto de flecha 125"/>
                        <wps:cNvCnPr/>
                        <wps:spPr>
                          <a:xfrm flipH="1">
                            <a:off x="3286350" y="1315539"/>
                            <a:ext cx="399604" cy="745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 name="Conector recto de flecha 126"/>
                        <wps:cNvCnPr/>
                        <wps:spPr>
                          <a:xfrm>
                            <a:off x="4499347" y="1375142"/>
                            <a:ext cx="31231" cy="71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7" name="Conector recto de flecha 127"/>
                        <wps:cNvCnPr/>
                        <wps:spPr>
                          <a:xfrm>
                            <a:off x="5128438" y="1375142"/>
                            <a:ext cx="589223" cy="6558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Conector recto de flecha 128"/>
                        <wps:cNvCnPr/>
                        <wps:spPr>
                          <a:xfrm flipH="1">
                            <a:off x="2332961" y="2874744"/>
                            <a:ext cx="399604" cy="745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9" name="Conector recto de flecha 129"/>
                        <wps:cNvCnPr/>
                        <wps:spPr>
                          <a:xfrm>
                            <a:off x="3027176" y="2907802"/>
                            <a:ext cx="323855" cy="6954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Conector recto de flecha 130"/>
                        <wps:cNvCnPr/>
                        <wps:spPr>
                          <a:xfrm flipH="1">
                            <a:off x="4194979" y="3048956"/>
                            <a:ext cx="399604" cy="745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Conector recto de flecha 131"/>
                        <wps:cNvCnPr/>
                        <wps:spPr>
                          <a:xfrm>
                            <a:off x="5142933" y="3075851"/>
                            <a:ext cx="323855" cy="6954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2" name="Conector recto de flecha 132"/>
                        <wps:cNvCnPr/>
                        <wps:spPr>
                          <a:xfrm flipH="1">
                            <a:off x="6597785" y="2960041"/>
                            <a:ext cx="362883" cy="753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3" name="Conector recto de flecha 133"/>
                        <wps:cNvCnPr/>
                        <wps:spPr>
                          <a:xfrm>
                            <a:off x="7478455" y="2960041"/>
                            <a:ext cx="371347" cy="712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Conector recto de flecha 134"/>
                        <wps:cNvCnPr/>
                        <wps:spPr>
                          <a:xfrm>
                            <a:off x="545805" y="418076"/>
                            <a:ext cx="7088" cy="4641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Conector recto de flecha 135"/>
                        <wps:cNvCnPr/>
                        <wps:spPr>
                          <a:xfrm>
                            <a:off x="552893" y="1371383"/>
                            <a:ext cx="3544" cy="2817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6" name="Conector recto de flecha 136"/>
                        <wps:cNvCnPr/>
                        <wps:spPr>
                          <a:xfrm>
                            <a:off x="552893" y="2061190"/>
                            <a:ext cx="0" cy="84661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Conector recto de flecha 137"/>
                        <wps:cNvCnPr/>
                        <wps:spPr>
                          <a:xfrm flipH="1">
                            <a:off x="607577" y="3421781"/>
                            <a:ext cx="10630" cy="98380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0DA3A1" id="_x0000_s1066" style="position:absolute;margin-left:-20.4pt;margin-top:31.8pt;width:447.45pt;height:302.2pt;z-index:251666432;mso-width-relative:margin;mso-height-relative:margin" coordorigin=",-834" coordsize="85661,48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">
                <v:shape id="CuadroTexto 3" o:spid="_x0000_s1067" type="#_x0000_t202" style="position:absolute;width:15310;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" fillcolor="white [3201]" strokecolor="black [3200]" strokeweight="1pt">
                  <v:textbox>
                    <w:txbxContent>
                      <w:p w14:paraId="70CEBD46"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Recruitment</w:t>
                        </w:r>
                      </w:p>
                    </w:txbxContent>
                  </v:textbox>
                </v:shape>
                <v:shape id="CuadroTexto 4" o:spid="_x0000_s1068" type="#_x0000_t202" style="position:absolute;top:10877;width:14034;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" fillcolor="white [3201]" strokecolor="black [3200]" strokeweight="1pt">
                  <v:textbox>
                    <w:txbxContent>
                      <w:p w14:paraId="2328A86E"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Pre-test measures</w:t>
                        </w:r>
                      </w:p>
                    </w:txbxContent>
                  </v:textbox>
                </v:shape>
                <v:shape id="CuadroTexto 5" o:spid="_x0000_s1069" type="#_x0000_t202" style="position:absolute;left:186;top:16990;width:1616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" fillcolor="white [3201]" strokecolor="black [3200]" strokeweight="1pt">
                  <v:textbox>
                    <w:txbxContent>
                      <w:p w14:paraId="42E19BA0"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Randomisation</w:t>
                        </w:r>
                      </w:p>
                    </w:txbxContent>
                  </v:textbox>
                </v:shape>
                <v:shape id="CuadroTexto 7" o:spid="_x0000_s1070" type="#_x0000_t202" style="position:absolute;left:186;top:44596;width:1403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" fillcolor="white [3201]" strokecolor="black [3200]" strokeweight="1pt">
                  <v:textbox>
                    <w:txbxContent>
                      <w:p w14:paraId="243A2924"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Post-test measures</w:t>
                        </w:r>
                      </w:p>
                    </w:txbxContent>
                  </v:textbox>
                </v:shape>
                <v:shape id="CuadroTexto 8" o:spid="_x0000_s1071" type="#_x0000_t202" style="position:absolute;left:190;top:29191;width:1616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" fillcolor="white [3201]" strokecolor="black [3200]" strokeweight="1pt">
                  <v:textbox>
                    <w:txbxContent>
                      <w:p w14:paraId="1B4D8A14"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Randomisation</w:t>
                        </w:r>
                      </w:p>
                    </w:txbxContent>
                  </v:textbox>
                </v:shape>
                <v:shape id="CuadroTexto 9" o:spid="_x0000_s1072" type="#_x0000_t202" style="position:absolute;left:32748;top:-834;width:24455;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" fillcolor="white [3201]" strokecolor="black [3200]" strokeweight="1pt">
                  <v:textbox>
                    <w:txbxContent>
                      <w:p w14:paraId="6879B54A"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 xml:space="preserve">Recruited </w:t>
                        </w:r>
                        <w:r>
                          <w:rPr>
                            <w:rFonts w:ascii="Arial" w:hAnsi="Arial" w:cs="Arial"/>
                            <w:color w:val="000000" w:themeColor="dark1"/>
                            <w:kern w:val="24"/>
                            <w:sz w:val="18"/>
                            <w:szCs w:val="18"/>
                          </w:rPr>
                          <w:t>(</w:t>
                        </w:r>
                        <w:r w:rsidRPr="007627C5">
                          <w:rPr>
                            <w:rFonts w:ascii="Arial" w:hAnsi="Arial" w:cs="Arial"/>
                            <w:color w:val="000000" w:themeColor="dark1"/>
                            <w:kern w:val="24"/>
                            <w:sz w:val="18"/>
                            <w:szCs w:val="18"/>
                          </w:rPr>
                          <w:t>N=309</w:t>
                        </w:r>
                        <w:r>
                          <w:rPr>
                            <w:rFonts w:ascii="Arial" w:hAnsi="Arial" w:cs="Arial"/>
                            <w:color w:val="000000" w:themeColor="dark1"/>
                            <w:kern w:val="24"/>
                            <w:sz w:val="18"/>
                            <w:szCs w:val="18"/>
                          </w:rPr>
                          <w:t>)</w:t>
                        </w:r>
                      </w:p>
                    </w:txbxContent>
                  </v:textbox>
                </v:shape>
                <v:shape id="CuadroTexto 10" o:spid="_x0000_s1073" type="#_x0000_t202" style="position:absolute;left:53048;top:3628;width:21736;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" fillcolor="white [3201]" strokecolor="black [3200]" strokeweight="1pt">
                  <v:textbox>
                    <w:txbxContent>
                      <w:p w14:paraId="7059D8F8" w14:textId="77777777" w:rsidR="004D2DCA" w:rsidRPr="007627C5" w:rsidRDefault="004D2DCA" w:rsidP="001910BC">
                        <w:pPr>
                          <w:pStyle w:val="NormalWeb"/>
                          <w:spacing w:before="0" w:beforeAutospacing="0" w:after="0" w:afterAutospacing="0"/>
                          <w:jc w:val="center"/>
                          <w:rPr>
                            <w:sz w:val="18"/>
                            <w:szCs w:val="18"/>
                          </w:rPr>
                        </w:pPr>
                        <w:r w:rsidRPr="007627C5">
                          <w:rPr>
                            <w:rFonts w:ascii="Arial" w:hAnsi="Arial" w:cs="Arial"/>
                            <w:color w:val="000000" w:themeColor="dark1"/>
                            <w:kern w:val="24"/>
                            <w:sz w:val="18"/>
                            <w:szCs w:val="18"/>
                          </w:rPr>
                          <w:t>Reported FD (n = 8)</w:t>
                        </w:r>
                      </w:p>
                    </w:txbxContent>
                  </v:textbox>
                </v:shape>
                <v:shape id="CuadroTexto 11" o:spid="_x0000_s1074" type="#_x0000_t202" style="position:absolute;left:32748;top:8511;width:24455;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" fillcolor="white [3201]" strokecolor="black [3200]" strokeweight="1pt">
                  <v:textbox>
                    <w:txbxContent>
                      <w:p w14:paraId="1D9F1CAD"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Final sample (n = 301)</w:t>
                        </w:r>
                      </w:p>
                    </w:txbxContent>
                  </v:textbox>
                </v:shape>
                <v:shape id="CuadroTexto 12" o:spid="_x0000_s1075" type="#_x0000_t202" style="position:absolute;left:21929;top:22745;width:18554;height:5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" fillcolor="white [3201]" strokecolor="black [3200]" strokeweight="1pt">
                  <v:textbox>
                    <w:txbxContent>
                      <w:p w14:paraId="5576CFEA"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Written awareness message (n = 100)</w:t>
                        </w:r>
                      </w:p>
                    </w:txbxContent>
                  </v:textbox>
                </v:shape>
                <v:shape id="CuadroTexto 13" o:spid="_x0000_s1076" type="#_x0000_t202" style="position:absolute;left:41026;top:22214;width:17770;height:7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" fillcolor="white [3201]" strokecolor="black [3200]" strokeweight="1pt">
                  <v:textbox>
                    <w:txbxContent>
                      <w:p w14:paraId="59982913"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Video-clip awareness message (n = 94</w:t>
                        </w:r>
                        <w:r>
                          <w:rPr>
                            <w:rFonts w:ascii="Arial" w:hAnsi="Arial" w:cs="Arial"/>
                            <w:color w:val="000000" w:themeColor="dark1"/>
                            <w:kern w:val="24"/>
                            <w:sz w:val="18"/>
                            <w:szCs w:val="18"/>
                          </w:rPr>
                          <w:t>)</w:t>
                        </w:r>
                      </w:p>
                    </w:txbxContent>
                  </v:textbox>
                </v:shape>
                <v:shape id="CuadroTexto 14" o:spid="_x0000_s1077" type="#_x0000_t202" style="position:absolute;left:60428;top:22214;width:16239;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" fillcolor="white [3201]" strokecolor="black [3200]" strokeweight="1pt">
                  <v:textbox>
                    <w:txbxContent>
                      <w:p w14:paraId="09AA29D6"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Control message (n = 108)</w:t>
                        </w:r>
                      </w:p>
                    </w:txbxContent>
                  </v:textbox>
                </v:shape>
                <v:shape id="CuadroTexto 15" o:spid="_x0000_s1078" type="#_x0000_t202" style="position:absolute;left:12489;top:36726;width:12420;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" fillcolor="white [3201]" strokecolor="black [3200]" strokeweight="1pt">
                  <v:textbox>
                    <w:txbxContent>
                      <w:p w14:paraId="6FE89BD2" w14:textId="71A97ADA"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IC</w:t>
                        </w:r>
                        <w:r>
                          <w:rPr>
                            <w:rFonts w:ascii="Arial" w:hAnsi="Arial" w:cs="Arial"/>
                            <w:color w:val="000000" w:themeColor="dark1"/>
                            <w:kern w:val="24"/>
                            <w:sz w:val="18"/>
                            <w:szCs w:val="18"/>
                          </w:rPr>
                          <w:t xml:space="preserve"> positive</w:t>
                        </w:r>
                        <w:r w:rsidRPr="007627C5">
                          <w:rPr>
                            <w:rFonts w:ascii="Arial" w:hAnsi="Arial" w:cs="Arial"/>
                            <w:color w:val="000000" w:themeColor="dark1"/>
                            <w:kern w:val="24"/>
                            <w:sz w:val="18"/>
                            <w:szCs w:val="18"/>
                          </w:rPr>
                          <w:t xml:space="preserve"> (n = </w:t>
                        </w:r>
                        <w:r>
                          <w:rPr>
                            <w:rFonts w:ascii="Arial" w:hAnsi="Arial" w:cs="Arial"/>
                            <w:color w:val="000000" w:themeColor="dark1"/>
                            <w:kern w:val="24"/>
                            <w:sz w:val="18"/>
                            <w:szCs w:val="18"/>
                          </w:rPr>
                          <w:t>41)</w:t>
                        </w:r>
                      </w:p>
                    </w:txbxContent>
                  </v:textbox>
                </v:shape>
                <v:shape id="_x0000_s1079" type="#_x0000_t202" style="position:absolute;left:26952;top:36726;width:1090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" fillcolor="white [3201]" strokecolor="black [3200]" strokeweight="1pt">
                  <v:textbox>
                    <w:txbxContent>
                      <w:p w14:paraId="4EAF9AF9"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IC control (n = 44)</w:t>
                        </w:r>
                      </w:p>
                    </w:txbxContent>
                  </v:textbox>
                </v:shape>
                <v:shape id="CuadroTexto 17" o:spid="_x0000_s1080" type="#_x0000_t202" style="position:absolute;left:37855;top:38421;width:12477;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" fillcolor="white [3201]" strokecolor="black [3200]" strokeweight="1pt">
                  <v:textbox>
                    <w:txbxContent>
                      <w:p w14:paraId="3FFD0E58" w14:textId="0DDAEE91"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IC</w:t>
                        </w:r>
                        <w:r>
                          <w:rPr>
                            <w:rFonts w:ascii="Arial" w:hAnsi="Arial" w:cs="Arial"/>
                            <w:color w:val="000000" w:themeColor="dark1"/>
                            <w:kern w:val="24"/>
                            <w:sz w:val="18"/>
                            <w:szCs w:val="18"/>
                          </w:rPr>
                          <w:t xml:space="preserve"> positive</w:t>
                        </w:r>
                        <w:r w:rsidRPr="007627C5">
                          <w:rPr>
                            <w:rFonts w:ascii="Arial" w:hAnsi="Arial" w:cs="Arial"/>
                            <w:color w:val="000000" w:themeColor="dark1"/>
                            <w:kern w:val="24"/>
                            <w:sz w:val="18"/>
                            <w:szCs w:val="18"/>
                          </w:rPr>
                          <w:t xml:space="preserve"> (n = </w:t>
                        </w:r>
                        <w:r>
                          <w:rPr>
                            <w:rFonts w:ascii="Arial" w:hAnsi="Arial" w:cs="Arial"/>
                            <w:color w:val="000000" w:themeColor="dark1"/>
                            <w:kern w:val="24"/>
                            <w:sz w:val="18"/>
                            <w:szCs w:val="18"/>
                          </w:rPr>
                          <w:t>32</w:t>
                        </w:r>
                        <w:r w:rsidRPr="007627C5">
                          <w:rPr>
                            <w:rFonts w:ascii="Arial" w:hAnsi="Arial" w:cs="Arial"/>
                            <w:color w:val="000000" w:themeColor="dark1"/>
                            <w:kern w:val="24"/>
                            <w:sz w:val="18"/>
                            <w:szCs w:val="18"/>
                          </w:rPr>
                          <w:t>)</w:t>
                        </w:r>
                      </w:p>
                    </w:txbxContent>
                  </v:textbox>
                </v:shape>
                <v:shape id="CuadroTexto 18" o:spid="_x0000_s1081" type="#_x0000_t202" style="position:absolute;left:50332;top:37620;width:10096;height:6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" fillcolor="white [3201]" strokecolor="black [3200]" strokeweight="1pt">
                  <v:textbox>
                    <w:txbxContent>
                      <w:p w14:paraId="530E849B"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IC control (n = 53)</w:t>
                        </w:r>
                      </w:p>
                    </w:txbxContent>
                  </v:textbox>
                </v:shape>
                <v:shape id="CuadroTexto 19" o:spid="_x0000_s1082" type="#_x0000_t202" style="position:absolute;left:60428;top:37813;width:12275;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" fillcolor="white [3201]" strokecolor="black [3200]" strokeweight="1pt">
                  <v:textbox>
                    <w:txbxContent>
                      <w:p w14:paraId="3B7291D0" w14:textId="2680C97B" w:rsidR="004D2DCA" w:rsidRPr="007627C5" w:rsidRDefault="004D2DCA" w:rsidP="001910BC">
                        <w:pPr>
                          <w:pStyle w:val="NormalWeb"/>
                          <w:spacing w:before="0" w:beforeAutospacing="0" w:after="0" w:afterAutospacing="0"/>
                          <w:rPr>
                            <w:sz w:val="18"/>
                            <w:szCs w:val="18"/>
                          </w:rPr>
                        </w:pPr>
                        <w:r>
                          <w:rPr>
                            <w:rFonts w:ascii="Arial" w:hAnsi="Arial" w:cs="Arial"/>
                            <w:color w:val="000000" w:themeColor="dark1"/>
                            <w:kern w:val="24"/>
                            <w:sz w:val="18"/>
                            <w:szCs w:val="18"/>
                          </w:rPr>
                          <w:t xml:space="preserve">IC positive </w:t>
                        </w:r>
                        <w:r w:rsidRPr="007627C5">
                          <w:rPr>
                            <w:rFonts w:ascii="Arial" w:hAnsi="Arial" w:cs="Arial"/>
                            <w:color w:val="000000" w:themeColor="dark1"/>
                            <w:kern w:val="24"/>
                            <w:sz w:val="18"/>
                            <w:szCs w:val="18"/>
                          </w:rPr>
                          <w:t xml:space="preserve">(n = </w:t>
                        </w:r>
                        <w:r>
                          <w:rPr>
                            <w:rFonts w:ascii="Arial" w:hAnsi="Arial" w:cs="Arial"/>
                            <w:color w:val="000000" w:themeColor="dark1"/>
                            <w:kern w:val="24"/>
                            <w:sz w:val="18"/>
                            <w:szCs w:val="18"/>
                          </w:rPr>
                          <w:t>37</w:t>
                        </w:r>
                        <w:r w:rsidRPr="007627C5">
                          <w:rPr>
                            <w:rFonts w:ascii="Arial" w:hAnsi="Arial" w:cs="Arial"/>
                            <w:color w:val="000000" w:themeColor="dark1"/>
                            <w:kern w:val="24"/>
                            <w:sz w:val="18"/>
                            <w:szCs w:val="18"/>
                          </w:rPr>
                          <w:t>)</w:t>
                        </w:r>
                      </w:p>
                    </w:txbxContent>
                  </v:textbox>
                </v:shape>
                <v:shape id="CuadroTexto 20" o:spid="_x0000_s1083" type="#_x0000_t202" style="position:absolute;left:74784;top:37620;width:10877;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" fillcolor="white [3201]" strokecolor="black [3200]" strokeweight="1pt">
                  <v:textbox>
                    <w:txbxContent>
                      <w:p w14:paraId="754E9A46" w14:textId="77777777" w:rsidR="004D2DCA" w:rsidRPr="007627C5" w:rsidRDefault="004D2DCA" w:rsidP="001910BC">
                        <w:pPr>
                          <w:pStyle w:val="NormalWeb"/>
                          <w:spacing w:before="0" w:beforeAutospacing="0" w:after="0" w:afterAutospacing="0"/>
                          <w:rPr>
                            <w:sz w:val="18"/>
                            <w:szCs w:val="18"/>
                          </w:rPr>
                        </w:pPr>
                        <w:r w:rsidRPr="007627C5">
                          <w:rPr>
                            <w:rFonts w:ascii="Arial" w:hAnsi="Arial" w:cs="Arial"/>
                            <w:color w:val="000000" w:themeColor="dark1"/>
                            <w:kern w:val="24"/>
                            <w:sz w:val="18"/>
                            <w:szCs w:val="18"/>
                          </w:rPr>
                          <w:t>IC control (n = 62)</w:t>
                        </w:r>
                      </w:p>
                    </w:txbxContent>
                  </v:textbox>
                </v:shape>
                <v:shape id="Conector recto de flecha 123" o:spid="_x0000_s1084" type="#_x0000_t32" style="position:absolute;left:44975;top:2616;width:0;height:4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" strokecolor="black [3200]" strokeweight=".5pt">
                  <v:stroke endarrow="block" joinstyle="miter"/>
                </v:shape>
                <v:shape id="Conector recto de flecha 124" o:spid="_x0000_s1085" type="#_x0000_t32" style="position:absolute;left:44993;top:4461;width:7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" strokecolor="black [3200]" strokeweight=".5pt">
                  <v:stroke endarrow="block" joinstyle="miter"/>
                </v:shape>
                <v:shape id="Conector recto de flecha 125" o:spid="_x0000_s1086" type="#_x0000_t32" style="position:absolute;left:32863;top:13155;width:3996;height:7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" strokecolor="black [3200]" strokeweight=".5pt">
                  <v:stroke endarrow="block" joinstyle="miter"/>
                </v:shape>
                <v:shape id="Conector recto de flecha 126" o:spid="_x0000_s1087" type="#_x0000_t32" style="position:absolute;left:44993;top:13751;width:312;height:7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" strokecolor="black [3200]" strokeweight=".5pt">
                  <v:stroke endarrow="block" joinstyle="miter"/>
                </v:shape>
                <v:shape id="Conector recto de flecha 127" o:spid="_x0000_s1088" type="#_x0000_t32" style="position:absolute;left:51284;top:13751;width:5892;height:65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" strokecolor="black [3200]" strokeweight=".5pt">
                  <v:stroke endarrow="block" joinstyle="miter"/>
                </v:shape>
                <v:shape id="Conector recto de flecha 128" o:spid="_x0000_s1089" type="#_x0000_t32" style="position:absolute;left:23329;top:28747;width:3996;height:7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" strokecolor="black [3200]" strokeweight=".5pt">
                  <v:stroke endarrow="block" joinstyle="miter"/>
                </v:shape>
                <v:shape id="Conector recto de flecha 129" o:spid="_x0000_s1090" type="#_x0000_t32" style="position:absolute;left:30271;top:29078;width:3239;height:6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" strokecolor="black [3200]" strokeweight=".5pt">
                  <v:stroke endarrow="block" joinstyle="miter"/>
                </v:shape>
                <v:shape id="Conector recto de flecha 130" o:spid="_x0000_s1091" type="#_x0000_t32" style="position:absolute;left:41949;top:30489;width:3996;height:7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" strokecolor="black [3200]" strokeweight=".5pt">
                  <v:stroke endarrow="block" joinstyle="miter"/>
                </v:shape>
                <v:shape id="Conector recto de flecha 131" o:spid="_x0000_s1092" type="#_x0000_t32" style="position:absolute;left:51429;top:30758;width:3238;height:6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" strokecolor="black [3200]" strokeweight=".5pt">
                  <v:stroke endarrow="block" joinstyle="miter"/>
                </v:shape>
                <v:shape id="Conector recto de flecha 132" o:spid="_x0000_s1093" type="#_x0000_t32" style="position:absolute;left:65977;top:29600;width:3629;height:75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" strokecolor="black [3200]" strokeweight=".5pt">
                  <v:stroke endarrow="block" joinstyle="miter"/>
                </v:shape>
                <v:shape id="Conector recto de flecha 133" o:spid="_x0000_s1094" type="#_x0000_t32" style="position:absolute;left:74784;top:29600;width:3714;height:7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" strokecolor="black [3200]" strokeweight=".5pt">
                  <v:stroke endarrow="block" joinstyle="miter"/>
                </v:shape>
                <v:shape id="Conector recto de flecha 134" o:spid="_x0000_s1095" type="#_x0000_t32" style="position:absolute;left:5458;top:4180;width:70;height:46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" strokecolor="black [3200]" strokeweight=".5pt">
                  <v:stroke endarrow="block" joinstyle="miter"/>
                </v:shape>
                <v:shape id="Conector recto de flecha 135" o:spid="_x0000_s1096" type="#_x0000_t32" style="position:absolute;left:5528;top:13713;width:36;height:2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vwAAAANwAAAAPAAAAZHJzL2Rvd25yZXYueG1sRE/LqsIw&#10;EN0L/kMY4e401Yu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hVvnb8AAAADcAAAADwAAAAAA&#10;AAAAAAAAAAAHAgAAZHJzL2Rvd25yZXYueG1sUEsFBgAAAAADAAMAtwAAAPQCAAAAAA==&#10;" strokecolor="black [3200]" strokeweight=".5pt">
                  <v:stroke endarrow="block" joinstyle="miter"/>
                </v:shape>
                <v:shape id="Conector recto de flecha 136" o:spid="_x0000_s1097" type="#_x0000_t32" style="position:absolute;left:5528;top:20611;width:0;height:8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" strokecolor="black [3200]" strokeweight=".5pt">
                  <v:stroke endarrow="block" joinstyle="miter"/>
                </v:shape>
                <v:shape id="Conector recto de flecha 137" o:spid="_x0000_s1098" type="#_x0000_t32" style="position:absolute;left:6075;top:34217;width:107;height:98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" strokecolor="black [3200]" strokeweight=".5pt">
                  <v:stroke endarrow="block" joinstyle="miter"/>
                </v:shape>
                <w10:wrap type="square"/>
              </v:group>
            </w:pict>
          </mc:Fallback>
        </mc:AlternateContent>
      </w:r>
      <w:r>
        <w:rPr>
          <w:lang w:val="es-CO" w:eastAsia="es-CO"/>
        </w:rPr>
        <mc:AlternateContent>
          <mc:Choice Requires="wps">
            <w:drawing>
              <wp:anchor distT="0" distB="0" distL="114300" distR="114300" simplePos="0" relativeHeight="251678720" behindDoc="0" locked="0" layoutInCell="1" allowOverlap="1" wp14:anchorId="52347546" wp14:editId="589F36FB">
                <wp:simplePos x="0" y="0"/>
                <wp:positionH relativeFrom="column">
                  <wp:posOffset>4293870</wp:posOffset>
                </wp:positionH>
                <wp:positionV relativeFrom="paragraph">
                  <wp:posOffset>3834680</wp:posOffset>
                </wp:positionV>
                <wp:extent cx="152251" cy="155396"/>
                <wp:effectExtent l="0" t="0" r="76835" b="54610"/>
                <wp:wrapNone/>
                <wp:docPr id="143" name="Conector recto de flecha 143"/>
                <wp:cNvGraphicFramePr/>
                <a:graphic xmlns:a="http://schemas.openxmlformats.org/drawingml/2006/main">
                  <a:graphicData uri="http://schemas.microsoft.com/office/word/2010/wordprocessingShape">
                    <wps:wsp>
                      <wps:cNvCnPr/>
                      <wps:spPr>
                        <a:xfrm>
                          <a:off x="0" y="0"/>
                          <a:ext cx="152251" cy="15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4652C" id="Conector recto de flecha 143" o:spid="_x0000_s1026" type="#_x0000_t32" style="position:absolute;margin-left:338.1pt;margin-top:301.95pt;width:12pt;height:1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" strokecolor="black [3200]" strokeweight=".5pt">
                <v:stroke endarrow="block" joinstyle="miter"/>
              </v:shape>
            </w:pict>
          </mc:Fallback>
        </mc:AlternateContent>
      </w:r>
      <w:r>
        <w:rPr>
          <w:lang w:val="es-CO" w:eastAsia="es-CO"/>
        </w:rPr>
        <mc:AlternateContent>
          <mc:Choice Requires="wps">
            <w:drawing>
              <wp:anchor distT="0" distB="0" distL="114300" distR="114300" simplePos="0" relativeHeight="251676672" behindDoc="0" locked="0" layoutInCell="1" allowOverlap="1" wp14:anchorId="7C0264A5" wp14:editId="1FFDE4E7">
                <wp:simplePos x="0" y="0"/>
                <wp:positionH relativeFrom="column">
                  <wp:posOffset>2662961</wp:posOffset>
                </wp:positionH>
                <wp:positionV relativeFrom="paragraph">
                  <wp:posOffset>3944620</wp:posOffset>
                </wp:positionV>
                <wp:extent cx="152251" cy="155396"/>
                <wp:effectExtent l="0" t="0" r="76835" b="54610"/>
                <wp:wrapNone/>
                <wp:docPr id="142" name="Conector recto de flecha 142"/>
                <wp:cNvGraphicFramePr/>
                <a:graphic xmlns:a="http://schemas.openxmlformats.org/drawingml/2006/main">
                  <a:graphicData uri="http://schemas.microsoft.com/office/word/2010/wordprocessingShape">
                    <wps:wsp>
                      <wps:cNvCnPr/>
                      <wps:spPr>
                        <a:xfrm>
                          <a:off x="0" y="0"/>
                          <a:ext cx="152251" cy="15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193F6" id="Conector recto de flecha 142" o:spid="_x0000_s1026" type="#_x0000_t32" style="position:absolute;margin-left:209.7pt;margin-top:310.6pt;width:12pt;height:1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" strokecolor="black [3200]" strokeweight=".5pt">
                <v:stroke endarrow="block" joinstyle="miter"/>
              </v:shape>
            </w:pict>
          </mc:Fallback>
        </mc:AlternateContent>
      </w:r>
      <w:r>
        <w:rPr>
          <w:lang w:val="es-CO" w:eastAsia="es-CO"/>
        </w:rPr>
        <mc:AlternateContent>
          <mc:Choice Requires="wps">
            <w:drawing>
              <wp:anchor distT="0" distB="0" distL="114300" distR="114300" simplePos="0" relativeHeight="251674624" behindDoc="0" locked="0" layoutInCell="1" allowOverlap="1" wp14:anchorId="5D39F88D" wp14:editId="4DAEF339">
                <wp:simplePos x="0" y="0"/>
                <wp:positionH relativeFrom="column">
                  <wp:posOffset>1288564</wp:posOffset>
                </wp:positionH>
                <wp:positionV relativeFrom="paragraph">
                  <wp:posOffset>3760015</wp:posOffset>
                </wp:positionV>
                <wp:extent cx="152251" cy="155396"/>
                <wp:effectExtent l="0" t="0" r="76835" b="54610"/>
                <wp:wrapNone/>
                <wp:docPr id="141" name="Conector recto de flecha 141"/>
                <wp:cNvGraphicFramePr/>
                <a:graphic xmlns:a="http://schemas.openxmlformats.org/drawingml/2006/main">
                  <a:graphicData uri="http://schemas.microsoft.com/office/word/2010/wordprocessingShape">
                    <wps:wsp>
                      <wps:cNvCnPr/>
                      <wps:spPr>
                        <a:xfrm>
                          <a:off x="0" y="0"/>
                          <a:ext cx="152251" cy="1553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C32CA" id="Conector recto de flecha 141" o:spid="_x0000_s1026" type="#_x0000_t32" style="position:absolute;margin-left:101.45pt;margin-top:296.05pt;width:12pt;height:1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" strokecolor="black [3200]" strokeweight=".5pt">
                <v:stroke endarrow="block" joinstyle="miter"/>
              </v:shape>
            </w:pict>
          </mc:Fallback>
        </mc:AlternateContent>
      </w:r>
      <w:r w:rsidRPr="00D40C27">
        <w:rPr>
          <w:lang w:eastAsia="en-US"/>
        </w:rPr>
        <w:t xml:space="preserve">Figure </w:t>
      </w:r>
      <w:r w:rsidR="00E21EB9">
        <w:rPr>
          <w:lang w:eastAsia="en-US"/>
        </w:rPr>
        <w:t>4.4</w:t>
      </w:r>
      <w:r w:rsidRPr="00D40C27">
        <w:rPr>
          <w:lang w:eastAsia="en-US"/>
        </w:rPr>
        <w:t>. Recruitment flow diagram</w:t>
      </w:r>
      <w:r w:rsidR="00E21EB9">
        <w:rPr>
          <w:lang w:eastAsia="en-US"/>
        </w:rPr>
        <w:t xml:space="preserve"> with new IC group</w:t>
      </w:r>
    </w:p>
    <w:p w14:paraId="26067ECC" w14:textId="5A39F386" w:rsidR="001910BC" w:rsidRDefault="001910BC" w:rsidP="007B6C77"/>
    <w:p w14:paraId="69695F02" w14:textId="2DBAE789" w:rsidR="007B6C77" w:rsidRPr="004D2DCA" w:rsidRDefault="00592FDB" w:rsidP="004D2DCA">
      <w:pPr>
        <w:spacing w:line="240" w:lineRule="auto"/>
        <w:rPr>
          <w:sz w:val="20"/>
          <w:szCs w:val="20"/>
        </w:rPr>
      </w:pPr>
      <w:r w:rsidRPr="004D2DCA">
        <w:rPr>
          <w:sz w:val="20"/>
          <w:szCs w:val="20"/>
        </w:rPr>
        <w:t>Table 4.6. Estimated means for intergroup anxiety</w:t>
      </w:r>
    </w:p>
    <w:tbl>
      <w:tblPr>
        <w:tblW w:w="8060" w:type="dxa"/>
        <w:tblCellMar>
          <w:left w:w="70" w:type="dxa"/>
          <w:right w:w="70" w:type="dxa"/>
        </w:tblCellMar>
        <w:tblLook w:val="04A0" w:firstRow="1" w:lastRow="0" w:firstColumn="1" w:lastColumn="0" w:noHBand="0" w:noVBand="1"/>
      </w:tblPr>
      <w:tblGrid>
        <w:gridCol w:w="1160"/>
        <w:gridCol w:w="1140"/>
        <w:gridCol w:w="960"/>
        <w:gridCol w:w="960"/>
        <w:gridCol w:w="960"/>
        <w:gridCol w:w="1920"/>
        <w:gridCol w:w="960"/>
      </w:tblGrid>
      <w:tr w:rsidR="007B6C77" w:rsidRPr="00592FDB" w14:paraId="19DC8D5E" w14:textId="77777777" w:rsidTr="007B6C77">
        <w:trPr>
          <w:trHeight w:val="552"/>
        </w:trPr>
        <w:tc>
          <w:tcPr>
            <w:tcW w:w="1160" w:type="dxa"/>
            <w:vMerge w:val="restart"/>
            <w:tcBorders>
              <w:top w:val="single" w:sz="4" w:space="0" w:color="auto"/>
              <w:left w:val="nil"/>
              <w:bottom w:val="single" w:sz="4" w:space="0" w:color="000000"/>
              <w:right w:val="nil"/>
            </w:tcBorders>
            <w:shd w:val="clear" w:color="auto" w:fill="auto"/>
            <w:vAlign w:val="center"/>
            <w:hideMark/>
          </w:tcPr>
          <w:p w14:paraId="1919F6A0"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eastAsia="es-CO"/>
              </w:rPr>
            </w:pPr>
            <w:r w:rsidRPr="004D2DCA">
              <w:rPr>
                <w:rFonts w:eastAsia="Times New Roman"/>
                <w:color w:val="auto"/>
                <w:sz w:val="20"/>
                <w:szCs w:val="20"/>
                <w:lang w:eastAsia="es-CO"/>
              </w:rPr>
              <w:t>Awareness</w:t>
            </w:r>
          </w:p>
        </w:tc>
        <w:tc>
          <w:tcPr>
            <w:tcW w:w="1140" w:type="dxa"/>
            <w:vMerge w:val="restart"/>
            <w:tcBorders>
              <w:top w:val="single" w:sz="4" w:space="0" w:color="auto"/>
              <w:left w:val="nil"/>
              <w:bottom w:val="single" w:sz="4" w:space="0" w:color="000000"/>
              <w:right w:val="nil"/>
            </w:tcBorders>
            <w:shd w:val="clear" w:color="auto" w:fill="auto"/>
            <w:vAlign w:val="center"/>
            <w:hideMark/>
          </w:tcPr>
          <w:p w14:paraId="14170EFA"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eastAsia="es-CO"/>
              </w:rPr>
            </w:pPr>
            <w:r w:rsidRPr="004D2DCA">
              <w:rPr>
                <w:rFonts w:eastAsia="Times New Roman"/>
                <w:color w:val="auto"/>
                <w:sz w:val="20"/>
                <w:szCs w:val="20"/>
                <w:lang w:eastAsia="es-CO"/>
              </w:rPr>
              <w:t>IC</w:t>
            </w:r>
          </w:p>
        </w:tc>
        <w:tc>
          <w:tcPr>
            <w:tcW w:w="960" w:type="dxa"/>
            <w:vMerge w:val="restart"/>
            <w:tcBorders>
              <w:top w:val="single" w:sz="4" w:space="0" w:color="auto"/>
              <w:left w:val="nil"/>
              <w:bottom w:val="single" w:sz="4" w:space="0" w:color="000000"/>
              <w:right w:val="nil"/>
            </w:tcBorders>
            <w:shd w:val="clear" w:color="auto" w:fill="auto"/>
            <w:vAlign w:val="center"/>
            <w:hideMark/>
          </w:tcPr>
          <w:p w14:paraId="53A63ECC"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eastAsia="es-CO"/>
              </w:rPr>
            </w:pPr>
            <w:r w:rsidRPr="004D2DCA">
              <w:rPr>
                <w:rFonts w:eastAsia="Times New Roman"/>
                <w:color w:val="auto"/>
                <w:sz w:val="20"/>
                <w:szCs w:val="20"/>
                <w:lang w:eastAsia="es-CO"/>
              </w:rPr>
              <w:t>Time</w:t>
            </w:r>
          </w:p>
        </w:tc>
        <w:tc>
          <w:tcPr>
            <w:tcW w:w="960" w:type="dxa"/>
            <w:vMerge w:val="restart"/>
            <w:tcBorders>
              <w:top w:val="single" w:sz="4" w:space="0" w:color="auto"/>
              <w:left w:val="nil"/>
              <w:bottom w:val="single" w:sz="4" w:space="0" w:color="000000"/>
              <w:right w:val="nil"/>
            </w:tcBorders>
            <w:shd w:val="clear" w:color="auto" w:fill="auto"/>
            <w:vAlign w:val="center"/>
            <w:hideMark/>
          </w:tcPr>
          <w:p w14:paraId="2BC3F7DF"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eastAsia="es-CO"/>
              </w:rPr>
            </w:pPr>
            <w:r w:rsidRPr="004D2DCA">
              <w:rPr>
                <w:rFonts w:eastAsia="Times New Roman"/>
                <w:color w:val="auto"/>
                <w:sz w:val="20"/>
                <w:szCs w:val="20"/>
                <w:lang w:eastAsia="es-CO"/>
              </w:rPr>
              <w:t>Mean</w:t>
            </w:r>
          </w:p>
        </w:tc>
        <w:tc>
          <w:tcPr>
            <w:tcW w:w="960" w:type="dxa"/>
            <w:vMerge w:val="restart"/>
            <w:tcBorders>
              <w:top w:val="single" w:sz="4" w:space="0" w:color="auto"/>
              <w:left w:val="nil"/>
              <w:bottom w:val="single" w:sz="4" w:space="0" w:color="000000"/>
              <w:right w:val="nil"/>
            </w:tcBorders>
            <w:shd w:val="clear" w:color="auto" w:fill="auto"/>
            <w:vAlign w:val="center"/>
            <w:hideMark/>
          </w:tcPr>
          <w:p w14:paraId="1808DEBC"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eastAsia="es-CO"/>
              </w:rPr>
            </w:pPr>
            <w:r w:rsidRPr="004D2DCA">
              <w:rPr>
                <w:rFonts w:eastAsia="Times New Roman"/>
                <w:color w:val="auto"/>
                <w:sz w:val="20"/>
                <w:szCs w:val="20"/>
                <w:lang w:eastAsia="es-CO"/>
              </w:rPr>
              <w:t>Std. Error</w:t>
            </w:r>
          </w:p>
        </w:tc>
        <w:tc>
          <w:tcPr>
            <w:tcW w:w="2880" w:type="dxa"/>
            <w:gridSpan w:val="2"/>
            <w:tcBorders>
              <w:top w:val="single" w:sz="4" w:space="0" w:color="auto"/>
              <w:left w:val="nil"/>
              <w:bottom w:val="nil"/>
              <w:right w:val="nil"/>
            </w:tcBorders>
            <w:shd w:val="clear" w:color="auto" w:fill="auto"/>
            <w:vAlign w:val="center"/>
            <w:hideMark/>
          </w:tcPr>
          <w:p w14:paraId="27559908"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eastAsia="es-CO"/>
              </w:rPr>
            </w:pPr>
            <w:r w:rsidRPr="004D2DCA">
              <w:rPr>
                <w:rFonts w:eastAsia="Times New Roman"/>
                <w:color w:val="auto"/>
                <w:sz w:val="20"/>
                <w:szCs w:val="20"/>
                <w:lang w:eastAsia="es-CO"/>
              </w:rPr>
              <w:t>95% Confidence Interval</w:t>
            </w:r>
          </w:p>
        </w:tc>
      </w:tr>
      <w:tr w:rsidR="00592FDB" w:rsidRPr="00592FDB" w14:paraId="458B36C7" w14:textId="77777777" w:rsidTr="007B6C77">
        <w:trPr>
          <w:trHeight w:val="510"/>
        </w:trPr>
        <w:tc>
          <w:tcPr>
            <w:tcW w:w="1160" w:type="dxa"/>
            <w:vMerge/>
            <w:tcBorders>
              <w:top w:val="single" w:sz="4" w:space="0" w:color="auto"/>
              <w:left w:val="nil"/>
              <w:bottom w:val="single" w:sz="4" w:space="0" w:color="000000"/>
              <w:right w:val="nil"/>
            </w:tcBorders>
            <w:vAlign w:val="center"/>
            <w:hideMark/>
          </w:tcPr>
          <w:p w14:paraId="3D28113C"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eastAsia="es-CO"/>
              </w:rPr>
            </w:pPr>
          </w:p>
        </w:tc>
        <w:tc>
          <w:tcPr>
            <w:tcW w:w="1140" w:type="dxa"/>
            <w:vMerge/>
            <w:tcBorders>
              <w:top w:val="single" w:sz="4" w:space="0" w:color="auto"/>
              <w:left w:val="nil"/>
              <w:bottom w:val="single" w:sz="4" w:space="0" w:color="000000"/>
              <w:right w:val="nil"/>
            </w:tcBorders>
            <w:vAlign w:val="center"/>
            <w:hideMark/>
          </w:tcPr>
          <w:p w14:paraId="452A0C94"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eastAsia="es-CO"/>
              </w:rPr>
            </w:pPr>
          </w:p>
        </w:tc>
        <w:tc>
          <w:tcPr>
            <w:tcW w:w="960" w:type="dxa"/>
            <w:vMerge/>
            <w:tcBorders>
              <w:top w:val="single" w:sz="4" w:space="0" w:color="auto"/>
              <w:left w:val="nil"/>
              <w:bottom w:val="single" w:sz="4" w:space="0" w:color="000000"/>
              <w:right w:val="nil"/>
            </w:tcBorders>
            <w:vAlign w:val="center"/>
            <w:hideMark/>
          </w:tcPr>
          <w:p w14:paraId="7931652D"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eastAsia="es-CO"/>
              </w:rPr>
            </w:pPr>
          </w:p>
        </w:tc>
        <w:tc>
          <w:tcPr>
            <w:tcW w:w="960" w:type="dxa"/>
            <w:vMerge/>
            <w:tcBorders>
              <w:top w:val="single" w:sz="4" w:space="0" w:color="auto"/>
              <w:left w:val="nil"/>
              <w:bottom w:val="single" w:sz="4" w:space="0" w:color="000000"/>
              <w:right w:val="nil"/>
            </w:tcBorders>
            <w:vAlign w:val="center"/>
            <w:hideMark/>
          </w:tcPr>
          <w:p w14:paraId="7703604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eastAsia="es-CO"/>
              </w:rPr>
            </w:pPr>
          </w:p>
        </w:tc>
        <w:tc>
          <w:tcPr>
            <w:tcW w:w="960" w:type="dxa"/>
            <w:vMerge/>
            <w:tcBorders>
              <w:top w:val="single" w:sz="4" w:space="0" w:color="auto"/>
              <w:left w:val="nil"/>
              <w:bottom w:val="single" w:sz="4" w:space="0" w:color="000000"/>
              <w:right w:val="nil"/>
            </w:tcBorders>
            <w:vAlign w:val="center"/>
            <w:hideMark/>
          </w:tcPr>
          <w:p w14:paraId="5790E05A"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eastAsia="es-CO"/>
              </w:rPr>
            </w:pPr>
          </w:p>
        </w:tc>
        <w:tc>
          <w:tcPr>
            <w:tcW w:w="1920" w:type="dxa"/>
            <w:tcBorders>
              <w:top w:val="nil"/>
              <w:left w:val="nil"/>
              <w:bottom w:val="single" w:sz="4" w:space="0" w:color="auto"/>
              <w:right w:val="nil"/>
            </w:tcBorders>
            <w:shd w:val="clear" w:color="auto" w:fill="auto"/>
            <w:vAlign w:val="center"/>
            <w:hideMark/>
          </w:tcPr>
          <w:p w14:paraId="6BFBB9D4"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eastAsia="es-CO"/>
              </w:rPr>
            </w:pPr>
            <w:r w:rsidRPr="004D2DCA">
              <w:rPr>
                <w:rFonts w:eastAsia="Times New Roman"/>
                <w:color w:val="auto"/>
                <w:sz w:val="20"/>
                <w:szCs w:val="20"/>
                <w:lang w:eastAsia="es-CO"/>
              </w:rPr>
              <w:t>Lower Bound</w:t>
            </w:r>
          </w:p>
        </w:tc>
        <w:tc>
          <w:tcPr>
            <w:tcW w:w="960" w:type="dxa"/>
            <w:tcBorders>
              <w:top w:val="nil"/>
              <w:left w:val="nil"/>
              <w:bottom w:val="single" w:sz="4" w:space="0" w:color="auto"/>
              <w:right w:val="nil"/>
            </w:tcBorders>
            <w:shd w:val="clear" w:color="auto" w:fill="auto"/>
            <w:vAlign w:val="center"/>
            <w:hideMark/>
          </w:tcPr>
          <w:p w14:paraId="3314F1C1"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eastAsia="es-CO"/>
              </w:rPr>
            </w:pPr>
            <w:r w:rsidRPr="004D2DCA">
              <w:rPr>
                <w:rFonts w:eastAsia="Times New Roman"/>
                <w:color w:val="auto"/>
                <w:sz w:val="20"/>
                <w:szCs w:val="20"/>
                <w:lang w:eastAsia="es-CO"/>
              </w:rPr>
              <w:t>Upper Bound</w:t>
            </w:r>
          </w:p>
        </w:tc>
      </w:tr>
      <w:tr w:rsidR="007B6C77" w:rsidRPr="00592FDB" w14:paraId="7FC1B237" w14:textId="77777777" w:rsidTr="007B6C77">
        <w:trPr>
          <w:trHeight w:val="300"/>
        </w:trPr>
        <w:tc>
          <w:tcPr>
            <w:tcW w:w="1160" w:type="dxa"/>
            <w:vMerge w:val="restart"/>
            <w:tcBorders>
              <w:top w:val="nil"/>
              <w:left w:val="nil"/>
              <w:bottom w:val="nil"/>
              <w:right w:val="nil"/>
            </w:tcBorders>
            <w:shd w:val="clear" w:color="auto" w:fill="auto"/>
            <w:vAlign w:val="center"/>
            <w:hideMark/>
          </w:tcPr>
          <w:p w14:paraId="08C15CF1"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eastAsia="es-CO"/>
              </w:rPr>
            </w:pPr>
            <w:r w:rsidRPr="004D2DCA">
              <w:rPr>
                <w:rFonts w:eastAsia="Times New Roman"/>
                <w:color w:val="auto"/>
                <w:sz w:val="20"/>
                <w:szCs w:val="20"/>
                <w:lang w:eastAsia="es-CO"/>
              </w:rPr>
              <w:t>Written message</w:t>
            </w:r>
          </w:p>
        </w:tc>
        <w:tc>
          <w:tcPr>
            <w:tcW w:w="1140" w:type="dxa"/>
            <w:vMerge w:val="restart"/>
            <w:tcBorders>
              <w:top w:val="nil"/>
              <w:left w:val="nil"/>
              <w:bottom w:val="nil"/>
              <w:right w:val="nil"/>
            </w:tcBorders>
            <w:shd w:val="clear" w:color="auto" w:fill="auto"/>
            <w:vAlign w:val="center"/>
            <w:hideMark/>
          </w:tcPr>
          <w:p w14:paraId="7D174B8F"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eastAsia="es-CO"/>
              </w:rPr>
            </w:pPr>
            <w:r w:rsidRPr="004D2DCA">
              <w:rPr>
                <w:rFonts w:eastAsia="Times New Roman"/>
                <w:color w:val="auto"/>
                <w:sz w:val="20"/>
                <w:szCs w:val="20"/>
                <w:lang w:eastAsia="es-CO"/>
              </w:rPr>
              <w:t>Positive</w:t>
            </w:r>
          </w:p>
        </w:tc>
        <w:tc>
          <w:tcPr>
            <w:tcW w:w="960" w:type="dxa"/>
            <w:tcBorders>
              <w:top w:val="nil"/>
              <w:left w:val="nil"/>
              <w:bottom w:val="nil"/>
              <w:right w:val="nil"/>
            </w:tcBorders>
            <w:shd w:val="clear" w:color="auto" w:fill="auto"/>
            <w:noWrap/>
            <w:vAlign w:val="center"/>
            <w:hideMark/>
          </w:tcPr>
          <w:p w14:paraId="01BAAE21" w14:textId="77777777" w:rsidR="007B6C77" w:rsidRPr="00774F56"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eastAsia="es-CO"/>
              </w:rPr>
              <w:t>Pre</w:t>
            </w:r>
            <w:r w:rsidRPr="00774F56">
              <w:rPr>
                <w:rFonts w:eastAsia="Times New Roman"/>
                <w:color w:val="auto"/>
                <w:sz w:val="20"/>
                <w:szCs w:val="20"/>
                <w:lang w:val="es-CO" w:eastAsia="es-CO"/>
              </w:rPr>
              <w:t>-test</w:t>
            </w:r>
          </w:p>
        </w:tc>
        <w:tc>
          <w:tcPr>
            <w:tcW w:w="960" w:type="dxa"/>
            <w:tcBorders>
              <w:top w:val="nil"/>
              <w:left w:val="nil"/>
              <w:bottom w:val="nil"/>
              <w:right w:val="nil"/>
            </w:tcBorders>
            <w:shd w:val="clear" w:color="auto" w:fill="auto"/>
            <w:noWrap/>
            <w:vAlign w:val="center"/>
            <w:hideMark/>
          </w:tcPr>
          <w:p w14:paraId="71B6E128"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2,64</w:t>
            </w:r>
          </w:p>
        </w:tc>
        <w:tc>
          <w:tcPr>
            <w:tcW w:w="960" w:type="dxa"/>
            <w:tcBorders>
              <w:top w:val="nil"/>
              <w:left w:val="nil"/>
              <w:bottom w:val="nil"/>
              <w:right w:val="nil"/>
            </w:tcBorders>
            <w:shd w:val="clear" w:color="auto" w:fill="auto"/>
            <w:noWrap/>
            <w:vAlign w:val="center"/>
            <w:hideMark/>
          </w:tcPr>
          <w:p w14:paraId="0FE8AC14"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0,19</w:t>
            </w:r>
          </w:p>
        </w:tc>
        <w:tc>
          <w:tcPr>
            <w:tcW w:w="1920" w:type="dxa"/>
            <w:tcBorders>
              <w:top w:val="nil"/>
              <w:left w:val="nil"/>
              <w:bottom w:val="nil"/>
              <w:right w:val="nil"/>
            </w:tcBorders>
            <w:shd w:val="clear" w:color="auto" w:fill="auto"/>
            <w:noWrap/>
            <w:vAlign w:val="center"/>
            <w:hideMark/>
          </w:tcPr>
          <w:p w14:paraId="6C1E3F1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2,26</w:t>
            </w:r>
          </w:p>
        </w:tc>
        <w:tc>
          <w:tcPr>
            <w:tcW w:w="960" w:type="dxa"/>
            <w:tcBorders>
              <w:top w:val="nil"/>
              <w:left w:val="nil"/>
              <w:bottom w:val="nil"/>
              <w:right w:val="nil"/>
            </w:tcBorders>
            <w:shd w:val="clear" w:color="auto" w:fill="auto"/>
            <w:noWrap/>
            <w:vAlign w:val="center"/>
            <w:hideMark/>
          </w:tcPr>
          <w:p w14:paraId="5F66A480"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3,02</w:t>
            </w:r>
          </w:p>
        </w:tc>
      </w:tr>
      <w:tr w:rsidR="007B6C77" w:rsidRPr="00592FDB" w14:paraId="46161C90" w14:textId="77777777" w:rsidTr="007B6C77">
        <w:trPr>
          <w:trHeight w:val="300"/>
        </w:trPr>
        <w:tc>
          <w:tcPr>
            <w:tcW w:w="1160" w:type="dxa"/>
            <w:vMerge/>
            <w:tcBorders>
              <w:top w:val="nil"/>
              <w:left w:val="nil"/>
              <w:bottom w:val="nil"/>
              <w:right w:val="nil"/>
            </w:tcBorders>
            <w:vAlign w:val="center"/>
            <w:hideMark/>
          </w:tcPr>
          <w:p w14:paraId="44DEE184"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357E5068"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49DF7C40"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vAlign w:val="center"/>
            <w:hideMark/>
          </w:tcPr>
          <w:p w14:paraId="1DAE6E41"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2,20</w:t>
            </w:r>
          </w:p>
        </w:tc>
        <w:tc>
          <w:tcPr>
            <w:tcW w:w="960" w:type="dxa"/>
            <w:tcBorders>
              <w:top w:val="nil"/>
              <w:left w:val="nil"/>
              <w:bottom w:val="nil"/>
              <w:right w:val="nil"/>
            </w:tcBorders>
            <w:shd w:val="clear" w:color="auto" w:fill="auto"/>
            <w:noWrap/>
            <w:vAlign w:val="center"/>
            <w:hideMark/>
          </w:tcPr>
          <w:p w14:paraId="47C886A2"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0,21</w:t>
            </w:r>
          </w:p>
        </w:tc>
        <w:tc>
          <w:tcPr>
            <w:tcW w:w="1920" w:type="dxa"/>
            <w:tcBorders>
              <w:top w:val="nil"/>
              <w:left w:val="nil"/>
              <w:bottom w:val="nil"/>
              <w:right w:val="nil"/>
            </w:tcBorders>
            <w:shd w:val="clear" w:color="auto" w:fill="auto"/>
            <w:noWrap/>
            <w:vAlign w:val="center"/>
            <w:hideMark/>
          </w:tcPr>
          <w:p w14:paraId="72E1D894"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1,79</w:t>
            </w:r>
          </w:p>
        </w:tc>
        <w:tc>
          <w:tcPr>
            <w:tcW w:w="960" w:type="dxa"/>
            <w:tcBorders>
              <w:top w:val="nil"/>
              <w:left w:val="nil"/>
              <w:bottom w:val="nil"/>
              <w:right w:val="nil"/>
            </w:tcBorders>
            <w:shd w:val="clear" w:color="auto" w:fill="auto"/>
            <w:noWrap/>
            <w:vAlign w:val="center"/>
            <w:hideMark/>
          </w:tcPr>
          <w:p w14:paraId="5D3E9CE6"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2,60</w:t>
            </w:r>
          </w:p>
        </w:tc>
      </w:tr>
      <w:tr w:rsidR="007B6C77" w:rsidRPr="00592FDB" w14:paraId="79C1A4B5" w14:textId="77777777" w:rsidTr="007B6C77">
        <w:trPr>
          <w:trHeight w:val="300"/>
        </w:trPr>
        <w:tc>
          <w:tcPr>
            <w:tcW w:w="1160" w:type="dxa"/>
            <w:vMerge/>
            <w:tcBorders>
              <w:top w:val="nil"/>
              <w:left w:val="nil"/>
              <w:bottom w:val="nil"/>
              <w:right w:val="nil"/>
            </w:tcBorders>
            <w:vAlign w:val="center"/>
            <w:hideMark/>
          </w:tcPr>
          <w:p w14:paraId="5952A790"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nil"/>
              <w:right w:val="nil"/>
            </w:tcBorders>
            <w:shd w:val="clear" w:color="auto" w:fill="auto"/>
            <w:vAlign w:val="center"/>
            <w:hideMark/>
          </w:tcPr>
          <w:p w14:paraId="52F324B1"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Non-positive</w:t>
            </w:r>
          </w:p>
        </w:tc>
        <w:tc>
          <w:tcPr>
            <w:tcW w:w="960" w:type="dxa"/>
            <w:tcBorders>
              <w:top w:val="nil"/>
              <w:left w:val="nil"/>
              <w:bottom w:val="nil"/>
              <w:right w:val="nil"/>
            </w:tcBorders>
            <w:shd w:val="clear" w:color="auto" w:fill="auto"/>
            <w:noWrap/>
            <w:vAlign w:val="center"/>
            <w:hideMark/>
          </w:tcPr>
          <w:p w14:paraId="54D36AEC"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vAlign w:val="center"/>
            <w:hideMark/>
          </w:tcPr>
          <w:p w14:paraId="4DB9CAA8"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3,59</w:t>
            </w:r>
          </w:p>
        </w:tc>
        <w:tc>
          <w:tcPr>
            <w:tcW w:w="960" w:type="dxa"/>
            <w:tcBorders>
              <w:top w:val="nil"/>
              <w:left w:val="nil"/>
              <w:bottom w:val="nil"/>
              <w:right w:val="nil"/>
            </w:tcBorders>
            <w:shd w:val="clear" w:color="auto" w:fill="auto"/>
            <w:noWrap/>
            <w:vAlign w:val="center"/>
            <w:hideMark/>
          </w:tcPr>
          <w:p w14:paraId="6BA07096"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0,33</w:t>
            </w:r>
          </w:p>
        </w:tc>
        <w:tc>
          <w:tcPr>
            <w:tcW w:w="1920" w:type="dxa"/>
            <w:tcBorders>
              <w:top w:val="nil"/>
              <w:left w:val="nil"/>
              <w:bottom w:val="nil"/>
              <w:right w:val="nil"/>
            </w:tcBorders>
            <w:shd w:val="clear" w:color="auto" w:fill="auto"/>
            <w:noWrap/>
            <w:vAlign w:val="center"/>
            <w:hideMark/>
          </w:tcPr>
          <w:p w14:paraId="050C175E"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2,93</w:t>
            </w:r>
          </w:p>
        </w:tc>
        <w:tc>
          <w:tcPr>
            <w:tcW w:w="960" w:type="dxa"/>
            <w:tcBorders>
              <w:top w:val="nil"/>
              <w:left w:val="nil"/>
              <w:bottom w:val="nil"/>
              <w:right w:val="nil"/>
            </w:tcBorders>
            <w:shd w:val="clear" w:color="auto" w:fill="auto"/>
            <w:noWrap/>
            <w:vAlign w:val="center"/>
            <w:hideMark/>
          </w:tcPr>
          <w:p w14:paraId="3BE921C7"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4,25</w:t>
            </w:r>
          </w:p>
        </w:tc>
      </w:tr>
      <w:tr w:rsidR="007B6C77" w:rsidRPr="00592FDB" w14:paraId="30089CE4" w14:textId="77777777" w:rsidTr="007B6C77">
        <w:trPr>
          <w:trHeight w:val="300"/>
        </w:trPr>
        <w:tc>
          <w:tcPr>
            <w:tcW w:w="1160" w:type="dxa"/>
            <w:vMerge/>
            <w:tcBorders>
              <w:top w:val="nil"/>
              <w:left w:val="nil"/>
              <w:bottom w:val="nil"/>
              <w:right w:val="nil"/>
            </w:tcBorders>
            <w:vAlign w:val="center"/>
            <w:hideMark/>
          </w:tcPr>
          <w:p w14:paraId="14D8B6A8"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58E40B18"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3F8A7D2C"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vAlign w:val="center"/>
            <w:hideMark/>
          </w:tcPr>
          <w:p w14:paraId="3EF0D89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3,19</w:t>
            </w:r>
          </w:p>
        </w:tc>
        <w:tc>
          <w:tcPr>
            <w:tcW w:w="960" w:type="dxa"/>
            <w:tcBorders>
              <w:top w:val="nil"/>
              <w:left w:val="nil"/>
              <w:bottom w:val="nil"/>
              <w:right w:val="nil"/>
            </w:tcBorders>
            <w:shd w:val="clear" w:color="auto" w:fill="auto"/>
            <w:noWrap/>
            <w:vAlign w:val="center"/>
            <w:hideMark/>
          </w:tcPr>
          <w:p w14:paraId="38B16634"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0,36</w:t>
            </w:r>
          </w:p>
        </w:tc>
        <w:tc>
          <w:tcPr>
            <w:tcW w:w="1920" w:type="dxa"/>
            <w:tcBorders>
              <w:top w:val="nil"/>
              <w:left w:val="nil"/>
              <w:bottom w:val="nil"/>
              <w:right w:val="nil"/>
            </w:tcBorders>
            <w:shd w:val="clear" w:color="auto" w:fill="auto"/>
            <w:noWrap/>
            <w:vAlign w:val="center"/>
            <w:hideMark/>
          </w:tcPr>
          <w:p w14:paraId="08AABAD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2,49</w:t>
            </w:r>
          </w:p>
        </w:tc>
        <w:tc>
          <w:tcPr>
            <w:tcW w:w="960" w:type="dxa"/>
            <w:tcBorders>
              <w:top w:val="nil"/>
              <w:left w:val="nil"/>
              <w:bottom w:val="nil"/>
              <w:right w:val="nil"/>
            </w:tcBorders>
            <w:shd w:val="clear" w:color="auto" w:fill="auto"/>
            <w:noWrap/>
            <w:vAlign w:val="center"/>
            <w:hideMark/>
          </w:tcPr>
          <w:p w14:paraId="18CDF3A4"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3,90</w:t>
            </w:r>
          </w:p>
        </w:tc>
      </w:tr>
      <w:tr w:rsidR="007B6C77" w:rsidRPr="00592FDB" w14:paraId="49B7737D" w14:textId="77777777" w:rsidTr="007B6C77">
        <w:trPr>
          <w:trHeight w:val="300"/>
        </w:trPr>
        <w:tc>
          <w:tcPr>
            <w:tcW w:w="1160" w:type="dxa"/>
            <w:vMerge/>
            <w:tcBorders>
              <w:top w:val="nil"/>
              <w:left w:val="nil"/>
              <w:bottom w:val="nil"/>
              <w:right w:val="nil"/>
            </w:tcBorders>
            <w:vAlign w:val="center"/>
            <w:hideMark/>
          </w:tcPr>
          <w:p w14:paraId="5577A726"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nil"/>
              <w:right w:val="nil"/>
            </w:tcBorders>
            <w:shd w:val="clear" w:color="auto" w:fill="auto"/>
            <w:vAlign w:val="center"/>
            <w:hideMark/>
          </w:tcPr>
          <w:p w14:paraId="6A545237"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Control</w:t>
            </w:r>
          </w:p>
        </w:tc>
        <w:tc>
          <w:tcPr>
            <w:tcW w:w="960" w:type="dxa"/>
            <w:tcBorders>
              <w:top w:val="nil"/>
              <w:left w:val="nil"/>
              <w:bottom w:val="nil"/>
              <w:right w:val="nil"/>
            </w:tcBorders>
            <w:shd w:val="clear" w:color="auto" w:fill="auto"/>
            <w:noWrap/>
            <w:vAlign w:val="center"/>
            <w:hideMark/>
          </w:tcPr>
          <w:p w14:paraId="3FE2FA06"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vAlign w:val="center"/>
            <w:hideMark/>
          </w:tcPr>
          <w:p w14:paraId="019E7D31"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2,94</w:t>
            </w:r>
          </w:p>
        </w:tc>
        <w:tc>
          <w:tcPr>
            <w:tcW w:w="960" w:type="dxa"/>
            <w:tcBorders>
              <w:top w:val="nil"/>
              <w:left w:val="nil"/>
              <w:bottom w:val="nil"/>
              <w:right w:val="nil"/>
            </w:tcBorders>
            <w:shd w:val="clear" w:color="auto" w:fill="auto"/>
            <w:noWrap/>
            <w:vAlign w:val="center"/>
            <w:hideMark/>
          </w:tcPr>
          <w:p w14:paraId="38357F71"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0,20</w:t>
            </w:r>
          </w:p>
        </w:tc>
        <w:tc>
          <w:tcPr>
            <w:tcW w:w="1920" w:type="dxa"/>
            <w:tcBorders>
              <w:top w:val="nil"/>
              <w:left w:val="nil"/>
              <w:bottom w:val="nil"/>
              <w:right w:val="nil"/>
            </w:tcBorders>
            <w:shd w:val="clear" w:color="auto" w:fill="auto"/>
            <w:noWrap/>
            <w:vAlign w:val="center"/>
            <w:hideMark/>
          </w:tcPr>
          <w:p w14:paraId="7766E632"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2,55</w:t>
            </w:r>
          </w:p>
        </w:tc>
        <w:tc>
          <w:tcPr>
            <w:tcW w:w="960" w:type="dxa"/>
            <w:tcBorders>
              <w:top w:val="nil"/>
              <w:left w:val="nil"/>
              <w:bottom w:val="nil"/>
              <w:right w:val="nil"/>
            </w:tcBorders>
            <w:shd w:val="clear" w:color="auto" w:fill="auto"/>
            <w:noWrap/>
            <w:vAlign w:val="center"/>
            <w:hideMark/>
          </w:tcPr>
          <w:p w14:paraId="4199F0CB"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3,32</w:t>
            </w:r>
          </w:p>
        </w:tc>
      </w:tr>
      <w:tr w:rsidR="00592FDB" w:rsidRPr="00592FDB" w14:paraId="532ED912" w14:textId="77777777" w:rsidTr="007B6C77">
        <w:trPr>
          <w:trHeight w:val="300"/>
        </w:trPr>
        <w:tc>
          <w:tcPr>
            <w:tcW w:w="1160" w:type="dxa"/>
            <w:vMerge/>
            <w:tcBorders>
              <w:top w:val="nil"/>
              <w:left w:val="nil"/>
              <w:bottom w:val="nil"/>
              <w:right w:val="nil"/>
            </w:tcBorders>
            <w:vAlign w:val="center"/>
            <w:hideMark/>
          </w:tcPr>
          <w:p w14:paraId="1DD650CA"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41E608B5"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30E8F1DB"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vAlign w:val="center"/>
            <w:hideMark/>
          </w:tcPr>
          <w:p w14:paraId="739319D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2,43</w:t>
            </w:r>
          </w:p>
        </w:tc>
        <w:tc>
          <w:tcPr>
            <w:tcW w:w="960" w:type="dxa"/>
            <w:tcBorders>
              <w:top w:val="nil"/>
              <w:left w:val="nil"/>
              <w:bottom w:val="nil"/>
              <w:right w:val="nil"/>
            </w:tcBorders>
            <w:shd w:val="clear" w:color="auto" w:fill="auto"/>
            <w:noWrap/>
            <w:vAlign w:val="center"/>
            <w:hideMark/>
          </w:tcPr>
          <w:p w14:paraId="6D52A77D"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0,21</w:t>
            </w:r>
          </w:p>
        </w:tc>
        <w:tc>
          <w:tcPr>
            <w:tcW w:w="1920" w:type="dxa"/>
            <w:tcBorders>
              <w:top w:val="nil"/>
              <w:left w:val="nil"/>
              <w:bottom w:val="nil"/>
              <w:right w:val="nil"/>
            </w:tcBorders>
            <w:shd w:val="clear" w:color="auto" w:fill="auto"/>
            <w:noWrap/>
            <w:vAlign w:val="center"/>
            <w:hideMark/>
          </w:tcPr>
          <w:p w14:paraId="16F05FB9"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2,01</w:t>
            </w:r>
          </w:p>
        </w:tc>
        <w:tc>
          <w:tcPr>
            <w:tcW w:w="960" w:type="dxa"/>
            <w:tcBorders>
              <w:top w:val="nil"/>
              <w:left w:val="nil"/>
              <w:bottom w:val="nil"/>
              <w:right w:val="nil"/>
            </w:tcBorders>
            <w:shd w:val="clear" w:color="auto" w:fill="auto"/>
            <w:noWrap/>
            <w:vAlign w:val="center"/>
            <w:hideMark/>
          </w:tcPr>
          <w:p w14:paraId="1E94F2AF"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2,84</w:t>
            </w:r>
          </w:p>
        </w:tc>
      </w:tr>
      <w:tr w:rsidR="007B6C77" w:rsidRPr="00592FDB" w14:paraId="2C443838" w14:textId="77777777" w:rsidTr="007B6C77">
        <w:trPr>
          <w:trHeight w:val="300"/>
        </w:trPr>
        <w:tc>
          <w:tcPr>
            <w:tcW w:w="1160" w:type="dxa"/>
            <w:vMerge w:val="restart"/>
            <w:tcBorders>
              <w:top w:val="nil"/>
              <w:left w:val="nil"/>
              <w:bottom w:val="nil"/>
              <w:right w:val="nil"/>
            </w:tcBorders>
            <w:shd w:val="clear" w:color="auto" w:fill="auto"/>
            <w:vAlign w:val="center"/>
            <w:hideMark/>
          </w:tcPr>
          <w:p w14:paraId="474A7BE7"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Media</w:t>
            </w:r>
          </w:p>
        </w:tc>
        <w:tc>
          <w:tcPr>
            <w:tcW w:w="1140" w:type="dxa"/>
            <w:vMerge w:val="restart"/>
            <w:tcBorders>
              <w:top w:val="nil"/>
              <w:left w:val="nil"/>
              <w:bottom w:val="nil"/>
              <w:right w:val="nil"/>
            </w:tcBorders>
            <w:shd w:val="clear" w:color="auto" w:fill="auto"/>
            <w:vAlign w:val="center"/>
            <w:hideMark/>
          </w:tcPr>
          <w:p w14:paraId="0F802A22"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Positive</w:t>
            </w:r>
          </w:p>
        </w:tc>
        <w:tc>
          <w:tcPr>
            <w:tcW w:w="960" w:type="dxa"/>
            <w:tcBorders>
              <w:top w:val="nil"/>
              <w:left w:val="nil"/>
              <w:bottom w:val="nil"/>
              <w:right w:val="nil"/>
            </w:tcBorders>
            <w:shd w:val="clear" w:color="auto" w:fill="auto"/>
            <w:noWrap/>
            <w:vAlign w:val="center"/>
            <w:hideMark/>
          </w:tcPr>
          <w:p w14:paraId="42DD0C54"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vAlign w:val="center"/>
            <w:hideMark/>
          </w:tcPr>
          <w:p w14:paraId="352ED246"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3,13</w:t>
            </w:r>
          </w:p>
        </w:tc>
        <w:tc>
          <w:tcPr>
            <w:tcW w:w="960" w:type="dxa"/>
            <w:tcBorders>
              <w:top w:val="nil"/>
              <w:left w:val="nil"/>
              <w:bottom w:val="nil"/>
              <w:right w:val="nil"/>
            </w:tcBorders>
            <w:shd w:val="clear" w:color="auto" w:fill="auto"/>
            <w:noWrap/>
            <w:vAlign w:val="center"/>
            <w:hideMark/>
          </w:tcPr>
          <w:p w14:paraId="6045A68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0,23</w:t>
            </w:r>
          </w:p>
        </w:tc>
        <w:tc>
          <w:tcPr>
            <w:tcW w:w="1920" w:type="dxa"/>
            <w:tcBorders>
              <w:top w:val="nil"/>
              <w:left w:val="nil"/>
              <w:bottom w:val="nil"/>
              <w:right w:val="nil"/>
            </w:tcBorders>
            <w:shd w:val="clear" w:color="auto" w:fill="auto"/>
            <w:noWrap/>
            <w:vAlign w:val="center"/>
            <w:hideMark/>
          </w:tcPr>
          <w:p w14:paraId="6B11DCAF"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2,67</w:t>
            </w:r>
          </w:p>
        </w:tc>
        <w:tc>
          <w:tcPr>
            <w:tcW w:w="960" w:type="dxa"/>
            <w:tcBorders>
              <w:top w:val="nil"/>
              <w:left w:val="nil"/>
              <w:bottom w:val="nil"/>
              <w:right w:val="nil"/>
            </w:tcBorders>
            <w:shd w:val="clear" w:color="auto" w:fill="auto"/>
            <w:noWrap/>
            <w:vAlign w:val="center"/>
            <w:hideMark/>
          </w:tcPr>
          <w:p w14:paraId="274C1166"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3,59</w:t>
            </w:r>
          </w:p>
        </w:tc>
      </w:tr>
      <w:tr w:rsidR="007B6C77" w:rsidRPr="00592FDB" w14:paraId="33E8671D" w14:textId="77777777" w:rsidTr="007B6C77">
        <w:trPr>
          <w:trHeight w:val="300"/>
        </w:trPr>
        <w:tc>
          <w:tcPr>
            <w:tcW w:w="1160" w:type="dxa"/>
            <w:vMerge/>
            <w:tcBorders>
              <w:top w:val="nil"/>
              <w:left w:val="nil"/>
              <w:bottom w:val="nil"/>
              <w:right w:val="nil"/>
            </w:tcBorders>
            <w:vAlign w:val="center"/>
            <w:hideMark/>
          </w:tcPr>
          <w:p w14:paraId="502D7EBB"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7C63A339"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1579B300"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vAlign w:val="center"/>
            <w:hideMark/>
          </w:tcPr>
          <w:p w14:paraId="78D4D30D"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2,50</w:t>
            </w:r>
          </w:p>
        </w:tc>
        <w:tc>
          <w:tcPr>
            <w:tcW w:w="960" w:type="dxa"/>
            <w:tcBorders>
              <w:top w:val="nil"/>
              <w:left w:val="nil"/>
              <w:bottom w:val="nil"/>
              <w:right w:val="nil"/>
            </w:tcBorders>
            <w:shd w:val="clear" w:color="auto" w:fill="auto"/>
            <w:noWrap/>
            <w:vAlign w:val="center"/>
            <w:hideMark/>
          </w:tcPr>
          <w:p w14:paraId="17B1819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0,25</w:t>
            </w:r>
          </w:p>
        </w:tc>
        <w:tc>
          <w:tcPr>
            <w:tcW w:w="1920" w:type="dxa"/>
            <w:tcBorders>
              <w:top w:val="nil"/>
              <w:left w:val="nil"/>
              <w:bottom w:val="nil"/>
              <w:right w:val="nil"/>
            </w:tcBorders>
            <w:shd w:val="clear" w:color="auto" w:fill="auto"/>
            <w:noWrap/>
            <w:vAlign w:val="center"/>
            <w:hideMark/>
          </w:tcPr>
          <w:p w14:paraId="0FC4B4F4"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2,01</w:t>
            </w:r>
          </w:p>
        </w:tc>
        <w:tc>
          <w:tcPr>
            <w:tcW w:w="960" w:type="dxa"/>
            <w:tcBorders>
              <w:top w:val="nil"/>
              <w:left w:val="nil"/>
              <w:bottom w:val="nil"/>
              <w:right w:val="nil"/>
            </w:tcBorders>
            <w:shd w:val="clear" w:color="auto" w:fill="auto"/>
            <w:noWrap/>
            <w:vAlign w:val="center"/>
            <w:hideMark/>
          </w:tcPr>
          <w:p w14:paraId="085EB23C"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2,99</w:t>
            </w:r>
          </w:p>
        </w:tc>
      </w:tr>
      <w:tr w:rsidR="007B6C77" w:rsidRPr="00592FDB" w14:paraId="2DDFB28F" w14:textId="77777777" w:rsidTr="007B6C77">
        <w:trPr>
          <w:trHeight w:val="300"/>
        </w:trPr>
        <w:tc>
          <w:tcPr>
            <w:tcW w:w="1160" w:type="dxa"/>
            <w:vMerge/>
            <w:tcBorders>
              <w:top w:val="nil"/>
              <w:left w:val="nil"/>
              <w:bottom w:val="nil"/>
              <w:right w:val="nil"/>
            </w:tcBorders>
            <w:vAlign w:val="center"/>
            <w:hideMark/>
          </w:tcPr>
          <w:p w14:paraId="75C889AA"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nil"/>
              <w:right w:val="nil"/>
            </w:tcBorders>
            <w:shd w:val="clear" w:color="auto" w:fill="auto"/>
            <w:vAlign w:val="center"/>
            <w:hideMark/>
          </w:tcPr>
          <w:p w14:paraId="29563F90"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Non-positive</w:t>
            </w:r>
          </w:p>
        </w:tc>
        <w:tc>
          <w:tcPr>
            <w:tcW w:w="960" w:type="dxa"/>
            <w:tcBorders>
              <w:top w:val="nil"/>
              <w:left w:val="nil"/>
              <w:bottom w:val="nil"/>
              <w:right w:val="nil"/>
            </w:tcBorders>
            <w:shd w:val="clear" w:color="auto" w:fill="auto"/>
            <w:noWrap/>
            <w:vAlign w:val="center"/>
            <w:hideMark/>
          </w:tcPr>
          <w:p w14:paraId="6CD13414"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vAlign w:val="center"/>
            <w:hideMark/>
          </w:tcPr>
          <w:p w14:paraId="30C7C905"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2,95</w:t>
            </w:r>
          </w:p>
        </w:tc>
        <w:tc>
          <w:tcPr>
            <w:tcW w:w="960" w:type="dxa"/>
            <w:tcBorders>
              <w:top w:val="nil"/>
              <w:left w:val="nil"/>
              <w:bottom w:val="nil"/>
              <w:right w:val="nil"/>
            </w:tcBorders>
            <w:shd w:val="clear" w:color="auto" w:fill="auto"/>
            <w:noWrap/>
            <w:vAlign w:val="center"/>
            <w:hideMark/>
          </w:tcPr>
          <w:p w14:paraId="7B779210"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0,43</w:t>
            </w:r>
          </w:p>
        </w:tc>
        <w:tc>
          <w:tcPr>
            <w:tcW w:w="1920" w:type="dxa"/>
            <w:tcBorders>
              <w:top w:val="nil"/>
              <w:left w:val="nil"/>
              <w:bottom w:val="nil"/>
              <w:right w:val="nil"/>
            </w:tcBorders>
            <w:shd w:val="clear" w:color="auto" w:fill="auto"/>
            <w:noWrap/>
            <w:vAlign w:val="center"/>
            <w:hideMark/>
          </w:tcPr>
          <w:p w14:paraId="352B7A6E"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2,10</w:t>
            </w:r>
          </w:p>
        </w:tc>
        <w:tc>
          <w:tcPr>
            <w:tcW w:w="960" w:type="dxa"/>
            <w:tcBorders>
              <w:top w:val="nil"/>
              <w:left w:val="nil"/>
              <w:bottom w:val="nil"/>
              <w:right w:val="nil"/>
            </w:tcBorders>
            <w:shd w:val="clear" w:color="auto" w:fill="auto"/>
            <w:noWrap/>
            <w:vAlign w:val="center"/>
            <w:hideMark/>
          </w:tcPr>
          <w:p w14:paraId="6004A94C"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3,80</w:t>
            </w:r>
          </w:p>
        </w:tc>
      </w:tr>
      <w:tr w:rsidR="007B6C77" w:rsidRPr="00592FDB" w14:paraId="78D9AA0C" w14:textId="77777777" w:rsidTr="007B6C77">
        <w:trPr>
          <w:trHeight w:val="300"/>
        </w:trPr>
        <w:tc>
          <w:tcPr>
            <w:tcW w:w="1160" w:type="dxa"/>
            <w:vMerge/>
            <w:tcBorders>
              <w:top w:val="nil"/>
              <w:left w:val="nil"/>
              <w:bottom w:val="nil"/>
              <w:right w:val="nil"/>
            </w:tcBorders>
            <w:vAlign w:val="center"/>
            <w:hideMark/>
          </w:tcPr>
          <w:p w14:paraId="79D1EBA4"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0549EEAA"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00559B72"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vAlign w:val="center"/>
            <w:hideMark/>
          </w:tcPr>
          <w:p w14:paraId="6F3913EB"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2,56</w:t>
            </w:r>
          </w:p>
        </w:tc>
        <w:tc>
          <w:tcPr>
            <w:tcW w:w="960" w:type="dxa"/>
            <w:tcBorders>
              <w:top w:val="nil"/>
              <w:left w:val="nil"/>
              <w:bottom w:val="nil"/>
              <w:right w:val="nil"/>
            </w:tcBorders>
            <w:shd w:val="clear" w:color="auto" w:fill="auto"/>
            <w:noWrap/>
            <w:vAlign w:val="center"/>
            <w:hideMark/>
          </w:tcPr>
          <w:p w14:paraId="7BBDFE5A"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0,46</w:t>
            </w:r>
          </w:p>
        </w:tc>
        <w:tc>
          <w:tcPr>
            <w:tcW w:w="1920" w:type="dxa"/>
            <w:tcBorders>
              <w:top w:val="nil"/>
              <w:left w:val="nil"/>
              <w:bottom w:val="nil"/>
              <w:right w:val="nil"/>
            </w:tcBorders>
            <w:shd w:val="clear" w:color="auto" w:fill="auto"/>
            <w:noWrap/>
            <w:vAlign w:val="center"/>
            <w:hideMark/>
          </w:tcPr>
          <w:p w14:paraId="42D3C525"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1,65</w:t>
            </w:r>
          </w:p>
        </w:tc>
        <w:tc>
          <w:tcPr>
            <w:tcW w:w="960" w:type="dxa"/>
            <w:tcBorders>
              <w:top w:val="nil"/>
              <w:left w:val="nil"/>
              <w:bottom w:val="nil"/>
              <w:right w:val="nil"/>
            </w:tcBorders>
            <w:shd w:val="clear" w:color="auto" w:fill="auto"/>
            <w:noWrap/>
            <w:vAlign w:val="center"/>
            <w:hideMark/>
          </w:tcPr>
          <w:p w14:paraId="513EFF6C"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3,46</w:t>
            </w:r>
          </w:p>
        </w:tc>
      </w:tr>
      <w:tr w:rsidR="007B6C77" w:rsidRPr="00592FDB" w14:paraId="210387FD" w14:textId="77777777" w:rsidTr="007B6C77">
        <w:trPr>
          <w:trHeight w:val="300"/>
        </w:trPr>
        <w:tc>
          <w:tcPr>
            <w:tcW w:w="1160" w:type="dxa"/>
            <w:vMerge/>
            <w:tcBorders>
              <w:top w:val="nil"/>
              <w:left w:val="nil"/>
              <w:bottom w:val="nil"/>
              <w:right w:val="nil"/>
            </w:tcBorders>
            <w:vAlign w:val="center"/>
            <w:hideMark/>
          </w:tcPr>
          <w:p w14:paraId="515D8A11"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nil"/>
              <w:right w:val="nil"/>
            </w:tcBorders>
            <w:shd w:val="clear" w:color="auto" w:fill="auto"/>
            <w:vAlign w:val="center"/>
            <w:hideMark/>
          </w:tcPr>
          <w:p w14:paraId="0C8683D3"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Control</w:t>
            </w:r>
          </w:p>
        </w:tc>
        <w:tc>
          <w:tcPr>
            <w:tcW w:w="960" w:type="dxa"/>
            <w:tcBorders>
              <w:top w:val="nil"/>
              <w:left w:val="nil"/>
              <w:bottom w:val="nil"/>
              <w:right w:val="nil"/>
            </w:tcBorders>
            <w:shd w:val="clear" w:color="auto" w:fill="auto"/>
            <w:noWrap/>
            <w:vAlign w:val="center"/>
            <w:hideMark/>
          </w:tcPr>
          <w:p w14:paraId="1F7BDA5F"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vAlign w:val="center"/>
            <w:hideMark/>
          </w:tcPr>
          <w:p w14:paraId="6D75222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2,80</w:t>
            </w:r>
          </w:p>
        </w:tc>
        <w:tc>
          <w:tcPr>
            <w:tcW w:w="960" w:type="dxa"/>
            <w:tcBorders>
              <w:top w:val="nil"/>
              <w:left w:val="nil"/>
              <w:bottom w:val="nil"/>
              <w:right w:val="nil"/>
            </w:tcBorders>
            <w:shd w:val="clear" w:color="auto" w:fill="auto"/>
            <w:noWrap/>
            <w:vAlign w:val="center"/>
            <w:hideMark/>
          </w:tcPr>
          <w:p w14:paraId="41AB785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0,18</w:t>
            </w:r>
          </w:p>
        </w:tc>
        <w:tc>
          <w:tcPr>
            <w:tcW w:w="1920" w:type="dxa"/>
            <w:tcBorders>
              <w:top w:val="nil"/>
              <w:left w:val="nil"/>
              <w:bottom w:val="nil"/>
              <w:right w:val="nil"/>
            </w:tcBorders>
            <w:shd w:val="clear" w:color="auto" w:fill="auto"/>
            <w:noWrap/>
            <w:vAlign w:val="center"/>
            <w:hideMark/>
          </w:tcPr>
          <w:p w14:paraId="6A33D94C"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2,45</w:t>
            </w:r>
          </w:p>
        </w:tc>
        <w:tc>
          <w:tcPr>
            <w:tcW w:w="960" w:type="dxa"/>
            <w:tcBorders>
              <w:top w:val="nil"/>
              <w:left w:val="nil"/>
              <w:bottom w:val="nil"/>
              <w:right w:val="nil"/>
            </w:tcBorders>
            <w:shd w:val="clear" w:color="auto" w:fill="auto"/>
            <w:noWrap/>
            <w:vAlign w:val="center"/>
            <w:hideMark/>
          </w:tcPr>
          <w:p w14:paraId="62242DF2"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3,15</w:t>
            </w:r>
          </w:p>
        </w:tc>
      </w:tr>
      <w:tr w:rsidR="00592FDB" w:rsidRPr="00592FDB" w14:paraId="28FAC14E" w14:textId="77777777" w:rsidTr="007B6C77">
        <w:trPr>
          <w:trHeight w:val="300"/>
        </w:trPr>
        <w:tc>
          <w:tcPr>
            <w:tcW w:w="1160" w:type="dxa"/>
            <w:vMerge/>
            <w:tcBorders>
              <w:top w:val="nil"/>
              <w:left w:val="nil"/>
              <w:bottom w:val="nil"/>
              <w:right w:val="nil"/>
            </w:tcBorders>
            <w:vAlign w:val="center"/>
            <w:hideMark/>
          </w:tcPr>
          <w:p w14:paraId="1F84BE0B"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427B6A43"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13A86402"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vAlign w:val="center"/>
            <w:hideMark/>
          </w:tcPr>
          <w:p w14:paraId="3E116822"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2,57</w:t>
            </w:r>
          </w:p>
        </w:tc>
        <w:tc>
          <w:tcPr>
            <w:tcW w:w="960" w:type="dxa"/>
            <w:tcBorders>
              <w:top w:val="nil"/>
              <w:left w:val="nil"/>
              <w:bottom w:val="nil"/>
              <w:right w:val="nil"/>
            </w:tcBorders>
            <w:shd w:val="clear" w:color="auto" w:fill="auto"/>
            <w:noWrap/>
            <w:vAlign w:val="center"/>
            <w:hideMark/>
          </w:tcPr>
          <w:p w14:paraId="3CD4BE2A"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0,19</w:t>
            </w:r>
          </w:p>
        </w:tc>
        <w:tc>
          <w:tcPr>
            <w:tcW w:w="1920" w:type="dxa"/>
            <w:tcBorders>
              <w:top w:val="nil"/>
              <w:left w:val="nil"/>
              <w:bottom w:val="nil"/>
              <w:right w:val="nil"/>
            </w:tcBorders>
            <w:shd w:val="clear" w:color="auto" w:fill="auto"/>
            <w:noWrap/>
            <w:vAlign w:val="center"/>
            <w:hideMark/>
          </w:tcPr>
          <w:p w14:paraId="4890149E"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2,19</w:t>
            </w:r>
          </w:p>
        </w:tc>
        <w:tc>
          <w:tcPr>
            <w:tcW w:w="960" w:type="dxa"/>
            <w:tcBorders>
              <w:top w:val="nil"/>
              <w:left w:val="nil"/>
              <w:bottom w:val="nil"/>
              <w:right w:val="nil"/>
            </w:tcBorders>
            <w:shd w:val="clear" w:color="auto" w:fill="auto"/>
            <w:noWrap/>
            <w:vAlign w:val="center"/>
            <w:hideMark/>
          </w:tcPr>
          <w:p w14:paraId="5A73D68D"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2,94</w:t>
            </w:r>
          </w:p>
        </w:tc>
      </w:tr>
      <w:tr w:rsidR="007B6C77" w:rsidRPr="00592FDB" w14:paraId="7E59653F" w14:textId="77777777" w:rsidTr="007B6C77">
        <w:trPr>
          <w:trHeight w:val="300"/>
        </w:trPr>
        <w:tc>
          <w:tcPr>
            <w:tcW w:w="1160" w:type="dxa"/>
            <w:vMerge w:val="restart"/>
            <w:tcBorders>
              <w:top w:val="nil"/>
              <w:left w:val="nil"/>
              <w:bottom w:val="single" w:sz="4" w:space="0" w:color="000000"/>
              <w:right w:val="nil"/>
            </w:tcBorders>
            <w:shd w:val="clear" w:color="auto" w:fill="auto"/>
            <w:vAlign w:val="center"/>
            <w:hideMark/>
          </w:tcPr>
          <w:p w14:paraId="36D69E42"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Control Education</w:t>
            </w:r>
          </w:p>
        </w:tc>
        <w:tc>
          <w:tcPr>
            <w:tcW w:w="1140" w:type="dxa"/>
            <w:vMerge w:val="restart"/>
            <w:tcBorders>
              <w:top w:val="nil"/>
              <w:left w:val="nil"/>
              <w:bottom w:val="nil"/>
              <w:right w:val="nil"/>
            </w:tcBorders>
            <w:shd w:val="clear" w:color="auto" w:fill="auto"/>
            <w:vAlign w:val="center"/>
            <w:hideMark/>
          </w:tcPr>
          <w:p w14:paraId="62822A68"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Positive</w:t>
            </w:r>
          </w:p>
        </w:tc>
        <w:tc>
          <w:tcPr>
            <w:tcW w:w="960" w:type="dxa"/>
            <w:tcBorders>
              <w:top w:val="nil"/>
              <w:left w:val="nil"/>
              <w:bottom w:val="nil"/>
              <w:right w:val="nil"/>
            </w:tcBorders>
            <w:shd w:val="clear" w:color="auto" w:fill="auto"/>
            <w:noWrap/>
            <w:vAlign w:val="center"/>
            <w:hideMark/>
          </w:tcPr>
          <w:p w14:paraId="36A1CF38"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vAlign w:val="center"/>
            <w:hideMark/>
          </w:tcPr>
          <w:p w14:paraId="78975F59"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2,77</w:t>
            </w:r>
          </w:p>
        </w:tc>
        <w:tc>
          <w:tcPr>
            <w:tcW w:w="960" w:type="dxa"/>
            <w:tcBorders>
              <w:top w:val="nil"/>
              <w:left w:val="nil"/>
              <w:bottom w:val="nil"/>
              <w:right w:val="nil"/>
            </w:tcBorders>
            <w:shd w:val="clear" w:color="auto" w:fill="auto"/>
            <w:noWrap/>
            <w:vAlign w:val="center"/>
            <w:hideMark/>
          </w:tcPr>
          <w:p w14:paraId="6231C886"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0,21</w:t>
            </w:r>
          </w:p>
        </w:tc>
        <w:tc>
          <w:tcPr>
            <w:tcW w:w="1920" w:type="dxa"/>
            <w:tcBorders>
              <w:top w:val="nil"/>
              <w:left w:val="nil"/>
              <w:bottom w:val="nil"/>
              <w:right w:val="nil"/>
            </w:tcBorders>
            <w:shd w:val="clear" w:color="auto" w:fill="auto"/>
            <w:noWrap/>
            <w:vAlign w:val="center"/>
            <w:hideMark/>
          </w:tcPr>
          <w:p w14:paraId="2AE6ABCD"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2,35</w:t>
            </w:r>
          </w:p>
        </w:tc>
        <w:tc>
          <w:tcPr>
            <w:tcW w:w="960" w:type="dxa"/>
            <w:tcBorders>
              <w:top w:val="nil"/>
              <w:left w:val="nil"/>
              <w:bottom w:val="nil"/>
              <w:right w:val="nil"/>
            </w:tcBorders>
            <w:shd w:val="clear" w:color="auto" w:fill="auto"/>
            <w:noWrap/>
            <w:vAlign w:val="center"/>
            <w:hideMark/>
          </w:tcPr>
          <w:p w14:paraId="6E599942"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3,19</w:t>
            </w:r>
          </w:p>
        </w:tc>
      </w:tr>
      <w:tr w:rsidR="007B6C77" w:rsidRPr="00592FDB" w14:paraId="0B2A7136" w14:textId="77777777" w:rsidTr="007B6C77">
        <w:trPr>
          <w:trHeight w:val="300"/>
        </w:trPr>
        <w:tc>
          <w:tcPr>
            <w:tcW w:w="1160" w:type="dxa"/>
            <w:vMerge/>
            <w:tcBorders>
              <w:top w:val="nil"/>
              <w:left w:val="nil"/>
              <w:bottom w:val="single" w:sz="4" w:space="0" w:color="000000"/>
              <w:right w:val="nil"/>
            </w:tcBorders>
            <w:vAlign w:val="center"/>
            <w:hideMark/>
          </w:tcPr>
          <w:p w14:paraId="468E0DDC"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52B68105"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3E807D53"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vAlign w:val="center"/>
            <w:hideMark/>
          </w:tcPr>
          <w:p w14:paraId="6254B131"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2,38</w:t>
            </w:r>
          </w:p>
        </w:tc>
        <w:tc>
          <w:tcPr>
            <w:tcW w:w="960" w:type="dxa"/>
            <w:tcBorders>
              <w:top w:val="nil"/>
              <w:left w:val="nil"/>
              <w:bottom w:val="nil"/>
              <w:right w:val="nil"/>
            </w:tcBorders>
            <w:shd w:val="clear" w:color="auto" w:fill="auto"/>
            <w:noWrap/>
            <w:vAlign w:val="center"/>
            <w:hideMark/>
          </w:tcPr>
          <w:p w14:paraId="661E8F0C"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0,23</w:t>
            </w:r>
          </w:p>
        </w:tc>
        <w:tc>
          <w:tcPr>
            <w:tcW w:w="1920" w:type="dxa"/>
            <w:tcBorders>
              <w:top w:val="nil"/>
              <w:left w:val="nil"/>
              <w:bottom w:val="nil"/>
              <w:right w:val="nil"/>
            </w:tcBorders>
            <w:shd w:val="clear" w:color="auto" w:fill="auto"/>
            <w:noWrap/>
            <w:vAlign w:val="center"/>
            <w:hideMark/>
          </w:tcPr>
          <w:p w14:paraId="3D62AEEE"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1,94</w:t>
            </w:r>
          </w:p>
        </w:tc>
        <w:tc>
          <w:tcPr>
            <w:tcW w:w="960" w:type="dxa"/>
            <w:tcBorders>
              <w:top w:val="nil"/>
              <w:left w:val="nil"/>
              <w:bottom w:val="nil"/>
              <w:right w:val="nil"/>
            </w:tcBorders>
            <w:shd w:val="clear" w:color="auto" w:fill="auto"/>
            <w:noWrap/>
            <w:vAlign w:val="center"/>
            <w:hideMark/>
          </w:tcPr>
          <w:p w14:paraId="0DDDA5B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2,83</w:t>
            </w:r>
          </w:p>
        </w:tc>
      </w:tr>
      <w:tr w:rsidR="007B6C77" w:rsidRPr="00592FDB" w14:paraId="43F977D0" w14:textId="77777777" w:rsidTr="007B6C77">
        <w:trPr>
          <w:trHeight w:val="300"/>
        </w:trPr>
        <w:tc>
          <w:tcPr>
            <w:tcW w:w="1160" w:type="dxa"/>
            <w:vMerge/>
            <w:tcBorders>
              <w:top w:val="nil"/>
              <w:left w:val="nil"/>
              <w:bottom w:val="single" w:sz="4" w:space="0" w:color="000000"/>
              <w:right w:val="nil"/>
            </w:tcBorders>
            <w:vAlign w:val="center"/>
            <w:hideMark/>
          </w:tcPr>
          <w:p w14:paraId="7645EC65"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nil"/>
              <w:right w:val="nil"/>
            </w:tcBorders>
            <w:shd w:val="clear" w:color="auto" w:fill="auto"/>
            <w:vAlign w:val="center"/>
            <w:hideMark/>
          </w:tcPr>
          <w:p w14:paraId="738ADF57"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Non-positive</w:t>
            </w:r>
          </w:p>
        </w:tc>
        <w:tc>
          <w:tcPr>
            <w:tcW w:w="960" w:type="dxa"/>
            <w:tcBorders>
              <w:top w:val="nil"/>
              <w:left w:val="nil"/>
              <w:bottom w:val="nil"/>
              <w:right w:val="nil"/>
            </w:tcBorders>
            <w:shd w:val="clear" w:color="auto" w:fill="auto"/>
            <w:noWrap/>
            <w:vAlign w:val="center"/>
            <w:hideMark/>
          </w:tcPr>
          <w:p w14:paraId="31A7082A"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vAlign w:val="center"/>
            <w:hideMark/>
          </w:tcPr>
          <w:p w14:paraId="6FF0FAF6"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3,08</w:t>
            </w:r>
          </w:p>
        </w:tc>
        <w:tc>
          <w:tcPr>
            <w:tcW w:w="960" w:type="dxa"/>
            <w:tcBorders>
              <w:top w:val="nil"/>
              <w:left w:val="nil"/>
              <w:bottom w:val="nil"/>
              <w:right w:val="nil"/>
            </w:tcBorders>
            <w:shd w:val="clear" w:color="auto" w:fill="auto"/>
            <w:noWrap/>
            <w:vAlign w:val="center"/>
            <w:hideMark/>
          </w:tcPr>
          <w:p w14:paraId="0AD8A90E"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0,43</w:t>
            </w:r>
          </w:p>
        </w:tc>
        <w:tc>
          <w:tcPr>
            <w:tcW w:w="1920" w:type="dxa"/>
            <w:tcBorders>
              <w:top w:val="nil"/>
              <w:left w:val="nil"/>
              <w:bottom w:val="nil"/>
              <w:right w:val="nil"/>
            </w:tcBorders>
            <w:shd w:val="clear" w:color="auto" w:fill="auto"/>
            <w:noWrap/>
            <w:vAlign w:val="center"/>
            <w:hideMark/>
          </w:tcPr>
          <w:p w14:paraId="34DA30F7"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2,23</w:t>
            </w:r>
          </w:p>
        </w:tc>
        <w:tc>
          <w:tcPr>
            <w:tcW w:w="960" w:type="dxa"/>
            <w:tcBorders>
              <w:top w:val="nil"/>
              <w:left w:val="nil"/>
              <w:bottom w:val="nil"/>
              <w:right w:val="nil"/>
            </w:tcBorders>
            <w:shd w:val="clear" w:color="auto" w:fill="auto"/>
            <w:noWrap/>
            <w:vAlign w:val="center"/>
            <w:hideMark/>
          </w:tcPr>
          <w:p w14:paraId="31953405"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3,93</w:t>
            </w:r>
          </w:p>
        </w:tc>
      </w:tr>
      <w:tr w:rsidR="007B6C77" w:rsidRPr="00592FDB" w14:paraId="4B1286D9" w14:textId="77777777" w:rsidTr="007B6C77">
        <w:trPr>
          <w:trHeight w:val="300"/>
        </w:trPr>
        <w:tc>
          <w:tcPr>
            <w:tcW w:w="1160" w:type="dxa"/>
            <w:vMerge/>
            <w:tcBorders>
              <w:top w:val="nil"/>
              <w:left w:val="nil"/>
              <w:bottom w:val="single" w:sz="4" w:space="0" w:color="000000"/>
              <w:right w:val="nil"/>
            </w:tcBorders>
            <w:vAlign w:val="center"/>
            <w:hideMark/>
          </w:tcPr>
          <w:p w14:paraId="547631CA"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5560FA4F"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046F8012"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vAlign w:val="center"/>
            <w:hideMark/>
          </w:tcPr>
          <w:p w14:paraId="4490DE13"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2,76</w:t>
            </w:r>
          </w:p>
        </w:tc>
        <w:tc>
          <w:tcPr>
            <w:tcW w:w="960" w:type="dxa"/>
            <w:tcBorders>
              <w:top w:val="nil"/>
              <w:left w:val="nil"/>
              <w:bottom w:val="nil"/>
              <w:right w:val="nil"/>
            </w:tcBorders>
            <w:shd w:val="clear" w:color="auto" w:fill="auto"/>
            <w:noWrap/>
            <w:vAlign w:val="center"/>
            <w:hideMark/>
          </w:tcPr>
          <w:p w14:paraId="04A446D6"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0,46</w:t>
            </w:r>
          </w:p>
        </w:tc>
        <w:tc>
          <w:tcPr>
            <w:tcW w:w="1920" w:type="dxa"/>
            <w:tcBorders>
              <w:top w:val="nil"/>
              <w:left w:val="nil"/>
              <w:bottom w:val="nil"/>
              <w:right w:val="nil"/>
            </w:tcBorders>
            <w:shd w:val="clear" w:color="auto" w:fill="auto"/>
            <w:noWrap/>
            <w:vAlign w:val="center"/>
            <w:hideMark/>
          </w:tcPr>
          <w:p w14:paraId="2D3E419B"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1,85</w:t>
            </w:r>
          </w:p>
        </w:tc>
        <w:tc>
          <w:tcPr>
            <w:tcW w:w="960" w:type="dxa"/>
            <w:tcBorders>
              <w:top w:val="nil"/>
              <w:left w:val="nil"/>
              <w:bottom w:val="nil"/>
              <w:right w:val="nil"/>
            </w:tcBorders>
            <w:shd w:val="clear" w:color="auto" w:fill="auto"/>
            <w:noWrap/>
            <w:vAlign w:val="center"/>
            <w:hideMark/>
          </w:tcPr>
          <w:p w14:paraId="4867A42F"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3,67</w:t>
            </w:r>
          </w:p>
        </w:tc>
      </w:tr>
      <w:tr w:rsidR="00592FDB" w:rsidRPr="00592FDB" w14:paraId="4D8735FC" w14:textId="77777777" w:rsidTr="007B6C77">
        <w:trPr>
          <w:trHeight w:val="300"/>
        </w:trPr>
        <w:tc>
          <w:tcPr>
            <w:tcW w:w="1160" w:type="dxa"/>
            <w:vMerge/>
            <w:tcBorders>
              <w:top w:val="nil"/>
              <w:left w:val="nil"/>
              <w:bottom w:val="single" w:sz="4" w:space="0" w:color="000000"/>
              <w:right w:val="nil"/>
            </w:tcBorders>
            <w:vAlign w:val="center"/>
            <w:hideMark/>
          </w:tcPr>
          <w:p w14:paraId="20CC22A1"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single" w:sz="4" w:space="0" w:color="000000"/>
              <w:right w:val="nil"/>
            </w:tcBorders>
            <w:shd w:val="clear" w:color="auto" w:fill="auto"/>
            <w:vAlign w:val="center"/>
            <w:hideMark/>
          </w:tcPr>
          <w:p w14:paraId="52592E43"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Control</w:t>
            </w:r>
          </w:p>
        </w:tc>
        <w:tc>
          <w:tcPr>
            <w:tcW w:w="960" w:type="dxa"/>
            <w:tcBorders>
              <w:top w:val="nil"/>
              <w:left w:val="nil"/>
              <w:bottom w:val="nil"/>
              <w:right w:val="nil"/>
            </w:tcBorders>
            <w:shd w:val="clear" w:color="auto" w:fill="auto"/>
            <w:noWrap/>
            <w:vAlign w:val="center"/>
            <w:hideMark/>
          </w:tcPr>
          <w:p w14:paraId="4250ADE3"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vAlign w:val="center"/>
            <w:hideMark/>
          </w:tcPr>
          <w:p w14:paraId="2C2BA65F"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3,15</w:t>
            </w:r>
          </w:p>
        </w:tc>
        <w:tc>
          <w:tcPr>
            <w:tcW w:w="960" w:type="dxa"/>
            <w:tcBorders>
              <w:top w:val="nil"/>
              <w:left w:val="nil"/>
              <w:bottom w:val="nil"/>
              <w:right w:val="nil"/>
            </w:tcBorders>
            <w:shd w:val="clear" w:color="auto" w:fill="auto"/>
            <w:noWrap/>
            <w:vAlign w:val="center"/>
            <w:hideMark/>
          </w:tcPr>
          <w:p w14:paraId="219A5A3D"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0,16</w:t>
            </w:r>
          </w:p>
        </w:tc>
        <w:tc>
          <w:tcPr>
            <w:tcW w:w="1920" w:type="dxa"/>
            <w:tcBorders>
              <w:top w:val="nil"/>
              <w:left w:val="nil"/>
              <w:bottom w:val="nil"/>
              <w:right w:val="nil"/>
            </w:tcBorders>
            <w:shd w:val="clear" w:color="auto" w:fill="auto"/>
            <w:noWrap/>
            <w:vAlign w:val="center"/>
            <w:hideMark/>
          </w:tcPr>
          <w:p w14:paraId="398493D4"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2,83</w:t>
            </w:r>
          </w:p>
        </w:tc>
        <w:tc>
          <w:tcPr>
            <w:tcW w:w="960" w:type="dxa"/>
            <w:tcBorders>
              <w:top w:val="nil"/>
              <w:left w:val="nil"/>
              <w:bottom w:val="nil"/>
              <w:right w:val="nil"/>
            </w:tcBorders>
            <w:shd w:val="clear" w:color="auto" w:fill="auto"/>
            <w:noWrap/>
            <w:vAlign w:val="center"/>
            <w:hideMark/>
          </w:tcPr>
          <w:p w14:paraId="2E27F24D"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3,48</w:t>
            </w:r>
          </w:p>
        </w:tc>
      </w:tr>
      <w:tr w:rsidR="00592FDB" w:rsidRPr="00592FDB" w14:paraId="53B4C0AD" w14:textId="77777777" w:rsidTr="007B6C77">
        <w:trPr>
          <w:trHeight w:val="300"/>
        </w:trPr>
        <w:tc>
          <w:tcPr>
            <w:tcW w:w="1160" w:type="dxa"/>
            <w:vMerge/>
            <w:tcBorders>
              <w:top w:val="nil"/>
              <w:left w:val="nil"/>
              <w:bottom w:val="single" w:sz="4" w:space="0" w:color="000000"/>
              <w:right w:val="nil"/>
            </w:tcBorders>
            <w:vAlign w:val="center"/>
            <w:hideMark/>
          </w:tcPr>
          <w:p w14:paraId="572EDF5C"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single" w:sz="4" w:space="0" w:color="000000"/>
              <w:right w:val="nil"/>
            </w:tcBorders>
            <w:vAlign w:val="center"/>
            <w:hideMark/>
          </w:tcPr>
          <w:p w14:paraId="3C3BABF5"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single" w:sz="4" w:space="0" w:color="auto"/>
              <w:right w:val="nil"/>
            </w:tcBorders>
            <w:shd w:val="clear" w:color="auto" w:fill="auto"/>
            <w:noWrap/>
            <w:vAlign w:val="center"/>
            <w:hideMark/>
          </w:tcPr>
          <w:p w14:paraId="5840A02F" w14:textId="77777777" w:rsidR="007B6C77" w:rsidRPr="00592FDB"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single" w:sz="4" w:space="0" w:color="auto"/>
              <w:right w:val="nil"/>
            </w:tcBorders>
            <w:shd w:val="clear" w:color="auto" w:fill="auto"/>
            <w:noWrap/>
            <w:vAlign w:val="center"/>
            <w:hideMark/>
          </w:tcPr>
          <w:p w14:paraId="424DFE2B"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2,91</w:t>
            </w:r>
          </w:p>
        </w:tc>
        <w:tc>
          <w:tcPr>
            <w:tcW w:w="960" w:type="dxa"/>
            <w:tcBorders>
              <w:top w:val="nil"/>
              <w:left w:val="nil"/>
              <w:bottom w:val="single" w:sz="4" w:space="0" w:color="auto"/>
              <w:right w:val="nil"/>
            </w:tcBorders>
            <w:shd w:val="clear" w:color="auto" w:fill="auto"/>
            <w:noWrap/>
            <w:vAlign w:val="center"/>
            <w:hideMark/>
          </w:tcPr>
          <w:p w14:paraId="451CA252"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0,18</w:t>
            </w:r>
          </w:p>
        </w:tc>
        <w:tc>
          <w:tcPr>
            <w:tcW w:w="1920" w:type="dxa"/>
            <w:tcBorders>
              <w:top w:val="nil"/>
              <w:left w:val="nil"/>
              <w:bottom w:val="single" w:sz="4" w:space="0" w:color="auto"/>
              <w:right w:val="nil"/>
            </w:tcBorders>
            <w:shd w:val="clear" w:color="auto" w:fill="auto"/>
            <w:noWrap/>
            <w:vAlign w:val="center"/>
            <w:hideMark/>
          </w:tcPr>
          <w:p w14:paraId="768BF070"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2,56</w:t>
            </w:r>
          </w:p>
        </w:tc>
        <w:tc>
          <w:tcPr>
            <w:tcW w:w="960" w:type="dxa"/>
            <w:tcBorders>
              <w:top w:val="nil"/>
              <w:left w:val="nil"/>
              <w:bottom w:val="single" w:sz="4" w:space="0" w:color="auto"/>
              <w:right w:val="nil"/>
            </w:tcBorders>
            <w:shd w:val="clear" w:color="auto" w:fill="auto"/>
            <w:noWrap/>
            <w:vAlign w:val="center"/>
            <w:hideMark/>
          </w:tcPr>
          <w:p w14:paraId="7193F1EB" w14:textId="77777777" w:rsidR="007B6C77" w:rsidRPr="004D2DCA" w:rsidRDefault="007B6C77" w:rsidP="007B6C77">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3,26</w:t>
            </w:r>
          </w:p>
        </w:tc>
      </w:tr>
    </w:tbl>
    <w:p w14:paraId="263EB60F" w14:textId="072E98E3" w:rsidR="007B6C77" w:rsidRDefault="007B6C77" w:rsidP="006763BA"/>
    <w:p w14:paraId="6887D634" w14:textId="2AA9C5CC" w:rsidR="00592FDB" w:rsidRDefault="00592FDB" w:rsidP="00592FDB">
      <w:r>
        <w:lastRenderedPageBreak/>
        <w:t xml:space="preserve">There was a significant effect of awareness on intentions to avoid FD, </w:t>
      </w:r>
      <w:r w:rsidRPr="002725D5">
        <w:rPr>
          <w:i/>
          <w:iCs/>
        </w:rPr>
        <w:t>F</w:t>
      </w:r>
      <w:r w:rsidRPr="002725D5">
        <w:t xml:space="preserve">(2, </w:t>
      </w:r>
      <w:r>
        <w:t>299</w:t>
      </w:r>
      <w:r w:rsidRPr="002725D5">
        <w:t xml:space="preserve">) = </w:t>
      </w:r>
      <w:r>
        <w:t>5</w:t>
      </w:r>
      <w:r w:rsidRPr="002725D5">
        <w:t>.</w:t>
      </w:r>
      <w:r>
        <w:t>02</w:t>
      </w:r>
      <w:r w:rsidRPr="002725D5">
        <w:t xml:space="preserve">, </w:t>
      </w:r>
      <w:r w:rsidRPr="002725D5">
        <w:rPr>
          <w:i/>
          <w:iCs/>
        </w:rPr>
        <w:t>p</w:t>
      </w:r>
      <w:r w:rsidRPr="002725D5">
        <w:t xml:space="preserve"> = .00</w:t>
      </w:r>
      <w:r>
        <w:t xml:space="preserve">7. Similarly there was a significant effect of the three IC conditions, </w:t>
      </w:r>
      <w:r w:rsidRPr="002725D5">
        <w:rPr>
          <w:i/>
          <w:iCs/>
        </w:rPr>
        <w:t>F</w:t>
      </w:r>
      <w:r w:rsidRPr="002725D5">
        <w:t xml:space="preserve">(2, </w:t>
      </w:r>
      <w:r>
        <w:t>299</w:t>
      </w:r>
      <w:r w:rsidRPr="002725D5">
        <w:t xml:space="preserve">) = </w:t>
      </w:r>
      <w:r>
        <w:t>4</w:t>
      </w:r>
      <w:r w:rsidRPr="002725D5">
        <w:t>.</w:t>
      </w:r>
      <w:r>
        <w:t>81</w:t>
      </w:r>
      <w:r w:rsidRPr="002725D5">
        <w:t xml:space="preserve">, </w:t>
      </w:r>
      <w:r w:rsidRPr="002725D5">
        <w:rPr>
          <w:i/>
          <w:iCs/>
        </w:rPr>
        <w:t>p</w:t>
      </w:r>
      <w:r w:rsidRPr="002725D5">
        <w:t xml:space="preserve"> = .00</w:t>
      </w:r>
      <w:r>
        <w:t xml:space="preserve">9. However, no interaction effect was found </w:t>
      </w:r>
      <w:r w:rsidRPr="002725D5">
        <w:rPr>
          <w:i/>
          <w:iCs/>
        </w:rPr>
        <w:t>F</w:t>
      </w:r>
      <w:r w:rsidRPr="002725D5">
        <w:t>(</w:t>
      </w:r>
      <w:r>
        <w:t>4</w:t>
      </w:r>
      <w:r w:rsidRPr="002725D5">
        <w:t xml:space="preserve">, </w:t>
      </w:r>
      <w:r>
        <w:t>299</w:t>
      </w:r>
      <w:r w:rsidRPr="002725D5">
        <w:t xml:space="preserve">) = </w:t>
      </w:r>
      <w:r>
        <w:t>2</w:t>
      </w:r>
      <w:r w:rsidRPr="002725D5">
        <w:t>.</w:t>
      </w:r>
      <w:r>
        <w:t>16</w:t>
      </w:r>
      <w:r w:rsidRPr="002725D5">
        <w:t xml:space="preserve">, </w:t>
      </w:r>
      <w:r w:rsidRPr="002725D5">
        <w:rPr>
          <w:i/>
          <w:iCs/>
        </w:rPr>
        <w:t>p</w:t>
      </w:r>
      <w:r w:rsidRPr="002725D5">
        <w:t xml:space="preserve"> = .0</w:t>
      </w:r>
      <w:r>
        <w:t xml:space="preserve">7. Post-hoc analysis revealed that participants imagining a positive interaction had more intentions to have contact with an individual with FD (M = 5.92, SD = .87) compared to control participants imagining a scenery of their choice (M = 5.33, SD = 1.13; </w:t>
      </w:r>
      <w:r w:rsidRPr="007627C5">
        <w:rPr>
          <w:i/>
        </w:rPr>
        <w:t>p</w:t>
      </w:r>
      <w:r>
        <w:t xml:space="preserve"> &lt; .001). However, there was no significant differences between participants imagining a mixed (non-positive) interaction (M = 5.67, SD = 1.01) and those imagining a positive interaction (</w:t>
      </w:r>
      <w:r w:rsidRPr="007627C5">
        <w:rPr>
          <w:i/>
        </w:rPr>
        <w:t>p</w:t>
      </w:r>
      <w:r>
        <w:t xml:space="preserve"> = .64). Nor was there a significant difference between controls and participants imagining a non-positive interaction (</w:t>
      </w:r>
      <w:r w:rsidRPr="007627C5">
        <w:rPr>
          <w:i/>
        </w:rPr>
        <w:t>p</w:t>
      </w:r>
      <w:r>
        <w:t xml:space="preserve"> = .27). See table 4.7</w:t>
      </w:r>
    </w:p>
    <w:p w14:paraId="2A1959B7" w14:textId="1F83203B" w:rsidR="00592FDB" w:rsidRPr="004D2DCA" w:rsidRDefault="00592FDB" w:rsidP="004D2DCA">
      <w:pPr>
        <w:spacing w:after="0" w:line="240" w:lineRule="auto"/>
        <w:rPr>
          <w:sz w:val="20"/>
          <w:szCs w:val="20"/>
        </w:rPr>
      </w:pPr>
      <w:r w:rsidRPr="004D2DCA">
        <w:rPr>
          <w:sz w:val="20"/>
          <w:szCs w:val="20"/>
        </w:rPr>
        <w:t>Table 4.7. Estimated means for intended avoidance</w:t>
      </w:r>
    </w:p>
    <w:tbl>
      <w:tblPr>
        <w:tblW w:w="8060" w:type="dxa"/>
        <w:tblCellMar>
          <w:left w:w="70" w:type="dxa"/>
          <w:right w:w="70" w:type="dxa"/>
        </w:tblCellMar>
        <w:tblLook w:val="04A0" w:firstRow="1" w:lastRow="0" w:firstColumn="1" w:lastColumn="0" w:noHBand="0" w:noVBand="1"/>
      </w:tblPr>
      <w:tblGrid>
        <w:gridCol w:w="1160"/>
        <w:gridCol w:w="1140"/>
        <w:gridCol w:w="960"/>
        <w:gridCol w:w="960"/>
        <w:gridCol w:w="960"/>
        <w:gridCol w:w="1920"/>
        <w:gridCol w:w="960"/>
      </w:tblGrid>
      <w:tr w:rsidR="00592FDB" w:rsidRPr="00592FDB" w14:paraId="7633F5FC" w14:textId="77777777" w:rsidTr="00592FDB">
        <w:trPr>
          <w:trHeight w:val="552"/>
        </w:trPr>
        <w:tc>
          <w:tcPr>
            <w:tcW w:w="1160" w:type="dxa"/>
            <w:vMerge w:val="restart"/>
            <w:tcBorders>
              <w:top w:val="single" w:sz="4" w:space="0" w:color="auto"/>
              <w:left w:val="nil"/>
              <w:bottom w:val="single" w:sz="4" w:space="0" w:color="000000"/>
              <w:right w:val="nil"/>
            </w:tcBorders>
            <w:shd w:val="clear" w:color="auto" w:fill="auto"/>
            <w:vAlign w:val="center"/>
            <w:hideMark/>
          </w:tcPr>
          <w:p w14:paraId="23BD5119" w14:textId="77777777" w:rsidR="00592FDB" w:rsidRPr="00774F56"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774F56">
              <w:rPr>
                <w:rFonts w:eastAsia="Times New Roman"/>
                <w:color w:val="auto"/>
                <w:sz w:val="20"/>
                <w:szCs w:val="20"/>
                <w:lang w:val="es-CO" w:eastAsia="es-CO"/>
              </w:rPr>
              <w:t>Awareness</w:t>
            </w:r>
          </w:p>
        </w:tc>
        <w:tc>
          <w:tcPr>
            <w:tcW w:w="1140" w:type="dxa"/>
            <w:vMerge w:val="restart"/>
            <w:tcBorders>
              <w:top w:val="single" w:sz="4" w:space="0" w:color="auto"/>
              <w:left w:val="nil"/>
              <w:bottom w:val="single" w:sz="4" w:space="0" w:color="000000"/>
              <w:right w:val="nil"/>
            </w:tcBorders>
            <w:shd w:val="clear" w:color="auto" w:fill="auto"/>
            <w:vAlign w:val="center"/>
            <w:hideMark/>
          </w:tcPr>
          <w:p w14:paraId="30DCE22E" w14:textId="77777777" w:rsidR="00592FDB" w:rsidRPr="004E161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666EEF">
              <w:rPr>
                <w:rFonts w:eastAsia="Times New Roman"/>
                <w:color w:val="auto"/>
                <w:sz w:val="20"/>
                <w:szCs w:val="20"/>
                <w:lang w:val="es-CO" w:eastAsia="es-CO"/>
              </w:rPr>
              <w:t>IC</w:t>
            </w:r>
          </w:p>
        </w:tc>
        <w:tc>
          <w:tcPr>
            <w:tcW w:w="960" w:type="dxa"/>
            <w:vMerge w:val="restart"/>
            <w:tcBorders>
              <w:top w:val="single" w:sz="4" w:space="0" w:color="auto"/>
              <w:left w:val="nil"/>
              <w:bottom w:val="single" w:sz="4" w:space="0" w:color="000000"/>
              <w:right w:val="nil"/>
            </w:tcBorders>
            <w:shd w:val="clear" w:color="auto" w:fill="auto"/>
            <w:vAlign w:val="center"/>
            <w:hideMark/>
          </w:tcPr>
          <w:p w14:paraId="24DDDE19" w14:textId="77777777" w:rsidR="00592FDB" w:rsidRPr="00721D6C"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721D6C">
              <w:rPr>
                <w:rFonts w:eastAsia="Times New Roman"/>
                <w:color w:val="auto"/>
                <w:sz w:val="20"/>
                <w:szCs w:val="20"/>
                <w:lang w:val="es-CO" w:eastAsia="es-CO"/>
              </w:rPr>
              <w:t>Time</w:t>
            </w:r>
          </w:p>
        </w:tc>
        <w:tc>
          <w:tcPr>
            <w:tcW w:w="960" w:type="dxa"/>
            <w:vMerge w:val="restart"/>
            <w:tcBorders>
              <w:top w:val="single" w:sz="4" w:space="0" w:color="auto"/>
              <w:left w:val="nil"/>
              <w:bottom w:val="single" w:sz="4" w:space="0" w:color="000000"/>
              <w:right w:val="nil"/>
            </w:tcBorders>
            <w:shd w:val="clear" w:color="auto" w:fill="auto"/>
            <w:vAlign w:val="center"/>
            <w:hideMark/>
          </w:tcPr>
          <w:p w14:paraId="6E9E2152" w14:textId="77777777" w:rsidR="00592FDB" w:rsidRPr="007F2A46"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721D6C">
              <w:rPr>
                <w:rFonts w:eastAsia="Times New Roman"/>
                <w:color w:val="auto"/>
                <w:sz w:val="20"/>
                <w:szCs w:val="20"/>
                <w:lang w:val="es-CO" w:eastAsia="es-CO"/>
              </w:rPr>
              <w:t>Mean</w:t>
            </w:r>
          </w:p>
        </w:tc>
        <w:tc>
          <w:tcPr>
            <w:tcW w:w="960" w:type="dxa"/>
            <w:vMerge w:val="restart"/>
            <w:tcBorders>
              <w:top w:val="single" w:sz="4" w:space="0" w:color="auto"/>
              <w:left w:val="nil"/>
              <w:bottom w:val="single" w:sz="4" w:space="0" w:color="000000"/>
              <w:right w:val="nil"/>
            </w:tcBorders>
            <w:shd w:val="clear" w:color="auto" w:fill="auto"/>
            <w:vAlign w:val="center"/>
            <w:hideMark/>
          </w:tcPr>
          <w:p w14:paraId="4371487D" w14:textId="77777777" w:rsidR="00592FDB" w:rsidRPr="00280BE8"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280BE8">
              <w:rPr>
                <w:rFonts w:eastAsia="Times New Roman"/>
                <w:color w:val="auto"/>
                <w:sz w:val="20"/>
                <w:szCs w:val="20"/>
                <w:lang w:val="es-CO" w:eastAsia="es-CO"/>
              </w:rPr>
              <w:t>Std. Error</w:t>
            </w:r>
          </w:p>
        </w:tc>
        <w:tc>
          <w:tcPr>
            <w:tcW w:w="2880" w:type="dxa"/>
            <w:gridSpan w:val="2"/>
            <w:tcBorders>
              <w:top w:val="single" w:sz="4" w:space="0" w:color="auto"/>
              <w:left w:val="nil"/>
              <w:bottom w:val="nil"/>
              <w:right w:val="nil"/>
            </w:tcBorders>
            <w:shd w:val="clear" w:color="auto" w:fill="auto"/>
            <w:vAlign w:val="center"/>
            <w:hideMark/>
          </w:tcPr>
          <w:p w14:paraId="6BF6CD6E" w14:textId="77777777" w:rsidR="00592FDB" w:rsidRPr="00280BE8"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280BE8">
              <w:rPr>
                <w:rFonts w:eastAsia="Times New Roman"/>
                <w:color w:val="auto"/>
                <w:sz w:val="20"/>
                <w:szCs w:val="20"/>
                <w:lang w:val="es-CO" w:eastAsia="es-CO"/>
              </w:rPr>
              <w:t>95% Confidence Interval</w:t>
            </w:r>
          </w:p>
        </w:tc>
      </w:tr>
      <w:tr w:rsidR="00592FDB" w:rsidRPr="00592FDB" w14:paraId="7430C001" w14:textId="77777777" w:rsidTr="00592FDB">
        <w:trPr>
          <w:trHeight w:val="510"/>
        </w:trPr>
        <w:tc>
          <w:tcPr>
            <w:tcW w:w="1160" w:type="dxa"/>
            <w:vMerge/>
            <w:tcBorders>
              <w:top w:val="single" w:sz="4" w:space="0" w:color="auto"/>
              <w:left w:val="nil"/>
              <w:bottom w:val="single" w:sz="4" w:space="0" w:color="000000"/>
              <w:right w:val="nil"/>
            </w:tcBorders>
            <w:vAlign w:val="center"/>
            <w:hideMark/>
          </w:tcPr>
          <w:p w14:paraId="4270BCA8"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single" w:sz="4" w:space="0" w:color="auto"/>
              <w:left w:val="nil"/>
              <w:bottom w:val="single" w:sz="4" w:space="0" w:color="000000"/>
              <w:right w:val="nil"/>
            </w:tcBorders>
            <w:vAlign w:val="center"/>
            <w:hideMark/>
          </w:tcPr>
          <w:p w14:paraId="7A025976"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vMerge/>
            <w:tcBorders>
              <w:top w:val="single" w:sz="4" w:space="0" w:color="auto"/>
              <w:left w:val="nil"/>
              <w:bottom w:val="single" w:sz="4" w:space="0" w:color="000000"/>
              <w:right w:val="nil"/>
            </w:tcBorders>
            <w:vAlign w:val="center"/>
            <w:hideMark/>
          </w:tcPr>
          <w:p w14:paraId="472EFB4E"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vMerge/>
            <w:tcBorders>
              <w:top w:val="single" w:sz="4" w:space="0" w:color="auto"/>
              <w:left w:val="nil"/>
              <w:bottom w:val="single" w:sz="4" w:space="0" w:color="000000"/>
              <w:right w:val="nil"/>
            </w:tcBorders>
            <w:vAlign w:val="center"/>
            <w:hideMark/>
          </w:tcPr>
          <w:p w14:paraId="706BA77D"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vMerge/>
            <w:tcBorders>
              <w:top w:val="single" w:sz="4" w:space="0" w:color="auto"/>
              <w:left w:val="nil"/>
              <w:bottom w:val="single" w:sz="4" w:space="0" w:color="000000"/>
              <w:right w:val="nil"/>
            </w:tcBorders>
            <w:vAlign w:val="center"/>
            <w:hideMark/>
          </w:tcPr>
          <w:p w14:paraId="6D05638A"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920" w:type="dxa"/>
            <w:tcBorders>
              <w:top w:val="nil"/>
              <w:left w:val="nil"/>
              <w:bottom w:val="single" w:sz="4" w:space="0" w:color="auto"/>
              <w:right w:val="nil"/>
            </w:tcBorders>
            <w:shd w:val="clear" w:color="auto" w:fill="auto"/>
            <w:vAlign w:val="center"/>
            <w:hideMark/>
          </w:tcPr>
          <w:p w14:paraId="02C88C2A"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Lower Bound</w:t>
            </w:r>
          </w:p>
        </w:tc>
        <w:tc>
          <w:tcPr>
            <w:tcW w:w="960" w:type="dxa"/>
            <w:tcBorders>
              <w:top w:val="nil"/>
              <w:left w:val="nil"/>
              <w:bottom w:val="single" w:sz="4" w:space="0" w:color="auto"/>
              <w:right w:val="nil"/>
            </w:tcBorders>
            <w:shd w:val="clear" w:color="auto" w:fill="auto"/>
            <w:vAlign w:val="center"/>
            <w:hideMark/>
          </w:tcPr>
          <w:p w14:paraId="62B5D171"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Upper Bound</w:t>
            </w:r>
          </w:p>
        </w:tc>
      </w:tr>
      <w:tr w:rsidR="00592FDB" w:rsidRPr="00592FDB" w14:paraId="4F3316EB" w14:textId="77777777" w:rsidTr="00592FDB">
        <w:trPr>
          <w:trHeight w:val="300"/>
        </w:trPr>
        <w:tc>
          <w:tcPr>
            <w:tcW w:w="1160" w:type="dxa"/>
            <w:vMerge w:val="restart"/>
            <w:tcBorders>
              <w:top w:val="nil"/>
              <w:left w:val="nil"/>
              <w:bottom w:val="nil"/>
              <w:right w:val="nil"/>
            </w:tcBorders>
            <w:shd w:val="clear" w:color="auto" w:fill="auto"/>
            <w:vAlign w:val="center"/>
            <w:hideMark/>
          </w:tcPr>
          <w:p w14:paraId="0D42E30C" w14:textId="77777777" w:rsidR="00592FDB" w:rsidRPr="00774F56"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774F56">
              <w:rPr>
                <w:rFonts w:eastAsia="Times New Roman"/>
                <w:color w:val="auto"/>
                <w:sz w:val="20"/>
                <w:szCs w:val="20"/>
                <w:lang w:val="es-CO" w:eastAsia="es-CO"/>
              </w:rPr>
              <w:t>Written message</w:t>
            </w:r>
          </w:p>
        </w:tc>
        <w:tc>
          <w:tcPr>
            <w:tcW w:w="1140" w:type="dxa"/>
            <w:vMerge w:val="restart"/>
            <w:tcBorders>
              <w:top w:val="nil"/>
              <w:left w:val="nil"/>
              <w:bottom w:val="nil"/>
              <w:right w:val="nil"/>
            </w:tcBorders>
            <w:shd w:val="clear" w:color="auto" w:fill="auto"/>
            <w:vAlign w:val="center"/>
            <w:hideMark/>
          </w:tcPr>
          <w:p w14:paraId="5A0D006D" w14:textId="77777777" w:rsidR="00592FDB" w:rsidRPr="004E161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666EEF">
              <w:rPr>
                <w:rFonts w:eastAsia="Times New Roman"/>
                <w:color w:val="auto"/>
                <w:sz w:val="20"/>
                <w:szCs w:val="20"/>
                <w:lang w:val="es-CO" w:eastAsia="es-CO"/>
              </w:rPr>
              <w:t>Positive</w:t>
            </w:r>
          </w:p>
        </w:tc>
        <w:tc>
          <w:tcPr>
            <w:tcW w:w="960" w:type="dxa"/>
            <w:tcBorders>
              <w:top w:val="nil"/>
              <w:left w:val="nil"/>
              <w:bottom w:val="nil"/>
              <w:right w:val="nil"/>
            </w:tcBorders>
            <w:shd w:val="clear" w:color="auto" w:fill="auto"/>
            <w:noWrap/>
            <w:vAlign w:val="center"/>
            <w:hideMark/>
          </w:tcPr>
          <w:p w14:paraId="3FD630DC" w14:textId="77777777" w:rsidR="00592FDB" w:rsidRPr="00721D6C"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721D6C">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hideMark/>
          </w:tcPr>
          <w:p w14:paraId="171D4AE8"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0,29</w:t>
            </w:r>
          </w:p>
        </w:tc>
        <w:tc>
          <w:tcPr>
            <w:tcW w:w="960" w:type="dxa"/>
            <w:tcBorders>
              <w:top w:val="nil"/>
              <w:left w:val="nil"/>
              <w:bottom w:val="nil"/>
              <w:right w:val="nil"/>
            </w:tcBorders>
            <w:shd w:val="clear" w:color="auto" w:fill="auto"/>
            <w:noWrap/>
            <w:hideMark/>
          </w:tcPr>
          <w:p w14:paraId="59CF57BC"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0,03</w:t>
            </w:r>
          </w:p>
        </w:tc>
        <w:tc>
          <w:tcPr>
            <w:tcW w:w="1920" w:type="dxa"/>
            <w:tcBorders>
              <w:top w:val="nil"/>
              <w:left w:val="nil"/>
              <w:bottom w:val="nil"/>
              <w:right w:val="nil"/>
            </w:tcBorders>
            <w:shd w:val="clear" w:color="auto" w:fill="auto"/>
            <w:noWrap/>
            <w:hideMark/>
          </w:tcPr>
          <w:p w14:paraId="02659CA5"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0,24</w:t>
            </w:r>
          </w:p>
        </w:tc>
        <w:tc>
          <w:tcPr>
            <w:tcW w:w="960" w:type="dxa"/>
            <w:tcBorders>
              <w:top w:val="nil"/>
              <w:left w:val="nil"/>
              <w:bottom w:val="nil"/>
              <w:right w:val="nil"/>
            </w:tcBorders>
            <w:shd w:val="clear" w:color="auto" w:fill="auto"/>
            <w:noWrap/>
            <w:hideMark/>
          </w:tcPr>
          <w:p w14:paraId="0F371526"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0,35</w:t>
            </w:r>
          </w:p>
        </w:tc>
      </w:tr>
      <w:tr w:rsidR="00592FDB" w:rsidRPr="00592FDB" w14:paraId="6D3F7B65" w14:textId="77777777" w:rsidTr="00592FDB">
        <w:trPr>
          <w:trHeight w:val="300"/>
        </w:trPr>
        <w:tc>
          <w:tcPr>
            <w:tcW w:w="1160" w:type="dxa"/>
            <w:vMerge/>
            <w:tcBorders>
              <w:top w:val="nil"/>
              <w:left w:val="nil"/>
              <w:bottom w:val="nil"/>
              <w:right w:val="nil"/>
            </w:tcBorders>
            <w:vAlign w:val="center"/>
            <w:hideMark/>
          </w:tcPr>
          <w:p w14:paraId="7603041E"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6CC1EF6D"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670B249A"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hideMark/>
          </w:tcPr>
          <w:p w14:paraId="31881976"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0,26</w:t>
            </w:r>
          </w:p>
        </w:tc>
        <w:tc>
          <w:tcPr>
            <w:tcW w:w="960" w:type="dxa"/>
            <w:tcBorders>
              <w:top w:val="nil"/>
              <w:left w:val="nil"/>
              <w:bottom w:val="nil"/>
              <w:right w:val="nil"/>
            </w:tcBorders>
            <w:shd w:val="clear" w:color="auto" w:fill="auto"/>
            <w:noWrap/>
            <w:hideMark/>
          </w:tcPr>
          <w:p w14:paraId="4D45A4D3"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0,03</w:t>
            </w:r>
          </w:p>
        </w:tc>
        <w:tc>
          <w:tcPr>
            <w:tcW w:w="1920" w:type="dxa"/>
            <w:tcBorders>
              <w:top w:val="nil"/>
              <w:left w:val="nil"/>
              <w:bottom w:val="nil"/>
              <w:right w:val="nil"/>
            </w:tcBorders>
            <w:shd w:val="clear" w:color="auto" w:fill="auto"/>
            <w:noWrap/>
            <w:hideMark/>
          </w:tcPr>
          <w:p w14:paraId="03D10E25"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0,21</w:t>
            </w:r>
          </w:p>
        </w:tc>
        <w:tc>
          <w:tcPr>
            <w:tcW w:w="960" w:type="dxa"/>
            <w:tcBorders>
              <w:top w:val="nil"/>
              <w:left w:val="nil"/>
              <w:bottom w:val="nil"/>
              <w:right w:val="nil"/>
            </w:tcBorders>
            <w:shd w:val="clear" w:color="auto" w:fill="auto"/>
            <w:noWrap/>
            <w:hideMark/>
          </w:tcPr>
          <w:p w14:paraId="06184C9B"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0,32</w:t>
            </w:r>
          </w:p>
        </w:tc>
      </w:tr>
      <w:tr w:rsidR="00592FDB" w:rsidRPr="00592FDB" w14:paraId="2DA02B1D" w14:textId="77777777" w:rsidTr="00592FDB">
        <w:trPr>
          <w:trHeight w:val="300"/>
        </w:trPr>
        <w:tc>
          <w:tcPr>
            <w:tcW w:w="1160" w:type="dxa"/>
            <w:vMerge/>
            <w:tcBorders>
              <w:top w:val="nil"/>
              <w:left w:val="nil"/>
              <w:bottom w:val="nil"/>
              <w:right w:val="nil"/>
            </w:tcBorders>
            <w:vAlign w:val="center"/>
            <w:hideMark/>
          </w:tcPr>
          <w:p w14:paraId="376DCE86"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nil"/>
              <w:right w:val="nil"/>
            </w:tcBorders>
            <w:shd w:val="clear" w:color="auto" w:fill="auto"/>
            <w:vAlign w:val="center"/>
            <w:hideMark/>
          </w:tcPr>
          <w:p w14:paraId="0A98B5D6"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Non-positive</w:t>
            </w:r>
          </w:p>
        </w:tc>
        <w:tc>
          <w:tcPr>
            <w:tcW w:w="960" w:type="dxa"/>
            <w:tcBorders>
              <w:top w:val="nil"/>
              <w:left w:val="nil"/>
              <w:bottom w:val="nil"/>
              <w:right w:val="nil"/>
            </w:tcBorders>
            <w:shd w:val="clear" w:color="auto" w:fill="auto"/>
            <w:noWrap/>
            <w:vAlign w:val="center"/>
            <w:hideMark/>
          </w:tcPr>
          <w:p w14:paraId="1F848D57"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hideMark/>
          </w:tcPr>
          <w:p w14:paraId="3B2EF7BB"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0,45</w:t>
            </w:r>
          </w:p>
        </w:tc>
        <w:tc>
          <w:tcPr>
            <w:tcW w:w="960" w:type="dxa"/>
            <w:tcBorders>
              <w:top w:val="nil"/>
              <w:left w:val="nil"/>
              <w:bottom w:val="nil"/>
              <w:right w:val="nil"/>
            </w:tcBorders>
            <w:shd w:val="clear" w:color="auto" w:fill="auto"/>
            <w:noWrap/>
            <w:hideMark/>
          </w:tcPr>
          <w:p w14:paraId="13E29275"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0,05</w:t>
            </w:r>
          </w:p>
        </w:tc>
        <w:tc>
          <w:tcPr>
            <w:tcW w:w="1920" w:type="dxa"/>
            <w:tcBorders>
              <w:top w:val="nil"/>
              <w:left w:val="nil"/>
              <w:bottom w:val="nil"/>
              <w:right w:val="nil"/>
            </w:tcBorders>
            <w:shd w:val="clear" w:color="auto" w:fill="auto"/>
            <w:noWrap/>
            <w:hideMark/>
          </w:tcPr>
          <w:p w14:paraId="76195DF4"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0,35</w:t>
            </w:r>
          </w:p>
        </w:tc>
        <w:tc>
          <w:tcPr>
            <w:tcW w:w="960" w:type="dxa"/>
            <w:tcBorders>
              <w:top w:val="nil"/>
              <w:left w:val="nil"/>
              <w:bottom w:val="nil"/>
              <w:right w:val="nil"/>
            </w:tcBorders>
            <w:shd w:val="clear" w:color="auto" w:fill="auto"/>
            <w:noWrap/>
            <w:hideMark/>
          </w:tcPr>
          <w:p w14:paraId="46365679"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0,54</w:t>
            </w:r>
          </w:p>
        </w:tc>
      </w:tr>
      <w:tr w:rsidR="00592FDB" w:rsidRPr="00592FDB" w14:paraId="3DC59041" w14:textId="77777777" w:rsidTr="00592FDB">
        <w:trPr>
          <w:trHeight w:val="300"/>
        </w:trPr>
        <w:tc>
          <w:tcPr>
            <w:tcW w:w="1160" w:type="dxa"/>
            <w:vMerge/>
            <w:tcBorders>
              <w:top w:val="nil"/>
              <w:left w:val="nil"/>
              <w:bottom w:val="nil"/>
              <w:right w:val="nil"/>
            </w:tcBorders>
            <w:vAlign w:val="center"/>
            <w:hideMark/>
          </w:tcPr>
          <w:p w14:paraId="74A2B220"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2098777A"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142C54EC"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hideMark/>
          </w:tcPr>
          <w:p w14:paraId="03C28DCC"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0,38</w:t>
            </w:r>
          </w:p>
        </w:tc>
        <w:tc>
          <w:tcPr>
            <w:tcW w:w="960" w:type="dxa"/>
            <w:tcBorders>
              <w:top w:val="nil"/>
              <w:left w:val="nil"/>
              <w:bottom w:val="nil"/>
              <w:right w:val="nil"/>
            </w:tcBorders>
            <w:shd w:val="clear" w:color="auto" w:fill="auto"/>
            <w:noWrap/>
            <w:hideMark/>
          </w:tcPr>
          <w:p w14:paraId="59C67717"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0,05</w:t>
            </w:r>
          </w:p>
        </w:tc>
        <w:tc>
          <w:tcPr>
            <w:tcW w:w="1920" w:type="dxa"/>
            <w:tcBorders>
              <w:top w:val="nil"/>
              <w:left w:val="nil"/>
              <w:bottom w:val="nil"/>
              <w:right w:val="nil"/>
            </w:tcBorders>
            <w:shd w:val="clear" w:color="auto" w:fill="auto"/>
            <w:noWrap/>
            <w:hideMark/>
          </w:tcPr>
          <w:p w14:paraId="2DD39F19"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0,29</w:t>
            </w:r>
          </w:p>
        </w:tc>
        <w:tc>
          <w:tcPr>
            <w:tcW w:w="960" w:type="dxa"/>
            <w:tcBorders>
              <w:top w:val="nil"/>
              <w:left w:val="nil"/>
              <w:bottom w:val="nil"/>
              <w:right w:val="nil"/>
            </w:tcBorders>
            <w:shd w:val="clear" w:color="auto" w:fill="auto"/>
            <w:noWrap/>
            <w:hideMark/>
          </w:tcPr>
          <w:p w14:paraId="2A8B5195"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0,48</w:t>
            </w:r>
          </w:p>
        </w:tc>
      </w:tr>
      <w:tr w:rsidR="00592FDB" w:rsidRPr="00592FDB" w14:paraId="3CAC8732" w14:textId="77777777" w:rsidTr="00592FDB">
        <w:trPr>
          <w:trHeight w:val="300"/>
        </w:trPr>
        <w:tc>
          <w:tcPr>
            <w:tcW w:w="1160" w:type="dxa"/>
            <w:vMerge/>
            <w:tcBorders>
              <w:top w:val="nil"/>
              <w:left w:val="nil"/>
              <w:bottom w:val="nil"/>
              <w:right w:val="nil"/>
            </w:tcBorders>
            <w:vAlign w:val="center"/>
            <w:hideMark/>
          </w:tcPr>
          <w:p w14:paraId="5F3BE042"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nil"/>
              <w:right w:val="nil"/>
            </w:tcBorders>
            <w:shd w:val="clear" w:color="auto" w:fill="auto"/>
            <w:vAlign w:val="center"/>
            <w:hideMark/>
          </w:tcPr>
          <w:p w14:paraId="17172B3B"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Control</w:t>
            </w:r>
          </w:p>
        </w:tc>
        <w:tc>
          <w:tcPr>
            <w:tcW w:w="960" w:type="dxa"/>
            <w:tcBorders>
              <w:top w:val="nil"/>
              <w:left w:val="nil"/>
              <w:bottom w:val="nil"/>
              <w:right w:val="nil"/>
            </w:tcBorders>
            <w:shd w:val="clear" w:color="auto" w:fill="auto"/>
            <w:noWrap/>
            <w:vAlign w:val="center"/>
            <w:hideMark/>
          </w:tcPr>
          <w:p w14:paraId="6EE23572"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hideMark/>
          </w:tcPr>
          <w:p w14:paraId="77294D66"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0,41</w:t>
            </w:r>
          </w:p>
        </w:tc>
        <w:tc>
          <w:tcPr>
            <w:tcW w:w="960" w:type="dxa"/>
            <w:tcBorders>
              <w:top w:val="nil"/>
              <w:left w:val="nil"/>
              <w:bottom w:val="nil"/>
              <w:right w:val="nil"/>
            </w:tcBorders>
            <w:shd w:val="clear" w:color="auto" w:fill="auto"/>
            <w:noWrap/>
            <w:hideMark/>
          </w:tcPr>
          <w:p w14:paraId="068B2CFB"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0,03</w:t>
            </w:r>
          </w:p>
        </w:tc>
        <w:tc>
          <w:tcPr>
            <w:tcW w:w="1920" w:type="dxa"/>
            <w:tcBorders>
              <w:top w:val="nil"/>
              <w:left w:val="nil"/>
              <w:bottom w:val="nil"/>
              <w:right w:val="nil"/>
            </w:tcBorders>
            <w:shd w:val="clear" w:color="auto" w:fill="auto"/>
            <w:noWrap/>
            <w:hideMark/>
          </w:tcPr>
          <w:p w14:paraId="24495474"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0,35</w:t>
            </w:r>
          </w:p>
        </w:tc>
        <w:tc>
          <w:tcPr>
            <w:tcW w:w="960" w:type="dxa"/>
            <w:tcBorders>
              <w:top w:val="nil"/>
              <w:left w:val="nil"/>
              <w:bottom w:val="nil"/>
              <w:right w:val="nil"/>
            </w:tcBorders>
            <w:shd w:val="clear" w:color="auto" w:fill="auto"/>
            <w:noWrap/>
            <w:hideMark/>
          </w:tcPr>
          <w:p w14:paraId="2C39B39E"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0,46</w:t>
            </w:r>
          </w:p>
        </w:tc>
      </w:tr>
      <w:tr w:rsidR="00592FDB" w:rsidRPr="00592FDB" w14:paraId="12AC4FCB" w14:textId="77777777" w:rsidTr="00592FDB">
        <w:trPr>
          <w:trHeight w:val="300"/>
        </w:trPr>
        <w:tc>
          <w:tcPr>
            <w:tcW w:w="1160" w:type="dxa"/>
            <w:vMerge/>
            <w:tcBorders>
              <w:top w:val="nil"/>
              <w:left w:val="nil"/>
              <w:bottom w:val="nil"/>
              <w:right w:val="nil"/>
            </w:tcBorders>
            <w:vAlign w:val="center"/>
            <w:hideMark/>
          </w:tcPr>
          <w:p w14:paraId="41CB57FD"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30FB620C"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36ED37BB"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hideMark/>
          </w:tcPr>
          <w:p w14:paraId="457FE4D0"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0,36</w:t>
            </w:r>
          </w:p>
        </w:tc>
        <w:tc>
          <w:tcPr>
            <w:tcW w:w="960" w:type="dxa"/>
            <w:tcBorders>
              <w:top w:val="nil"/>
              <w:left w:val="nil"/>
              <w:bottom w:val="nil"/>
              <w:right w:val="nil"/>
            </w:tcBorders>
            <w:shd w:val="clear" w:color="auto" w:fill="auto"/>
            <w:noWrap/>
            <w:hideMark/>
          </w:tcPr>
          <w:p w14:paraId="5679DE45"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0,03</w:t>
            </w:r>
          </w:p>
        </w:tc>
        <w:tc>
          <w:tcPr>
            <w:tcW w:w="1920" w:type="dxa"/>
            <w:tcBorders>
              <w:top w:val="nil"/>
              <w:left w:val="nil"/>
              <w:bottom w:val="nil"/>
              <w:right w:val="nil"/>
            </w:tcBorders>
            <w:shd w:val="clear" w:color="auto" w:fill="auto"/>
            <w:noWrap/>
            <w:hideMark/>
          </w:tcPr>
          <w:p w14:paraId="1C50EDB0"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0,31</w:t>
            </w:r>
          </w:p>
        </w:tc>
        <w:tc>
          <w:tcPr>
            <w:tcW w:w="960" w:type="dxa"/>
            <w:tcBorders>
              <w:top w:val="nil"/>
              <w:left w:val="nil"/>
              <w:bottom w:val="nil"/>
              <w:right w:val="nil"/>
            </w:tcBorders>
            <w:shd w:val="clear" w:color="auto" w:fill="auto"/>
            <w:noWrap/>
            <w:hideMark/>
          </w:tcPr>
          <w:p w14:paraId="67BB2CA3"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0,42</w:t>
            </w:r>
          </w:p>
        </w:tc>
      </w:tr>
      <w:tr w:rsidR="00592FDB" w:rsidRPr="00592FDB" w14:paraId="7CE99CC3" w14:textId="77777777" w:rsidTr="00592FDB">
        <w:trPr>
          <w:trHeight w:val="300"/>
        </w:trPr>
        <w:tc>
          <w:tcPr>
            <w:tcW w:w="1160" w:type="dxa"/>
            <w:vMerge w:val="restart"/>
            <w:tcBorders>
              <w:top w:val="nil"/>
              <w:left w:val="nil"/>
              <w:bottom w:val="nil"/>
              <w:right w:val="nil"/>
            </w:tcBorders>
            <w:shd w:val="clear" w:color="auto" w:fill="auto"/>
            <w:vAlign w:val="center"/>
            <w:hideMark/>
          </w:tcPr>
          <w:p w14:paraId="777DEBC5" w14:textId="77777777" w:rsidR="00592FDB" w:rsidRPr="00774F56"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774F56">
              <w:rPr>
                <w:rFonts w:eastAsia="Times New Roman"/>
                <w:color w:val="auto"/>
                <w:sz w:val="20"/>
                <w:szCs w:val="20"/>
                <w:lang w:val="es-CO" w:eastAsia="es-CO"/>
              </w:rPr>
              <w:t>Media</w:t>
            </w:r>
          </w:p>
        </w:tc>
        <w:tc>
          <w:tcPr>
            <w:tcW w:w="1140" w:type="dxa"/>
            <w:vMerge w:val="restart"/>
            <w:tcBorders>
              <w:top w:val="nil"/>
              <w:left w:val="nil"/>
              <w:bottom w:val="nil"/>
              <w:right w:val="nil"/>
            </w:tcBorders>
            <w:shd w:val="clear" w:color="auto" w:fill="auto"/>
            <w:vAlign w:val="center"/>
            <w:hideMark/>
          </w:tcPr>
          <w:p w14:paraId="34CADA48" w14:textId="77777777" w:rsidR="00592FDB" w:rsidRPr="004E161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666EEF">
              <w:rPr>
                <w:rFonts w:eastAsia="Times New Roman"/>
                <w:color w:val="auto"/>
                <w:sz w:val="20"/>
                <w:szCs w:val="20"/>
                <w:lang w:val="es-CO" w:eastAsia="es-CO"/>
              </w:rPr>
              <w:t>Positive</w:t>
            </w:r>
          </w:p>
        </w:tc>
        <w:tc>
          <w:tcPr>
            <w:tcW w:w="960" w:type="dxa"/>
            <w:tcBorders>
              <w:top w:val="nil"/>
              <w:left w:val="nil"/>
              <w:bottom w:val="nil"/>
              <w:right w:val="nil"/>
            </w:tcBorders>
            <w:shd w:val="clear" w:color="auto" w:fill="auto"/>
            <w:noWrap/>
            <w:vAlign w:val="center"/>
            <w:hideMark/>
          </w:tcPr>
          <w:p w14:paraId="6524BD6B" w14:textId="77777777" w:rsidR="00592FDB" w:rsidRPr="00721D6C"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721D6C">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hideMark/>
          </w:tcPr>
          <w:p w14:paraId="4D8393BA"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0,38</w:t>
            </w:r>
          </w:p>
        </w:tc>
        <w:tc>
          <w:tcPr>
            <w:tcW w:w="960" w:type="dxa"/>
            <w:tcBorders>
              <w:top w:val="nil"/>
              <w:left w:val="nil"/>
              <w:bottom w:val="nil"/>
              <w:right w:val="nil"/>
            </w:tcBorders>
            <w:shd w:val="clear" w:color="auto" w:fill="auto"/>
            <w:noWrap/>
            <w:hideMark/>
          </w:tcPr>
          <w:p w14:paraId="4BC728F3"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0,03</w:t>
            </w:r>
          </w:p>
        </w:tc>
        <w:tc>
          <w:tcPr>
            <w:tcW w:w="1920" w:type="dxa"/>
            <w:tcBorders>
              <w:top w:val="nil"/>
              <w:left w:val="nil"/>
              <w:bottom w:val="nil"/>
              <w:right w:val="nil"/>
            </w:tcBorders>
            <w:shd w:val="clear" w:color="auto" w:fill="auto"/>
            <w:noWrap/>
            <w:hideMark/>
          </w:tcPr>
          <w:p w14:paraId="327ADF13"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0,31</w:t>
            </w:r>
          </w:p>
        </w:tc>
        <w:tc>
          <w:tcPr>
            <w:tcW w:w="960" w:type="dxa"/>
            <w:tcBorders>
              <w:top w:val="nil"/>
              <w:left w:val="nil"/>
              <w:bottom w:val="nil"/>
              <w:right w:val="nil"/>
            </w:tcBorders>
            <w:shd w:val="clear" w:color="auto" w:fill="auto"/>
            <w:noWrap/>
            <w:hideMark/>
          </w:tcPr>
          <w:p w14:paraId="2ECCABDA"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0,44</w:t>
            </w:r>
          </w:p>
        </w:tc>
      </w:tr>
      <w:tr w:rsidR="00592FDB" w:rsidRPr="00592FDB" w14:paraId="7D6813CB" w14:textId="77777777" w:rsidTr="00592FDB">
        <w:trPr>
          <w:trHeight w:val="300"/>
        </w:trPr>
        <w:tc>
          <w:tcPr>
            <w:tcW w:w="1160" w:type="dxa"/>
            <w:vMerge/>
            <w:tcBorders>
              <w:top w:val="nil"/>
              <w:left w:val="nil"/>
              <w:bottom w:val="nil"/>
              <w:right w:val="nil"/>
            </w:tcBorders>
            <w:vAlign w:val="center"/>
            <w:hideMark/>
          </w:tcPr>
          <w:p w14:paraId="292FEB7D"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2E69DD9F"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2E67F3FB"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hideMark/>
          </w:tcPr>
          <w:p w14:paraId="6507A824"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0,27</w:t>
            </w:r>
          </w:p>
        </w:tc>
        <w:tc>
          <w:tcPr>
            <w:tcW w:w="960" w:type="dxa"/>
            <w:tcBorders>
              <w:top w:val="nil"/>
              <w:left w:val="nil"/>
              <w:bottom w:val="nil"/>
              <w:right w:val="nil"/>
            </w:tcBorders>
            <w:shd w:val="clear" w:color="auto" w:fill="auto"/>
            <w:noWrap/>
            <w:hideMark/>
          </w:tcPr>
          <w:p w14:paraId="71CA639D"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0,03</w:t>
            </w:r>
          </w:p>
        </w:tc>
        <w:tc>
          <w:tcPr>
            <w:tcW w:w="1920" w:type="dxa"/>
            <w:tcBorders>
              <w:top w:val="nil"/>
              <w:left w:val="nil"/>
              <w:bottom w:val="nil"/>
              <w:right w:val="nil"/>
            </w:tcBorders>
            <w:shd w:val="clear" w:color="auto" w:fill="auto"/>
            <w:noWrap/>
            <w:hideMark/>
          </w:tcPr>
          <w:p w14:paraId="7C5C6582"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0,20</w:t>
            </w:r>
          </w:p>
        </w:tc>
        <w:tc>
          <w:tcPr>
            <w:tcW w:w="960" w:type="dxa"/>
            <w:tcBorders>
              <w:top w:val="nil"/>
              <w:left w:val="nil"/>
              <w:bottom w:val="nil"/>
              <w:right w:val="nil"/>
            </w:tcBorders>
            <w:shd w:val="clear" w:color="auto" w:fill="auto"/>
            <w:noWrap/>
            <w:hideMark/>
          </w:tcPr>
          <w:p w14:paraId="7FAF2695"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0,33</w:t>
            </w:r>
          </w:p>
        </w:tc>
      </w:tr>
      <w:tr w:rsidR="00592FDB" w:rsidRPr="00592FDB" w14:paraId="33CB5C2E" w14:textId="77777777" w:rsidTr="00592FDB">
        <w:trPr>
          <w:trHeight w:val="300"/>
        </w:trPr>
        <w:tc>
          <w:tcPr>
            <w:tcW w:w="1160" w:type="dxa"/>
            <w:vMerge/>
            <w:tcBorders>
              <w:top w:val="nil"/>
              <w:left w:val="nil"/>
              <w:bottom w:val="nil"/>
              <w:right w:val="nil"/>
            </w:tcBorders>
            <w:vAlign w:val="center"/>
            <w:hideMark/>
          </w:tcPr>
          <w:p w14:paraId="1CCC41B8"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nil"/>
              <w:right w:val="nil"/>
            </w:tcBorders>
            <w:shd w:val="clear" w:color="auto" w:fill="auto"/>
            <w:vAlign w:val="center"/>
            <w:hideMark/>
          </w:tcPr>
          <w:p w14:paraId="6301E3C4"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Non-positive</w:t>
            </w:r>
          </w:p>
        </w:tc>
        <w:tc>
          <w:tcPr>
            <w:tcW w:w="960" w:type="dxa"/>
            <w:tcBorders>
              <w:top w:val="nil"/>
              <w:left w:val="nil"/>
              <w:bottom w:val="nil"/>
              <w:right w:val="nil"/>
            </w:tcBorders>
            <w:shd w:val="clear" w:color="auto" w:fill="auto"/>
            <w:noWrap/>
            <w:vAlign w:val="center"/>
            <w:hideMark/>
          </w:tcPr>
          <w:p w14:paraId="5A8BD1AF"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hideMark/>
          </w:tcPr>
          <w:p w14:paraId="40F80D9A"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0,40</w:t>
            </w:r>
          </w:p>
        </w:tc>
        <w:tc>
          <w:tcPr>
            <w:tcW w:w="960" w:type="dxa"/>
            <w:tcBorders>
              <w:top w:val="nil"/>
              <w:left w:val="nil"/>
              <w:bottom w:val="nil"/>
              <w:right w:val="nil"/>
            </w:tcBorders>
            <w:shd w:val="clear" w:color="auto" w:fill="auto"/>
            <w:noWrap/>
            <w:hideMark/>
          </w:tcPr>
          <w:p w14:paraId="072E9D6C"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0,06</w:t>
            </w:r>
          </w:p>
        </w:tc>
        <w:tc>
          <w:tcPr>
            <w:tcW w:w="1920" w:type="dxa"/>
            <w:tcBorders>
              <w:top w:val="nil"/>
              <w:left w:val="nil"/>
              <w:bottom w:val="nil"/>
              <w:right w:val="nil"/>
            </w:tcBorders>
            <w:shd w:val="clear" w:color="auto" w:fill="auto"/>
            <w:noWrap/>
            <w:hideMark/>
          </w:tcPr>
          <w:p w14:paraId="2259EEDC"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0,28</w:t>
            </w:r>
          </w:p>
        </w:tc>
        <w:tc>
          <w:tcPr>
            <w:tcW w:w="960" w:type="dxa"/>
            <w:tcBorders>
              <w:top w:val="nil"/>
              <w:left w:val="nil"/>
              <w:bottom w:val="nil"/>
              <w:right w:val="nil"/>
            </w:tcBorders>
            <w:shd w:val="clear" w:color="auto" w:fill="auto"/>
            <w:noWrap/>
            <w:hideMark/>
          </w:tcPr>
          <w:p w14:paraId="6F2D315B"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0,53</w:t>
            </w:r>
          </w:p>
        </w:tc>
      </w:tr>
      <w:tr w:rsidR="00592FDB" w:rsidRPr="00592FDB" w14:paraId="15CF01AB" w14:textId="77777777" w:rsidTr="00592FDB">
        <w:trPr>
          <w:trHeight w:val="300"/>
        </w:trPr>
        <w:tc>
          <w:tcPr>
            <w:tcW w:w="1160" w:type="dxa"/>
            <w:vMerge/>
            <w:tcBorders>
              <w:top w:val="nil"/>
              <w:left w:val="nil"/>
              <w:bottom w:val="nil"/>
              <w:right w:val="nil"/>
            </w:tcBorders>
            <w:vAlign w:val="center"/>
            <w:hideMark/>
          </w:tcPr>
          <w:p w14:paraId="1B9C2EC0"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51BA2DA7"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6E763875"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hideMark/>
          </w:tcPr>
          <w:p w14:paraId="4860C3B5"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0,29</w:t>
            </w:r>
          </w:p>
        </w:tc>
        <w:tc>
          <w:tcPr>
            <w:tcW w:w="960" w:type="dxa"/>
            <w:tcBorders>
              <w:top w:val="nil"/>
              <w:left w:val="nil"/>
              <w:bottom w:val="nil"/>
              <w:right w:val="nil"/>
            </w:tcBorders>
            <w:shd w:val="clear" w:color="auto" w:fill="auto"/>
            <w:noWrap/>
            <w:hideMark/>
          </w:tcPr>
          <w:p w14:paraId="4340E37A"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0,06</w:t>
            </w:r>
          </w:p>
        </w:tc>
        <w:tc>
          <w:tcPr>
            <w:tcW w:w="1920" w:type="dxa"/>
            <w:tcBorders>
              <w:top w:val="nil"/>
              <w:left w:val="nil"/>
              <w:bottom w:val="nil"/>
              <w:right w:val="nil"/>
            </w:tcBorders>
            <w:shd w:val="clear" w:color="auto" w:fill="auto"/>
            <w:noWrap/>
            <w:hideMark/>
          </w:tcPr>
          <w:p w14:paraId="2B63884D"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0,17</w:t>
            </w:r>
          </w:p>
        </w:tc>
        <w:tc>
          <w:tcPr>
            <w:tcW w:w="960" w:type="dxa"/>
            <w:tcBorders>
              <w:top w:val="nil"/>
              <w:left w:val="nil"/>
              <w:bottom w:val="nil"/>
              <w:right w:val="nil"/>
            </w:tcBorders>
            <w:shd w:val="clear" w:color="auto" w:fill="auto"/>
            <w:noWrap/>
            <w:hideMark/>
          </w:tcPr>
          <w:p w14:paraId="2470C8AB"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0,41</w:t>
            </w:r>
          </w:p>
        </w:tc>
      </w:tr>
      <w:tr w:rsidR="00592FDB" w:rsidRPr="00592FDB" w14:paraId="7E15CD45" w14:textId="77777777" w:rsidTr="00592FDB">
        <w:trPr>
          <w:trHeight w:val="300"/>
        </w:trPr>
        <w:tc>
          <w:tcPr>
            <w:tcW w:w="1160" w:type="dxa"/>
            <w:vMerge/>
            <w:tcBorders>
              <w:top w:val="nil"/>
              <w:left w:val="nil"/>
              <w:bottom w:val="nil"/>
              <w:right w:val="nil"/>
            </w:tcBorders>
            <w:vAlign w:val="center"/>
            <w:hideMark/>
          </w:tcPr>
          <w:p w14:paraId="417FC3C7"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nil"/>
              <w:right w:val="nil"/>
            </w:tcBorders>
            <w:shd w:val="clear" w:color="auto" w:fill="auto"/>
            <w:vAlign w:val="center"/>
            <w:hideMark/>
          </w:tcPr>
          <w:p w14:paraId="5D868E25"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Control</w:t>
            </w:r>
          </w:p>
        </w:tc>
        <w:tc>
          <w:tcPr>
            <w:tcW w:w="960" w:type="dxa"/>
            <w:tcBorders>
              <w:top w:val="nil"/>
              <w:left w:val="nil"/>
              <w:bottom w:val="nil"/>
              <w:right w:val="nil"/>
            </w:tcBorders>
            <w:shd w:val="clear" w:color="auto" w:fill="auto"/>
            <w:noWrap/>
            <w:vAlign w:val="center"/>
            <w:hideMark/>
          </w:tcPr>
          <w:p w14:paraId="0E080E04"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hideMark/>
          </w:tcPr>
          <w:p w14:paraId="660E6A7F"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0,40</w:t>
            </w:r>
          </w:p>
        </w:tc>
        <w:tc>
          <w:tcPr>
            <w:tcW w:w="960" w:type="dxa"/>
            <w:tcBorders>
              <w:top w:val="nil"/>
              <w:left w:val="nil"/>
              <w:bottom w:val="nil"/>
              <w:right w:val="nil"/>
            </w:tcBorders>
            <w:shd w:val="clear" w:color="auto" w:fill="auto"/>
            <w:noWrap/>
            <w:hideMark/>
          </w:tcPr>
          <w:p w14:paraId="52186912"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0,03</w:t>
            </w:r>
          </w:p>
        </w:tc>
        <w:tc>
          <w:tcPr>
            <w:tcW w:w="1920" w:type="dxa"/>
            <w:tcBorders>
              <w:top w:val="nil"/>
              <w:left w:val="nil"/>
              <w:bottom w:val="nil"/>
              <w:right w:val="nil"/>
            </w:tcBorders>
            <w:shd w:val="clear" w:color="auto" w:fill="auto"/>
            <w:noWrap/>
            <w:hideMark/>
          </w:tcPr>
          <w:p w14:paraId="0D83B6B4"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0,35</w:t>
            </w:r>
          </w:p>
        </w:tc>
        <w:tc>
          <w:tcPr>
            <w:tcW w:w="960" w:type="dxa"/>
            <w:tcBorders>
              <w:top w:val="nil"/>
              <w:left w:val="nil"/>
              <w:bottom w:val="nil"/>
              <w:right w:val="nil"/>
            </w:tcBorders>
            <w:shd w:val="clear" w:color="auto" w:fill="auto"/>
            <w:noWrap/>
            <w:hideMark/>
          </w:tcPr>
          <w:p w14:paraId="1104BEBB"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0,45</w:t>
            </w:r>
          </w:p>
        </w:tc>
      </w:tr>
      <w:tr w:rsidR="00592FDB" w:rsidRPr="00592FDB" w14:paraId="7CA4B53E" w14:textId="77777777" w:rsidTr="00592FDB">
        <w:trPr>
          <w:trHeight w:val="300"/>
        </w:trPr>
        <w:tc>
          <w:tcPr>
            <w:tcW w:w="1160" w:type="dxa"/>
            <w:vMerge/>
            <w:tcBorders>
              <w:top w:val="nil"/>
              <w:left w:val="nil"/>
              <w:bottom w:val="nil"/>
              <w:right w:val="nil"/>
            </w:tcBorders>
            <w:vAlign w:val="center"/>
            <w:hideMark/>
          </w:tcPr>
          <w:p w14:paraId="2570B8E5"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7071E129"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5BD7D608"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hideMark/>
          </w:tcPr>
          <w:p w14:paraId="023ADFBB"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0,37</w:t>
            </w:r>
          </w:p>
        </w:tc>
        <w:tc>
          <w:tcPr>
            <w:tcW w:w="960" w:type="dxa"/>
            <w:tcBorders>
              <w:top w:val="nil"/>
              <w:left w:val="nil"/>
              <w:bottom w:val="nil"/>
              <w:right w:val="nil"/>
            </w:tcBorders>
            <w:shd w:val="clear" w:color="auto" w:fill="auto"/>
            <w:noWrap/>
            <w:hideMark/>
          </w:tcPr>
          <w:p w14:paraId="27A5AED9"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0,03</w:t>
            </w:r>
          </w:p>
        </w:tc>
        <w:tc>
          <w:tcPr>
            <w:tcW w:w="1920" w:type="dxa"/>
            <w:tcBorders>
              <w:top w:val="nil"/>
              <w:left w:val="nil"/>
              <w:bottom w:val="nil"/>
              <w:right w:val="nil"/>
            </w:tcBorders>
            <w:shd w:val="clear" w:color="auto" w:fill="auto"/>
            <w:noWrap/>
            <w:hideMark/>
          </w:tcPr>
          <w:p w14:paraId="1A31913B"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0,32</w:t>
            </w:r>
          </w:p>
        </w:tc>
        <w:tc>
          <w:tcPr>
            <w:tcW w:w="960" w:type="dxa"/>
            <w:tcBorders>
              <w:top w:val="nil"/>
              <w:left w:val="nil"/>
              <w:bottom w:val="nil"/>
              <w:right w:val="nil"/>
            </w:tcBorders>
            <w:shd w:val="clear" w:color="auto" w:fill="auto"/>
            <w:noWrap/>
            <w:hideMark/>
          </w:tcPr>
          <w:p w14:paraId="7A9D391B"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0,42</w:t>
            </w:r>
          </w:p>
        </w:tc>
      </w:tr>
      <w:tr w:rsidR="00592FDB" w:rsidRPr="00592FDB" w14:paraId="6BC8DB33" w14:textId="77777777" w:rsidTr="00592FDB">
        <w:trPr>
          <w:trHeight w:val="300"/>
        </w:trPr>
        <w:tc>
          <w:tcPr>
            <w:tcW w:w="1160" w:type="dxa"/>
            <w:vMerge w:val="restart"/>
            <w:tcBorders>
              <w:top w:val="nil"/>
              <w:left w:val="nil"/>
              <w:bottom w:val="single" w:sz="4" w:space="0" w:color="000000"/>
              <w:right w:val="nil"/>
            </w:tcBorders>
            <w:shd w:val="clear" w:color="auto" w:fill="auto"/>
            <w:vAlign w:val="center"/>
            <w:hideMark/>
          </w:tcPr>
          <w:p w14:paraId="55CA1637" w14:textId="77777777" w:rsidR="00592FDB" w:rsidRPr="00774F56"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774F56">
              <w:rPr>
                <w:rFonts w:eastAsia="Times New Roman"/>
                <w:color w:val="auto"/>
                <w:sz w:val="20"/>
                <w:szCs w:val="20"/>
                <w:lang w:val="es-CO" w:eastAsia="es-CO"/>
              </w:rPr>
              <w:t>Control Education</w:t>
            </w:r>
          </w:p>
        </w:tc>
        <w:tc>
          <w:tcPr>
            <w:tcW w:w="1140" w:type="dxa"/>
            <w:vMerge w:val="restart"/>
            <w:tcBorders>
              <w:top w:val="nil"/>
              <w:left w:val="nil"/>
              <w:bottom w:val="nil"/>
              <w:right w:val="nil"/>
            </w:tcBorders>
            <w:shd w:val="clear" w:color="auto" w:fill="auto"/>
            <w:vAlign w:val="center"/>
            <w:hideMark/>
          </w:tcPr>
          <w:p w14:paraId="44C31E36" w14:textId="77777777" w:rsidR="00592FDB" w:rsidRPr="004E161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666EEF">
              <w:rPr>
                <w:rFonts w:eastAsia="Times New Roman"/>
                <w:color w:val="auto"/>
                <w:sz w:val="20"/>
                <w:szCs w:val="20"/>
                <w:lang w:val="es-CO" w:eastAsia="es-CO"/>
              </w:rPr>
              <w:t>Positive</w:t>
            </w:r>
          </w:p>
        </w:tc>
        <w:tc>
          <w:tcPr>
            <w:tcW w:w="960" w:type="dxa"/>
            <w:tcBorders>
              <w:top w:val="nil"/>
              <w:left w:val="nil"/>
              <w:bottom w:val="nil"/>
              <w:right w:val="nil"/>
            </w:tcBorders>
            <w:shd w:val="clear" w:color="auto" w:fill="auto"/>
            <w:noWrap/>
            <w:vAlign w:val="center"/>
            <w:hideMark/>
          </w:tcPr>
          <w:p w14:paraId="0C6ADC7B" w14:textId="77777777" w:rsidR="00592FDB" w:rsidRPr="00721D6C"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721D6C">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hideMark/>
          </w:tcPr>
          <w:p w14:paraId="7A990C82"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0,34</w:t>
            </w:r>
          </w:p>
        </w:tc>
        <w:tc>
          <w:tcPr>
            <w:tcW w:w="960" w:type="dxa"/>
            <w:tcBorders>
              <w:top w:val="nil"/>
              <w:left w:val="nil"/>
              <w:bottom w:val="nil"/>
              <w:right w:val="nil"/>
            </w:tcBorders>
            <w:shd w:val="clear" w:color="auto" w:fill="auto"/>
            <w:noWrap/>
            <w:hideMark/>
          </w:tcPr>
          <w:p w14:paraId="5C81CF69"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0,03</w:t>
            </w:r>
          </w:p>
        </w:tc>
        <w:tc>
          <w:tcPr>
            <w:tcW w:w="1920" w:type="dxa"/>
            <w:tcBorders>
              <w:top w:val="nil"/>
              <w:left w:val="nil"/>
              <w:bottom w:val="nil"/>
              <w:right w:val="nil"/>
            </w:tcBorders>
            <w:shd w:val="clear" w:color="auto" w:fill="auto"/>
            <w:noWrap/>
            <w:hideMark/>
          </w:tcPr>
          <w:p w14:paraId="7AFED678"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0,28</w:t>
            </w:r>
          </w:p>
        </w:tc>
        <w:tc>
          <w:tcPr>
            <w:tcW w:w="960" w:type="dxa"/>
            <w:tcBorders>
              <w:top w:val="nil"/>
              <w:left w:val="nil"/>
              <w:bottom w:val="nil"/>
              <w:right w:val="nil"/>
            </w:tcBorders>
            <w:shd w:val="clear" w:color="auto" w:fill="auto"/>
            <w:noWrap/>
            <w:hideMark/>
          </w:tcPr>
          <w:p w14:paraId="1D76A5F1"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0,41</w:t>
            </w:r>
          </w:p>
        </w:tc>
      </w:tr>
      <w:tr w:rsidR="00592FDB" w:rsidRPr="00592FDB" w14:paraId="5888CF34" w14:textId="77777777" w:rsidTr="00592FDB">
        <w:trPr>
          <w:trHeight w:val="300"/>
        </w:trPr>
        <w:tc>
          <w:tcPr>
            <w:tcW w:w="1160" w:type="dxa"/>
            <w:vMerge/>
            <w:tcBorders>
              <w:top w:val="nil"/>
              <w:left w:val="nil"/>
              <w:bottom w:val="single" w:sz="4" w:space="0" w:color="000000"/>
              <w:right w:val="nil"/>
            </w:tcBorders>
            <w:vAlign w:val="center"/>
            <w:hideMark/>
          </w:tcPr>
          <w:p w14:paraId="138E2CC4"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50580AC8"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5CA2819B"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hideMark/>
          </w:tcPr>
          <w:p w14:paraId="6153072D"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0,32</w:t>
            </w:r>
          </w:p>
        </w:tc>
        <w:tc>
          <w:tcPr>
            <w:tcW w:w="960" w:type="dxa"/>
            <w:tcBorders>
              <w:top w:val="nil"/>
              <w:left w:val="nil"/>
              <w:bottom w:val="nil"/>
              <w:right w:val="nil"/>
            </w:tcBorders>
            <w:shd w:val="clear" w:color="auto" w:fill="auto"/>
            <w:noWrap/>
            <w:hideMark/>
          </w:tcPr>
          <w:p w14:paraId="49472A74"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0,03</w:t>
            </w:r>
          </w:p>
        </w:tc>
        <w:tc>
          <w:tcPr>
            <w:tcW w:w="1920" w:type="dxa"/>
            <w:tcBorders>
              <w:top w:val="nil"/>
              <w:left w:val="nil"/>
              <w:bottom w:val="nil"/>
              <w:right w:val="nil"/>
            </w:tcBorders>
            <w:shd w:val="clear" w:color="auto" w:fill="auto"/>
            <w:noWrap/>
            <w:hideMark/>
          </w:tcPr>
          <w:p w14:paraId="4A348D90"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0,26</w:t>
            </w:r>
          </w:p>
        </w:tc>
        <w:tc>
          <w:tcPr>
            <w:tcW w:w="960" w:type="dxa"/>
            <w:tcBorders>
              <w:top w:val="nil"/>
              <w:left w:val="nil"/>
              <w:bottom w:val="nil"/>
              <w:right w:val="nil"/>
            </w:tcBorders>
            <w:shd w:val="clear" w:color="auto" w:fill="auto"/>
            <w:noWrap/>
            <w:hideMark/>
          </w:tcPr>
          <w:p w14:paraId="5D27BCF4"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0,38</w:t>
            </w:r>
          </w:p>
        </w:tc>
      </w:tr>
      <w:tr w:rsidR="00592FDB" w:rsidRPr="00592FDB" w14:paraId="40C237CD" w14:textId="77777777" w:rsidTr="00592FDB">
        <w:trPr>
          <w:trHeight w:val="300"/>
        </w:trPr>
        <w:tc>
          <w:tcPr>
            <w:tcW w:w="1160" w:type="dxa"/>
            <w:vMerge/>
            <w:tcBorders>
              <w:top w:val="nil"/>
              <w:left w:val="nil"/>
              <w:bottom w:val="single" w:sz="4" w:space="0" w:color="000000"/>
              <w:right w:val="nil"/>
            </w:tcBorders>
            <w:vAlign w:val="center"/>
            <w:hideMark/>
          </w:tcPr>
          <w:p w14:paraId="1381F3AE"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nil"/>
              <w:right w:val="nil"/>
            </w:tcBorders>
            <w:shd w:val="clear" w:color="auto" w:fill="auto"/>
            <w:vAlign w:val="center"/>
            <w:hideMark/>
          </w:tcPr>
          <w:p w14:paraId="7B6E225D"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Non-positive</w:t>
            </w:r>
          </w:p>
        </w:tc>
        <w:tc>
          <w:tcPr>
            <w:tcW w:w="960" w:type="dxa"/>
            <w:tcBorders>
              <w:top w:val="nil"/>
              <w:left w:val="nil"/>
              <w:bottom w:val="nil"/>
              <w:right w:val="nil"/>
            </w:tcBorders>
            <w:shd w:val="clear" w:color="auto" w:fill="auto"/>
            <w:noWrap/>
            <w:vAlign w:val="center"/>
            <w:hideMark/>
          </w:tcPr>
          <w:p w14:paraId="4B2946EA"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hideMark/>
          </w:tcPr>
          <w:p w14:paraId="0992660A"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0,32</w:t>
            </w:r>
          </w:p>
        </w:tc>
        <w:tc>
          <w:tcPr>
            <w:tcW w:w="960" w:type="dxa"/>
            <w:tcBorders>
              <w:top w:val="nil"/>
              <w:left w:val="nil"/>
              <w:bottom w:val="nil"/>
              <w:right w:val="nil"/>
            </w:tcBorders>
            <w:shd w:val="clear" w:color="auto" w:fill="auto"/>
            <w:noWrap/>
            <w:hideMark/>
          </w:tcPr>
          <w:p w14:paraId="506137BE"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0,06</w:t>
            </w:r>
          </w:p>
        </w:tc>
        <w:tc>
          <w:tcPr>
            <w:tcW w:w="1920" w:type="dxa"/>
            <w:tcBorders>
              <w:top w:val="nil"/>
              <w:left w:val="nil"/>
              <w:bottom w:val="nil"/>
              <w:right w:val="nil"/>
            </w:tcBorders>
            <w:shd w:val="clear" w:color="auto" w:fill="auto"/>
            <w:noWrap/>
            <w:hideMark/>
          </w:tcPr>
          <w:p w14:paraId="3CA45103"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0,20</w:t>
            </w:r>
          </w:p>
        </w:tc>
        <w:tc>
          <w:tcPr>
            <w:tcW w:w="960" w:type="dxa"/>
            <w:tcBorders>
              <w:top w:val="nil"/>
              <w:left w:val="nil"/>
              <w:bottom w:val="nil"/>
              <w:right w:val="nil"/>
            </w:tcBorders>
            <w:shd w:val="clear" w:color="auto" w:fill="auto"/>
            <w:noWrap/>
            <w:hideMark/>
          </w:tcPr>
          <w:p w14:paraId="06C4A387"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0,44</w:t>
            </w:r>
          </w:p>
        </w:tc>
      </w:tr>
      <w:tr w:rsidR="00592FDB" w:rsidRPr="00592FDB" w14:paraId="1EFADEA6" w14:textId="77777777" w:rsidTr="00592FDB">
        <w:trPr>
          <w:trHeight w:val="300"/>
        </w:trPr>
        <w:tc>
          <w:tcPr>
            <w:tcW w:w="1160" w:type="dxa"/>
            <w:vMerge/>
            <w:tcBorders>
              <w:top w:val="nil"/>
              <w:left w:val="nil"/>
              <w:bottom w:val="single" w:sz="4" w:space="0" w:color="000000"/>
              <w:right w:val="nil"/>
            </w:tcBorders>
            <w:vAlign w:val="center"/>
            <w:hideMark/>
          </w:tcPr>
          <w:p w14:paraId="75E3916E"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nil"/>
              <w:right w:val="nil"/>
            </w:tcBorders>
            <w:vAlign w:val="center"/>
            <w:hideMark/>
          </w:tcPr>
          <w:p w14:paraId="364F209F"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nil"/>
              <w:right w:val="nil"/>
            </w:tcBorders>
            <w:shd w:val="clear" w:color="auto" w:fill="auto"/>
            <w:noWrap/>
            <w:vAlign w:val="center"/>
            <w:hideMark/>
          </w:tcPr>
          <w:p w14:paraId="14A350C0"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nil"/>
              <w:right w:val="nil"/>
            </w:tcBorders>
            <w:shd w:val="clear" w:color="auto" w:fill="auto"/>
            <w:noWrap/>
            <w:hideMark/>
          </w:tcPr>
          <w:p w14:paraId="585D992F"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0,28</w:t>
            </w:r>
          </w:p>
        </w:tc>
        <w:tc>
          <w:tcPr>
            <w:tcW w:w="960" w:type="dxa"/>
            <w:tcBorders>
              <w:top w:val="nil"/>
              <w:left w:val="nil"/>
              <w:bottom w:val="nil"/>
              <w:right w:val="nil"/>
            </w:tcBorders>
            <w:shd w:val="clear" w:color="auto" w:fill="auto"/>
            <w:noWrap/>
            <w:hideMark/>
          </w:tcPr>
          <w:p w14:paraId="19CA8C33"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0,06</w:t>
            </w:r>
          </w:p>
        </w:tc>
        <w:tc>
          <w:tcPr>
            <w:tcW w:w="1920" w:type="dxa"/>
            <w:tcBorders>
              <w:top w:val="nil"/>
              <w:left w:val="nil"/>
              <w:bottom w:val="nil"/>
              <w:right w:val="nil"/>
            </w:tcBorders>
            <w:shd w:val="clear" w:color="auto" w:fill="auto"/>
            <w:noWrap/>
            <w:hideMark/>
          </w:tcPr>
          <w:p w14:paraId="0A713821"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0,16</w:t>
            </w:r>
          </w:p>
        </w:tc>
        <w:tc>
          <w:tcPr>
            <w:tcW w:w="960" w:type="dxa"/>
            <w:tcBorders>
              <w:top w:val="nil"/>
              <w:left w:val="nil"/>
              <w:bottom w:val="nil"/>
              <w:right w:val="nil"/>
            </w:tcBorders>
            <w:shd w:val="clear" w:color="auto" w:fill="auto"/>
            <w:noWrap/>
            <w:hideMark/>
          </w:tcPr>
          <w:p w14:paraId="3482F4EC"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0,40</w:t>
            </w:r>
          </w:p>
        </w:tc>
      </w:tr>
      <w:tr w:rsidR="00592FDB" w:rsidRPr="00592FDB" w14:paraId="0B57FB6D" w14:textId="77777777" w:rsidTr="00592FDB">
        <w:trPr>
          <w:trHeight w:val="300"/>
        </w:trPr>
        <w:tc>
          <w:tcPr>
            <w:tcW w:w="1160" w:type="dxa"/>
            <w:vMerge/>
            <w:tcBorders>
              <w:top w:val="nil"/>
              <w:left w:val="nil"/>
              <w:bottom w:val="single" w:sz="4" w:space="0" w:color="000000"/>
              <w:right w:val="nil"/>
            </w:tcBorders>
            <w:vAlign w:val="center"/>
            <w:hideMark/>
          </w:tcPr>
          <w:p w14:paraId="193C42C6"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val="restart"/>
            <w:tcBorders>
              <w:top w:val="nil"/>
              <w:left w:val="nil"/>
              <w:bottom w:val="single" w:sz="4" w:space="0" w:color="000000"/>
              <w:right w:val="nil"/>
            </w:tcBorders>
            <w:shd w:val="clear" w:color="auto" w:fill="auto"/>
            <w:vAlign w:val="center"/>
            <w:hideMark/>
          </w:tcPr>
          <w:p w14:paraId="37DA6FCF"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Control</w:t>
            </w:r>
          </w:p>
        </w:tc>
        <w:tc>
          <w:tcPr>
            <w:tcW w:w="960" w:type="dxa"/>
            <w:tcBorders>
              <w:top w:val="nil"/>
              <w:left w:val="nil"/>
              <w:bottom w:val="nil"/>
              <w:right w:val="nil"/>
            </w:tcBorders>
            <w:shd w:val="clear" w:color="auto" w:fill="auto"/>
            <w:noWrap/>
            <w:vAlign w:val="center"/>
            <w:hideMark/>
          </w:tcPr>
          <w:p w14:paraId="520035C9"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Pre-test</w:t>
            </w:r>
          </w:p>
        </w:tc>
        <w:tc>
          <w:tcPr>
            <w:tcW w:w="960" w:type="dxa"/>
            <w:tcBorders>
              <w:top w:val="nil"/>
              <w:left w:val="nil"/>
              <w:bottom w:val="nil"/>
              <w:right w:val="nil"/>
            </w:tcBorders>
            <w:shd w:val="clear" w:color="auto" w:fill="auto"/>
            <w:noWrap/>
            <w:hideMark/>
          </w:tcPr>
          <w:p w14:paraId="6D1C34D6"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0,41</w:t>
            </w:r>
          </w:p>
        </w:tc>
        <w:tc>
          <w:tcPr>
            <w:tcW w:w="960" w:type="dxa"/>
            <w:tcBorders>
              <w:top w:val="nil"/>
              <w:left w:val="nil"/>
              <w:bottom w:val="nil"/>
              <w:right w:val="nil"/>
            </w:tcBorders>
            <w:shd w:val="clear" w:color="auto" w:fill="auto"/>
            <w:noWrap/>
            <w:hideMark/>
          </w:tcPr>
          <w:p w14:paraId="6E23E742"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0,02</w:t>
            </w:r>
          </w:p>
        </w:tc>
        <w:tc>
          <w:tcPr>
            <w:tcW w:w="1920" w:type="dxa"/>
            <w:tcBorders>
              <w:top w:val="nil"/>
              <w:left w:val="nil"/>
              <w:bottom w:val="nil"/>
              <w:right w:val="nil"/>
            </w:tcBorders>
            <w:shd w:val="clear" w:color="auto" w:fill="auto"/>
            <w:noWrap/>
            <w:hideMark/>
          </w:tcPr>
          <w:p w14:paraId="726BB002"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0,36</w:t>
            </w:r>
          </w:p>
        </w:tc>
        <w:tc>
          <w:tcPr>
            <w:tcW w:w="960" w:type="dxa"/>
            <w:tcBorders>
              <w:top w:val="nil"/>
              <w:left w:val="nil"/>
              <w:bottom w:val="nil"/>
              <w:right w:val="nil"/>
            </w:tcBorders>
            <w:shd w:val="clear" w:color="auto" w:fill="auto"/>
            <w:noWrap/>
            <w:hideMark/>
          </w:tcPr>
          <w:p w14:paraId="284C1F42"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0,46</w:t>
            </w:r>
          </w:p>
        </w:tc>
      </w:tr>
      <w:tr w:rsidR="00592FDB" w:rsidRPr="00592FDB" w14:paraId="0E9BFE6D" w14:textId="77777777" w:rsidTr="00592FDB">
        <w:trPr>
          <w:trHeight w:val="300"/>
        </w:trPr>
        <w:tc>
          <w:tcPr>
            <w:tcW w:w="1160" w:type="dxa"/>
            <w:vMerge/>
            <w:tcBorders>
              <w:top w:val="nil"/>
              <w:left w:val="nil"/>
              <w:bottom w:val="single" w:sz="4" w:space="0" w:color="000000"/>
              <w:right w:val="nil"/>
            </w:tcBorders>
            <w:vAlign w:val="center"/>
            <w:hideMark/>
          </w:tcPr>
          <w:p w14:paraId="49552CE9"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1140" w:type="dxa"/>
            <w:vMerge/>
            <w:tcBorders>
              <w:top w:val="nil"/>
              <w:left w:val="nil"/>
              <w:bottom w:val="single" w:sz="4" w:space="0" w:color="000000"/>
              <w:right w:val="nil"/>
            </w:tcBorders>
            <w:vAlign w:val="center"/>
            <w:hideMark/>
          </w:tcPr>
          <w:p w14:paraId="63A8B5D8"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sz w:val="20"/>
                <w:szCs w:val="20"/>
                <w:lang w:val="es-CO" w:eastAsia="es-CO"/>
              </w:rPr>
            </w:pPr>
          </w:p>
        </w:tc>
        <w:tc>
          <w:tcPr>
            <w:tcW w:w="960" w:type="dxa"/>
            <w:tcBorders>
              <w:top w:val="nil"/>
              <w:left w:val="nil"/>
              <w:bottom w:val="single" w:sz="4" w:space="0" w:color="auto"/>
              <w:right w:val="nil"/>
            </w:tcBorders>
            <w:shd w:val="clear" w:color="auto" w:fill="auto"/>
            <w:noWrap/>
            <w:vAlign w:val="center"/>
            <w:hideMark/>
          </w:tcPr>
          <w:p w14:paraId="5A54F915" w14:textId="77777777" w:rsidR="00592FDB" w:rsidRPr="00592FDB"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592FDB">
              <w:rPr>
                <w:rFonts w:eastAsia="Times New Roman"/>
                <w:color w:val="auto"/>
                <w:sz w:val="20"/>
                <w:szCs w:val="20"/>
                <w:lang w:val="es-CO" w:eastAsia="es-CO"/>
              </w:rPr>
              <w:t>Post-test</w:t>
            </w:r>
          </w:p>
        </w:tc>
        <w:tc>
          <w:tcPr>
            <w:tcW w:w="960" w:type="dxa"/>
            <w:tcBorders>
              <w:top w:val="nil"/>
              <w:left w:val="nil"/>
              <w:bottom w:val="single" w:sz="4" w:space="0" w:color="auto"/>
              <w:right w:val="nil"/>
            </w:tcBorders>
            <w:shd w:val="clear" w:color="auto" w:fill="auto"/>
            <w:noWrap/>
            <w:hideMark/>
          </w:tcPr>
          <w:p w14:paraId="08E47DC3"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0,42</w:t>
            </w:r>
          </w:p>
        </w:tc>
        <w:tc>
          <w:tcPr>
            <w:tcW w:w="960" w:type="dxa"/>
            <w:tcBorders>
              <w:top w:val="nil"/>
              <w:left w:val="nil"/>
              <w:bottom w:val="single" w:sz="4" w:space="0" w:color="auto"/>
              <w:right w:val="nil"/>
            </w:tcBorders>
            <w:shd w:val="clear" w:color="auto" w:fill="auto"/>
            <w:noWrap/>
            <w:hideMark/>
          </w:tcPr>
          <w:p w14:paraId="40B9613B"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0,02</w:t>
            </w:r>
          </w:p>
        </w:tc>
        <w:tc>
          <w:tcPr>
            <w:tcW w:w="1920" w:type="dxa"/>
            <w:tcBorders>
              <w:top w:val="nil"/>
              <w:left w:val="nil"/>
              <w:bottom w:val="single" w:sz="4" w:space="0" w:color="auto"/>
              <w:right w:val="nil"/>
            </w:tcBorders>
            <w:shd w:val="clear" w:color="auto" w:fill="auto"/>
            <w:noWrap/>
            <w:hideMark/>
          </w:tcPr>
          <w:p w14:paraId="22D3E189"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0,37</w:t>
            </w:r>
          </w:p>
        </w:tc>
        <w:tc>
          <w:tcPr>
            <w:tcW w:w="960" w:type="dxa"/>
            <w:tcBorders>
              <w:top w:val="nil"/>
              <w:left w:val="nil"/>
              <w:bottom w:val="single" w:sz="4" w:space="0" w:color="auto"/>
              <w:right w:val="nil"/>
            </w:tcBorders>
            <w:shd w:val="clear" w:color="auto" w:fill="auto"/>
            <w:noWrap/>
            <w:hideMark/>
          </w:tcPr>
          <w:p w14:paraId="35801B16" w14:textId="77777777" w:rsidR="00592FDB" w:rsidRPr="004D2DCA" w:rsidRDefault="00592FDB" w:rsidP="00592FDB">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sz w:val="20"/>
                <w:szCs w:val="20"/>
                <w:lang w:val="es-CO" w:eastAsia="es-CO"/>
              </w:rPr>
            </w:pPr>
            <w:r w:rsidRPr="004D2DCA">
              <w:rPr>
                <w:rFonts w:eastAsia="Times New Roman"/>
                <w:color w:val="auto"/>
                <w:sz w:val="20"/>
                <w:szCs w:val="20"/>
                <w:lang w:val="es-CO" w:eastAsia="es-CO"/>
              </w:rPr>
              <w:t>0,46</w:t>
            </w:r>
          </w:p>
        </w:tc>
      </w:tr>
    </w:tbl>
    <w:p w14:paraId="1814438B" w14:textId="0D64F5BA" w:rsidR="00644319" w:rsidRDefault="00644319" w:rsidP="006763BA"/>
    <w:p w14:paraId="64B73FD5" w14:textId="77777777" w:rsidR="000F1616" w:rsidRPr="00D40C27" w:rsidRDefault="000F1616" w:rsidP="007A3FE4">
      <w:pPr>
        <w:pStyle w:val="Heading2"/>
      </w:pPr>
      <w:bookmarkStart w:id="106" w:name="_Toc12024667"/>
      <w:r w:rsidRPr="00D40C27">
        <w:t>Discussion</w:t>
      </w:r>
      <w:bookmarkEnd w:id="106"/>
    </w:p>
    <w:p w14:paraId="6518A9B7"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Calibri"/>
          <w:color w:val="auto"/>
          <w:lang w:eastAsia="en-US"/>
        </w:rPr>
      </w:pPr>
    </w:p>
    <w:p w14:paraId="7E33BB6D" w14:textId="798FBB64"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ind w:firstLine="0"/>
        <w:rPr>
          <w:rFonts w:eastAsia="Calibri"/>
          <w:color w:val="auto"/>
          <w:lang w:eastAsia="en-US"/>
        </w:rPr>
      </w:pPr>
      <w:r w:rsidRPr="00D40C27">
        <w:rPr>
          <w:rFonts w:eastAsia="Calibri"/>
          <w:color w:val="auto"/>
          <w:lang w:eastAsia="en-US"/>
        </w:rPr>
        <w:t>This study aimed to test the effectiveness written and video-clip forms of awareness messages and IC in reducing stigma towards FD. Findings suggest</w:t>
      </w:r>
      <w:r w:rsidR="00774F56">
        <w:rPr>
          <w:rFonts w:eastAsia="Calibri"/>
          <w:color w:val="auto"/>
          <w:lang w:eastAsia="en-US"/>
        </w:rPr>
        <w:t>ed</w:t>
      </w:r>
      <w:r w:rsidRPr="00D40C27">
        <w:rPr>
          <w:rFonts w:eastAsia="Calibri"/>
          <w:color w:val="auto"/>
          <w:lang w:eastAsia="en-US"/>
        </w:rPr>
        <w:t xml:space="preserve"> an effect of awareness and IC factors on reduced avoidance intentions in this sample. Participants allocated to awareness messages (written form) and IC conditions showed a significant reduction of intentions to avoid FD, compared to participants allocated to a video-clip awareness message, control awareness and control imagination task. No significant </w:t>
      </w:r>
      <w:r w:rsidRPr="00D40C27">
        <w:rPr>
          <w:rFonts w:eastAsia="Calibri"/>
          <w:color w:val="auto"/>
          <w:lang w:eastAsia="en-US"/>
        </w:rPr>
        <w:lastRenderedPageBreak/>
        <w:t xml:space="preserve">differences in levels of intergroup anxiety following anti-stigma </w:t>
      </w:r>
      <w:r w:rsidR="00774F56">
        <w:rPr>
          <w:rFonts w:eastAsia="Calibri"/>
          <w:color w:val="auto"/>
          <w:lang w:eastAsia="en-US"/>
        </w:rPr>
        <w:t>strategies of awareness and IC</w:t>
      </w:r>
      <w:r w:rsidR="00774F56" w:rsidRPr="00D40C27">
        <w:rPr>
          <w:rFonts w:eastAsia="Calibri"/>
          <w:color w:val="auto"/>
          <w:lang w:eastAsia="en-US"/>
        </w:rPr>
        <w:t xml:space="preserve"> </w:t>
      </w:r>
      <w:r w:rsidRPr="00D40C27">
        <w:rPr>
          <w:rFonts w:eastAsia="Calibri"/>
          <w:color w:val="auto"/>
          <w:lang w:eastAsia="en-US"/>
        </w:rPr>
        <w:t>w</w:t>
      </w:r>
      <w:r w:rsidR="00B32D9C">
        <w:rPr>
          <w:rFonts w:eastAsia="Calibri"/>
          <w:color w:val="auto"/>
          <w:lang w:eastAsia="en-US"/>
        </w:rPr>
        <w:t>ere</w:t>
      </w:r>
      <w:r w:rsidRPr="00D40C27">
        <w:rPr>
          <w:rFonts w:eastAsia="Calibri"/>
          <w:color w:val="auto"/>
          <w:lang w:eastAsia="en-US"/>
        </w:rPr>
        <w:t xml:space="preserve"> found</w:t>
      </w:r>
      <w:r w:rsidR="00774F56">
        <w:rPr>
          <w:rFonts w:eastAsia="Calibri"/>
          <w:color w:val="auto"/>
          <w:lang w:eastAsia="en-US"/>
        </w:rPr>
        <w:t xml:space="preserve"> in this study</w:t>
      </w:r>
      <w:r w:rsidRPr="00D40C27">
        <w:rPr>
          <w:rFonts w:eastAsia="Calibri"/>
          <w:color w:val="auto"/>
          <w:lang w:eastAsia="en-US"/>
        </w:rPr>
        <w:t xml:space="preserve">. </w:t>
      </w:r>
    </w:p>
    <w:p w14:paraId="21AA3EA8" w14:textId="2BC0E5D8"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The experimental condition of a written educational message on FD w</w:t>
      </w:r>
      <w:r w:rsidR="00B32D9C">
        <w:rPr>
          <w:rFonts w:eastAsia="Calibri"/>
          <w:color w:val="auto"/>
          <w:lang w:eastAsia="en-US"/>
        </w:rPr>
        <w:t>as</w:t>
      </w:r>
      <w:r w:rsidRPr="00D40C27">
        <w:rPr>
          <w:rFonts w:eastAsia="Calibri"/>
          <w:color w:val="auto"/>
          <w:lang w:eastAsia="en-US"/>
        </w:rPr>
        <w:t xml:space="preserve"> associated with reduced intentions to avoid FD, compared to participants instructed to read </w:t>
      </w:r>
      <w:r w:rsidR="00B32D9C">
        <w:rPr>
          <w:rFonts w:eastAsia="Calibri"/>
          <w:color w:val="auto"/>
          <w:lang w:eastAsia="en-US"/>
        </w:rPr>
        <w:t xml:space="preserve">the </w:t>
      </w:r>
      <w:r w:rsidRPr="00D40C27">
        <w:rPr>
          <w:rFonts w:eastAsia="Calibri"/>
          <w:color w:val="auto"/>
          <w:lang w:eastAsia="en-US"/>
        </w:rPr>
        <w:t xml:space="preserve">educational message about the consequences of smoking. Congruently with </w:t>
      </w:r>
      <w:r w:rsidRPr="00D40C27">
        <w:rPr>
          <w:rFonts w:eastAsia="Calibri"/>
          <w:noProof/>
          <w:color w:val="auto"/>
          <w:lang w:eastAsia="en-US"/>
        </w:rPr>
        <w:t>Bogart and Tickle-Degnen (2015)</w:t>
      </w:r>
      <w:r w:rsidRPr="00D40C27">
        <w:rPr>
          <w:rFonts w:eastAsia="Calibri"/>
          <w:color w:val="auto"/>
          <w:lang w:eastAsia="en-US"/>
        </w:rPr>
        <w:t>, findings from this study support a degree of effectiveness of educational messages to reduce stigma towards FD</w:t>
      </w:r>
      <w:r w:rsidR="009E0E48">
        <w:rPr>
          <w:rFonts w:eastAsia="Calibri"/>
          <w:color w:val="auto"/>
          <w:lang w:eastAsia="en-US"/>
        </w:rPr>
        <w:t xml:space="preserve">, particularly when the imagined </w:t>
      </w:r>
      <w:r w:rsidR="00316C3C">
        <w:rPr>
          <w:rFonts w:eastAsia="Calibri"/>
          <w:color w:val="auto"/>
          <w:lang w:eastAsia="en-US"/>
        </w:rPr>
        <w:t>interaction</w:t>
      </w:r>
      <w:r w:rsidR="009E0E48">
        <w:rPr>
          <w:rFonts w:eastAsia="Calibri"/>
          <w:color w:val="auto"/>
          <w:lang w:eastAsia="en-US"/>
        </w:rPr>
        <w:t xml:space="preserve"> is of a positive nature. </w:t>
      </w:r>
      <w:r w:rsidRPr="00D40C27">
        <w:rPr>
          <w:rFonts w:eastAsia="Calibri"/>
          <w:color w:val="auto"/>
          <w:lang w:eastAsia="en-US"/>
        </w:rPr>
        <w:t xml:space="preserve">Furthermore, results concur with small effect sizes associated with educative awareness messages in reducing stigma towards other commonly stigmatised groups like people with psychiatric conditions </w:t>
      </w:r>
      <w:r w:rsidRPr="00D40C27">
        <w:rPr>
          <w:rFonts w:eastAsia="Calibri"/>
          <w:noProof/>
          <w:color w:val="auto"/>
          <w:lang w:eastAsia="en-US"/>
        </w:rPr>
        <w:t>(Corrigan et al., 2012; Schomerus et al., 2012)</w:t>
      </w:r>
      <w:r w:rsidRPr="00D40C27">
        <w:rPr>
          <w:rFonts w:eastAsia="Calibri"/>
          <w:color w:val="auto"/>
          <w:lang w:eastAsia="en-US"/>
        </w:rPr>
        <w:t>. Mentally simulating a positive interaction with an individual with FD also resulted in weaker intentions to avoid people with FD</w:t>
      </w:r>
      <w:r w:rsidR="00E21EB9">
        <w:rPr>
          <w:rFonts w:eastAsia="Calibri"/>
          <w:color w:val="auto"/>
          <w:lang w:eastAsia="en-US"/>
        </w:rPr>
        <w:t xml:space="preserve"> (or greater intention of contact)</w:t>
      </w:r>
      <w:r w:rsidRPr="00D40C27">
        <w:rPr>
          <w:rFonts w:eastAsia="Calibri"/>
          <w:color w:val="auto"/>
          <w:lang w:eastAsia="en-US"/>
        </w:rPr>
        <w:t xml:space="preserve">. These findings contribute to the body of evidence previously reported on the effectiveness of  IC strategies in the reduction of stigma towards other stigmatised groups such as psychiatric conditions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{"citationItems":[{"id":"ITEM-1","itemData":{"DOI":"10.1080/00224545.2012.697080","ISSN":"0022-4545","PMID":"23057193","abstract":"Research has demonstrated widespread negative attitudes held toward people with mental health problems. Our study investigated whether a new prejudice reduction technique, imagined intergroup contact (Crisp &amp; Turner, 2009), could combat stigma against people with mental illness, and the mediating processes through which it may exert this beneficial effect. We found that compared to a control condition, participants who imagined a positive encounter with a schizophrenic person reported weakened stereotypes and formed stronger intentions to engage in future social interactions with schizophrenic people in general. Importantly, these intentions were formed due to reduced feelings of anxiety about future interactions. We discuss the implications of these findings for improving the social inclusion of people with mental health problems.","author":[{"dropping-particle":"","family":"Stathi","given":"Sofia","non-dropping-particle":"","parse-names":false,"suffix":""},{"dropping-particle":"","family":"Tsantila","given":"Katerina","non-dropping-particle":"","parse-names":false,"suffix":""},{"dropping-particle":"","family":"Crisp","given":"Richard J","non-dropping-particle":"","parse-names":false,"suffix":""}],"container-title":"The Journal of social psychology","id":"ITEM-1","issue":"6","issued":{"date-parts":[["2012","1"]]},"page":"746-57","title":"Imagining intergroup contact can combat mental health stigma by reducing anxiety, avoidance and negative stereotyping.","type":"article-journal","volume":"152"},"uris":["http://www.mendeley.com/documents/?uuid=20412392-ddbd-4a36-b33f-71feb6724e1f"]}],"mendeley":{"formattedCitation":"(Stathi et al., 2012)","plainTextFormattedCitation":"(Stathi et al., 2012)","previouslyFormattedCitation":"(Stathi et al., 2012)"},"properties":{"noteIndex":0},"schema":"https://github.com/citation-style-language/schema/raw/master/csl-citation.json"}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(Stathi et al., 2012)</w:t>
      </w:r>
      <w:r w:rsidRPr="00D40C27">
        <w:rPr>
          <w:rFonts w:eastAsia="Calibri"/>
          <w:color w:val="auto"/>
          <w:lang w:eastAsia="en-US"/>
        </w:rPr>
        <w:fldChar w:fldCharType="end"/>
      </w:r>
      <w:r w:rsidRPr="00D40C27">
        <w:rPr>
          <w:rFonts w:eastAsia="Calibri"/>
          <w:color w:val="auto"/>
          <w:lang w:eastAsia="en-US"/>
        </w:rPr>
        <w:t xml:space="preserve"> and physical disabilities </w:t>
      </w:r>
      <w:r w:rsidRPr="00D40C27">
        <w:rPr>
          <w:rFonts w:eastAsia="Calibri"/>
          <w:noProof/>
          <w:color w:val="auto"/>
          <w:lang w:eastAsia="en-US"/>
        </w:rPr>
        <w:t>(Carvalho</w:t>
      </w:r>
      <w:r w:rsidRPr="00D40C27">
        <w:rPr>
          <w:rFonts w:ascii="Cambria Math" w:eastAsia="Calibri" w:hAnsi="Cambria Math" w:cs="Cambria Math"/>
          <w:noProof/>
          <w:color w:val="auto"/>
          <w:lang w:eastAsia="en-US"/>
        </w:rPr>
        <w:t>‐</w:t>
      </w:r>
      <w:r w:rsidRPr="00D40C27">
        <w:rPr>
          <w:rFonts w:eastAsia="Calibri"/>
          <w:noProof/>
          <w:color w:val="auto"/>
          <w:lang w:eastAsia="en-US"/>
        </w:rPr>
        <w:t>Freitas &amp; Stathi, 2017)</w:t>
      </w:r>
      <w:r w:rsidR="004B62E2">
        <w:rPr>
          <w:rFonts w:eastAsia="Calibri"/>
          <w:noProof/>
          <w:color w:val="auto"/>
          <w:lang w:eastAsia="en-US"/>
        </w:rPr>
        <w:t>.</w:t>
      </w:r>
    </w:p>
    <w:p w14:paraId="1B3288D4" w14:textId="2EC8ABA6" w:rsidR="000F1616"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Only a small percentage of the population has FD and those with a disfigurement are rarely represented in the mainstream media. When they are, the connotation is often negative </w:t>
      </w:r>
      <w:r w:rsidRPr="00D40C27">
        <w:rPr>
          <w:rFonts w:eastAsia="Calibri"/>
          <w:noProof/>
          <w:color w:val="auto"/>
          <w:lang w:eastAsia="en-US"/>
        </w:rPr>
        <w:t>(Wardle &amp; Boyce, 2009)</w:t>
      </w:r>
      <w:r w:rsidRPr="00D40C27">
        <w:rPr>
          <w:rFonts w:eastAsia="Calibri"/>
          <w:color w:val="auto"/>
          <w:lang w:eastAsia="en-US"/>
        </w:rPr>
        <w:t>. Therefore, having a positive encounter with a person that has a disfigurement in the face would be uncommon for a lay person, making IC strategies particularly useful to introduce in efforts to reduce stigma. The effectiveness of imagined contact strategies has been evidenced in a considerable amount of research (for meta-analysis see</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author":[{"dropping-particle":"","family":"Miles","given":"E","non-dropping-particle":"","parse-names":false,"suffix":""},{"dropping-particle":"","family":"Crisp","given":"RJ","non-dropping-particle":"","parse-names":false,"suffix":""}],"container-title":"Group Processes &amp; Intergroup Relations","id":"ITEM-1","issued":{"date-parts":[["2014"]]},"title":"A meta-analytic test of the imagined contact hypothesis","type":"article-journal"},"uris":["http://www.mendeley.com/documents/?uuid=20bfd95f-533d-36a1-8a8c-001b2a13ce9d"]}],"mendeley":{"formattedCitation":"(Miles &amp; Crisp, 2014)","plainTextFormattedCitation":"(Miles &amp; Crisp, 2014)","previouslyFormattedCitation":"(Miles &amp; Crisp, 2014)"},"properties":{"noteIndex":0},"schema":"https://github.com/citation-style-language/schema/raw/master/csl-citation.json"}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FFFFFF"/>
          <w:lang w:eastAsia="en-US"/>
        </w:rPr>
        <w:t>(</w:t>
      </w:r>
      <w:r w:rsidRPr="00D40C27">
        <w:rPr>
          <w:rFonts w:eastAsia="Calibri"/>
          <w:noProof/>
          <w:color w:val="auto"/>
          <w:lang w:eastAsia="en-US"/>
        </w:rPr>
        <w:t>Miles &amp; Crisp, 2014)</w:t>
      </w:r>
      <w:r w:rsidRPr="00D40C27">
        <w:rPr>
          <w:rFonts w:eastAsia="Calibri"/>
          <w:color w:val="auto"/>
          <w:lang w:eastAsia="en-US"/>
        </w:rPr>
        <w:fldChar w:fldCharType="end"/>
      </w:r>
      <w:r w:rsidRPr="00D40C27">
        <w:rPr>
          <w:rFonts w:eastAsia="Calibri"/>
          <w:color w:val="auto"/>
          <w:lang w:eastAsia="en-US"/>
        </w:rPr>
        <w:t>. Imagined contact is also easy to distribute (e.g.</w:t>
      </w:r>
      <w:r w:rsidR="008471FC">
        <w:rPr>
          <w:rFonts w:eastAsia="Calibri"/>
          <w:color w:val="auto"/>
          <w:lang w:eastAsia="en-US"/>
        </w:rPr>
        <w:t>,</w:t>
      </w:r>
      <w:r w:rsidRPr="00D40C27">
        <w:rPr>
          <w:rFonts w:eastAsia="Calibri"/>
          <w:color w:val="auto"/>
          <w:lang w:eastAsia="en-US"/>
        </w:rPr>
        <w:t xml:space="preserve"> online) and of short duration, which makes it a cost-effective form of intervention to reduce stigma towards FD, for instance by including elements of IC into stigma awareness trainings for educators, health practitioners or recruitment staff</w:t>
      </w:r>
      <w:r w:rsidR="00774F56">
        <w:rPr>
          <w:rFonts w:eastAsia="Calibri"/>
          <w:color w:val="auto"/>
          <w:lang w:eastAsia="en-US"/>
        </w:rPr>
        <w:t xml:space="preserve"> </w:t>
      </w:r>
      <w:r w:rsidR="00774F56">
        <w:rPr>
          <w:rFonts w:eastAsia="Calibri"/>
          <w:color w:val="auto"/>
          <w:lang w:eastAsia="en-US"/>
        </w:rPr>
        <w:fldChar w:fldCharType="begin" w:fldLock="1"/>
      </w:r>
      <w:r w:rsidR="00666EEF">
        <w:rPr>
          <w:rFonts w:eastAsia="Calibri"/>
          <w:color w:val="auto"/>
          <w:lang w:eastAsia="en-US"/>
        </w:rPr>
        <w:instrText>ADDIN CSL_CITATION {"citationItems":[{"id":"ITEM-1","itemData":{"author":[{"dropping-particle":"","family":"Meleady","given":"Rose","non-dropping-particle":"","parse-names":false,"suffix":""},{"dropping-particle":"","family":"Crisp","given":"Richard J","non-dropping-particle":"","parse-names":false,"suffix":""}],"container-title":"Intergroup Contact Theory","id":"ITEM-1","issued":{"date-parts":[["2016"]]},"page":"139-158","publisher":"Routledge","title":"A future focus for imagined contact: Advances in and beyond intergroup relations","type":"chapter"},"uris":["http://www.mendeley.com/documents/?uuid=2b6b55d0-8036-4d18-8d1b-b144f8f1b052"]}],"mendeley":{"formattedCitation":"(Meleady &amp; Crisp, 2016)","plainTextFormattedCitation":"(Meleady &amp; Crisp, 2016)","previouslyFormattedCitation":"(Meleady &amp; Crisp, 2016)"},"properties":{"noteIndex":0},"schema":"https://github.com/citation-style-language/schema/raw/master/csl-citation.json"}</w:instrText>
      </w:r>
      <w:r w:rsidR="00774F56">
        <w:rPr>
          <w:rFonts w:eastAsia="Calibri"/>
          <w:color w:val="auto"/>
          <w:lang w:eastAsia="en-US"/>
        </w:rPr>
        <w:fldChar w:fldCharType="separate"/>
      </w:r>
      <w:r w:rsidR="00774F56" w:rsidRPr="00774F56">
        <w:rPr>
          <w:rFonts w:eastAsia="Calibri"/>
          <w:noProof/>
          <w:color w:val="auto"/>
          <w:lang w:eastAsia="en-US"/>
        </w:rPr>
        <w:t>(Meleady &amp; Crisp, 2016)</w:t>
      </w:r>
      <w:r w:rsidR="00774F56">
        <w:rPr>
          <w:rFonts w:eastAsia="Calibri"/>
          <w:color w:val="auto"/>
          <w:lang w:eastAsia="en-US"/>
        </w:rPr>
        <w:fldChar w:fldCharType="end"/>
      </w:r>
      <w:r w:rsidR="00592FDB">
        <w:rPr>
          <w:rFonts w:eastAsia="Calibri"/>
          <w:noProof/>
          <w:color w:val="auto"/>
          <w:lang w:eastAsia="en-US"/>
        </w:rPr>
        <w:t>.</w:t>
      </w:r>
      <w:r w:rsidRPr="00D40C27">
        <w:rPr>
          <w:rFonts w:eastAsia="Calibri"/>
          <w:color w:val="auto"/>
          <w:lang w:eastAsia="en-US"/>
        </w:rPr>
        <w:t xml:space="preserve"> </w:t>
      </w:r>
    </w:p>
    <w:p w14:paraId="7CB7DFAA" w14:textId="5F952513"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Surprisingly, imagined contact did not have a significant effect </w:t>
      </w:r>
      <w:r w:rsidR="00B32D9C">
        <w:rPr>
          <w:rFonts w:eastAsia="Calibri"/>
          <w:color w:val="auto"/>
          <w:lang w:eastAsia="en-US"/>
        </w:rPr>
        <w:t>o</w:t>
      </w:r>
      <w:r w:rsidRPr="00D40C27">
        <w:rPr>
          <w:rFonts w:eastAsia="Calibri"/>
          <w:color w:val="auto"/>
          <w:lang w:eastAsia="en-US"/>
        </w:rPr>
        <w:t>n levels of intergroup anxiety and nor did the awareness strategies. Previous literature has show</w:t>
      </w:r>
      <w:r w:rsidR="00B32D9C">
        <w:rPr>
          <w:rFonts w:eastAsia="Calibri"/>
          <w:color w:val="auto"/>
          <w:lang w:eastAsia="en-US"/>
        </w:rPr>
        <w:t>n</w:t>
      </w:r>
      <w:r w:rsidRPr="00D40C27">
        <w:rPr>
          <w:rFonts w:eastAsia="Calibri"/>
          <w:color w:val="auto"/>
          <w:lang w:eastAsia="en-US"/>
        </w:rPr>
        <w:t xml:space="preserve"> that imagining a positive interaction with a stigmatised individual significantly reduced intergroup anxiety; for example, in the case of ethnic minorities (e.g</w:t>
      </w:r>
      <w:r w:rsidR="00E21EB9">
        <w:rPr>
          <w:rFonts w:eastAsia="Calibri"/>
          <w:color w:val="auto"/>
          <w:lang w:eastAsia="en-US"/>
        </w:rPr>
        <w:t>.</w:t>
      </w:r>
      <w:r w:rsidRPr="00D40C27">
        <w:rPr>
          <w:rFonts w:eastAsia="Calibri"/>
          <w:color w:val="auto"/>
          <w:lang w:eastAsia="en-US"/>
        </w:rPr>
        <w:t>,</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ISSN":"0046-2772","author":[{"dropping-particle":"","family":"Asbrock","given":"Frank","non-dropping-particle":"","parse-names":false,"suffix":""},{"dropping-particle":"","family":"Gutenbrunner","given":"Lisa","non-dropping-particle":"","parse-names":false,"suffix":""},{"dropping-particle":"","family":"Wagner","given":"Ulrich","non-dropping-particle":"","parse-names":false,"suffix":""}],"container-title":"European Journal of Social Psychology","id":"ITEM-1","issue":"5","issued":{"date-parts":[["2013"]]},"page":"404-412","publisher":"Wiley Online Library","title":"Unwilling, but not unaffected—Imagined contact effects for authoritarians and social dominators","type":"article-journal","volume":"43"},"uris":["http://www.mendeley.com/documents/?uuid=dec5bc7a-87f4-4b18-80dd-3b9abffeb033"]}],"mendeley":{"formattedCitation":"(Asbrock, Gutenbrunner, &amp; Wagner, 2013)","plainTextFormattedCitation":"(Asbrock, Gutenbrunner, &amp; Wagner, 2013)","previouslyFormattedCitation":"(Asbrock, Gutenbrunner, &amp; Wagner, 2013)"},"properties":{"noteIndex":0},"schema":"https://github.com/citation-style-language/schema/raw/master/csl-citation.json"}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FFFFFF"/>
          <w:lang w:eastAsia="en-US"/>
        </w:rPr>
        <w:t>(</w:t>
      </w:r>
      <w:r w:rsidRPr="00D40C27">
        <w:rPr>
          <w:rFonts w:eastAsia="Calibri"/>
          <w:noProof/>
          <w:color w:val="auto"/>
          <w:lang w:eastAsia="en-US"/>
        </w:rPr>
        <w:t>Asbrock, Gutenbrunner, &amp; Wagner, 2013)</w:t>
      </w:r>
      <w:r w:rsidRPr="00D40C27">
        <w:rPr>
          <w:rFonts w:eastAsia="Calibri"/>
          <w:color w:val="auto"/>
          <w:lang w:eastAsia="en-US"/>
        </w:rPr>
        <w:fldChar w:fldCharType="end"/>
      </w:r>
      <w:r w:rsidRPr="00D40C27">
        <w:rPr>
          <w:rFonts w:eastAsia="Calibri"/>
          <w:color w:val="auto"/>
          <w:lang w:eastAsia="en-US"/>
        </w:rPr>
        <w:t>, sexual orientation (e.g.,</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{"citationItems":[{"id":"ITEM-1","itemData":{"DOI":"10.1177/0956797612443838","ISSN":"0956-7976","abstract":"One of the ways in which therapists treat anxiety disorders is to expose patients to a fear-evoking stimulus within a safe environment before encouraging more positive stimulus-related thoughts. In the study reported here, we adapted these psychotherapeutic principles of exposure therapy to test the hypothesis that imagining a positive encounter with a member of a stigmatized group would be more likely to promote positive perceptions when it was preceded by an imagined negative encounter. The results of three experiments targeting a range of stigmatized groups (adults with schizophrenia, gay men, and British Muslims) supported this hypothesis. Compared with purely positive interventions, interventions in which a single negative encounter was imagined just prior to imagining a positive encounter resulted in significantly reduced prejudice. Furthermore, reduced anxiety uniquely derived from the mixed-valence imagery task statistically explained enhanced intentions to engage positively with the previously stigmatized group in the future.","author":[{"dropping-particle":"","family":"Birtel","given":"Michèle D","non-dropping-particle":"","parse-names":false,"suffix":""},{"dropping-particle":"","family":"Crisp","given":"Richard J","non-dropping-particle":"","parse-names":false,"suffix":""}],"container-title":"Psychological Science","id":"ITEM-1","issue":"11","issued":{"date-parts":[["2012","9","27"]]},"note":"doi: 10.1177/0956797612443838","page":"1379-1386","publisher":"SAGE Publications Inc","title":"“Treating” Prejudice: An Exposure-Therapy Approach to Reducing Negative Reactions Toward Stigmatized Groups","type":"article-journal","volume":"23"},"uris":["http://www.mendeley.com/documents/?uuid=1fe40465-9df0-42c1-9c0d-dc07b427432d"]}],"mendeley":{"formattedCitation":"(Birtel &amp; Crisp, 2012)","plainTextFormattedCitation":"(Birtel &amp; Crisp, 2012)","previouslyFormattedCitation":"(Birtel &amp; Crisp, 2012)"},"properties":{"noteIndex":0},"schema":"https://github.com/citation-style-language/schema/raw/master/csl-citation.json"}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FFFFFF"/>
          <w:lang w:eastAsia="en-US"/>
        </w:rPr>
        <w:t>(</w:t>
      </w:r>
      <w:r w:rsidRPr="00D40C27">
        <w:rPr>
          <w:rFonts w:eastAsia="Calibri"/>
          <w:noProof/>
          <w:color w:val="auto"/>
          <w:lang w:eastAsia="en-US"/>
        </w:rPr>
        <w:t>Birtel &amp; Crisp, 2012)</w:t>
      </w:r>
      <w:r w:rsidRPr="00D40C27">
        <w:rPr>
          <w:rFonts w:eastAsia="Calibri"/>
          <w:color w:val="auto"/>
          <w:lang w:eastAsia="en-US"/>
        </w:rPr>
        <w:fldChar w:fldCharType="end"/>
      </w:r>
      <w:r w:rsidRPr="00D40C27">
        <w:rPr>
          <w:rFonts w:eastAsia="Calibri"/>
          <w:color w:val="auto"/>
          <w:lang w:eastAsia="en-US"/>
        </w:rPr>
        <w:t xml:space="preserve"> and stigma towards psychiatric conditions (e.g.,</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ISSN":"0022-4545","author":[{"dropping-particle":"","family":"West","given":"Keon","non-dropping-particle":"","parse-names":false,"suffix":""},{"dropping-particle":"","family":"Hewstone","given":"Miles","non-dropping-particle":"","parse-names":false,"suffix":""},{"dropping-particle":"","family":"Lolliot","given":"Simon","non-dropping-particle":"","parse-names":false,"suffix":""}],"container-title":"The Journal of social psychology","id":"ITEM-1","issue":"3","issued":{"date-parts":[["2014"]]},"page":"217-232","publisher":"Taylor &amp; Francis","title":"Intergroup contact and prejudice against people with schizophrenia","type":"article-journal","volume":"154"},"uris":["http://www.mendeley.com/documents/?uuid=3a638aea-02b3-4110-b9ca-e526f9c53635"]}],"mendeley":{"formattedCitation":"(West, Hewstone, &amp; Lolliot, 2014)","plainTextFormattedCitation":"(West, Hewstone, &amp; Lolliot, 2014)","previouslyFormattedCitation":"(West, Hewstone, &amp; Lolliot, 2014)"},"properties":{"noteIndex":0},"schema":"https://github.com/citation-style-language/schema/raw/master/csl-citation.json"}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FFFFFF"/>
          <w:lang w:eastAsia="en-US"/>
        </w:rPr>
        <w:t>(</w:t>
      </w:r>
      <w:r w:rsidRPr="00D40C27">
        <w:rPr>
          <w:rFonts w:eastAsia="Calibri"/>
          <w:noProof/>
          <w:color w:val="auto"/>
          <w:lang w:eastAsia="en-US"/>
        </w:rPr>
        <w:t>West, Hewstone, &amp; Lolliot, 2014)</w:t>
      </w:r>
      <w:r w:rsidRPr="00D40C27">
        <w:rPr>
          <w:rFonts w:eastAsia="Calibri"/>
          <w:color w:val="auto"/>
          <w:lang w:eastAsia="en-US"/>
        </w:rPr>
        <w:fldChar w:fldCharType="end"/>
      </w:r>
      <w:r w:rsidRPr="00D40C27">
        <w:rPr>
          <w:rFonts w:eastAsia="Calibri"/>
          <w:color w:val="auto"/>
          <w:lang w:eastAsia="en-US"/>
        </w:rPr>
        <w:t xml:space="preserve">. </w:t>
      </w:r>
      <w:r w:rsidR="00666EEF">
        <w:rPr>
          <w:rFonts w:eastAsia="Calibri"/>
          <w:color w:val="auto"/>
          <w:lang w:eastAsia="en-US"/>
        </w:rPr>
        <w:t>However,</w:t>
      </w:r>
      <w:r w:rsidR="00E21EB9">
        <w:rPr>
          <w:rFonts w:eastAsia="Calibri"/>
          <w:color w:val="auto"/>
          <w:lang w:eastAsia="en-US"/>
        </w:rPr>
        <w:t xml:space="preserve"> in the case of FD this was not the case. It is possible that there are other factors involved in the process of stigmatisation towards FD, for example, curiosity and </w:t>
      </w:r>
      <w:r w:rsidR="00666EEF">
        <w:rPr>
          <w:rFonts w:eastAsia="Calibri"/>
          <w:color w:val="auto"/>
          <w:lang w:eastAsia="en-US"/>
        </w:rPr>
        <w:t xml:space="preserve">pity </w:t>
      </w:r>
      <w:r w:rsidR="00666EEF">
        <w:rPr>
          <w:rFonts w:eastAsia="Calibri"/>
          <w:color w:val="auto"/>
          <w:lang w:eastAsia="en-US"/>
        </w:rPr>
        <w:fldChar w:fldCharType="begin" w:fldLock="1"/>
      </w:r>
      <w:r w:rsidR="004E161A">
        <w:rPr>
          <w:rFonts w:eastAsia="Calibri"/>
          <w:color w:val="auto"/>
          <w:lang w:eastAsia="en-US"/>
        </w:rPr>
        <w:instrText>ADDIN CSL_CITATION {"citationItems":[{"id":"ITEM-1","itemData":{"ISSN":"1931-390X","author":[{"dropping-particle":"","family":"Jamrozik","given":"Anja","non-dropping-particle":"","parse-names":false,"suffix":""},{"dropping-particle":"","family":"Oraa Ali","given":"Michelle","non-dropping-particle":"","parse-names":false,"suffix":""},{"dropping-particle":"","family":"Sarwer","given":"David B","non-dropping-particle":"","parse-names":false,"suffix":""},{"dropping-particle":"","family":"Chatterjee","given":"Anjan","non-dropping-particle":"","parse-names":false,"suffix":""}],"id":"ITEM-1","issued":{"date-parts":[["2017"]]},"publisher":"Educational Publishing Foundation","title":"More Than Skin Deep: Judgments of Individuals With Facial Disfigurement.","type":"article-journal"},"uris":["http://www.mendeley.com/documents/?uuid=23dfd4cd-a735-4e02-9773-d5a9a0f41d37"]}],"mendeley":{"formattedCitation":"(Jamrozik, Oraa Ali, Sarwer, &amp; Chatterjee, 2017)","plainTextFormattedCitation":"(Jamrozik, Oraa Ali, Sarwer, &amp; Chatterjee, 2017)","previouslyFormattedCitation":"(Jamrozik, Oraa Ali, Sarwer, &amp; Chatterjee, 2017)"},"properties":{"noteIndex":0},"schema":"https://github.com/citation-style-language/schema/raw/master/csl-citation.json"}</w:instrText>
      </w:r>
      <w:r w:rsidR="00666EEF">
        <w:rPr>
          <w:rFonts w:eastAsia="Calibri"/>
          <w:color w:val="auto"/>
          <w:lang w:eastAsia="en-US"/>
        </w:rPr>
        <w:fldChar w:fldCharType="separate"/>
      </w:r>
      <w:r w:rsidR="00666EEF" w:rsidRPr="00666EEF">
        <w:rPr>
          <w:rFonts w:eastAsia="Calibri"/>
          <w:noProof/>
          <w:color w:val="auto"/>
          <w:lang w:eastAsia="en-US"/>
        </w:rPr>
        <w:t>(Jamrozik, Oraa Ali, Sarwer, &amp; Chatterjee, 2017)</w:t>
      </w:r>
      <w:r w:rsidR="00666EEF">
        <w:rPr>
          <w:rFonts w:eastAsia="Calibri"/>
          <w:color w:val="auto"/>
          <w:lang w:eastAsia="en-US"/>
        </w:rPr>
        <w:fldChar w:fldCharType="end"/>
      </w:r>
    </w:p>
    <w:p w14:paraId="350C74DE" w14:textId="636DDCD0"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lastRenderedPageBreak/>
        <w:t xml:space="preserve">On the other hand, education strategies have shown mixed results in regards to its effectiveness, particularly to improve attitudinal responses towards disadvantaged groups </w:t>
      </w:r>
      <w:r w:rsidRPr="00D40C27">
        <w:rPr>
          <w:rFonts w:eastAsia="Calibri"/>
          <w:color w:val="auto"/>
          <w:lang w:eastAsia="en-US"/>
        </w:rPr>
        <w:fldChar w:fldCharType="begin" w:fldLock="1"/>
      </w:r>
      <w:r w:rsidRPr="00D40C27">
        <w:rPr>
          <w:rFonts w:eastAsia="Calibri"/>
          <w:color w:val="auto"/>
          <w:lang w:eastAsia="en-US"/>
        </w:rPr>
        <w:instrText xml:space="preserve">  CSL_CITATION {"citationItems":[{"id":"ITEM-1","itemData":{"DOI":"10.1016/j.psychres.2013.12.056","ISSN":"1872-7123","PMID":"24485063","abstract":"Many anti-stigma campaigns emphasize biogenetic causes to convey that schizophrenia is an \"illness like others\". A growing body of studies shows that although biogenetic explanations reduce blame, they tend to reinforce prognostic pessimism and harsher treatment of people with schizophrenia. In contrast, psychosocial explanations attenuate prognostic pessimism and perceived otherness, but seem less suitable to reduce blame. We hypothesized that a vulnerability-stress model that combines biogenetic and psychosocial explanations would yield clearer stigma-reducing effects than the mono-causal models. In an online-experiment, 416 participants from the general population randomly received either a vulnerability-stress, biogenetic, psychosocial or control-intervention, which consisted of information text and video presentation of a case-example. Causal beliefs, stereotypes and desired social distance were assessed by self-report. Baseline causal beliefs were weakly associated with stereotypes. The vulnerability-stress intervention did not reduce stigma more effectively than the biogenetic or psychosocial intervention and was less effective in reducing perceived blame than the biogenetic intervention. Compared to the control-intervention, no intervention showed significant stigma-reducing effects, but the psychosocial and vulnerability-stress conditions both increased blame. We found no evidence for vulnerability-stress explanations as a mean to reduce stigma. We propose further research to identify more effective ways to tackle stigma.","author":[{"dropping-particle":"","family":"Schlier","given":"Björn","non-dropping-particle":"","parse-names":false,"suffix":""},{"dropping-particle":"","family":"Schmick","given":"Sylvia","non-dropping-particle":"","parse-names":false,"suffix":""},{"dropping-particle":"","family":"Lincoln","given":"Tania Marie","non-dropping-particle":"","parse-names":false,"suffix":""}],"container-title":"Psychiatry research","id":"ITEM-1","issue":"3","issued":{"date-parts":[["2014","3","30"]]},"page":"753-9","title":"No matter of etiology: biogenetic, psychosocial and vulnerability-stress causal explanations fail to improve attitudes towards schizophrenia.","type":"article-journal","volume":"215"},"uris":["http://www.mendeley.com/documents/?uuid=14c49993-3c35-465a-ad05-54ec42f5fa40"]}],"mendeley":{"formattedCitation":"(Schlier, Schmick, &amp; Lincoln, 2014)","manualFormatting":"(e.g. Schlier, Schmick, &amp; Lincoln, 2014)","plainTextFormattedCitation":"(Schlier, Schmick, &amp; Lincoln, 2014)","previouslyFormattedCitation":"(Schlier, Schmick, &amp; Lincoln, 2014)"},"properties":{"noteIndex":0},"schema":"https://github.com/citation-style-language/schema/raw/master/csl-citation.json"}</w:instrText>
      </w:r>
      <w:r w:rsidRPr="00D40C27">
        <w:rPr>
          <w:rFonts w:eastAsia="Calibri"/>
          <w:color w:val="auto"/>
          <w:lang w:eastAsia="en-US"/>
        </w:rPr>
        <w:fldChar w:fldCharType="separate"/>
      </w:r>
      <w:r w:rsidRPr="00D40C27">
        <w:rPr>
          <w:rFonts w:eastAsia="Calibri"/>
          <w:noProof/>
          <w:color w:val="auto"/>
          <w:lang w:eastAsia="en-US"/>
        </w:rPr>
        <w:t>(Jorm &amp; Griffiths, 2008; Read, 2007; Schlier, Schmick, &amp; Lincoln, 2014)</w:t>
      </w:r>
      <w:r w:rsidRPr="00D40C27">
        <w:rPr>
          <w:rFonts w:eastAsia="Calibri"/>
          <w:color w:val="auto"/>
          <w:lang w:eastAsia="en-US"/>
        </w:rPr>
        <w:fldChar w:fldCharType="end"/>
      </w:r>
      <w:r w:rsidRPr="00D40C27">
        <w:rPr>
          <w:rFonts w:eastAsia="Calibri"/>
          <w:color w:val="auto"/>
          <w:lang w:eastAsia="en-US"/>
        </w:rPr>
        <w:t>. Perhaps because people with FD are so notably different to other, more disguisable forms, of stigmatised groups (e.g., psychiatric conditions), the effect of IC and awareness was non-significant in levels of intergroup anxiety. While systematic evidence support</w:t>
      </w:r>
      <w:r w:rsidR="00B32D9C">
        <w:rPr>
          <w:rFonts w:eastAsia="Calibri"/>
          <w:color w:val="auto"/>
          <w:lang w:eastAsia="en-US"/>
        </w:rPr>
        <w:t>s</w:t>
      </w:r>
      <w:r w:rsidRPr="00D40C27">
        <w:rPr>
          <w:rFonts w:eastAsia="Calibri"/>
          <w:color w:val="auto"/>
          <w:lang w:eastAsia="en-US"/>
        </w:rPr>
        <w:t xml:space="preserve"> a degree of effectiveness of IC </w:t>
      </w:r>
      <w:r w:rsidRPr="00D40C27">
        <w:rPr>
          <w:rFonts w:eastAsia="Calibri"/>
          <w:noProof/>
          <w:color w:val="auto"/>
          <w:lang w:eastAsia="en-US"/>
        </w:rPr>
        <w:t>(Miles &amp; Crisp, 2014)</w:t>
      </w:r>
      <w:r w:rsidRPr="00D40C27">
        <w:rPr>
          <w:rFonts w:eastAsia="Calibri"/>
          <w:color w:val="auto"/>
          <w:lang w:eastAsia="en-US"/>
        </w:rPr>
        <w:t xml:space="preserve"> and education strategies </w:t>
      </w:r>
      <w:r w:rsidRPr="00D40C27">
        <w:rPr>
          <w:rFonts w:eastAsia="Calibri"/>
          <w:noProof/>
          <w:color w:val="auto"/>
          <w:lang w:eastAsia="en-US"/>
        </w:rPr>
        <w:t>(Corrigan et al., 2012)</w:t>
      </w:r>
      <w:r w:rsidRPr="00D40C27">
        <w:rPr>
          <w:rFonts w:eastAsia="Calibri"/>
          <w:color w:val="auto"/>
          <w:lang w:eastAsia="en-US"/>
        </w:rPr>
        <w:t xml:space="preserve"> in other types of disadvantaged groups, our findings only partially support the effectiveness of these strategies in the case of FD.</w:t>
      </w:r>
    </w:p>
    <w:p w14:paraId="0E012AE4" w14:textId="5779A091" w:rsidR="00666EEF"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The present study has some limitations. First, the sample was composed of students and university staff, which may not be representative of the </w:t>
      </w:r>
      <w:r w:rsidR="00666EEF" w:rsidRPr="00D40C27">
        <w:rPr>
          <w:rFonts w:eastAsia="Calibri"/>
          <w:color w:val="auto"/>
          <w:lang w:eastAsia="en-US"/>
        </w:rPr>
        <w:t>public</w:t>
      </w:r>
      <w:r w:rsidRPr="00D40C27">
        <w:rPr>
          <w:rFonts w:eastAsia="Calibri"/>
          <w:color w:val="auto"/>
          <w:lang w:eastAsia="en-US"/>
        </w:rPr>
        <w:t xml:space="preserve"> </w:t>
      </w:r>
      <w:r w:rsidRPr="00D40C27">
        <w:rPr>
          <w:rFonts w:eastAsia="Calibri"/>
          <w:noProof/>
          <w:color w:val="auto"/>
          <w:lang w:eastAsia="en-US"/>
        </w:rPr>
        <w:t>(Dasgupta &amp; Hunsinger, 2008)</w:t>
      </w:r>
      <w:r w:rsidRPr="00D40C27">
        <w:rPr>
          <w:rFonts w:eastAsia="Calibri"/>
          <w:color w:val="auto"/>
          <w:lang w:eastAsia="en-US"/>
        </w:rPr>
        <w:t>. Second, there was no was no control over the level of FD showed to participants. It has been shown that mild to severe forms of FD receive</w:t>
      </w:r>
      <w:r w:rsidR="00B32D9C">
        <w:rPr>
          <w:rFonts w:eastAsia="Calibri"/>
          <w:color w:val="auto"/>
          <w:lang w:eastAsia="en-US"/>
        </w:rPr>
        <w:t>s</w:t>
      </w:r>
      <w:r w:rsidRPr="00D40C27">
        <w:rPr>
          <w:rFonts w:eastAsia="Calibri"/>
          <w:color w:val="auto"/>
          <w:lang w:eastAsia="en-US"/>
        </w:rPr>
        <w:t xml:space="preserve"> different evaluation from observers </w:t>
      </w:r>
      <w:r w:rsidRPr="00D40C27">
        <w:rPr>
          <w:rFonts w:eastAsia="Calibri"/>
          <w:noProof/>
          <w:color w:val="auto"/>
          <w:lang w:eastAsia="en-US"/>
        </w:rPr>
        <w:t>(Shanmugarajah, Gaind, Clarke, &amp; Butler, 2012; Terwee et al., 2003)</w:t>
      </w:r>
      <w:r w:rsidRPr="00D40C27">
        <w:rPr>
          <w:rFonts w:eastAsia="Calibri"/>
          <w:color w:val="auto"/>
          <w:lang w:eastAsia="en-US"/>
        </w:rPr>
        <w:t>, whether IC and education on awareness could reduce stigma towards milder or specific forms of FD (e.g.</w:t>
      </w:r>
      <w:r w:rsidR="008471FC">
        <w:rPr>
          <w:rFonts w:eastAsia="Calibri"/>
          <w:color w:val="auto"/>
          <w:lang w:eastAsia="en-US"/>
        </w:rPr>
        <w:t>,</w:t>
      </w:r>
      <w:r w:rsidRPr="00D40C27">
        <w:rPr>
          <w:rFonts w:eastAsia="Calibri"/>
          <w:color w:val="auto"/>
          <w:lang w:eastAsia="en-US"/>
        </w:rPr>
        <w:t xml:space="preserve"> cleft lip Palade), is yet to be explored. Third, this study collected measures before and immediately after the interventions, no follow-up measure was collected</w:t>
      </w:r>
      <w:r w:rsidR="00666EEF">
        <w:rPr>
          <w:rFonts w:eastAsia="Calibri"/>
          <w:color w:val="auto"/>
          <w:lang w:eastAsia="en-US"/>
        </w:rPr>
        <w:t>, thus the long term effects of these anti-stigma strategies remains unexplored.</w:t>
      </w:r>
      <w:r w:rsidRPr="00D40C27">
        <w:rPr>
          <w:rFonts w:eastAsia="Calibri"/>
          <w:color w:val="auto"/>
          <w:lang w:eastAsia="en-US"/>
        </w:rPr>
        <w:t xml:space="preserve"> </w:t>
      </w:r>
    </w:p>
    <w:p w14:paraId="39EC4915" w14:textId="07A2DCE6"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 xml:space="preserve">The literature on stigma towards FD and other targeted groups would benefit from </w:t>
      </w:r>
      <w:r w:rsidR="00B32D9C">
        <w:rPr>
          <w:rFonts w:eastAsia="Calibri"/>
          <w:color w:val="auto"/>
          <w:lang w:eastAsia="en-US"/>
        </w:rPr>
        <w:t xml:space="preserve">the </w:t>
      </w:r>
      <w:r w:rsidRPr="00D40C27">
        <w:rPr>
          <w:rFonts w:eastAsia="Calibri"/>
          <w:color w:val="auto"/>
          <w:lang w:eastAsia="en-US"/>
        </w:rPr>
        <w:t>analysis of longitudinal data to test the duration of the anti-stigma effect associated intervention strategies. Indeed, lack of evidence towards long-term effects is one of the main criticisms found in the literature of anti-stigma strategies (e.g.</w:t>
      </w:r>
      <w:r w:rsidR="008471FC">
        <w:rPr>
          <w:rFonts w:eastAsia="Calibri"/>
          <w:color w:val="auto"/>
          <w:lang w:eastAsia="en-US"/>
        </w:rPr>
        <w:t>,</w:t>
      </w:r>
      <w:r w:rsidRPr="00D40C27">
        <w:rPr>
          <w:rFonts w:eastAsia="Calibri"/>
          <w:color w:val="auto"/>
          <w:lang w:eastAsia="en-US"/>
        </w:rPr>
        <w:t xml:space="preserve"> imagined contact</w:t>
      </w:r>
      <w:r w:rsidR="006F0795">
        <w:rPr>
          <w:rFonts w:eastAsia="Calibri"/>
          <w:color w:val="auto"/>
          <w:lang w:eastAsia="en-US"/>
        </w:rPr>
        <w:t xml:space="preserve">; </w:t>
      </w:r>
      <w:r w:rsidRPr="00D40C27">
        <w:rPr>
          <w:rFonts w:eastAsia="Calibri"/>
          <w:noProof/>
          <w:color w:val="auto"/>
          <w:lang w:eastAsia="en-US"/>
        </w:rPr>
        <w:t>Miles &amp; Crisp, 2014)</w:t>
      </w:r>
      <w:r w:rsidRPr="00D40C27">
        <w:rPr>
          <w:rFonts w:eastAsia="Calibri"/>
          <w:color w:val="auto"/>
          <w:lang w:eastAsia="en-US"/>
        </w:rPr>
        <w:t xml:space="preserve">. Finally, the self-report quality of the instrument makes it sensitive to social desirability effects </w:t>
      </w:r>
      <w:r w:rsidRPr="00D40C27">
        <w:rPr>
          <w:rFonts w:eastAsia="Calibri"/>
          <w:noProof/>
          <w:color w:val="auto"/>
          <w:lang w:eastAsia="en-US"/>
        </w:rPr>
        <w:t>(Michaels &amp; Corrigan, 2013)</w:t>
      </w:r>
      <w:r w:rsidRPr="00D40C27">
        <w:rPr>
          <w:rFonts w:eastAsia="Calibri"/>
          <w:color w:val="auto"/>
          <w:lang w:eastAsia="en-US"/>
        </w:rPr>
        <w:t xml:space="preserve">. While reports of avoidance are somehow a depiction of how participants would behave and feel in a given encounter with an individual with FD, it is not clear whether this would correspond to overt expressions of stigma. Future research would benefit from developing studies capturing behavioural manifestations of stigma in order to clarify the link between intention and actual stigmatising behaviour. </w:t>
      </w:r>
    </w:p>
    <w:p w14:paraId="38BC7BB4" w14:textId="77777777" w:rsidR="000F1616" w:rsidRPr="00D40C27" w:rsidRDefault="000F1616" w:rsidP="000F1616">
      <w:pPr>
        <w:pBdr>
          <w:top w:val="none" w:sz="0" w:space="0" w:color="auto"/>
          <w:left w:val="none" w:sz="0" w:space="0" w:color="auto"/>
          <w:bottom w:val="none" w:sz="0" w:space="0" w:color="auto"/>
          <w:right w:val="none" w:sz="0" w:space="0" w:color="auto"/>
          <w:between w:val="none" w:sz="0" w:space="0" w:color="auto"/>
        </w:pBdr>
        <w:rPr>
          <w:rFonts w:eastAsia="Calibri"/>
          <w:color w:val="auto"/>
          <w:lang w:eastAsia="en-US"/>
        </w:rPr>
      </w:pPr>
      <w:r w:rsidRPr="00D40C27">
        <w:rPr>
          <w:rFonts w:eastAsia="Calibri"/>
          <w:color w:val="auto"/>
          <w:lang w:eastAsia="en-US"/>
        </w:rPr>
        <w:t>This study found that imagining a positive contact with an individual with FD and an education awareness message may help reduce intentions of avoidance. However, contrary to our hypothesis, levels of intergroup anxiety remained unchanged after the interventions. IC and awareness messages are relatively simple techniques and easy to distribute (e.g.</w:t>
      </w:r>
      <w:r w:rsidR="008471FC">
        <w:rPr>
          <w:rFonts w:eastAsia="Calibri"/>
          <w:color w:val="auto"/>
          <w:lang w:eastAsia="en-US"/>
        </w:rPr>
        <w:t>,</w:t>
      </w:r>
      <w:r w:rsidRPr="00D40C27">
        <w:rPr>
          <w:rFonts w:eastAsia="Calibri"/>
          <w:color w:val="auto"/>
          <w:lang w:eastAsia="en-US"/>
        </w:rPr>
        <w:t xml:space="preserve"> online). These anti-stigma elements would be easy to integrate into a more comprehensive form of anti-stigma training, particularly within contexts where </w:t>
      </w:r>
      <w:r w:rsidRPr="00D40C27">
        <w:rPr>
          <w:rFonts w:eastAsia="Calibri"/>
          <w:color w:val="auto"/>
          <w:lang w:eastAsia="en-US"/>
        </w:rPr>
        <w:lastRenderedPageBreak/>
        <w:t xml:space="preserve">stigmatisation towards individuals with FD is more damaging, such as recruitment and educational scenarios. </w:t>
      </w:r>
    </w:p>
    <w:p w14:paraId="31E27066" w14:textId="77777777" w:rsidR="000F1616" w:rsidRDefault="000F1616" w:rsidP="000F1616">
      <w:pPr>
        <w:rPr>
          <w:lang w:eastAsia="en-US"/>
        </w:rPr>
      </w:pPr>
    </w:p>
    <w:p w14:paraId="541E0B3F" w14:textId="77777777" w:rsidR="00A427E8" w:rsidRPr="00D40C27" w:rsidRDefault="00A427E8" w:rsidP="00A427E8">
      <w:pPr>
        <w:pStyle w:val="Heading1"/>
      </w:pPr>
      <w:bookmarkStart w:id="107" w:name="_Toc12024668"/>
      <w:r w:rsidRPr="00D40C27">
        <w:t>Chapter 5 (Study 3): Testing the effectiveness of education and IC on stigma reduction towards FD in a sample of employees with recruitment duties</w:t>
      </w:r>
      <w:bookmarkEnd w:id="107"/>
    </w:p>
    <w:p w14:paraId="1FA24D8D" w14:textId="77777777" w:rsidR="00D106F0" w:rsidRPr="00125F07" w:rsidRDefault="00D106F0" w:rsidP="007A3FE4">
      <w:pPr>
        <w:pStyle w:val="Heading2"/>
      </w:pPr>
      <w:bookmarkStart w:id="108" w:name="_Toc12024669"/>
      <w:r w:rsidRPr="00125F07">
        <w:t>Introduction</w:t>
      </w:r>
      <w:bookmarkEnd w:id="108"/>
    </w:p>
    <w:p w14:paraId="3085CFA6" w14:textId="5DFD0DB0"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r w:rsidRPr="000215FF">
        <w:rPr>
          <w:rFonts w:eastAsia="Cambria"/>
          <w:color w:val="auto"/>
          <w:lang w:eastAsia="en-US"/>
        </w:rPr>
        <w:t xml:space="preserve">Observers perceive and respond differently to FD </w:t>
      </w:r>
      <w:r w:rsidRPr="000215FF">
        <w:rPr>
          <w:rFonts w:eastAsia="Cambria"/>
          <w:noProof/>
          <w:color w:val="auto"/>
          <w:lang w:eastAsia="en-US"/>
        </w:rPr>
        <w:t>(Blascovich, Mendes, Hunter, Lickel, &amp; Kowai-Bell, 2001; Ishii, Carey, Byrne, Zee, &amp; Ishii, 2009; Stone &amp; Potton, 2017)</w:t>
      </w:r>
      <w:r w:rsidRPr="000215FF">
        <w:rPr>
          <w:rFonts w:eastAsia="Cambria"/>
          <w:color w:val="auto"/>
          <w:lang w:eastAsia="en-US"/>
        </w:rPr>
        <w:t xml:space="preserve">. This has detrimental implications for people living with FD, especially in social interactions </w:t>
      </w:r>
      <w:r w:rsidR="00316C3C">
        <w:rPr>
          <w:rFonts w:eastAsia="Cambria"/>
          <w:color w:val="auto"/>
          <w:lang w:eastAsia="en-US"/>
        </w:rPr>
        <w:t>that involve evaluation from others. For instance, in</w:t>
      </w:r>
      <w:r w:rsidRPr="000215FF">
        <w:rPr>
          <w:rFonts w:eastAsia="Cambria"/>
          <w:color w:val="auto"/>
          <w:lang w:eastAsia="en-US"/>
        </w:rPr>
        <w:t xml:space="preserve"> educational </w:t>
      </w:r>
      <w:r w:rsidRPr="000215FF">
        <w:rPr>
          <w:rFonts w:eastAsia="Cambria"/>
          <w:noProof/>
          <w:color w:val="auto"/>
          <w:lang w:eastAsia="en-US"/>
        </w:rPr>
        <w:t>(Kent &amp; Thompson, 2002; Prior &amp; O’Dell, 2009; Rimmer et al., 2007)</w:t>
      </w:r>
      <w:r w:rsidRPr="000215FF">
        <w:rPr>
          <w:rFonts w:eastAsia="Cambria"/>
          <w:color w:val="auto"/>
          <w:lang w:eastAsia="en-US"/>
        </w:rPr>
        <w:t xml:space="preserve">, job-seeking </w:t>
      </w:r>
      <w:r w:rsidRPr="000215FF">
        <w:rPr>
          <w:rFonts w:eastAsia="Cambria"/>
          <w:noProof/>
          <w:color w:val="auto"/>
          <w:lang w:eastAsia="en-US"/>
        </w:rPr>
        <w:t>(Madera &amp; Hebl, 2012; Madera, 2016; Stevenage &amp; McKay, 1999; Stone &amp; Wright, 2013; Tartaglia, McMahon, West, &amp; Belongia, 2005)</w:t>
      </w:r>
      <w:r w:rsidRPr="000215FF">
        <w:rPr>
          <w:rFonts w:eastAsia="Cambria"/>
          <w:color w:val="auto"/>
          <w:lang w:eastAsia="en-US"/>
        </w:rPr>
        <w:t xml:space="preserve">, health care </w:t>
      </w:r>
      <w:r w:rsidRPr="000215FF">
        <w:rPr>
          <w:rFonts w:eastAsia="Cambria"/>
          <w:noProof/>
          <w:color w:val="auto"/>
          <w:lang w:eastAsia="en-US"/>
        </w:rPr>
        <w:t>(Clarke &amp; Cooper, 2001)</w:t>
      </w:r>
      <w:r w:rsidRPr="000215FF">
        <w:rPr>
          <w:rFonts w:eastAsia="Cambria"/>
          <w:color w:val="auto"/>
          <w:lang w:eastAsia="en-US"/>
        </w:rPr>
        <w:t xml:space="preserve"> and dating settings </w:t>
      </w:r>
      <w:r w:rsidRPr="000215FF">
        <w:rPr>
          <w:rFonts w:eastAsia="Cambria"/>
          <w:noProof/>
          <w:color w:val="auto"/>
          <w:lang w:eastAsia="en-US"/>
        </w:rPr>
        <w:t>(Hughes et al., 2009; S M Mojon-Azzi, Potnik, &amp; Mojon, 2008)</w:t>
      </w:r>
      <w:r w:rsidRPr="000215FF">
        <w:rPr>
          <w:rFonts w:eastAsia="Cambria"/>
          <w:color w:val="auto"/>
          <w:lang w:eastAsia="en-US"/>
        </w:rPr>
        <w:t xml:space="preserve">. However, few studies in the literature have reported the effectiveness of anti-stigma strategies in changing how people respond to FD </w:t>
      </w:r>
      <w:r w:rsidRPr="000215FF">
        <w:rPr>
          <w:rFonts w:eastAsia="Cambria"/>
          <w:noProof/>
          <w:color w:val="auto"/>
          <w:lang w:eastAsia="en-US"/>
        </w:rPr>
        <w:t>(e.g.</w:t>
      </w:r>
      <w:r w:rsidR="008471FC">
        <w:rPr>
          <w:rFonts w:eastAsia="Cambria"/>
          <w:noProof/>
          <w:color w:val="auto"/>
          <w:lang w:eastAsia="en-US"/>
        </w:rPr>
        <w:t>,</w:t>
      </w:r>
      <w:r w:rsidRPr="000215FF">
        <w:rPr>
          <w:rFonts w:eastAsia="Cambria"/>
          <w:noProof/>
          <w:color w:val="auto"/>
          <w:lang w:eastAsia="en-US"/>
        </w:rPr>
        <w:t xml:space="preserve"> Bogart &amp; Tickle-Degnen, 2015)</w:t>
      </w:r>
      <w:r w:rsidRPr="000215FF">
        <w:rPr>
          <w:rFonts w:eastAsia="Cambria"/>
          <w:color w:val="auto"/>
          <w:lang w:eastAsia="en-US"/>
        </w:rPr>
        <w:t xml:space="preserve">, even less so among those likely to significantly impact the inclusion of individuals with FD (e.g., recruiters, educators). </w:t>
      </w:r>
    </w:p>
    <w:p w14:paraId="187BDA57" w14:textId="55CAC263"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When observers are presented with facial stimuli, their gaze </w:t>
      </w:r>
      <w:r w:rsidR="00316C3C">
        <w:rPr>
          <w:rFonts w:eastAsia="Cambria"/>
          <w:color w:val="auto"/>
          <w:lang w:eastAsia="en-US"/>
        </w:rPr>
        <w:t>concentrates</w:t>
      </w:r>
      <w:r w:rsidRPr="000215FF">
        <w:rPr>
          <w:rFonts w:eastAsia="Cambria"/>
          <w:color w:val="auto"/>
          <w:lang w:eastAsia="en-US"/>
        </w:rPr>
        <w:t xml:space="preserve"> around the central triangle of the face (i.e. nose, eyes</w:t>
      </w:r>
      <w:r w:rsidR="00B32D9C">
        <w:rPr>
          <w:rFonts w:eastAsia="Cambria"/>
          <w:color w:val="auto"/>
          <w:lang w:eastAsia="en-US"/>
        </w:rPr>
        <w:t>,</w:t>
      </w:r>
      <w:r w:rsidRPr="000215FF">
        <w:rPr>
          <w:rFonts w:eastAsia="Cambria"/>
          <w:color w:val="auto"/>
          <w:lang w:eastAsia="en-US"/>
        </w:rPr>
        <w:t xml:space="preserve"> and mouth)</w:t>
      </w:r>
      <w:r w:rsidR="004E161A">
        <w:rPr>
          <w:rFonts w:eastAsia="Cambria"/>
          <w:color w:val="auto"/>
          <w:lang w:eastAsia="en-US"/>
        </w:rPr>
        <w:t>. T</w:t>
      </w:r>
      <w:r w:rsidR="00316C3C">
        <w:rPr>
          <w:rFonts w:eastAsia="Cambria"/>
          <w:color w:val="auto"/>
          <w:lang w:eastAsia="en-US"/>
        </w:rPr>
        <w:t>his</w:t>
      </w:r>
      <w:r w:rsidR="004E161A">
        <w:rPr>
          <w:rFonts w:eastAsia="Cambria"/>
          <w:color w:val="auto"/>
          <w:lang w:eastAsia="en-US"/>
        </w:rPr>
        <w:t xml:space="preserve"> facial</w:t>
      </w:r>
      <w:r w:rsidR="00316C3C">
        <w:rPr>
          <w:rFonts w:eastAsia="Cambria"/>
          <w:color w:val="auto"/>
          <w:lang w:eastAsia="en-US"/>
        </w:rPr>
        <w:t xml:space="preserve"> area </w:t>
      </w:r>
      <w:r w:rsidRPr="000215FF">
        <w:rPr>
          <w:rFonts w:eastAsia="Cambria"/>
          <w:color w:val="auto"/>
          <w:lang w:eastAsia="en-US"/>
        </w:rPr>
        <w:t>provides a rich source of information necessary for social interaction (e.g.</w:t>
      </w:r>
      <w:r w:rsidR="008471FC">
        <w:rPr>
          <w:rFonts w:eastAsia="Cambria"/>
          <w:color w:val="auto"/>
          <w:lang w:eastAsia="en-US"/>
        </w:rPr>
        <w:t>,</w:t>
      </w:r>
      <w:r w:rsidRPr="000215FF">
        <w:rPr>
          <w:rFonts w:eastAsia="Cambria"/>
          <w:color w:val="auto"/>
          <w:lang w:eastAsia="en-US"/>
        </w:rPr>
        <w:t xml:space="preserve"> identity, gender, age, emotions and nonverbal language of the target;</w:t>
      </w:r>
      <w:r w:rsidR="006F0795">
        <w:rPr>
          <w:rFonts w:eastAsia="Cambria"/>
          <w:noProof/>
          <w:color w:val="auto"/>
          <w:lang w:eastAsia="en-US"/>
        </w:rPr>
        <w:t xml:space="preserve"> </w:t>
      </w:r>
      <w:r w:rsidRPr="000215FF">
        <w:rPr>
          <w:rFonts w:eastAsia="Cambria"/>
          <w:noProof/>
          <w:color w:val="auto"/>
          <w:lang w:eastAsia="en-US"/>
        </w:rPr>
        <w:t>Haxby, Hoffman, &amp; Gobbini, 2002; Knapp, Hall, &amp; Horgan, 2013; Mertens, Siegmund, &amp; Grüsser, 1993; Walker-Smith, Gale, &amp; Findlay, 1977)</w:t>
      </w:r>
      <w:r w:rsidRPr="000215FF">
        <w:rPr>
          <w:rFonts w:eastAsia="Cambria"/>
          <w:color w:val="auto"/>
          <w:lang w:eastAsia="en-US"/>
        </w:rPr>
        <w:t xml:space="preserve">. However, disfigurement acts as a novel stimulus in observers, taking up attentional resources from discriminating features of the central triangle to the area of disfigurement </w:t>
      </w:r>
      <w:r w:rsidRPr="000215FF">
        <w:rPr>
          <w:rFonts w:eastAsia="Cambria"/>
          <w:noProof/>
          <w:color w:val="auto"/>
          <w:lang w:eastAsia="en-US"/>
        </w:rPr>
        <w:t>(Godoy et al., 2011; Ishii et al., 2009)</w:t>
      </w:r>
      <w:r w:rsidRPr="000215FF">
        <w:rPr>
          <w:rFonts w:eastAsia="Cambria"/>
          <w:color w:val="auto"/>
          <w:lang w:eastAsia="en-US"/>
        </w:rPr>
        <w:t xml:space="preserve">. </w:t>
      </w:r>
      <w:r w:rsidR="00316C3C">
        <w:rPr>
          <w:rFonts w:eastAsia="Cambria"/>
          <w:color w:val="auto"/>
          <w:lang w:eastAsia="en-US"/>
        </w:rPr>
        <w:t>W</w:t>
      </w:r>
      <w:r w:rsidRPr="000215FF">
        <w:rPr>
          <w:rFonts w:eastAsia="Cambria"/>
          <w:color w:val="auto"/>
          <w:lang w:eastAsia="en-US"/>
        </w:rPr>
        <w:t xml:space="preserve">hile FD stimuli tend to receive longer visual fixation from observers, this does not translate in </w:t>
      </w:r>
      <w:r w:rsidR="004E161A" w:rsidRPr="000215FF">
        <w:rPr>
          <w:rFonts w:eastAsia="Cambria"/>
          <w:color w:val="auto"/>
          <w:lang w:eastAsia="en-US"/>
        </w:rPr>
        <w:t>evaluations that are more positive</w:t>
      </w:r>
      <w:r w:rsidRPr="000215FF">
        <w:rPr>
          <w:rFonts w:eastAsia="Cambria"/>
          <w:color w:val="auto"/>
          <w:lang w:eastAsia="en-US"/>
        </w:rPr>
        <w:t xml:space="preserve"> or greater memory recall</w:t>
      </w:r>
      <w:r w:rsidR="004E161A">
        <w:rPr>
          <w:rFonts w:eastAsia="Cambria"/>
          <w:color w:val="auto"/>
          <w:lang w:eastAsia="en-US"/>
        </w:rPr>
        <w:t xml:space="preserve"> of people with FD</w:t>
      </w:r>
      <w:r w:rsidRPr="000215FF">
        <w:rPr>
          <w:rFonts w:eastAsia="Cambria"/>
          <w:color w:val="auto"/>
          <w:lang w:eastAsia="en-US"/>
        </w:rPr>
        <w:t xml:space="preserve">, compared to non-FD targets </w:t>
      </w:r>
      <w:r w:rsidRPr="000215FF">
        <w:rPr>
          <w:rFonts w:eastAsia="Cambria"/>
          <w:noProof/>
          <w:color w:val="auto"/>
          <w:lang w:eastAsia="en-US"/>
        </w:rPr>
        <w:t>(Ackerman et al., 2009; Madera &amp; Hebl, 2012; Madera, 2016; Stone &amp; Potton, 2017; van Schijndel, Tasman, &amp; Litschel, 2015)</w:t>
      </w:r>
      <w:r w:rsidRPr="000215FF">
        <w:rPr>
          <w:rFonts w:eastAsia="Cambria"/>
          <w:color w:val="auto"/>
          <w:lang w:eastAsia="en-US"/>
        </w:rPr>
        <w:t>.</w:t>
      </w:r>
    </w:p>
    <w:p w14:paraId="6273F692" w14:textId="5CB270A7" w:rsidR="00A427E8" w:rsidRPr="000215FF" w:rsidRDefault="007F2A46"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Pr>
          <w:rFonts w:eastAsia="Cambria"/>
          <w:color w:val="auto"/>
          <w:lang w:eastAsia="en-US"/>
        </w:rPr>
        <w:t>C</w:t>
      </w:r>
      <w:r w:rsidRPr="000215FF">
        <w:rPr>
          <w:rFonts w:eastAsia="Cambria"/>
          <w:color w:val="auto"/>
          <w:lang w:eastAsia="en-US"/>
        </w:rPr>
        <w:t>ompared to individuals without FD</w:t>
      </w:r>
      <w:r>
        <w:rPr>
          <w:rFonts w:eastAsia="Cambria"/>
          <w:color w:val="auto"/>
          <w:lang w:eastAsia="en-US"/>
        </w:rPr>
        <w:t>,</w:t>
      </w:r>
      <w:r w:rsidRPr="000215FF" w:rsidDel="007F2A46">
        <w:rPr>
          <w:rFonts w:eastAsia="Cambria"/>
          <w:color w:val="auto"/>
          <w:lang w:eastAsia="en-US"/>
        </w:rPr>
        <w:t xml:space="preserve"> </w:t>
      </w:r>
      <w:r>
        <w:rPr>
          <w:rFonts w:eastAsia="Cambria"/>
          <w:color w:val="auto"/>
          <w:lang w:eastAsia="en-US"/>
        </w:rPr>
        <w:t>p</w:t>
      </w:r>
      <w:r w:rsidR="00A427E8" w:rsidRPr="000215FF">
        <w:rPr>
          <w:rFonts w:eastAsia="Cambria"/>
          <w:color w:val="auto"/>
          <w:lang w:eastAsia="en-US"/>
        </w:rPr>
        <w:t xml:space="preserve">eople with FD are perceived as less confident and likable/friendly </w:t>
      </w:r>
      <w:r w:rsidR="00A427E8" w:rsidRPr="000215FF">
        <w:rPr>
          <w:rFonts w:eastAsia="Cambria"/>
          <w:noProof/>
          <w:color w:val="auto"/>
          <w:lang w:eastAsia="en-US"/>
        </w:rPr>
        <w:t xml:space="preserve">(Bull &amp; David, 1986; Franks &amp; Goodrick-meech, 1997; </w:t>
      </w:r>
      <w:r w:rsidR="00A427E8" w:rsidRPr="000215FF">
        <w:rPr>
          <w:rFonts w:eastAsia="Cambria"/>
          <w:noProof/>
          <w:color w:val="auto"/>
          <w:lang w:eastAsia="en-US"/>
        </w:rPr>
        <w:lastRenderedPageBreak/>
        <w:t>Hughes et al., 2009;</w:t>
      </w:r>
      <w:r>
        <w:rPr>
          <w:rFonts w:eastAsia="Cambria"/>
          <w:noProof/>
          <w:color w:val="auto"/>
          <w:lang w:eastAsia="en-US"/>
        </w:rPr>
        <w:t xml:space="preserve"> </w:t>
      </w:r>
      <w:r w:rsidR="00A427E8" w:rsidRPr="000215FF">
        <w:rPr>
          <w:rFonts w:eastAsia="Cambria"/>
          <w:noProof/>
          <w:color w:val="auto"/>
          <w:lang w:eastAsia="en-US"/>
        </w:rPr>
        <w:t>Kleck &amp; Strenta, 1985; Rankin &amp; Borah, 2003; Rinnerthaler, Mueller, Weichbold, Wenning, &amp; Poewe, 2006; Stone &amp; Wright, 201</w:t>
      </w:r>
      <w:r w:rsidR="00AB36DA">
        <w:rPr>
          <w:rFonts w:eastAsia="Cambria"/>
          <w:noProof/>
          <w:color w:val="auto"/>
          <w:lang w:eastAsia="en-US"/>
        </w:rPr>
        <w:t>2</w:t>
      </w:r>
      <w:r w:rsidR="00A427E8" w:rsidRPr="000215FF">
        <w:rPr>
          <w:rFonts w:eastAsia="Cambria"/>
          <w:noProof/>
          <w:color w:val="auto"/>
          <w:lang w:eastAsia="en-US"/>
        </w:rPr>
        <w:t>)</w:t>
      </w:r>
      <w:r w:rsidR="00735E4D">
        <w:rPr>
          <w:rFonts w:eastAsia="Cambria"/>
          <w:color w:val="auto"/>
          <w:lang w:eastAsia="en-US"/>
        </w:rPr>
        <w:t>,</w:t>
      </w:r>
      <w:r w:rsidR="00A427E8" w:rsidRPr="000215FF">
        <w:rPr>
          <w:rFonts w:eastAsia="Cambria"/>
          <w:color w:val="auto"/>
          <w:lang w:eastAsia="en-US"/>
        </w:rPr>
        <w:t xml:space="preserve"> less capable intellectually or workwise </w:t>
      </w:r>
      <w:r w:rsidR="00A427E8" w:rsidRPr="000215FF">
        <w:rPr>
          <w:rFonts w:eastAsia="Cambria"/>
          <w:noProof/>
          <w:color w:val="auto"/>
          <w:lang w:eastAsia="en-US"/>
        </w:rPr>
        <w:t>(Dijker, Tacken, &amp; Borne, 2000; Hughes et al., 2009; Madera &amp; Hebl, 2012; Mojon-Azzi et al., 2008; Rankin &amp; Borah, 2003)</w:t>
      </w:r>
      <w:r w:rsidR="00735E4D">
        <w:rPr>
          <w:rFonts w:eastAsia="Cambria"/>
          <w:noProof/>
          <w:color w:val="auto"/>
          <w:lang w:eastAsia="en-US"/>
        </w:rPr>
        <w:t>,</w:t>
      </w:r>
      <w:r w:rsidR="00A427E8" w:rsidRPr="000215FF">
        <w:rPr>
          <w:rFonts w:eastAsia="Cambria"/>
          <w:color w:val="auto"/>
          <w:lang w:eastAsia="en-US"/>
        </w:rPr>
        <w:t xml:space="preserve"> and less honest</w:t>
      </w:r>
      <w:r w:rsidR="00735E4D">
        <w:rPr>
          <w:rFonts w:eastAsia="Cambria"/>
          <w:color w:val="auto"/>
          <w:lang w:eastAsia="en-US"/>
        </w:rPr>
        <w:t>/</w:t>
      </w:r>
      <w:r w:rsidR="00735E4D" w:rsidRPr="00735E4D">
        <w:rPr>
          <w:rFonts w:eastAsia="Cambria"/>
          <w:color w:val="auto"/>
          <w:lang w:eastAsia="en-US"/>
        </w:rPr>
        <w:t xml:space="preserve"> </w:t>
      </w:r>
      <w:r w:rsidR="00735E4D" w:rsidRPr="000215FF">
        <w:rPr>
          <w:rFonts w:eastAsia="Cambria"/>
          <w:color w:val="auto"/>
          <w:lang w:eastAsia="en-US"/>
        </w:rPr>
        <w:t>trustworthy</w:t>
      </w:r>
      <w:r w:rsidR="00A427E8" w:rsidRPr="000215FF">
        <w:rPr>
          <w:rFonts w:eastAsia="Cambria"/>
          <w:color w:val="auto"/>
          <w:lang w:eastAsia="en-US"/>
        </w:rPr>
        <w:t xml:space="preserve"> </w:t>
      </w:r>
      <w:r w:rsidR="00A427E8" w:rsidRPr="000215FF">
        <w:rPr>
          <w:rFonts w:eastAsia="Cambria"/>
          <w:noProof/>
          <w:color w:val="auto"/>
          <w:lang w:eastAsia="en-US"/>
        </w:rPr>
        <w:t>(Bull &amp; David, 1986</w:t>
      </w:r>
      <w:r w:rsidR="00735E4D">
        <w:rPr>
          <w:rFonts w:eastAsia="Cambria"/>
          <w:noProof/>
          <w:color w:val="auto"/>
          <w:lang w:eastAsia="en-US"/>
        </w:rPr>
        <w:t>;</w:t>
      </w:r>
      <w:r w:rsidR="00A427E8" w:rsidRPr="000215FF">
        <w:rPr>
          <w:rFonts w:eastAsia="Cambria"/>
          <w:color w:val="auto"/>
          <w:lang w:eastAsia="en-US"/>
        </w:rPr>
        <w:t xml:space="preserve"> </w:t>
      </w:r>
      <w:r w:rsidR="00A427E8" w:rsidRPr="000215FF">
        <w:rPr>
          <w:rFonts w:eastAsia="Cambria"/>
          <w:noProof/>
          <w:color w:val="auto"/>
          <w:lang w:eastAsia="en-US"/>
        </w:rPr>
        <w:t>Halioua et al., 2011; Jamrozik, Oraa Ali, Sarwer, &amp; Chatterjee, 2017; Rankin &amp; Borah, 2003; Rinnerthaler et al., 2006)</w:t>
      </w:r>
      <w:r w:rsidR="00A427E8" w:rsidRPr="000215FF">
        <w:rPr>
          <w:rFonts w:eastAsia="Cambria"/>
          <w:color w:val="auto"/>
          <w:lang w:eastAsia="en-US"/>
        </w:rPr>
        <w:t>. These characteristics may be desirable in many job positions for which people with FD are likely to face challenges in being a successful candidate.</w:t>
      </w:r>
    </w:p>
    <w:p w14:paraId="15C73D5F" w14:textId="2CD68F94" w:rsidR="00A427E8"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Overt discrimination towards FD is also explicit in recruitment decisions prior to the interview process.</w:t>
      </w:r>
      <w:r w:rsidR="006F0795">
        <w:rPr>
          <w:rFonts w:eastAsia="Cambria"/>
          <w:noProof/>
          <w:color w:val="FFFFFF"/>
          <w:lang w:eastAsia="en-US"/>
        </w:rPr>
        <w:t xml:space="preserve"> </w:t>
      </w:r>
      <w:r w:rsidRPr="000215FF">
        <w:rPr>
          <w:rFonts w:eastAsia="Cambria"/>
          <w:noProof/>
          <w:color w:val="auto"/>
          <w:lang w:eastAsia="en-US"/>
        </w:rPr>
        <w:t>Stone and Wright (2013)</w:t>
      </w:r>
      <w:r w:rsidRPr="000215FF">
        <w:rPr>
          <w:rFonts w:eastAsia="Cambria"/>
          <w:color w:val="auto"/>
          <w:lang w:eastAsia="en-US"/>
        </w:rPr>
        <w:t xml:space="preserve"> used a correspondence testing methodology to evaluate the recruitment prospects of individuals with FD compared to wheelchair users and controls without disabilities. Three mock CVs and cover letters were sent to 114 vacancies. Responses to each application were recorded and coded (i.e., invitation to interview, call back, rejection, etc.) and vacancies type categorised as low (e.g.</w:t>
      </w:r>
      <w:r w:rsidR="008471FC">
        <w:rPr>
          <w:rFonts w:eastAsia="Cambria"/>
          <w:color w:val="auto"/>
          <w:lang w:eastAsia="en-US"/>
        </w:rPr>
        <w:t xml:space="preserve">, </w:t>
      </w:r>
      <w:r w:rsidRPr="000215FF">
        <w:rPr>
          <w:rFonts w:eastAsia="Cambria"/>
          <w:color w:val="auto"/>
          <w:lang w:eastAsia="en-US"/>
        </w:rPr>
        <w:t>IT) or high (e.g</w:t>
      </w:r>
      <w:r w:rsidR="008471FC">
        <w:rPr>
          <w:rFonts w:eastAsia="Cambria"/>
          <w:color w:val="auto"/>
          <w:lang w:eastAsia="en-US"/>
        </w:rPr>
        <w:t>.,</w:t>
      </w:r>
      <w:r w:rsidRPr="000215FF">
        <w:rPr>
          <w:rFonts w:eastAsia="Cambria"/>
          <w:color w:val="auto"/>
          <w:lang w:eastAsia="en-US"/>
        </w:rPr>
        <w:t xml:space="preserve"> sales) c</w:t>
      </w:r>
      <w:r w:rsidR="00AB36DA">
        <w:rPr>
          <w:rFonts w:eastAsia="Cambria"/>
          <w:color w:val="auto"/>
          <w:lang w:eastAsia="en-US"/>
        </w:rPr>
        <w:t>u</w:t>
      </w:r>
      <w:r w:rsidRPr="000215FF">
        <w:rPr>
          <w:rFonts w:eastAsia="Cambria"/>
          <w:color w:val="auto"/>
          <w:lang w:eastAsia="en-US"/>
        </w:rPr>
        <w:t>st</w:t>
      </w:r>
      <w:r w:rsidR="00AB36DA">
        <w:rPr>
          <w:rFonts w:eastAsia="Cambria"/>
          <w:color w:val="auto"/>
          <w:lang w:eastAsia="en-US"/>
        </w:rPr>
        <w:t>o</w:t>
      </w:r>
      <w:r w:rsidRPr="000215FF">
        <w:rPr>
          <w:rFonts w:eastAsia="Cambria"/>
          <w:color w:val="auto"/>
          <w:lang w:eastAsia="en-US"/>
        </w:rPr>
        <w:t xml:space="preserve">mer contact. Applications depicting individuals with FD and wheelchair received more unfavourable responses than control CVs and cover letters. Roles requiring </w:t>
      </w:r>
      <w:r w:rsidR="00B32D9C">
        <w:rPr>
          <w:rFonts w:eastAsia="Cambria"/>
          <w:color w:val="auto"/>
          <w:lang w:eastAsia="en-US"/>
        </w:rPr>
        <w:t xml:space="preserve">a </w:t>
      </w:r>
      <w:r w:rsidRPr="000215FF">
        <w:rPr>
          <w:rFonts w:eastAsia="Cambria"/>
          <w:color w:val="auto"/>
          <w:lang w:eastAsia="en-US"/>
        </w:rPr>
        <w:t>higher level of customer service were significantly less favourable for applications from applicants with FD compared to controls without disfigurement or mobility impairment. However, there were equally favourable responses between FD and control applications when the vacancy required low levels of customer contact. The level of discrimination towards FD in jobs with high c</w:t>
      </w:r>
      <w:r w:rsidR="00AB36DA">
        <w:rPr>
          <w:rFonts w:eastAsia="Cambria"/>
          <w:color w:val="auto"/>
          <w:lang w:eastAsia="en-US"/>
        </w:rPr>
        <w:t>u</w:t>
      </w:r>
      <w:r w:rsidRPr="000215FF">
        <w:rPr>
          <w:rFonts w:eastAsia="Cambria"/>
          <w:color w:val="auto"/>
          <w:lang w:eastAsia="en-US"/>
        </w:rPr>
        <w:t>st</w:t>
      </w:r>
      <w:r w:rsidR="00AB36DA">
        <w:rPr>
          <w:rFonts w:eastAsia="Cambria"/>
          <w:color w:val="auto"/>
          <w:lang w:eastAsia="en-US"/>
        </w:rPr>
        <w:t>o</w:t>
      </w:r>
      <w:r w:rsidRPr="000215FF">
        <w:rPr>
          <w:rFonts w:eastAsia="Cambria"/>
          <w:color w:val="auto"/>
          <w:lang w:eastAsia="en-US"/>
        </w:rPr>
        <w:t xml:space="preserve">mer contact was similar to levels found in age and racial discrimination </w:t>
      </w:r>
      <w:r w:rsidRPr="000215FF">
        <w:rPr>
          <w:rFonts w:eastAsia="Cambria"/>
          <w:noProof/>
          <w:color w:val="auto"/>
          <w:lang w:eastAsia="en-US"/>
        </w:rPr>
        <w:t>(Eriksson &amp; Lagerström, 2012; Riach &amp; Rich, 2002)</w:t>
      </w:r>
      <w:r w:rsidRPr="000215FF">
        <w:rPr>
          <w:rFonts w:eastAsia="Cambria"/>
          <w:color w:val="auto"/>
          <w:lang w:eastAsia="en-US"/>
        </w:rPr>
        <w:t xml:space="preserve">. </w:t>
      </w:r>
    </w:p>
    <w:p w14:paraId="56E248A0" w14:textId="1876D9B9" w:rsidR="004E161A" w:rsidRPr="000215FF" w:rsidRDefault="004E161A"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Pr>
          <w:rFonts w:eastAsia="Cambria"/>
          <w:color w:val="auto"/>
          <w:lang w:eastAsia="en-US"/>
        </w:rPr>
        <w:t xml:space="preserve">There are notoriously negative stereotypes associated with FD (e.g., evilness or ridicule) which have been traditionally reinforced by culture via media and advertising </w:t>
      </w:r>
      <w:r>
        <w:rPr>
          <w:rFonts w:eastAsia="Cambria"/>
          <w:color w:val="auto"/>
          <w:lang w:eastAsia="en-US"/>
        </w:rPr>
        <w:fldChar w:fldCharType="begin" w:fldLock="1"/>
      </w:r>
      <w:r w:rsidR="00721D6C">
        <w:rPr>
          <w:rFonts w:eastAsia="Cambria"/>
          <w:color w:val="auto"/>
          <w:lang w:eastAsia="en-US"/>
        </w:rPr>
        <w:instrText>ADDIN CSL_CITATION {"citationItems":[{"id":"ITEM-1","itemData":{"ISSN":"191265623X","author":[{"dropping-particle":"","family":"Garrisi","given":"Diana","non-dropping-particle":"","parse-names":false,"suffix":""},{"dropping-particle":"","family":"Janciute","given":"LAIMA","non-dropping-particle":"","parse-names":false,"suffix":""},{"dropping-particle":"","family":"Johanssen","given":"JACOB","non-dropping-particle":"","parse-names":false,"suffix":""}],"id":"ITEM-1","issued":{"date-parts":[["2018"]]},"publisher":"University of Westminster Press","title":"CAMRI Policy Brief: Appearance, Discrimination and the Media-Portraying Facial Disfigurement Fairly in the News","type":"article-journal"},"uris":["http://www.mendeley.com/documents/?uuid=666a479b-31cc-4e95-8f11-696528a09800"]}],"mendeley":{"formattedCitation":"(Garrisi et al., 2018)","plainTextFormattedCitation":"(Garrisi et al., 2018)","previouslyFormattedCitation":"(Garrisi et al., 2018)"},"properties":{"noteIndex":0},"schema":"https://github.com/citation-style-language/schema/raw/master/csl-citation.json"}</w:instrText>
      </w:r>
      <w:r>
        <w:rPr>
          <w:rFonts w:eastAsia="Cambria"/>
          <w:color w:val="auto"/>
          <w:lang w:eastAsia="en-US"/>
        </w:rPr>
        <w:fldChar w:fldCharType="separate"/>
      </w:r>
      <w:r w:rsidRPr="004E161A">
        <w:rPr>
          <w:rFonts w:eastAsia="Cambria"/>
          <w:noProof/>
          <w:color w:val="auto"/>
          <w:lang w:eastAsia="en-US"/>
        </w:rPr>
        <w:t>(Garrisi et al., 2018)</w:t>
      </w:r>
      <w:r>
        <w:rPr>
          <w:rFonts w:eastAsia="Cambria"/>
          <w:color w:val="auto"/>
          <w:lang w:eastAsia="en-US"/>
        </w:rPr>
        <w:fldChar w:fldCharType="end"/>
      </w:r>
      <w:r w:rsidR="00A56ED6">
        <w:rPr>
          <w:rFonts w:eastAsia="Cambria"/>
          <w:color w:val="auto"/>
          <w:lang w:eastAsia="en-US"/>
        </w:rPr>
        <w:t>. However, stigma is not only directed towards those bearing the stigmatised attribute, it is also extended to those around them</w:t>
      </w:r>
      <w:r w:rsidR="00C3745C">
        <w:rPr>
          <w:rFonts w:eastAsia="Cambria"/>
          <w:color w:val="auto"/>
          <w:lang w:eastAsia="en-US"/>
        </w:rPr>
        <w:t>. Stigma by association is the propagation of stigmatising attitudes to family members, health professionals,</w:t>
      </w:r>
      <w:r w:rsidR="00A56ED6">
        <w:rPr>
          <w:rFonts w:eastAsia="Cambria"/>
          <w:color w:val="auto"/>
          <w:lang w:eastAsia="en-US"/>
        </w:rPr>
        <w:t xml:space="preserve"> </w:t>
      </w:r>
      <w:r w:rsidR="00C3745C">
        <w:rPr>
          <w:rFonts w:eastAsia="Cambria"/>
          <w:color w:val="auto"/>
          <w:lang w:eastAsia="en-US"/>
        </w:rPr>
        <w:t>co-workers and other individuals that have an association with a stigmatised individual</w:t>
      </w:r>
      <w:r w:rsidR="00721D6C">
        <w:rPr>
          <w:rFonts w:eastAsia="Cambria"/>
          <w:color w:val="auto"/>
          <w:lang w:eastAsia="en-US"/>
        </w:rPr>
        <w:t xml:space="preserve"> </w:t>
      </w:r>
      <w:r w:rsidR="00721D6C">
        <w:rPr>
          <w:rFonts w:eastAsia="Cambria"/>
          <w:color w:val="auto"/>
          <w:lang w:eastAsia="en-US"/>
        </w:rPr>
        <w:fldChar w:fldCharType="begin" w:fldLock="1"/>
      </w:r>
      <w:r w:rsidR="00721D6C">
        <w:rPr>
          <w:rFonts w:eastAsia="Cambria"/>
          <w:color w:val="auto"/>
          <w:lang w:eastAsia="en-US"/>
        </w:rPr>
        <w:instrText>ADDIN CSL_CITATION {"citationItems":[{"id":"ITEM-1","itemData":{"ISSN":"1939-1315","author":[{"dropping-particle":"","family":"Pryor","given":"John B","non-dropping-particle":"","parse-names":false,"suffix":""},{"dropping-particle":"","family":"Reeder","given":"Glenn D","non-dropping-particle":"","parse-names":false,"suffix":""},{"dropping-particle":"","family":"Monroe","given":"Andrew E","non-dropping-particle":"","parse-names":false,"suffix":""}],"container-title":"Journal of personality and social psychology","id":"ITEM-1","issue":"2","issued":{"date-parts":[["2012"]]},"page":"224","publisher":"American Psychological Association","title":"The infection of bad company: Stigma by association.","type":"article-journal","volume":"102"},"uris":["http://www.mendeley.com/documents/?uuid=1da10a08-188b-413f-868a-c6bc6dbc1e3c"]}],"mendeley":{"formattedCitation":"(Pryor, Reeder, &amp; Monroe, 2012)","plainTextFormattedCitation":"(Pryor, Reeder, &amp; Monroe, 2012)","previouslyFormattedCitation":"(Pryor, Reeder, &amp; Monroe, 2012)"},"properties":{"noteIndex":0},"schema":"https://github.com/citation-style-language/schema/raw/master/csl-citation.json"}</w:instrText>
      </w:r>
      <w:r w:rsidR="00721D6C">
        <w:rPr>
          <w:rFonts w:eastAsia="Cambria"/>
          <w:color w:val="auto"/>
          <w:lang w:eastAsia="en-US"/>
        </w:rPr>
        <w:fldChar w:fldCharType="separate"/>
      </w:r>
      <w:r w:rsidR="00721D6C" w:rsidRPr="00721D6C">
        <w:rPr>
          <w:rFonts w:eastAsia="Cambria"/>
          <w:noProof/>
          <w:color w:val="auto"/>
          <w:lang w:eastAsia="en-US"/>
        </w:rPr>
        <w:t>(Pryor, Reeder, &amp; Monroe, 2012)</w:t>
      </w:r>
      <w:r w:rsidR="00721D6C">
        <w:rPr>
          <w:rFonts w:eastAsia="Cambria"/>
          <w:color w:val="auto"/>
          <w:lang w:eastAsia="en-US"/>
        </w:rPr>
        <w:fldChar w:fldCharType="end"/>
      </w:r>
      <w:r w:rsidR="00C3745C">
        <w:rPr>
          <w:rFonts w:eastAsia="Cambria"/>
          <w:color w:val="auto"/>
          <w:lang w:eastAsia="en-US"/>
        </w:rPr>
        <w:t xml:space="preserve">. For example, stigma by association has been known to hinder employability of people with health conditions </w:t>
      </w:r>
      <w:r w:rsidR="00721D6C">
        <w:rPr>
          <w:rFonts w:eastAsia="Cambria"/>
          <w:color w:val="auto"/>
          <w:lang w:eastAsia="en-US"/>
        </w:rPr>
        <w:fldChar w:fldCharType="begin" w:fldLock="1"/>
      </w:r>
      <w:r w:rsidR="007F2A46">
        <w:rPr>
          <w:rFonts w:eastAsia="Cambria"/>
          <w:color w:val="auto"/>
          <w:lang w:eastAsia="en-US"/>
        </w:rPr>
        <w:instrText>ADDIN CSL_CITATION {"citationItems":[{"id":"ITEM-1","itemData":{"ISSN":"0034-3552","author":[{"dropping-particle":"","family":"Kosyluk","given":"Kristin A","non-dropping-particle":"","parse-names":false,"suffix":""},{"dropping-particle":"","family":"Corrigan","given":"Patrick W","non-dropping-particle":"","parse-names":false,"suffix":""},{"dropping-particle":"","family":"Landis","given":"Ronald S","non-dropping-particle":"","parse-names":false,"suffix":""}],"container-title":"Rehabilitation Counseling Bulletin","id":"ITEM-1","issue":"2","issued":{"date-parts":[["2014"]]},"page":"102-108","publisher":"Sage Publications Sage CA: Los Angeles, CA","title":"Employer stigma as a mediator between past and future hiring behavior","type":"article-journal","volume":"57"},"uris":["http://www.mendeley.com/documents/?uuid=107f7244-e8c4-4bf4-8e2d-e08fbc3f458c"]}],"mendeley":{"formattedCitation":"(Kosyluk, Corrigan, &amp; Landis, 2014)","plainTextFormattedCitation":"(Kosyluk, Corrigan, &amp; Landis, 2014)","previouslyFormattedCitation":"(Kosyluk, Corrigan, &amp; Landis, 2014)"},"properties":{"noteIndex":0},"schema":"https://github.com/citation-style-language/schema/raw/master/csl-citation.json"}</w:instrText>
      </w:r>
      <w:r w:rsidR="00721D6C">
        <w:rPr>
          <w:rFonts w:eastAsia="Cambria"/>
          <w:color w:val="auto"/>
          <w:lang w:eastAsia="en-US"/>
        </w:rPr>
        <w:fldChar w:fldCharType="separate"/>
      </w:r>
      <w:r w:rsidR="00721D6C" w:rsidRPr="00721D6C">
        <w:rPr>
          <w:rFonts w:eastAsia="Cambria"/>
          <w:noProof/>
          <w:color w:val="auto"/>
          <w:lang w:eastAsia="en-US"/>
        </w:rPr>
        <w:t>(Kosyluk, Corrigan, &amp; Landis, 2014)</w:t>
      </w:r>
      <w:r w:rsidR="00721D6C">
        <w:rPr>
          <w:rFonts w:eastAsia="Cambria"/>
          <w:color w:val="auto"/>
          <w:lang w:eastAsia="en-US"/>
        </w:rPr>
        <w:fldChar w:fldCharType="end"/>
      </w:r>
      <w:r w:rsidR="00C3745C">
        <w:rPr>
          <w:rFonts w:eastAsia="Cambria"/>
          <w:color w:val="auto"/>
          <w:lang w:eastAsia="en-US"/>
        </w:rPr>
        <w:t xml:space="preserve">. Due to the visible component of disfigurement, it is likely that </w:t>
      </w:r>
      <w:r w:rsidR="00721D6C">
        <w:rPr>
          <w:rFonts w:eastAsia="Cambria"/>
          <w:color w:val="auto"/>
          <w:lang w:eastAsia="en-US"/>
        </w:rPr>
        <w:t xml:space="preserve">poor </w:t>
      </w:r>
      <w:r w:rsidR="00C3745C">
        <w:rPr>
          <w:rFonts w:eastAsia="Cambria"/>
          <w:color w:val="auto"/>
          <w:lang w:eastAsia="en-US"/>
        </w:rPr>
        <w:t xml:space="preserve">recruitment prospects </w:t>
      </w:r>
      <w:r w:rsidR="00721D6C">
        <w:rPr>
          <w:rFonts w:eastAsia="Cambria"/>
          <w:color w:val="auto"/>
          <w:lang w:eastAsia="en-US"/>
        </w:rPr>
        <w:t>of people with FD are also related to stigma by association, particularly in positions that makes them highly visible to others.</w:t>
      </w:r>
    </w:p>
    <w:p w14:paraId="178A226E" w14:textId="59503D88"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Despite the growing body of research showcasing the disabling consequences of having a FD, studies reporting efforts to ameliorate the stigmatisation of FD in the public are rare. Strategies encouraging inclusion of people with FD are commonly </w:t>
      </w:r>
      <w:r w:rsidRPr="000215FF">
        <w:rPr>
          <w:rFonts w:eastAsia="Cambria"/>
          <w:color w:val="auto"/>
          <w:lang w:eastAsia="en-US"/>
        </w:rPr>
        <w:lastRenderedPageBreak/>
        <w:t xml:space="preserve">aimed at improving conditions for the person with FD, for instance, through surgical procedures </w:t>
      </w:r>
      <w:r w:rsidRPr="000215FF">
        <w:rPr>
          <w:rFonts w:eastAsia="Cambria"/>
          <w:noProof/>
          <w:color w:val="auto"/>
          <w:lang w:eastAsia="en-US"/>
        </w:rPr>
        <w:t>(Godoy et al., 2011; Ishii et al., 2009)</w:t>
      </w:r>
      <w:r w:rsidRPr="000215FF">
        <w:rPr>
          <w:rFonts w:eastAsia="Cambria"/>
          <w:color w:val="auto"/>
          <w:lang w:eastAsia="en-US"/>
        </w:rPr>
        <w:t xml:space="preserve">, cognitive behavioural therapy </w:t>
      </w:r>
      <w:r w:rsidRPr="000215FF">
        <w:rPr>
          <w:rFonts w:eastAsia="Cambria"/>
          <w:noProof/>
          <w:color w:val="auto"/>
          <w:lang w:eastAsia="en-US"/>
        </w:rPr>
        <w:t>(Clarke, Thompson, Jenkinson, Rumsey, &amp; Newell, 2014)</w:t>
      </w:r>
      <w:r w:rsidRPr="000215FF">
        <w:rPr>
          <w:rFonts w:eastAsia="Cambria"/>
          <w:color w:val="auto"/>
          <w:lang w:eastAsia="en-US"/>
        </w:rPr>
        <w:t xml:space="preserve"> and training to improve social skills </w:t>
      </w:r>
      <w:r w:rsidRPr="000215FF">
        <w:rPr>
          <w:rFonts w:eastAsia="Cambria"/>
          <w:noProof/>
          <w:color w:val="auto"/>
          <w:lang w:eastAsia="en-US"/>
        </w:rPr>
        <w:t>(Newell &amp; Clarke, 2000; Robinson, Rumsey, &amp; Partridge, 1996)</w:t>
      </w:r>
      <w:r w:rsidRPr="000215FF">
        <w:rPr>
          <w:rFonts w:eastAsia="Cambria"/>
          <w:color w:val="auto"/>
          <w:lang w:eastAsia="en-US"/>
        </w:rPr>
        <w:t>.  Efforts to reduce stigma towards FD in the public have traditionally focused on raising awareness via protest interventions (e.g., Changing Faces, CF website media recommendations) and education (media recommendations, CF)</w:t>
      </w:r>
      <w:r w:rsidR="00721D6C">
        <w:rPr>
          <w:rFonts w:eastAsia="Cambria"/>
          <w:color w:val="auto"/>
          <w:lang w:eastAsia="en-US"/>
        </w:rPr>
        <w:t xml:space="preserve">. </w:t>
      </w:r>
      <w:r w:rsidRPr="000215FF">
        <w:rPr>
          <w:rFonts w:eastAsia="Cambria"/>
          <w:color w:val="auto"/>
          <w:lang w:eastAsia="en-US"/>
        </w:rPr>
        <w:t>Nevertheless, few publications have tested the effect of stigma reduction for FD compared with the study of anti-stigma strategies towards other commonly stigmatised groups (e.g.</w:t>
      </w:r>
      <w:r w:rsidR="00721D6C" w:rsidRPr="000215FF">
        <w:rPr>
          <w:rFonts w:eastAsia="Cambria"/>
          <w:color w:val="auto"/>
          <w:lang w:eastAsia="en-US"/>
        </w:rPr>
        <w:t>,</w:t>
      </w:r>
      <w:r w:rsidR="00721D6C" w:rsidRPr="000215FF">
        <w:rPr>
          <w:rFonts w:eastAsia="Cambria"/>
          <w:noProof/>
          <w:color w:val="FFFFFF"/>
          <w:lang w:eastAsia="en-US"/>
        </w:rPr>
        <w:t xml:space="preserve"> (</w:t>
      </w:r>
      <w:r w:rsidRPr="000215FF">
        <w:rPr>
          <w:rFonts w:eastAsia="Cambria"/>
          <w:noProof/>
          <w:color w:val="auto"/>
          <w:lang w:eastAsia="en-US"/>
        </w:rPr>
        <w:t>Corrigan, Morris, Michaels, Rafacz, &amp; Rüsch, 2012; Schomerus et al., 2012)</w:t>
      </w:r>
      <w:r w:rsidRPr="000215FF">
        <w:rPr>
          <w:rFonts w:eastAsia="Cambria"/>
          <w:color w:val="auto"/>
          <w:lang w:eastAsia="en-US"/>
        </w:rPr>
        <w:t xml:space="preserve">. </w:t>
      </w:r>
      <w:r w:rsidR="00721D6C">
        <w:rPr>
          <w:rFonts w:eastAsia="Cambria"/>
          <w:color w:val="auto"/>
          <w:lang w:eastAsia="en-US"/>
        </w:rPr>
        <w:t>E</w:t>
      </w:r>
      <w:r w:rsidRPr="000215FF">
        <w:rPr>
          <w:rFonts w:eastAsia="Cambria"/>
          <w:color w:val="auto"/>
          <w:lang w:eastAsia="en-US"/>
        </w:rPr>
        <w:t>ducation and contact-based anti-stigma strategies have been found to have a degree of effectiveness</w:t>
      </w:r>
      <w:r w:rsidR="00721D6C">
        <w:rPr>
          <w:rFonts w:eastAsia="Cambria"/>
          <w:color w:val="auto"/>
          <w:lang w:eastAsia="en-US"/>
        </w:rPr>
        <w:t xml:space="preserve"> with other stigmatised groups,</w:t>
      </w:r>
      <w:r w:rsidRPr="000215FF">
        <w:rPr>
          <w:rFonts w:eastAsia="Cambria"/>
          <w:color w:val="auto"/>
          <w:lang w:eastAsia="en-US"/>
        </w:rPr>
        <w:t xml:space="preserve"> but are yet to be tested in the case of stigma towards FD. </w:t>
      </w:r>
    </w:p>
    <w:p w14:paraId="5A6CC612" w14:textId="77777777" w:rsidR="00465200"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Education strategies have received a degree of support in the field of stigma reduction </w:t>
      </w:r>
      <w:r w:rsidRPr="000215FF">
        <w:rPr>
          <w:rFonts w:eastAsia="Cambria"/>
          <w:noProof/>
          <w:color w:val="auto"/>
          <w:lang w:eastAsia="en-US"/>
        </w:rPr>
        <w:t>(Clement et al., 2013; Corrigan et al., 2012; Griffiths, Carron</w:t>
      </w:r>
      <w:r w:rsidRPr="000215FF">
        <w:rPr>
          <w:rFonts w:ascii="Cambria Math" w:eastAsia="Cambria" w:hAnsi="Cambria Math" w:cs="Cambria Math"/>
          <w:noProof/>
          <w:color w:val="auto"/>
          <w:lang w:eastAsia="en-US"/>
        </w:rPr>
        <w:t>‐</w:t>
      </w:r>
      <w:r w:rsidRPr="000215FF">
        <w:rPr>
          <w:rFonts w:eastAsia="Cambria"/>
          <w:noProof/>
          <w:color w:val="auto"/>
          <w:lang w:eastAsia="en-US"/>
        </w:rPr>
        <w:t>Arthur, Parsons, &amp; Reid, 2014)</w:t>
      </w:r>
      <w:r w:rsidRPr="000215FF">
        <w:rPr>
          <w:rFonts w:eastAsia="Cambria"/>
          <w:color w:val="auto"/>
          <w:lang w:eastAsia="en-US"/>
        </w:rPr>
        <w:t>; small to medium effect sizes have been associated to stigma reduction strategies with educational content. However, the lasting effects of education strategies ha</w:t>
      </w:r>
      <w:r w:rsidR="00B32D9C">
        <w:rPr>
          <w:rFonts w:eastAsia="Cambria"/>
          <w:color w:val="auto"/>
          <w:lang w:eastAsia="en-US"/>
        </w:rPr>
        <w:t>ve</w:t>
      </w:r>
      <w:r w:rsidRPr="000215FF">
        <w:rPr>
          <w:rFonts w:eastAsia="Cambria"/>
          <w:color w:val="auto"/>
          <w:lang w:eastAsia="en-US"/>
        </w:rPr>
        <w:t xml:space="preserve"> not been systematically evidenced and some studies have reported non-significant effects of education in decreasing levels of stigma </w:t>
      </w:r>
      <w:r w:rsidRPr="000215FF">
        <w:rPr>
          <w:rFonts w:eastAsia="Cambria"/>
          <w:noProof/>
          <w:color w:val="auto"/>
          <w:lang w:eastAsia="en-US"/>
        </w:rPr>
        <w:t>(Corrigan et al., 2001; Jorm, Kitchener, Fischer, &amp; Cvetkovski, 2010; Penn, Chamberlin, &amp; Mueser, 2003)</w:t>
      </w:r>
      <w:r w:rsidRPr="000215FF">
        <w:rPr>
          <w:rFonts w:eastAsia="Cambria"/>
          <w:color w:val="auto"/>
          <w:lang w:eastAsia="en-US"/>
        </w:rPr>
        <w:t>.</w:t>
      </w:r>
    </w:p>
    <w:p w14:paraId="2957A34A" w14:textId="48C122E1"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  According to </w:t>
      </w:r>
      <w:r w:rsidRPr="000215FF">
        <w:rPr>
          <w:rFonts w:eastAsia="Cambria"/>
          <w:noProof/>
          <w:color w:val="auto"/>
          <w:lang w:eastAsia="en-US"/>
        </w:rPr>
        <w:t>Corrigan et al., 2012</w:t>
      </w:r>
      <w:r w:rsidRPr="000215FF">
        <w:rPr>
          <w:rFonts w:eastAsia="Cambria"/>
          <w:color w:val="auto"/>
          <w:lang w:eastAsia="en-US"/>
        </w:rPr>
        <w:t xml:space="preserve">, the effectiveness of education strategies is associated with the content. Successful anti-stigma strategies target stereotypical beliefs and myths about a stigmatised group. For instance, stigma related to psychiatric conditions like psychosis </w:t>
      </w:r>
      <w:r w:rsidR="007F2A46">
        <w:rPr>
          <w:rFonts w:eastAsia="Cambria"/>
          <w:color w:val="auto"/>
          <w:lang w:eastAsia="en-US"/>
        </w:rPr>
        <w:t>emerges from</w:t>
      </w:r>
      <w:r w:rsidRPr="000215FF">
        <w:rPr>
          <w:rFonts w:eastAsia="Cambria"/>
          <w:color w:val="auto"/>
          <w:lang w:eastAsia="en-US"/>
        </w:rPr>
        <w:t xml:space="preserve"> misconceptions about the aggressiveness of people living with these conditions </w:t>
      </w:r>
      <w:r w:rsidRPr="000215FF">
        <w:rPr>
          <w:rFonts w:eastAsia="Cambria"/>
          <w:noProof/>
          <w:color w:val="auto"/>
          <w:lang w:eastAsia="en-US"/>
        </w:rPr>
        <w:t>(Kvaale, Gottdiener, &amp; Haslam, 2013)</w:t>
      </w:r>
      <w:r w:rsidRPr="000215FF">
        <w:rPr>
          <w:rFonts w:eastAsia="Cambria"/>
          <w:color w:val="auto"/>
          <w:lang w:eastAsia="en-US"/>
        </w:rPr>
        <w:t xml:space="preserve">. </w:t>
      </w:r>
      <w:r w:rsidR="007F2A46">
        <w:rPr>
          <w:rFonts w:eastAsia="Cambria"/>
          <w:color w:val="auto"/>
          <w:lang w:eastAsia="en-US"/>
        </w:rPr>
        <w:t>Educational i</w:t>
      </w:r>
      <w:r w:rsidRPr="000215FF">
        <w:rPr>
          <w:rFonts w:eastAsia="Cambria"/>
          <w:color w:val="auto"/>
          <w:lang w:eastAsia="en-US"/>
        </w:rPr>
        <w:t>ntervention</w:t>
      </w:r>
      <w:r w:rsidR="007F2A46">
        <w:rPr>
          <w:rFonts w:eastAsia="Cambria"/>
          <w:color w:val="auto"/>
          <w:lang w:eastAsia="en-US"/>
        </w:rPr>
        <w:t>s</w:t>
      </w:r>
      <w:r w:rsidRPr="000215FF">
        <w:rPr>
          <w:rFonts w:eastAsia="Cambria"/>
          <w:color w:val="auto"/>
          <w:lang w:eastAsia="en-US"/>
        </w:rPr>
        <w:t xml:space="preserve"> challenging </w:t>
      </w:r>
      <w:r w:rsidR="007F2A46">
        <w:rPr>
          <w:rFonts w:eastAsia="Cambria"/>
          <w:color w:val="auto"/>
          <w:lang w:eastAsia="en-US"/>
        </w:rPr>
        <w:t>this believes, for instance,</w:t>
      </w:r>
      <w:r w:rsidRPr="000215FF">
        <w:rPr>
          <w:rFonts w:eastAsia="Cambria"/>
          <w:color w:val="auto"/>
          <w:lang w:eastAsia="en-US"/>
        </w:rPr>
        <w:t xml:space="preserve"> by sharing lived experiences </w:t>
      </w:r>
      <w:r w:rsidRPr="000215FF">
        <w:rPr>
          <w:rFonts w:eastAsia="Cambria"/>
          <w:noProof/>
          <w:color w:val="auto"/>
          <w:lang w:eastAsia="en-US"/>
        </w:rPr>
        <w:t>(Finkelstein, Lapshin, &amp; Wasserman, 2008)</w:t>
      </w:r>
      <w:r w:rsidRPr="000215FF">
        <w:rPr>
          <w:rFonts w:eastAsia="Cambria"/>
          <w:color w:val="auto"/>
          <w:lang w:eastAsia="en-US"/>
        </w:rPr>
        <w:t xml:space="preserve">, also show stigma reduction effects. A recent meta-analysis </w:t>
      </w:r>
      <w:r w:rsidRPr="000215FF">
        <w:rPr>
          <w:rFonts w:eastAsia="Cambria"/>
          <w:noProof/>
          <w:color w:val="auto"/>
          <w:lang w:eastAsia="en-US"/>
        </w:rPr>
        <w:t>(Griffiths et al., 2014)</w:t>
      </w:r>
      <w:r w:rsidRPr="000215FF">
        <w:rPr>
          <w:rFonts w:eastAsia="Cambria"/>
          <w:color w:val="auto"/>
          <w:lang w:eastAsia="en-US"/>
        </w:rPr>
        <w:t xml:space="preserve"> showed that education is the most tested form of mental health anti-stigma strategy in the literature. </w:t>
      </w:r>
      <w:r w:rsidRPr="000215FF">
        <w:rPr>
          <w:rFonts w:eastAsia="Cambria"/>
          <w:noProof/>
          <w:color w:val="auto"/>
          <w:lang w:eastAsia="en-US"/>
        </w:rPr>
        <w:t xml:space="preserve">Griffiths et al. (2014) reported a </w:t>
      </w:r>
      <w:r w:rsidRPr="000215FF">
        <w:rPr>
          <w:rFonts w:eastAsia="Cambria"/>
          <w:color w:val="auto"/>
          <w:lang w:eastAsia="en-US"/>
        </w:rPr>
        <w:t>significant effect of strategies with at least one educational condition, in decreasing stigma towards psychosis, depression and all other psychiatric conditions. Furthermore, there were non-significant differences in stigma reduction between internet-based and face-to-face strategies</w:t>
      </w:r>
      <w:r w:rsidR="007F2A46">
        <w:rPr>
          <w:rFonts w:eastAsia="Cambria"/>
          <w:color w:val="auto"/>
          <w:lang w:eastAsia="en-US"/>
        </w:rPr>
        <w:t xml:space="preserve"> </w:t>
      </w:r>
      <w:r w:rsidR="007F2A46">
        <w:rPr>
          <w:rFonts w:eastAsia="Cambria"/>
          <w:color w:val="auto"/>
          <w:lang w:eastAsia="en-US"/>
        </w:rPr>
        <w:fldChar w:fldCharType="begin" w:fldLock="1"/>
      </w:r>
      <w:r w:rsidR="00280BE8">
        <w:rPr>
          <w:rFonts w:eastAsia="Cambria"/>
          <w:color w:val="auto"/>
          <w:lang w:eastAsia="en-US"/>
        </w:rPr>
        <w:instrText>ADDIN CSL_CITATION {"citationItems":[{"id":"ITEM-1","itemData":{"ISSN":"1723-8617","author":[{"dropping-particle":"","family":"Griffiths","given":"Kathleen M","non-dropping-particle":"","parse-names":false,"suffix":""},{"dropping-particle":"","family":"Carron</w:instrText>
      </w:r>
      <w:r w:rsidR="00280BE8">
        <w:rPr>
          <w:rFonts w:ascii="Cambria Math" w:eastAsia="Cambria" w:hAnsi="Cambria Math" w:cs="Cambria Math"/>
          <w:color w:val="auto"/>
          <w:lang w:eastAsia="en-US"/>
        </w:rPr>
        <w:instrText>‐</w:instrText>
      </w:r>
      <w:r w:rsidR="00280BE8">
        <w:rPr>
          <w:rFonts w:eastAsia="Cambria"/>
          <w:color w:val="auto"/>
          <w:lang w:eastAsia="en-US"/>
        </w:rPr>
        <w:instrText>Arthur","given":"Bradley","non-dropping-particle":"","parse-names":false,"suffix":""},{"dropping-particle":"","family":"Parsons","given":"Alison","non-dropping-particle":"","parse-names":false,"suffix":""},{"dropping-particle":"","family":"Reid","given":"Russell","non-dropping-particle":"","parse-names":false,"suffix":""}],"container-title":"World psychiatry","id":"ITEM-1","issue":"2","issued":{"date-parts":[["2014"]]},"page":"161-175","publisher":"Wiley Online Library","title":"Effectiveness of programs for reducing the stigma associated with mental disorders. A meta</w:instrText>
      </w:r>
      <w:r w:rsidR="00280BE8">
        <w:rPr>
          <w:rFonts w:ascii="Cambria Math" w:eastAsia="Cambria" w:hAnsi="Cambria Math" w:cs="Cambria Math"/>
          <w:color w:val="auto"/>
          <w:lang w:eastAsia="en-US"/>
        </w:rPr>
        <w:instrText>‐</w:instrText>
      </w:r>
      <w:r w:rsidR="00280BE8">
        <w:rPr>
          <w:rFonts w:eastAsia="Cambria"/>
          <w:color w:val="auto"/>
          <w:lang w:eastAsia="en-US"/>
        </w:rPr>
        <w:instrText>analysis of randomized controlled trials","type":"article-journal","volume":"13"},"uris":["http://www.mendeley.com/documents/?uuid=cd74ec16-a382-4339-bd81-44e7a2900f60"]}],"mendeley":{"formattedCitation":"(Griffiths, Carron</w:instrText>
      </w:r>
      <w:r w:rsidR="00280BE8">
        <w:rPr>
          <w:rFonts w:ascii="Cambria Math" w:eastAsia="Cambria" w:hAnsi="Cambria Math" w:cs="Cambria Math"/>
          <w:color w:val="auto"/>
          <w:lang w:eastAsia="en-US"/>
        </w:rPr>
        <w:instrText>‐</w:instrText>
      </w:r>
      <w:r w:rsidR="00280BE8">
        <w:rPr>
          <w:rFonts w:eastAsia="Cambria"/>
          <w:color w:val="auto"/>
          <w:lang w:eastAsia="en-US"/>
        </w:rPr>
        <w:instrText>Arthur, Parsons, &amp; Reid, 2014)","plainTextFormattedCitation":"(Griffiths, Carron</w:instrText>
      </w:r>
      <w:r w:rsidR="00280BE8">
        <w:rPr>
          <w:rFonts w:ascii="Cambria Math" w:eastAsia="Cambria" w:hAnsi="Cambria Math" w:cs="Cambria Math"/>
          <w:color w:val="auto"/>
          <w:lang w:eastAsia="en-US"/>
        </w:rPr>
        <w:instrText>‐</w:instrText>
      </w:r>
      <w:r w:rsidR="00280BE8">
        <w:rPr>
          <w:rFonts w:eastAsia="Cambria"/>
          <w:color w:val="auto"/>
          <w:lang w:eastAsia="en-US"/>
        </w:rPr>
        <w:instrText>Arthur, Parsons, &amp; Reid, 2014)","previouslyFormattedCitation":"(Griffiths, Carron</w:instrText>
      </w:r>
      <w:r w:rsidR="00280BE8">
        <w:rPr>
          <w:rFonts w:ascii="Cambria Math" w:eastAsia="Cambria" w:hAnsi="Cambria Math" w:cs="Cambria Math"/>
          <w:color w:val="auto"/>
          <w:lang w:eastAsia="en-US"/>
        </w:rPr>
        <w:instrText>‐</w:instrText>
      </w:r>
      <w:r w:rsidR="00280BE8">
        <w:rPr>
          <w:rFonts w:eastAsia="Cambria"/>
          <w:color w:val="auto"/>
          <w:lang w:eastAsia="en-US"/>
        </w:rPr>
        <w:instrText>Arthur, Parsons, &amp; Reid, 2014)"},"properties":{"noteIndex":0},"schema":"https://github.com/citation-style-language/schema/raw/master/csl-citation.json"}</w:instrText>
      </w:r>
      <w:r w:rsidR="007F2A46">
        <w:rPr>
          <w:rFonts w:eastAsia="Cambria"/>
          <w:color w:val="auto"/>
          <w:lang w:eastAsia="en-US"/>
        </w:rPr>
        <w:fldChar w:fldCharType="separate"/>
      </w:r>
      <w:r w:rsidR="007F2A46" w:rsidRPr="007F2A46">
        <w:rPr>
          <w:rFonts w:eastAsia="Cambria"/>
          <w:noProof/>
          <w:color w:val="auto"/>
          <w:lang w:eastAsia="en-US"/>
        </w:rPr>
        <w:t>(Griffiths, Carron</w:t>
      </w:r>
      <w:r w:rsidR="007F2A46" w:rsidRPr="007F2A46">
        <w:rPr>
          <w:rFonts w:ascii="Cambria Math" w:eastAsia="Cambria" w:hAnsi="Cambria Math" w:cs="Cambria Math"/>
          <w:noProof/>
          <w:color w:val="auto"/>
          <w:lang w:eastAsia="en-US"/>
        </w:rPr>
        <w:t>‐</w:t>
      </w:r>
      <w:r w:rsidR="007F2A46" w:rsidRPr="007F2A46">
        <w:rPr>
          <w:rFonts w:eastAsia="Cambria"/>
          <w:noProof/>
          <w:color w:val="auto"/>
          <w:lang w:eastAsia="en-US"/>
        </w:rPr>
        <w:t>Arthur, Parsons, &amp; Reid, 2014)</w:t>
      </w:r>
      <w:r w:rsidR="007F2A46">
        <w:rPr>
          <w:rFonts w:eastAsia="Cambria"/>
          <w:color w:val="auto"/>
          <w:lang w:eastAsia="en-US"/>
        </w:rPr>
        <w:fldChar w:fldCharType="end"/>
      </w:r>
      <w:r w:rsidRPr="000215FF">
        <w:rPr>
          <w:rFonts w:eastAsia="Cambria"/>
          <w:color w:val="auto"/>
          <w:lang w:eastAsia="en-US"/>
        </w:rPr>
        <w:t>.</w:t>
      </w:r>
    </w:p>
    <w:p w14:paraId="222012BE"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Other commonly tested anti-stigma strategies are contact-based interventions </w:t>
      </w:r>
      <w:r w:rsidRPr="000215FF">
        <w:rPr>
          <w:rFonts w:eastAsia="Cambria"/>
          <w:noProof/>
          <w:color w:val="auto"/>
          <w:lang w:eastAsia="en-US"/>
        </w:rPr>
        <w:t>(Corrigan et al., 2012; Griffiths et al., 2014; Pettigrew &amp; Tropp, 2006)</w:t>
      </w:r>
      <w:r w:rsidRPr="000215FF">
        <w:rPr>
          <w:rFonts w:eastAsia="Cambria"/>
          <w:color w:val="auto"/>
          <w:lang w:eastAsia="en-US"/>
        </w:rPr>
        <w:t xml:space="preserve">. According to the contact hypothesis </w:t>
      </w:r>
      <w:r w:rsidRPr="000215FF">
        <w:rPr>
          <w:rFonts w:eastAsia="Cambria"/>
          <w:noProof/>
          <w:color w:val="auto"/>
          <w:lang w:eastAsia="en-US"/>
        </w:rPr>
        <w:t>(Allport, Clark, &amp; Pettigrew, 1954)</w:t>
      </w:r>
      <w:r w:rsidRPr="000215FF">
        <w:rPr>
          <w:rFonts w:eastAsia="Cambria"/>
          <w:color w:val="auto"/>
          <w:lang w:eastAsia="en-US"/>
        </w:rPr>
        <w:t xml:space="preserve">, intergroup contact under appropriate circumstances (i.e., equal status of participants, collaborative interaction </w:t>
      </w:r>
      <w:r w:rsidRPr="000215FF">
        <w:rPr>
          <w:rFonts w:eastAsia="Cambria"/>
          <w:color w:val="auto"/>
          <w:lang w:eastAsia="en-US"/>
        </w:rPr>
        <w:lastRenderedPageBreak/>
        <w:t>and institutional support</w:t>
      </w:r>
      <w:r w:rsidR="006F0795">
        <w:rPr>
          <w:rFonts w:eastAsia="Cambria"/>
          <w:color w:val="auto"/>
          <w:lang w:eastAsia="en-US"/>
        </w:rPr>
        <w:t xml:space="preserve">; </w:t>
      </w:r>
      <w:r w:rsidRPr="000215FF">
        <w:rPr>
          <w:rFonts w:eastAsia="Cambria"/>
          <w:noProof/>
          <w:color w:val="auto"/>
          <w:lang w:eastAsia="en-US"/>
        </w:rPr>
        <w:t>Dovidio, Gaertner, &amp; Kawakami, 2003)</w:t>
      </w:r>
      <w:r w:rsidRPr="000215FF">
        <w:rPr>
          <w:rFonts w:eastAsia="Cambria"/>
          <w:color w:val="auto"/>
          <w:lang w:eastAsia="en-US"/>
        </w:rPr>
        <w:t xml:space="preserve"> significantly reduces prejudice towards commonly stigmatised others. </w:t>
      </w:r>
    </w:p>
    <w:p w14:paraId="437BDA17" w14:textId="3463F505"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Because individuals with FD constitute a minority of the population (approximately 10%</w:t>
      </w:r>
      <w:r w:rsidR="006F0795">
        <w:rPr>
          <w:rFonts w:eastAsia="Cambria"/>
          <w:color w:val="auto"/>
          <w:lang w:eastAsia="en-US"/>
        </w:rPr>
        <w:t xml:space="preserve">; </w:t>
      </w:r>
      <w:r w:rsidRPr="000215FF">
        <w:rPr>
          <w:rFonts w:eastAsia="Cambria"/>
          <w:noProof/>
          <w:color w:val="auto"/>
          <w:lang w:eastAsia="en-US"/>
        </w:rPr>
        <w:t>Valente, 2004)</w:t>
      </w:r>
      <w:r w:rsidRPr="000215FF">
        <w:rPr>
          <w:rFonts w:eastAsia="Cambria"/>
          <w:color w:val="auto"/>
          <w:lang w:eastAsia="en-US"/>
        </w:rPr>
        <w:t xml:space="preserve"> lay people are unlikely to encounter opportunities to interact with a person with FD in natural settings. Furthermore, the representation of FD in media and advertising is systematically negative </w:t>
      </w:r>
      <w:r w:rsidRPr="000215FF">
        <w:rPr>
          <w:rFonts w:eastAsia="Cambria"/>
          <w:noProof/>
          <w:color w:val="auto"/>
          <w:lang w:eastAsia="en-US"/>
        </w:rPr>
        <w:t>(Wardle &amp; Boyce, 2009)</w:t>
      </w:r>
      <w:r w:rsidRPr="000215FF">
        <w:rPr>
          <w:rFonts w:eastAsia="Cambria"/>
          <w:color w:val="auto"/>
          <w:lang w:eastAsia="en-US"/>
        </w:rPr>
        <w:t xml:space="preserve"> and it has been shown that FD stimuli elicit emotional responses of disgust </w:t>
      </w:r>
      <w:r w:rsidRPr="000215FF">
        <w:rPr>
          <w:rFonts w:eastAsia="Cambria"/>
          <w:noProof/>
          <w:color w:val="auto"/>
          <w:lang w:eastAsia="en-US"/>
        </w:rPr>
        <w:t>(Ryan, Oaten, Stevenson, &amp; Case, 2012; Shanmugarajah, Gaind, Clarke, &amp; Butler, 2012; Stone &amp; Potton, 2017)</w:t>
      </w:r>
      <w:r w:rsidRPr="000215FF">
        <w:rPr>
          <w:rFonts w:eastAsia="Cambria"/>
          <w:color w:val="auto"/>
          <w:lang w:eastAsia="en-US"/>
        </w:rPr>
        <w:t xml:space="preserve"> and threat </w:t>
      </w:r>
      <w:r w:rsidRPr="000215FF">
        <w:rPr>
          <w:rFonts w:eastAsia="Cambria"/>
          <w:noProof/>
          <w:color w:val="auto"/>
          <w:lang w:eastAsia="en-US"/>
        </w:rPr>
        <w:t>(Blascovich et al., 2001)</w:t>
      </w:r>
      <w:r w:rsidRPr="000215FF">
        <w:rPr>
          <w:rFonts w:eastAsia="Cambria"/>
          <w:color w:val="auto"/>
          <w:lang w:eastAsia="en-US"/>
        </w:rPr>
        <w:t xml:space="preserve">. Therefore, even when lay people encounter visibly different individuals, emotional and cognitive responses towards them such as threat </w:t>
      </w:r>
      <w:r w:rsidRPr="000215FF">
        <w:rPr>
          <w:rFonts w:eastAsia="Cambria"/>
          <w:noProof/>
          <w:color w:val="auto"/>
          <w:lang w:eastAsia="en-US"/>
        </w:rPr>
        <w:t>(Blascovich et al., 2001)</w:t>
      </w:r>
      <w:r w:rsidRPr="000215FF">
        <w:rPr>
          <w:rFonts w:eastAsia="Cambria"/>
          <w:color w:val="auto"/>
          <w:lang w:eastAsia="en-US"/>
        </w:rPr>
        <w:t xml:space="preserve"> and disgust </w:t>
      </w:r>
      <w:r w:rsidRPr="000215FF">
        <w:rPr>
          <w:rFonts w:eastAsia="Cambria"/>
          <w:noProof/>
          <w:color w:val="auto"/>
          <w:lang w:eastAsia="en-US"/>
        </w:rPr>
        <w:t>(Ryan et al., 2012; Stone &amp; Potton, 2017)</w:t>
      </w:r>
      <w:r w:rsidRPr="000215FF">
        <w:rPr>
          <w:rFonts w:eastAsia="Cambria"/>
          <w:color w:val="auto"/>
          <w:lang w:eastAsia="en-US"/>
        </w:rPr>
        <w:t xml:space="preserve"> are likely to hinder the quality of the interaction and evaluations of the person with FD.</w:t>
      </w:r>
    </w:p>
    <w:p w14:paraId="016A80BF"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 By employing the principle of the contact hypothesis, indirect contact strategies such as imagined contact may be adequate and easy to introduce to reduce stigma towards FD. According to </w:t>
      </w:r>
      <w:r w:rsidRPr="000215FF">
        <w:rPr>
          <w:rFonts w:eastAsia="Cambria"/>
          <w:noProof/>
          <w:color w:val="auto"/>
          <w:lang w:eastAsia="en-US"/>
        </w:rPr>
        <w:t>Crisp and Turner (2009)</w:t>
      </w:r>
      <w:r w:rsidRPr="000215FF">
        <w:rPr>
          <w:rFonts w:eastAsia="Cambria"/>
          <w:color w:val="auto"/>
          <w:lang w:eastAsia="en-US"/>
        </w:rPr>
        <w:t xml:space="preserve">, imagining a positive interaction with a stigmatised other can result in significant stigma reduction. Indeed, imagined contact (IC) strategies have been shown to reduce stigma towards various psychiatric conditions </w:t>
      </w:r>
      <w:r w:rsidRPr="000215FF">
        <w:rPr>
          <w:rFonts w:eastAsia="Cambria"/>
          <w:noProof/>
          <w:color w:val="auto"/>
          <w:lang w:eastAsia="en-US"/>
        </w:rPr>
        <w:t>(Stathi, Cameron, Hartley, &amp; Bradford, 2014)</w:t>
      </w:r>
      <w:r w:rsidRPr="000215FF">
        <w:rPr>
          <w:rFonts w:eastAsia="Cambria"/>
          <w:color w:val="auto"/>
          <w:lang w:eastAsia="en-US"/>
        </w:rPr>
        <w:t>, commonly stigmatised groups (e.g., ethnic minorities;</w:t>
      </w:r>
      <w:r w:rsidRPr="000215FF">
        <w:rPr>
          <w:rFonts w:eastAsia="Cambria"/>
          <w:noProof/>
          <w:color w:val="auto"/>
          <w:lang w:eastAsia="en-US"/>
        </w:rPr>
        <w:t xml:space="preserve"> Turner, West, &amp; Christie, 2013)</w:t>
      </w:r>
      <w:r w:rsidRPr="000215FF">
        <w:rPr>
          <w:rFonts w:eastAsia="Cambria"/>
          <w:color w:val="auto"/>
          <w:lang w:eastAsia="en-US"/>
        </w:rPr>
        <w:t xml:space="preserve"> and physical disabilities in organizational settings </w:t>
      </w:r>
      <w:r w:rsidRPr="000215FF">
        <w:rPr>
          <w:rFonts w:eastAsia="Cambria"/>
          <w:noProof/>
          <w:color w:val="auto"/>
          <w:lang w:eastAsia="en-US"/>
        </w:rPr>
        <w:t>(Carvalho</w:t>
      </w:r>
      <w:r w:rsidRPr="000215FF">
        <w:rPr>
          <w:rFonts w:ascii="Cambria Math" w:eastAsia="Cambria" w:hAnsi="Cambria Math" w:cs="Cambria Math"/>
          <w:noProof/>
          <w:color w:val="auto"/>
          <w:lang w:eastAsia="en-US"/>
        </w:rPr>
        <w:t>‐</w:t>
      </w:r>
      <w:r w:rsidRPr="000215FF">
        <w:rPr>
          <w:rFonts w:eastAsia="Cambria"/>
          <w:noProof/>
          <w:color w:val="auto"/>
          <w:lang w:eastAsia="en-US"/>
        </w:rPr>
        <w:t>Freitas &amp; Stathi, 2017)</w:t>
      </w:r>
      <w:r w:rsidRPr="000215FF">
        <w:rPr>
          <w:rFonts w:eastAsia="Cambria"/>
          <w:color w:val="auto"/>
          <w:lang w:eastAsia="en-US"/>
        </w:rPr>
        <w:t>.</w:t>
      </w:r>
    </w:p>
    <w:p w14:paraId="6DD9D170" w14:textId="3680AAD4"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People with disabilities are more likely to be negatively evaluated in recruitment processes; however, evaluations are not consistently negative across the literature and some studies report neutral and positive evaluations towards applicants with physical disabilities </w:t>
      </w:r>
      <w:r w:rsidRPr="000215FF">
        <w:rPr>
          <w:rFonts w:eastAsia="Cambria"/>
          <w:noProof/>
          <w:color w:val="auto"/>
          <w:lang w:eastAsia="en-US"/>
        </w:rPr>
        <w:t>(Ren, Paetzold, &amp; Colella, 2008)</w:t>
      </w:r>
      <w:r w:rsidRPr="000215FF">
        <w:rPr>
          <w:rFonts w:eastAsia="Cambria"/>
          <w:color w:val="auto"/>
          <w:lang w:eastAsia="en-US"/>
        </w:rPr>
        <w:t>. Similarly, evaluations of FD are not unanimously negative, but rather a mix of favourable and unfavourable traits. For instance, in</w:t>
      </w:r>
      <w:r w:rsidRPr="000215FF">
        <w:rPr>
          <w:rFonts w:eastAsia="Cambria"/>
          <w:noProof/>
          <w:color w:val="FFFFFF"/>
          <w:lang w:eastAsia="en-US"/>
        </w:rPr>
        <w:t>(</w:t>
      </w:r>
      <w:r w:rsidRPr="000215FF">
        <w:rPr>
          <w:rFonts w:eastAsia="Cambria"/>
          <w:noProof/>
          <w:color w:val="auto"/>
          <w:lang w:eastAsia="en-US"/>
        </w:rPr>
        <w:t>Stone and Wright (2012)</w:t>
      </w:r>
      <w:r w:rsidRPr="000215FF">
        <w:rPr>
          <w:rFonts w:eastAsia="Cambria"/>
          <w:color w:val="auto"/>
          <w:lang w:eastAsia="en-US"/>
        </w:rPr>
        <w:t xml:space="preserve">, participants rated targets with FD as warmer and with more integrity than targets without FD or mobility impairments. </w:t>
      </w:r>
      <w:r w:rsidR="00593E07">
        <w:rPr>
          <w:rFonts w:eastAsia="Cambria"/>
          <w:color w:val="auto"/>
          <w:lang w:eastAsia="en-US"/>
        </w:rPr>
        <w:t>However</w:t>
      </w:r>
      <w:r w:rsidRPr="000215FF">
        <w:rPr>
          <w:rFonts w:eastAsia="Cambria"/>
          <w:color w:val="auto"/>
          <w:lang w:eastAsia="en-US"/>
        </w:rPr>
        <w:t xml:space="preserve">, ratings of </w:t>
      </w:r>
      <w:r w:rsidR="00593E07">
        <w:rPr>
          <w:rFonts w:eastAsia="Cambria"/>
          <w:color w:val="auto"/>
          <w:lang w:eastAsia="en-US"/>
        </w:rPr>
        <w:t>social competency and emotional strength were significantly lower on FD conditions compared to wheelchair users and controls</w:t>
      </w:r>
      <w:r w:rsidRPr="000215FF">
        <w:rPr>
          <w:rFonts w:eastAsia="Cambria"/>
          <w:color w:val="auto"/>
          <w:lang w:eastAsia="en-US"/>
        </w:rPr>
        <w:t xml:space="preserve">.  Similarly, in </w:t>
      </w:r>
      <w:r w:rsidRPr="000215FF">
        <w:rPr>
          <w:rFonts w:eastAsia="Cambria"/>
          <w:noProof/>
          <w:color w:val="auto"/>
          <w:lang w:eastAsia="en-US"/>
        </w:rPr>
        <w:t>Blascovich et al. (2001)</w:t>
      </w:r>
      <w:r w:rsidRPr="000215FF">
        <w:rPr>
          <w:rFonts w:eastAsia="Cambria"/>
          <w:color w:val="auto"/>
          <w:lang w:eastAsia="en-US"/>
        </w:rPr>
        <w:t xml:space="preserve">, participants interacting with a confederate simulating FD rated their partner’s performance in word finding tasks more positively than participants interacting with a control confederate without FD. Non-significant differences between FD and non-FD </w:t>
      </w:r>
      <w:r w:rsidR="006F0795" w:rsidRPr="000215FF">
        <w:rPr>
          <w:rFonts w:eastAsia="Cambria"/>
          <w:color w:val="auto"/>
          <w:lang w:eastAsia="en-US"/>
        </w:rPr>
        <w:t>groups have</w:t>
      </w:r>
      <w:r w:rsidRPr="000215FF">
        <w:rPr>
          <w:rFonts w:eastAsia="Cambria"/>
          <w:color w:val="auto"/>
          <w:lang w:eastAsia="en-US"/>
        </w:rPr>
        <w:t xml:space="preserve"> also been found in relation to personality ratings on qualities like attractiveness, friendliness, likability</w:t>
      </w:r>
      <w:r w:rsidR="00B32D9C">
        <w:rPr>
          <w:rFonts w:eastAsia="Cambria"/>
          <w:color w:val="auto"/>
          <w:lang w:eastAsia="en-US"/>
        </w:rPr>
        <w:t>,</w:t>
      </w:r>
      <w:r w:rsidRPr="000215FF">
        <w:rPr>
          <w:rFonts w:eastAsia="Cambria"/>
          <w:color w:val="auto"/>
          <w:lang w:eastAsia="en-US"/>
        </w:rPr>
        <w:t xml:space="preserve"> and intelligence </w:t>
      </w:r>
      <w:r w:rsidRPr="000215FF">
        <w:rPr>
          <w:rFonts w:eastAsia="Cambria"/>
          <w:noProof/>
          <w:color w:val="auto"/>
          <w:lang w:eastAsia="en-US"/>
        </w:rPr>
        <w:t>(e.g., Blascovich et al., 2001)</w:t>
      </w:r>
      <w:r w:rsidRPr="000215FF">
        <w:rPr>
          <w:rFonts w:eastAsia="Cambria"/>
          <w:color w:val="auto"/>
          <w:lang w:eastAsia="en-US"/>
        </w:rPr>
        <w:t xml:space="preserve">. </w:t>
      </w:r>
    </w:p>
    <w:p w14:paraId="58449C6A"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lastRenderedPageBreak/>
        <w:t>According to</w:t>
      </w:r>
      <w:r w:rsidRPr="000215FF">
        <w:rPr>
          <w:rFonts w:eastAsia="Cambria"/>
          <w:noProof/>
          <w:color w:val="FFFFFF"/>
          <w:lang w:eastAsia="en-US"/>
        </w:rPr>
        <w:t>(</w:t>
      </w:r>
      <w:r w:rsidRPr="000215FF">
        <w:rPr>
          <w:rFonts w:eastAsia="Cambria"/>
          <w:noProof/>
          <w:color w:val="auto"/>
          <w:lang w:eastAsia="en-US"/>
        </w:rPr>
        <w:t>Fiske, Cuddy, Glick, and Xu (2002)</w:t>
      </w:r>
      <w:r w:rsidRPr="000215FF">
        <w:rPr>
          <w:rFonts w:eastAsia="Cambria"/>
          <w:color w:val="auto"/>
          <w:lang w:eastAsia="en-US"/>
        </w:rPr>
        <w:t>, stereotypes towards different groups of society fall under two dimensions of status and competition, (i) warmth and (ii) competence. Disadvantaged populations (e.g., the elderly, people with disabilities) are commonly perceived as less competitive than other groups in society (e.g., athletes, career women, Asians). Stereotypes towards disadvantaged groups include greater attributions of warmth but poorer perceptions of competence (paternalistic stereotype</w:t>
      </w:r>
      <w:r w:rsidR="006F0795">
        <w:rPr>
          <w:rFonts w:eastAsia="Cambria"/>
          <w:color w:val="auto"/>
          <w:lang w:eastAsia="en-US"/>
        </w:rPr>
        <w:t xml:space="preserve">; </w:t>
      </w:r>
      <w:r w:rsidRPr="000215FF">
        <w:rPr>
          <w:rFonts w:eastAsia="Cambria"/>
          <w:noProof/>
          <w:color w:val="auto"/>
          <w:lang w:eastAsia="en-US"/>
        </w:rPr>
        <w:t>Cuddy &amp; Fiske, 2002; Peter Glick &amp; Fiske, 2001)</w:t>
      </w:r>
      <w:r w:rsidRPr="000215FF">
        <w:rPr>
          <w:rFonts w:eastAsia="Cambria"/>
          <w:color w:val="auto"/>
          <w:lang w:eastAsia="en-US"/>
        </w:rPr>
        <w:t xml:space="preserve"> compared to societal groups in more favoured positions, which are rated as higher in competence but lower in warmth (envious stereotype</w:t>
      </w:r>
      <w:r w:rsidR="006F0795">
        <w:rPr>
          <w:rFonts w:eastAsia="Cambria"/>
          <w:color w:val="auto"/>
          <w:lang w:eastAsia="en-US"/>
        </w:rPr>
        <w:t xml:space="preserve">; </w:t>
      </w:r>
      <w:r w:rsidRPr="000215FF">
        <w:rPr>
          <w:rFonts w:eastAsia="Cambria"/>
          <w:noProof/>
          <w:color w:val="auto"/>
          <w:lang w:eastAsia="en-US"/>
        </w:rPr>
        <w:t>Glick &amp; Fiske, 2001)</w:t>
      </w:r>
      <w:r w:rsidRPr="000215FF">
        <w:rPr>
          <w:rFonts w:eastAsia="Cambria"/>
          <w:color w:val="auto"/>
          <w:lang w:eastAsia="en-US"/>
        </w:rPr>
        <w:t xml:space="preserve">. Alternatively, positive and neutral evaluations of FD could also be influenced by conscious efforts to respond in socially desirable ways towards typically disadvantaged groups, as it </w:t>
      </w:r>
      <w:r w:rsidR="00B32D9C">
        <w:rPr>
          <w:rFonts w:eastAsia="Cambria"/>
          <w:color w:val="auto"/>
          <w:lang w:eastAsia="en-US"/>
        </w:rPr>
        <w:t xml:space="preserve">is </w:t>
      </w:r>
      <w:r w:rsidRPr="000215FF">
        <w:rPr>
          <w:rFonts w:eastAsia="Cambria"/>
          <w:color w:val="auto"/>
          <w:lang w:eastAsia="en-US"/>
        </w:rPr>
        <w:t xml:space="preserve">shown in the study of prejudice and stigma of psychiatric illness and ethnic minorities </w:t>
      </w:r>
      <w:r w:rsidRPr="000215FF">
        <w:rPr>
          <w:rFonts w:eastAsia="Cambria"/>
          <w:noProof/>
          <w:color w:val="auto"/>
          <w:lang w:eastAsia="en-US"/>
        </w:rPr>
        <w:t>(Michaels &amp; Corrigan, 2013; Plant &amp; Devine, 2009)</w:t>
      </w:r>
      <w:r w:rsidRPr="000215FF">
        <w:rPr>
          <w:rFonts w:eastAsia="Cambria"/>
          <w:color w:val="auto"/>
          <w:lang w:eastAsia="en-US"/>
        </w:rPr>
        <w:t>.</w:t>
      </w:r>
    </w:p>
    <w:p w14:paraId="5B317515" w14:textId="398975C8"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While most studies addressing stigma towards FD use samples of students </w:t>
      </w:r>
      <w:r w:rsidRPr="000215FF">
        <w:rPr>
          <w:rFonts w:eastAsia="Cambria"/>
          <w:noProof/>
          <w:color w:val="auto"/>
          <w:lang w:eastAsia="en-US"/>
        </w:rPr>
        <w:t>(Grandfield, Thompson, &amp; Turpin, 2005; Halioua et al., 2011; Shanmugarajah et al., 2012)</w:t>
      </w:r>
      <w:r w:rsidRPr="000215FF">
        <w:rPr>
          <w:rFonts w:eastAsia="Cambria"/>
          <w:color w:val="auto"/>
          <w:lang w:eastAsia="en-US"/>
        </w:rPr>
        <w:t xml:space="preserve"> or the public </w:t>
      </w:r>
      <w:r w:rsidRPr="000215FF">
        <w:rPr>
          <w:rFonts w:eastAsia="Cambria"/>
          <w:noProof/>
          <w:color w:val="auto"/>
          <w:lang w:eastAsia="en-US"/>
        </w:rPr>
        <w:t>(Roberts &amp; Gierasch, 2013; Rumsey, Bull, &amp; Gahagan, 1982)</w:t>
      </w:r>
      <w:r w:rsidRPr="000215FF">
        <w:rPr>
          <w:rFonts w:eastAsia="Cambria"/>
          <w:color w:val="auto"/>
          <w:lang w:eastAsia="en-US"/>
        </w:rPr>
        <w:t xml:space="preserve">, few report analyses of individuals likely to encounter FD in real life environments (with some exceptions </w:t>
      </w:r>
      <w:r w:rsidRPr="000215FF">
        <w:rPr>
          <w:rFonts w:eastAsia="Cambria"/>
          <w:noProof/>
          <w:color w:val="auto"/>
          <w:lang w:eastAsia="en-US"/>
        </w:rPr>
        <w:t>(Madera &amp; Hebl, 2012; Stevenage &amp; McKay, 1999; Stone &amp; Wright, 2013)</w:t>
      </w:r>
      <w:r w:rsidRPr="000215FF">
        <w:rPr>
          <w:rFonts w:eastAsia="Cambria"/>
          <w:color w:val="auto"/>
          <w:lang w:eastAsia="en-US"/>
        </w:rPr>
        <w:t>. Although some efforts have been directed to reduce workplace stigma towards other targeted groups (e.g.,</w:t>
      </w:r>
      <w:r w:rsidR="00593E07">
        <w:rPr>
          <w:rFonts w:eastAsia="Cambria"/>
          <w:noProof/>
          <w:color w:val="FFFFFF"/>
          <w:lang w:eastAsia="en-US"/>
        </w:rPr>
        <w:t xml:space="preserve"> </w:t>
      </w:r>
      <w:r w:rsidRPr="000215FF">
        <w:rPr>
          <w:rFonts w:eastAsia="Cambria"/>
          <w:noProof/>
          <w:color w:val="auto"/>
          <w:lang w:eastAsia="en-US"/>
        </w:rPr>
        <w:t>Carvalho</w:t>
      </w:r>
      <w:r w:rsidRPr="000215FF">
        <w:rPr>
          <w:rFonts w:ascii="Cambria Math" w:eastAsia="Cambria" w:hAnsi="Cambria Math" w:cs="Cambria Math"/>
          <w:noProof/>
          <w:color w:val="auto"/>
          <w:lang w:eastAsia="en-US"/>
        </w:rPr>
        <w:t>‐</w:t>
      </w:r>
      <w:r w:rsidRPr="000215FF">
        <w:rPr>
          <w:rFonts w:eastAsia="Cambria"/>
          <w:noProof/>
          <w:color w:val="auto"/>
          <w:lang w:eastAsia="en-US"/>
        </w:rPr>
        <w:t>Freitas &amp; Stathi, 2017; Ren et al., 2008; Szeto &amp; Dobson, 2010)</w:t>
      </w:r>
      <w:r w:rsidRPr="000215FF">
        <w:rPr>
          <w:rFonts w:eastAsia="Cambria"/>
          <w:color w:val="auto"/>
          <w:lang w:eastAsia="en-US"/>
        </w:rPr>
        <w:t xml:space="preserve">, </w:t>
      </w:r>
      <w:r w:rsidR="00593E07">
        <w:rPr>
          <w:rFonts w:eastAsia="Cambria"/>
          <w:color w:val="auto"/>
          <w:lang w:eastAsia="en-US"/>
        </w:rPr>
        <w:t>few</w:t>
      </w:r>
      <w:r w:rsidR="00593E07" w:rsidRPr="000215FF">
        <w:rPr>
          <w:rFonts w:eastAsia="Cambria"/>
          <w:color w:val="auto"/>
          <w:lang w:eastAsia="en-US"/>
        </w:rPr>
        <w:t xml:space="preserve"> </w:t>
      </w:r>
      <w:r w:rsidRPr="000215FF">
        <w:rPr>
          <w:rFonts w:eastAsia="Cambria"/>
          <w:color w:val="auto"/>
          <w:lang w:eastAsia="en-US"/>
        </w:rPr>
        <w:t xml:space="preserve">studies to date have tested strategies to reduce stigma towards FD in a population of staff with recruitment duties. </w:t>
      </w:r>
    </w:p>
    <w:p w14:paraId="13659A06" w14:textId="69784C73"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This study builds on the findings of Study 2, where findings indicated a significant effect of awareness (education) and IC conditions on </w:t>
      </w:r>
      <w:r w:rsidR="00B32D9C">
        <w:rPr>
          <w:rFonts w:eastAsia="Cambria"/>
          <w:color w:val="auto"/>
          <w:lang w:eastAsia="en-US"/>
        </w:rPr>
        <w:t xml:space="preserve">the </w:t>
      </w:r>
      <w:r w:rsidRPr="000215FF">
        <w:rPr>
          <w:rFonts w:eastAsia="Cambria"/>
          <w:color w:val="auto"/>
          <w:lang w:eastAsia="en-US"/>
        </w:rPr>
        <w:t xml:space="preserve">reduction of intentions to avoid FD, compared to participants allocated to control conditions. However, students and university staff may represent only a section of the public that is younger and more educated </w:t>
      </w:r>
      <w:r w:rsidRPr="000215FF">
        <w:rPr>
          <w:rFonts w:eastAsia="Cambria"/>
          <w:noProof/>
          <w:color w:val="auto"/>
          <w:lang w:eastAsia="en-US"/>
        </w:rPr>
        <w:t>(Peterson, 2001)</w:t>
      </w:r>
      <w:r w:rsidRPr="000215FF">
        <w:rPr>
          <w:rFonts w:eastAsia="Cambria"/>
          <w:color w:val="auto"/>
          <w:lang w:eastAsia="en-US"/>
        </w:rPr>
        <w:t xml:space="preserve">, which risks the generalization of previous findings regarding the effectiveness of IC strategies. Differences in findings from samples of students and compared to non-students’ have been historically discussed </w:t>
      </w:r>
      <w:r w:rsidRPr="000215FF">
        <w:rPr>
          <w:rFonts w:eastAsia="Cambria"/>
          <w:noProof/>
          <w:color w:val="auto"/>
          <w:lang w:eastAsia="en-US"/>
        </w:rPr>
        <w:t>(Sears, 1986)</w:t>
      </w:r>
      <w:r w:rsidRPr="000215FF">
        <w:rPr>
          <w:rFonts w:eastAsia="Cambria"/>
          <w:color w:val="auto"/>
          <w:lang w:eastAsia="en-US"/>
        </w:rPr>
        <w:t xml:space="preserve">, particularly in the case of prejudice </w:t>
      </w:r>
      <w:r w:rsidRPr="000215FF">
        <w:rPr>
          <w:rFonts w:eastAsia="Cambria"/>
          <w:noProof/>
          <w:color w:val="auto"/>
          <w:lang w:eastAsia="en-US"/>
        </w:rPr>
        <w:t>(Henry, 2008)</w:t>
      </w:r>
      <w:r w:rsidRPr="000215FF">
        <w:rPr>
          <w:rFonts w:eastAsia="Cambria"/>
          <w:color w:val="auto"/>
          <w:lang w:eastAsia="en-US"/>
        </w:rPr>
        <w:t>.  For instance, a meta-analysis conducted by</w:t>
      </w:r>
      <w:r w:rsidRPr="000215FF">
        <w:rPr>
          <w:rFonts w:eastAsia="Cambria"/>
          <w:noProof/>
          <w:color w:val="FFFFFF"/>
          <w:lang w:eastAsia="en-US"/>
        </w:rPr>
        <w:t>(</w:t>
      </w:r>
      <w:r w:rsidRPr="000215FF">
        <w:rPr>
          <w:rFonts w:eastAsia="Cambria"/>
          <w:noProof/>
          <w:color w:val="auto"/>
          <w:lang w:eastAsia="en-US"/>
        </w:rPr>
        <w:t>Peterson (2001)</w:t>
      </w:r>
      <w:r w:rsidRPr="000215FF">
        <w:rPr>
          <w:rFonts w:eastAsia="Cambria"/>
          <w:color w:val="auto"/>
          <w:lang w:eastAsia="en-US"/>
        </w:rPr>
        <w:t xml:space="preserve"> showed that studies of behavioural and psychological relationships using student samples reported larger effect sizes and less variance across and between scales than studies with non-student samples. Moreover, in 48% of reported effect sizes</w:t>
      </w:r>
      <w:r w:rsidR="00B32D9C">
        <w:rPr>
          <w:rFonts w:eastAsia="Cambria"/>
          <w:color w:val="auto"/>
          <w:lang w:eastAsia="en-US"/>
        </w:rPr>
        <w:t>,</w:t>
      </w:r>
      <w:r w:rsidRPr="000215FF">
        <w:rPr>
          <w:rFonts w:eastAsia="Cambria"/>
          <w:color w:val="auto"/>
          <w:lang w:eastAsia="en-US"/>
        </w:rPr>
        <w:t xml:space="preserve"> there were differences between samples of student and non-student participants, </w:t>
      </w:r>
      <w:r w:rsidR="004246E2" w:rsidRPr="000215FF">
        <w:rPr>
          <w:rFonts w:eastAsia="Cambria"/>
          <w:color w:val="auto"/>
          <w:lang w:eastAsia="en-US"/>
        </w:rPr>
        <w:t>either in magnitude or in directionality</w:t>
      </w:r>
      <w:r w:rsidRPr="000215FF">
        <w:rPr>
          <w:rFonts w:eastAsia="Cambria"/>
          <w:color w:val="auto"/>
          <w:lang w:eastAsia="en-US"/>
        </w:rPr>
        <w:t xml:space="preserve">. </w:t>
      </w:r>
    </w:p>
    <w:p w14:paraId="3BD2812B"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lastRenderedPageBreak/>
        <w:t xml:space="preserve">Younger adults are more susceptible to attitude change </w:t>
      </w:r>
      <w:r w:rsidRPr="000215FF">
        <w:rPr>
          <w:rFonts w:eastAsia="Cambria"/>
          <w:noProof/>
          <w:color w:val="auto"/>
          <w:lang w:eastAsia="en-US"/>
        </w:rPr>
        <w:t>(Dinas, 2013)</w:t>
      </w:r>
      <w:r w:rsidRPr="000215FF">
        <w:rPr>
          <w:rFonts w:eastAsia="Cambria"/>
          <w:color w:val="auto"/>
          <w:lang w:eastAsia="en-US"/>
        </w:rPr>
        <w:t xml:space="preserve">, and display more egalitarian values than their older peers </w:t>
      </w:r>
      <w:r w:rsidRPr="000215FF">
        <w:rPr>
          <w:rFonts w:eastAsia="Cambria"/>
          <w:noProof/>
          <w:color w:val="auto"/>
          <w:lang w:eastAsia="en-US"/>
        </w:rPr>
        <w:t>(Dasgupta &amp; Hunsinger, 2008)</w:t>
      </w:r>
      <w:r w:rsidRPr="000215FF">
        <w:rPr>
          <w:rFonts w:eastAsia="Cambria"/>
          <w:color w:val="auto"/>
          <w:lang w:eastAsia="en-US"/>
        </w:rPr>
        <w:t>, which may facilitate the effectiveness of IC in student samples. Thus, this study aimed to pilot test whether imagining a positive interaction with an individual with FD could change intentions to avoid FD in a sample of staff with recruitment duties. Participants allocated to IC or control were compared in terms of post measures of memory recall and work performance evaluations of a mock applicant with FD.</w:t>
      </w:r>
    </w:p>
    <w:p w14:paraId="15B20FD0" w14:textId="77777777" w:rsidR="00A427E8" w:rsidRPr="00D40C27" w:rsidRDefault="00A427E8" w:rsidP="00A427E8">
      <w:pPr>
        <w:pStyle w:val="Heading3"/>
        <w:rPr>
          <w:lang w:eastAsia="en-US"/>
        </w:rPr>
      </w:pPr>
      <w:bookmarkStart w:id="109" w:name="_Toc12024670"/>
      <w:r w:rsidRPr="00D40C27">
        <w:rPr>
          <w:lang w:eastAsia="en-US"/>
        </w:rPr>
        <w:t>Aims</w:t>
      </w:r>
      <w:bookmarkEnd w:id="109"/>
    </w:p>
    <w:p w14:paraId="6B155316" w14:textId="77777777" w:rsidR="00A427E8"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Times New Roman"/>
          <w:color w:val="auto"/>
        </w:rPr>
      </w:pPr>
      <w:r w:rsidRPr="00D40C27">
        <w:rPr>
          <w:rFonts w:eastAsia="Times New Roman"/>
          <w:color w:val="auto"/>
        </w:rPr>
        <w:t xml:space="preserve">This study aimed to pilot test the impact of an education and IC strategy to reduce stigma towards FD in recruitment personnel. The study also sought to examine potential strategies to recruit and train enough recruitment staff for the implementation of a full randomised controlled trial of an intervention program to reduce stigma towards FD. Based on results reported in Study 1 and 2 of this thesis and on </w:t>
      </w:r>
      <w:r w:rsidR="00B32D9C">
        <w:rPr>
          <w:rFonts w:eastAsia="Times New Roman"/>
          <w:color w:val="auto"/>
        </w:rPr>
        <w:t xml:space="preserve">the </w:t>
      </w:r>
      <w:r w:rsidRPr="00D40C27">
        <w:rPr>
          <w:rFonts w:eastAsia="Times New Roman"/>
          <w:color w:val="auto"/>
        </w:rPr>
        <w:t>literature on anti-stigma strategies, this study will test the following hypothesis:</w:t>
      </w:r>
    </w:p>
    <w:p w14:paraId="16732333" w14:textId="77777777" w:rsidR="005404CD" w:rsidRDefault="005404CD" w:rsidP="005404CD">
      <w:pPr>
        <w:pBdr>
          <w:top w:val="none" w:sz="0" w:space="0" w:color="auto"/>
          <w:left w:val="none" w:sz="0" w:space="0" w:color="auto"/>
          <w:bottom w:val="none" w:sz="0" w:space="0" w:color="auto"/>
          <w:right w:val="none" w:sz="0" w:space="0" w:color="auto"/>
          <w:between w:val="none" w:sz="0" w:space="0" w:color="auto"/>
        </w:pBdr>
        <w:spacing w:line="259" w:lineRule="auto"/>
        <w:ind w:left="720" w:firstLine="0"/>
        <w:contextualSpacing/>
        <w:rPr>
          <w:rFonts w:eastAsia="Times New Roman"/>
          <w:color w:val="auto"/>
        </w:rPr>
      </w:pPr>
    </w:p>
    <w:p w14:paraId="5A1A08A2" w14:textId="5E7EEB4A" w:rsidR="00A427E8" w:rsidRPr="00D40C27" w:rsidRDefault="00A427E8" w:rsidP="005404C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eastAsia="Times New Roman"/>
          <w:color w:val="auto"/>
        </w:rPr>
      </w:pPr>
      <w:r w:rsidRPr="00D40C27">
        <w:rPr>
          <w:rFonts w:eastAsia="Times New Roman"/>
          <w:color w:val="auto"/>
        </w:rPr>
        <w:t xml:space="preserve">Participants in the experimental anti-stigma condition will show </w:t>
      </w:r>
      <w:r w:rsidR="004246E2">
        <w:rPr>
          <w:rFonts w:eastAsia="Times New Roman"/>
          <w:color w:val="auto"/>
        </w:rPr>
        <w:t>less</w:t>
      </w:r>
      <w:r w:rsidR="004246E2" w:rsidRPr="00D40C27">
        <w:rPr>
          <w:rFonts w:eastAsia="Times New Roman"/>
          <w:color w:val="auto"/>
        </w:rPr>
        <w:t xml:space="preserve"> intention</w:t>
      </w:r>
      <w:r w:rsidRPr="00D40C27">
        <w:rPr>
          <w:rFonts w:eastAsia="Times New Roman"/>
          <w:color w:val="auto"/>
        </w:rPr>
        <w:t xml:space="preserve"> to avoid FD compared to controls.</w:t>
      </w:r>
    </w:p>
    <w:p w14:paraId="33CA1607" w14:textId="46156CB8" w:rsidR="00A427E8" w:rsidRPr="00D40C27" w:rsidRDefault="00A427E8" w:rsidP="005404C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eastAsia="Times New Roman"/>
          <w:color w:val="auto"/>
        </w:rPr>
      </w:pPr>
      <w:r w:rsidRPr="00D40C27">
        <w:rPr>
          <w:rFonts w:eastAsia="Times New Roman"/>
          <w:color w:val="auto"/>
        </w:rPr>
        <w:t xml:space="preserve">Participants allocated to the experimental anti-stigma </w:t>
      </w:r>
      <w:r w:rsidR="004246E2" w:rsidRPr="00D40C27">
        <w:rPr>
          <w:rFonts w:eastAsia="Times New Roman"/>
          <w:color w:val="auto"/>
        </w:rPr>
        <w:t>condition</w:t>
      </w:r>
      <w:r w:rsidRPr="00D40C27">
        <w:rPr>
          <w:rFonts w:eastAsia="Times New Roman"/>
          <w:color w:val="auto"/>
        </w:rPr>
        <w:t xml:space="preserve"> will show more positive evaluations and better memory recall of a mock applicant with FD, than respondents in the control condition.</w:t>
      </w:r>
    </w:p>
    <w:p w14:paraId="6ABBE8F3" w14:textId="77777777" w:rsidR="00A427E8" w:rsidRDefault="00A427E8" w:rsidP="005404CD">
      <w:pPr>
        <w:numPr>
          <w:ilvl w:val="0"/>
          <w:numId w:val="4"/>
        </w:numPr>
        <w:pBdr>
          <w:top w:val="none" w:sz="0" w:space="0" w:color="auto"/>
          <w:left w:val="none" w:sz="0" w:space="0" w:color="auto"/>
          <w:bottom w:val="none" w:sz="0" w:space="0" w:color="auto"/>
          <w:right w:val="none" w:sz="0" w:space="0" w:color="auto"/>
          <w:between w:val="none" w:sz="0" w:space="0" w:color="auto"/>
        </w:pBdr>
        <w:contextualSpacing/>
        <w:rPr>
          <w:rFonts w:eastAsia="Times New Roman"/>
          <w:color w:val="auto"/>
        </w:rPr>
      </w:pPr>
      <w:r w:rsidRPr="00D40C27">
        <w:rPr>
          <w:rFonts w:eastAsia="Times New Roman"/>
          <w:color w:val="auto"/>
        </w:rPr>
        <w:t>Participants allocated to evaluate a mock applicant with FD will report more negative evaluations than participants allocated to evaluate a mock applicant without FD (Control).</w:t>
      </w:r>
    </w:p>
    <w:p w14:paraId="45E4AD62" w14:textId="77777777" w:rsidR="00A427E8" w:rsidRPr="00D40C27" w:rsidRDefault="00A427E8" w:rsidP="00A427E8">
      <w:pPr>
        <w:pBdr>
          <w:top w:val="none" w:sz="0" w:space="0" w:color="auto"/>
          <w:left w:val="none" w:sz="0" w:space="0" w:color="auto"/>
          <w:bottom w:val="none" w:sz="0" w:space="0" w:color="auto"/>
          <w:right w:val="none" w:sz="0" w:space="0" w:color="auto"/>
          <w:between w:val="none" w:sz="0" w:space="0" w:color="auto"/>
        </w:pBdr>
        <w:spacing w:line="259" w:lineRule="auto"/>
        <w:ind w:left="720" w:firstLine="0"/>
        <w:contextualSpacing/>
        <w:rPr>
          <w:rFonts w:eastAsia="Times New Roman"/>
          <w:color w:val="auto"/>
        </w:rPr>
      </w:pPr>
    </w:p>
    <w:p w14:paraId="70DC7326" w14:textId="77777777" w:rsidR="00A427E8" w:rsidRPr="00D40C27" w:rsidRDefault="00A427E8" w:rsidP="00A427E8">
      <w:pPr>
        <w:pStyle w:val="Heading3"/>
        <w:rPr>
          <w:lang w:eastAsia="en-US"/>
        </w:rPr>
      </w:pPr>
      <w:bookmarkStart w:id="110" w:name="_Toc12024671"/>
      <w:r w:rsidRPr="00D40C27">
        <w:rPr>
          <w:lang w:eastAsia="en-US"/>
        </w:rPr>
        <w:t>Procedure and design</w:t>
      </w:r>
      <w:bookmarkEnd w:id="110"/>
      <w:r w:rsidRPr="00D40C27">
        <w:rPr>
          <w:lang w:eastAsia="en-US"/>
        </w:rPr>
        <w:t xml:space="preserve"> </w:t>
      </w:r>
    </w:p>
    <w:p w14:paraId="543A5DE2" w14:textId="64E4CDD0"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bCs/>
          <w:color w:val="auto"/>
          <w:lang w:eastAsia="en-US"/>
        </w:rPr>
      </w:pPr>
      <w:r w:rsidRPr="000215FF">
        <w:rPr>
          <w:rFonts w:eastAsia="Cambria"/>
          <w:color w:val="auto"/>
          <w:lang w:eastAsia="en-US"/>
        </w:rPr>
        <w:t xml:space="preserve">This pilot study used a 2x2 experimental design.  The experiment was designed and launched on Qualtrics </w:t>
      </w:r>
      <w:r w:rsidRPr="000215FF">
        <w:rPr>
          <w:rFonts w:eastAsia="Cambria"/>
          <w:noProof/>
          <w:color w:val="auto"/>
          <w:lang w:eastAsia="en-US"/>
        </w:rPr>
        <w:t>(2013)</w:t>
      </w:r>
      <w:r w:rsidRPr="000215FF">
        <w:rPr>
          <w:rFonts w:eastAsia="Cambria"/>
          <w:color w:val="auto"/>
          <w:lang w:eastAsia="en-US"/>
        </w:rPr>
        <w:t xml:space="preserve"> and participants were able to access the experiment via phones, tablets</w:t>
      </w:r>
      <w:r w:rsidR="00B32D9C">
        <w:rPr>
          <w:rFonts w:eastAsia="Cambria"/>
          <w:color w:val="auto"/>
          <w:lang w:eastAsia="en-US"/>
        </w:rPr>
        <w:t>,</w:t>
      </w:r>
      <w:r w:rsidRPr="000215FF">
        <w:rPr>
          <w:rFonts w:eastAsia="Cambria"/>
          <w:color w:val="auto"/>
          <w:lang w:eastAsia="en-US"/>
        </w:rPr>
        <w:t xml:space="preserve"> and computers. Upon being directed to the experiment, respondents read an information sheet and granted consent for their participation (see Appendix </w:t>
      </w:r>
      <w:r w:rsidR="000251FB">
        <w:rPr>
          <w:rFonts w:eastAsia="Cambria"/>
          <w:color w:val="auto"/>
          <w:lang w:eastAsia="en-US"/>
        </w:rPr>
        <w:t>5A and 5</w:t>
      </w:r>
      <w:r w:rsidR="00CD2E16">
        <w:rPr>
          <w:rFonts w:eastAsia="Cambria"/>
          <w:color w:val="auto"/>
          <w:lang w:eastAsia="en-US"/>
        </w:rPr>
        <w:t>B</w:t>
      </w:r>
      <w:r w:rsidRPr="000215FF">
        <w:rPr>
          <w:rFonts w:eastAsia="Cambria"/>
          <w:color w:val="auto"/>
          <w:lang w:eastAsia="en-US"/>
        </w:rPr>
        <w:t xml:space="preserve">). Then, participants provided demographic information; age, gender, ethnicity and whether they knew about the FD as a form of disability protected by the law. Following demographic questions, participants completed a measure of intended avoidant behaviour </w:t>
      </w:r>
      <w:r w:rsidRPr="000215FF">
        <w:rPr>
          <w:rFonts w:eastAsia="Cambria"/>
          <w:color w:val="auto"/>
          <w:lang w:eastAsia="en-US"/>
        </w:rPr>
        <w:fldChar w:fldCharType="begin" w:fldLock="1"/>
      </w:r>
      <w:r w:rsidRPr="000215FF">
        <w:rPr>
          <w:rFonts w:eastAsia="Cambria"/>
          <w:color w:val="auto"/>
          <w:lang w:eastAsia="en-US"/>
        </w:rPr>
        <w:instrText xml:space="preserve">  CSL_CITATION {"citationItems":[{"id":"ITEM-1","itemData":{"DOI":"10.1080/08870446.2011.603424","ISBN":"1476-8321","ISSN":"0887-0446","PMID":"21801076","abstract":"Medical conditions that are non-contagious, but that appear contagious, seem to result in the sufferer being avoided. Error management theory (EMT), suggests that such false alarms occur because the cost of infection poses a greater threat to ones fitness than avoidance. Study 1 attempted to demonstrate a disease-related false alarm effect by asking participants, to evaluate a series of vignettes, featuring people with infectious diseases, non-infectious diseases that looked infectious and non-infectious diseases that did not. Judgements of contracting infection under varying levels of contact, and desire to avoid were obtained. Consistent with EMT, a false alarm effect was evident. Study 2 examined the importance of the face as a key indicator of real and apparent infection, by determining whether facial symptoms result in a greater desire to avoid people with infectious and non-infectious diseases. Consistent with expectation, participants reported a greater desire to avoid people with facially displayed symptoms. Together, these results support the idea that humans have evolved a general tendency to avoid individuals with disease signs, especially if displayed upon the face. One consequence is that where a facially displayed disease sign persists, even if known to be benign, its bearer will experience chronic avoidance.","author":[{"dropping-particle":"","family":"Kouznetsova","given":"Daria","non-dropping-particle":"","parse-names":false,"suffix":""},{"dropping-particle":"","family":"Stevenson","given":"Richard J.","non-dropping-particle":"","parse-names":false,"suffix":""},{"dropping-particle":"","family":"Oaten","given":"Megan J.","non-dropping-particle":"","parse-names":false,"suffix":""},{"dropping-particle":"","family":"Case","given":"Trevor I.","non-dropping-particle":"","parse-names":false,"suffix":""}],"container-title":"Psychology &amp; Health","id":"ITEM-1","issue":"4","issued":{"date-parts":[["2012"]]},"page":"491-506","title":"Disease-avoidant behaviour and its consequences","type":"article-journal","volume":"27"},"uris":["http://www.mendeley.com/documents/?uuid=62fc8155-4316-4ab2-b8fc-c0adf53c0e53"]}],"mendeley":{"formattedCitation":"(Kouznetsova et al., 2012)","plainTextFormattedCitation":"(Kouznetsova et al., 2012)"},"properties":{"noteIndex":0},"schema":"https://github.com/citation-style-language/schema/raw/master/csl-citation.json"}</w:instrText>
      </w:r>
      <w:r w:rsidRPr="000215FF">
        <w:rPr>
          <w:rFonts w:eastAsia="Cambria"/>
          <w:color w:val="auto"/>
          <w:lang w:eastAsia="en-US"/>
        </w:rPr>
        <w:fldChar w:fldCharType="separate"/>
      </w:r>
      <w:r w:rsidRPr="000215FF">
        <w:rPr>
          <w:rFonts w:eastAsia="Cambria"/>
          <w:noProof/>
          <w:color w:val="auto"/>
          <w:lang w:eastAsia="en-US"/>
        </w:rPr>
        <w:t>(Kouznetsova et al., 2012)</w:t>
      </w:r>
      <w:r w:rsidRPr="000215FF">
        <w:rPr>
          <w:rFonts w:eastAsia="Cambria"/>
          <w:color w:val="auto"/>
          <w:lang w:eastAsia="en-US"/>
        </w:rPr>
        <w:fldChar w:fldCharType="end"/>
      </w:r>
      <w:r w:rsidRPr="000215FF">
        <w:rPr>
          <w:rFonts w:eastAsia="Cambria"/>
          <w:color w:val="auto"/>
          <w:lang w:eastAsia="en-US"/>
        </w:rPr>
        <w:t xml:space="preserve"> before being randomly allocated to either a control or an experimental condition comprising a</w:t>
      </w:r>
      <w:r w:rsidR="00B32D9C">
        <w:rPr>
          <w:rFonts w:eastAsia="Cambria"/>
          <w:color w:val="auto"/>
          <w:lang w:eastAsia="en-US"/>
        </w:rPr>
        <w:t>n</w:t>
      </w:r>
      <w:r w:rsidRPr="000215FF">
        <w:rPr>
          <w:rFonts w:eastAsia="Cambria"/>
          <w:color w:val="auto"/>
          <w:lang w:eastAsia="en-US"/>
        </w:rPr>
        <w:t xml:space="preserve"> IC task and an educational message on stigma towards FD</w:t>
      </w:r>
      <w:r w:rsidRPr="000215FF">
        <w:rPr>
          <w:rFonts w:eastAsia="Cambria"/>
          <w:bCs/>
          <w:color w:val="auto"/>
          <w:lang w:eastAsia="en-US"/>
        </w:rPr>
        <w:t xml:space="preserve">. Next, all participants were instructed to read a supporting statement and a CV (control or FD photo) followed by an evaluation of the applicant and a memory task about the material. In the final part of the experiment, </w:t>
      </w:r>
      <w:r w:rsidRPr="000215FF">
        <w:rPr>
          <w:rFonts w:eastAsia="Cambria"/>
          <w:bCs/>
          <w:color w:val="auto"/>
          <w:lang w:eastAsia="en-US"/>
        </w:rPr>
        <w:lastRenderedPageBreak/>
        <w:t xml:space="preserve">participants completed a measure of intentions to avoid FD for a second time, after which they </w:t>
      </w:r>
      <w:r w:rsidR="004246E2">
        <w:rPr>
          <w:rFonts w:eastAsia="Cambria"/>
          <w:bCs/>
          <w:color w:val="auto"/>
          <w:lang w:eastAsia="en-US"/>
        </w:rPr>
        <w:t>followed the link</w:t>
      </w:r>
      <w:r w:rsidRPr="000215FF">
        <w:rPr>
          <w:rFonts w:eastAsia="Cambria"/>
          <w:bCs/>
          <w:color w:val="auto"/>
          <w:lang w:eastAsia="en-US"/>
        </w:rPr>
        <w:t xml:space="preserve"> to the final slide where they were debriefed. See figure </w:t>
      </w:r>
      <w:r w:rsidR="000251FB">
        <w:rPr>
          <w:rFonts w:eastAsia="Cambria"/>
          <w:bCs/>
          <w:color w:val="auto"/>
          <w:lang w:eastAsia="en-US"/>
        </w:rPr>
        <w:t>5.1</w:t>
      </w:r>
      <w:r w:rsidRPr="000215FF">
        <w:rPr>
          <w:rFonts w:eastAsia="Cambria"/>
          <w:bCs/>
          <w:color w:val="auto"/>
          <w:lang w:eastAsia="en-US"/>
        </w:rPr>
        <w:t xml:space="preserve"> for details.</w:t>
      </w:r>
    </w:p>
    <w:p w14:paraId="5E30824A"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69BF214C" w14:textId="38B890AF" w:rsidR="00A427E8" w:rsidRDefault="00A427E8" w:rsidP="00A427E8">
      <w:pPr>
        <w:pStyle w:val="Figures"/>
        <w:rPr>
          <w:lang w:eastAsia="en-US"/>
        </w:rPr>
      </w:pPr>
      <w:bookmarkStart w:id="111" w:name="_Toc12024856"/>
      <w:r w:rsidRPr="004B0E59">
        <w:rPr>
          <w:lang w:eastAsia="en-US"/>
        </w:rPr>
        <w:t xml:space="preserve">Figure </w:t>
      </w:r>
      <w:r>
        <w:rPr>
          <w:lang w:eastAsia="en-US"/>
        </w:rPr>
        <w:t>5.</w:t>
      </w:r>
      <w:r w:rsidRPr="004B0E59">
        <w:rPr>
          <w:lang w:eastAsia="en-US"/>
        </w:rPr>
        <w:t xml:space="preserve">1. </w:t>
      </w:r>
      <w:r w:rsidR="004246E2" w:rsidRPr="00D40C27">
        <w:rPr>
          <w:lang w:eastAsia="en-US"/>
        </w:rPr>
        <w:t>Recruitment flow diagram</w:t>
      </w:r>
      <w:r w:rsidR="004246E2">
        <w:rPr>
          <w:lang w:eastAsia="en-US"/>
        </w:rPr>
        <w:t xml:space="preserve"> </w:t>
      </w:r>
      <w:bookmarkEnd w:id="111"/>
    </w:p>
    <w:p w14:paraId="646D5007" w14:textId="4FE24F7F" w:rsidR="00A427E8" w:rsidRPr="000215FF" w:rsidRDefault="00D02823"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b/>
          <w:color w:val="auto"/>
          <w:lang w:eastAsia="en-US"/>
        </w:rPr>
      </w:pPr>
      <w:r>
        <w:rPr>
          <w:noProof/>
          <w:lang w:val="es-CO" w:eastAsia="es-CO"/>
        </w:rPr>
        <w:drawing>
          <wp:inline distT="0" distB="0" distL="0" distR="0" wp14:anchorId="5981CA02" wp14:editId="0FEB45D2">
            <wp:extent cx="5402580" cy="3794125"/>
            <wp:effectExtent l="0" t="0" r="0" b="0"/>
            <wp:docPr id="1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2580" cy="3794125"/>
                    </a:xfrm>
                    <a:prstGeom prst="rect">
                      <a:avLst/>
                    </a:prstGeom>
                    <a:noFill/>
                    <a:ln>
                      <a:noFill/>
                    </a:ln>
                  </pic:spPr>
                </pic:pic>
              </a:graphicData>
            </a:graphic>
          </wp:inline>
        </w:drawing>
      </w:r>
    </w:p>
    <w:p w14:paraId="50A3FA34"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p>
    <w:p w14:paraId="3DC278AE" w14:textId="77777777" w:rsidR="00A427E8" w:rsidRPr="00D40C27" w:rsidRDefault="00A427E8" w:rsidP="00A427E8">
      <w:pPr>
        <w:pStyle w:val="Heading3"/>
        <w:rPr>
          <w:lang w:eastAsia="en-US"/>
        </w:rPr>
      </w:pPr>
      <w:bookmarkStart w:id="112" w:name="_Toc12024672"/>
      <w:r w:rsidRPr="00D40C27">
        <w:rPr>
          <w:lang w:eastAsia="en-US"/>
        </w:rPr>
        <w:t>Recruitment</w:t>
      </w:r>
      <w:bookmarkEnd w:id="112"/>
    </w:p>
    <w:p w14:paraId="689C723E" w14:textId="1EA444C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r w:rsidRPr="000215FF">
        <w:rPr>
          <w:rFonts w:eastAsia="Cambria"/>
          <w:color w:val="auto"/>
          <w:lang w:eastAsia="en-US"/>
        </w:rPr>
        <w:t>This study sought to include UK participants of working age that performed duties associated with recruitment as part of their job</w:t>
      </w:r>
      <w:r w:rsidR="004246E2">
        <w:rPr>
          <w:rFonts w:eastAsia="Cambria"/>
          <w:color w:val="auto"/>
          <w:lang w:eastAsia="en-US"/>
        </w:rPr>
        <w:t xml:space="preserve"> description</w:t>
      </w:r>
      <w:r w:rsidRPr="000215FF">
        <w:rPr>
          <w:rFonts w:eastAsia="Cambria"/>
          <w:color w:val="auto"/>
          <w:lang w:eastAsia="en-US"/>
        </w:rPr>
        <w:t xml:space="preserve">. Initially, recruitment agencies were found online and contacted with information about the study. Targeted companies were invited to distribute the online experiment amongst their staff in exchange for participating in a raffle prize of 2x£20. A total of 30 participants were recruited via online invitations to local companies. In order to obtain further respondents to conduct this study, an online project with a link to the experiment was designed </w:t>
      </w:r>
      <w:r w:rsidR="004246E2">
        <w:rPr>
          <w:rFonts w:eastAsia="Cambria"/>
          <w:color w:val="auto"/>
          <w:lang w:eastAsia="en-US"/>
        </w:rPr>
        <w:t>and</w:t>
      </w:r>
      <w:r w:rsidR="004246E2" w:rsidRPr="000215FF">
        <w:rPr>
          <w:rFonts w:eastAsia="Cambria"/>
          <w:color w:val="auto"/>
          <w:lang w:eastAsia="en-US"/>
        </w:rPr>
        <w:t xml:space="preserve"> </w:t>
      </w:r>
      <w:r w:rsidRPr="000215FF">
        <w:rPr>
          <w:rFonts w:eastAsia="Cambria"/>
          <w:color w:val="auto"/>
          <w:lang w:eastAsia="en-US"/>
        </w:rPr>
        <w:t>launched using Prolific (</w:t>
      </w:r>
      <w:hyperlink r:id="rId22" w:tgtFrame="_blank" w:history="1">
        <w:r w:rsidRPr="000215FF">
          <w:rPr>
            <w:rFonts w:eastAsia="Cambria"/>
            <w:color w:val="0000FF"/>
            <w:u w:val="single"/>
            <w:lang w:eastAsia="en-US"/>
          </w:rPr>
          <w:t>www.prolific.ac</w:t>
        </w:r>
      </w:hyperlink>
      <w:r w:rsidRPr="000215FF">
        <w:rPr>
          <w:rFonts w:eastAsia="Cambria"/>
          <w:color w:val="auto"/>
          <w:lang w:eastAsia="en-US"/>
        </w:rPr>
        <w:t xml:space="preserve">). The study was set for an audience of people living in the UK and with hiring experience. Participants were paid an estimated £6 p/h in exchange to complete the experiment. </w:t>
      </w:r>
      <w:r w:rsidR="004246E2">
        <w:rPr>
          <w:rFonts w:eastAsia="Cambria"/>
          <w:color w:val="auto"/>
          <w:lang w:eastAsia="en-US"/>
        </w:rPr>
        <w:t>Forty-eight</w:t>
      </w:r>
      <w:r w:rsidRPr="000215FF">
        <w:rPr>
          <w:rFonts w:eastAsia="Cambria"/>
          <w:color w:val="auto"/>
          <w:lang w:eastAsia="en-US"/>
        </w:rPr>
        <w:t xml:space="preserve"> participants were recruited via </w:t>
      </w:r>
      <w:r w:rsidRPr="000215FF">
        <w:rPr>
          <w:rFonts w:eastAsia="Cambria"/>
          <w:i/>
          <w:iCs/>
          <w:color w:val="auto"/>
          <w:lang w:eastAsia="en-US"/>
        </w:rPr>
        <w:t>Prolific</w:t>
      </w:r>
      <w:r w:rsidRPr="000215FF">
        <w:rPr>
          <w:rFonts w:eastAsia="Cambria"/>
          <w:color w:val="auto"/>
          <w:lang w:eastAsia="en-US"/>
        </w:rPr>
        <w:t xml:space="preserve">. </w:t>
      </w:r>
    </w:p>
    <w:p w14:paraId="54D795DB" w14:textId="77777777" w:rsidR="00A427E8" w:rsidRPr="00D40C27" w:rsidRDefault="00A427E8" w:rsidP="00A427E8">
      <w:pPr>
        <w:pStyle w:val="Heading3"/>
        <w:rPr>
          <w:lang w:eastAsia="en-US"/>
        </w:rPr>
      </w:pPr>
      <w:bookmarkStart w:id="113" w:name="_Toc12024673"/>
      <w:r w:rsidRPr="00D40C27">
        <w:rPr>
          <w:lang w:eastAsia="en-US"/>
        </w:rPr>
        <w:lastRenderedPageBreak/>
        <w:t>Experimental conditions</w:t>
      </w:r>
      <w:bookmarkEnd w:id="113"/>
    </w:p>
    <w:p w14:paraId="6D9CCA86" w14:textId="2E7754D9"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r w:rsidRPr="000215FF">
        <w:rPr>
          <w:rFonts w:eastAsia="Cambria"/>
          <w:color w:val="auto"/>
          <w:lang w:eastAsia="en-US"/>
        </w:rPr>
        <w:t xml:space="preserve">This pilot study utilised the IC methods reported in previous studies </w:t>
      </w:r>
      <w:r w:rsidRPr="000215FF">
        <w:rPr>
          <w:rFonts w:eastAsia="Cambria"/>
          <w:noProof/>
          <w:color w:val="auto"/>
          <w:lang w:eastAsia="en-US"/>
        </w:rPr>
        <w:t>(Stathi &amp; Crisp, 2009; Stathi et al., 2012)</w:t>
      </w:r>
      <w:r w:rsidRPr="000215FF">
        <w:rPr>
          <w:rFonts w:eastAsia="Cambria"/>
          <w:color w:val="auto"/>
          <w:lang w:eastAsia="en-US"/>
        </w:rPr>
        <w:t>. Participants were randomly allocated to either an intervention or a control arm. Recruiters allocated to the experimental condition were presented with general information about FD (i.e.</w:t>
      </w:r>
      <w:r w:rsidR="004246E2">
        <w:rPr>
          <w:rFonts w:eastAsia="Cambria"/>
          <w:color w:val="auto"/>
          <w:lang w:eastAsia="en-US"/>
        </w:rPr>
        <w:t>,</w:t>
      </w:r>
      <w:r w:rsidRPr="000215FF">
        <w:rPr>
          <w:rFonts w:eastAsia="Cambria"/>
          <w:color w:val="auto"/>
          <w:lang w:eastAsia="en-US"/>
        </w:rPr>
        <w:t xml:space="preserve"> frequency, challenges to those having FD). Next, a message giving guidelines to increase </w:t>
      </w:r>
      <w:r w:rsidR="00B32D9C">
        <w:rPr>
          <w:rFonts w:eastAsia="Cambria"/>
          <w:color w:val="auto"/>
          <w:lang w:eastAsia="en-US"/>
        </w:rPr>
        <w:t xml:space="preserve">the </w:t>
      </w:r>
      <w:r w:rsidRPr="000215FF">
        <w:rPr>
          <w:rFonts w:eastAsia="Cambria"/>
          <w:color w:val="auto"/>
          <w:lang w:eastAsia="en-US"/>
        </w:rPr>
        <w:t xml:space="preserve">recruitment of individuals with FD was displayed. This message was displayed in a series of bullet points that included the use of appropriate wording to address FD, recommendations on job advertising and suggested websites to improve practices of inclusion of individuals with FD (see appendix </w:t>
      </w:r>
      <w:r w:rsidR="004246E2">
        <w:rPr>
          <w:rFonts w:eastAsia="Cambria"/>
          <w:color w:val="auto"/>
          <w:lang w:eastAsia="en-US"/>
        </w:rPr>
        <w:t xml:space="preserve">5E </w:t>
      </w:r>
      <w:r w:rsidRPr="000215FF">
        <w:rPr>
          <w:rFonts w:eastAsia="Cambria"/>
          <w:color w:val="auto"/>
          <w:lang w:eastAsia="en-US"/>
        </w:rPr>
        <w:t>for full details):</w:t>
      </w:r>
    </w:p>
    <w:p w14:paraId="331259F6"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left="360" w:firstLine="0"/>
        <w:rPr>
          <w:rFonts w:eastAsia="Cambria"/>
          <w:i/>
          <w:iCs/>
          <w:color w:val="auto"/>
          <w:lang w:eastAsia="en-US"/>
        </w:rPr>
      </w:pPr>
      <w:r w:rsidRPr="000215FF">
        <w:rPr>
          <w:rFonts w:eastAsia="Cambria"/>
          <w:color w:val="auto"/>
          <w:lang w:eastAsia="en-US"/>
        </w:rPr>
        <w:t>“</w:t>
      </w:r>
      <w:r w:rsidRPr="000215FF">
        <w:rPr>
          <w:rFonts w:eastAsia="Cambria"/>
          <w:b/>
          <w:bCs/>
          <w:i/>
          <w:iCs/>
          <w:color w:val="auto"/>
          <w:lang w:eastAsia="en-US"/>
        </w:rPr>
        <w:t xml:space="preserve">Guidelines to increase </w:t>
      </w:r>
      <w:r w:rsidR="00B32D9C">
        <w:rPr>
          <w:rFonts w:eastAsia="Cambria"/>
          <w:b/>
          <w:bCs/>
          <w:i/>
          <w:iCs/>
          <w:color w:val="auto"/>
          <w:lang w:eastAsia="en-US"/>
        </w:rPr>
        <w:t xml:space="preserve">the </w:t>
      </w:r>
      <w:r w:rsidRPr="000215FF">
        <w:rPr>
          <w:rFonts w:eastAsia="Cambria"/>
          <w:b/>
          <w:bCs/>
          <w:i/>
          <w:iCs/>
          <w:color w:val="auto"/>
          <w:lang w:eastAsia="en-US"/>
        </w:rPr>
        <w:t>recruitment of individuals with Facial Disfigurement:</w:t>
      </w:r>
      <w:r w:rsidRPr="000215FF">
        <w:rPr>
          <w:rFonts w:eastAsia="Cambria"/>
          <w:i/>
          <w:iCs/>
          <w:color w:val="auto"/>
          <w:lang w:eastAsia="en-US"/>
        </w:rPr>
        <w:t xml:space="preserve"> </w:t>
      </w:r>
    </w:p>
    <w:p w14:paraId="6211FFC4" w14:textId="77777777" w:rsidR="00A427E8" w:rsidRPr="000215FF" w:rsidRDefault="00A427E8" w:rsidP="0051216E">
      <w:pPr>
        <w:numPr>
          <w:ilvl w:val="0"/>
          <w:numId w:val="5"/>
        </w:numPr>
        <w:pBdr>
          <w:top w:val="none" w:sz="0" w:space="0" w:color="auto"/>
          <w:left w:val="none" w:sz="0" w:space="0" w:color="auto"/>
          <w:bottom w:val="none" w:sz="0" w:space="0" w:color="auto"/>
          <w:right w:val="none" w:sz="0" w:space="0" w:color="auto"/>
          <w:between w:val="none" w:sz="0" w:space="0" w:color="auto"/>
        </w:pBdr>
        <w:spacing w:before="100" w:beforeAutospacing="1" w:line="259" w:lineRule="auto"/>
        <w:rPr>
          <w:rFonts w:eastAsia="Cambria"/>
          <w:i/>
          <w:iCs/>
          <w:color w:val="auto"/>
          <w:lang w:eastAsia="en-US"/>
        </w:rPr>
      </w:pPr>
      <w:r w:rsidRPr="000215FF">
        <w:rPr>
          <w:rFonts w:eastAsia="Cambria"/>
          <w:i/>
          <w:iCs/>
          <w:color w:val="auto"/>
          <w:lang w:eastAsia="en-US"/>
        </w:rPr>
        <w:t>Use ‘disfigurement’ as a semi-neutral collective word to refer to the visual effect of marks, scarring, asymmetry or an unusual functioning of a person’s face or body.</w:t>
      </w:r>
    </w:p>
    <w:p w14:paraId="678DF464" w14:textId="77777777" w:rsidR="00A427E8" w:rsidRPr="000215FF" w:rsidRDefault="00A427E8" w:rsidP="0051216E">
      <w:pPr>
        <w:numPr>
          <w:ilvl w:val="0"/>
          <w:numId w:val="5"/>
        </w:numPr>
        <w:pBdr>
          <w:top w:val="none" w:sz="0" w:space="0" w:color="auto"/>
          <w:left w:val="none" w:sz="0" w:space="0" w:color="auto"/>
          <w:bottom w:val="none" w:sz="0" w:space="0" w:color="auto"/>
          <w:right w:val="none" w:sz="0" w:space="0" w:color="auto"/>
          <w:between w:val="none" w:sz="0" w:space="0" w:color="auto"/>
        </w:pBdr>
        <w:spacing w:before="100" w:beforeAutospacing="1" w:line="259" w:lineRule="auto"/>
        <w:rPr>
          <w:rFonts w:eastAsia="Cambria"/>
          <w:i/>
          <w:iCs/>
          <w:color w:val="auto"/>
          <w:lang w:eastAsia="en-US"/>
        </w:rPr>
      </w:pPr>
      <w:r w:rsidRPr="000215FF">
        <w:rPr>
          <w:rFonts w:eastAsia="Cambria"/>
          <w:i/>
          <w:iCs/>
          <w:color w:val="auto"/>
          <w:lang w:eastAsia="en-US"/>
        </w:rPr>
        <w:t>Disfigurement is a word which is clearly understood and is used in the Equality Act 2010 which protects people with ‘severe’ disfigurements from discrimination. However, most people prefer to use the name of their condition or illness or a description of their illness.</w:t>
      </w:r>
      <w:r w:rsidRPr="000215FF">
        <w:rPr>
          <w:rFonts w:eastAsia="Cambria"/>
          <w:color w:val="auto"/>
          <w:lang w:eastAsia="en-US"/>
        </w:rPr>
        <w:t>” (Excerpt of material in experimental condition)</w:t>
      </w:r>
    </w:p>
    <w:p w14:paraId="4BE599A3" w14:textId="77777777" w:rsidR="00A427E8" w:rsidRPr="00D40C27" w:rsidRDefault="00A427E8" w:rsidP="00A427E8">
      <w:pPr>
        <w:pBdr>
          <w:top w:val="none" w:sz="0" w:space="0" w:color="auto"/>
          <w:left w:val="none" w:sz="0" w:space="0" w:color="auto"/>
          <w:bottom w:val="none" w:sz="0" w:space="0" w:color="auto"/>
          <w:right w:val="none" w:sz="0" w:space="0" w:color="auto"/>
          <w:between w:val="none" w:sz="0" w:space="0" w:color="auto"/>
        </w:pBdr>
        <w:rPr>
          <w:rFonts w:eastAsia="Times New Roman"/>
          <w:color w:val="auto"/>
        </w:rPr>
      </w:pPr>
      <w:r w:rsidRPr="000215FF">
        <w:rPr>
          <w:rFonts w:eastAsia="Cambria"/>
          <w:color w:val="auto"/>
          <w:lang w:eastAsia="en-US"/>
        </w:rPr>
        <w:t xml:space="preserve"> The last section of the educational condition displayed two personal statements of individuals with FD (e.g</w:t>
      </w:r>
      <w:r w:rsidR="008471FC">
        <w:rPr>
          <w:rFonts w:eastAsia="Cambria"/>
          <w:color w:val="auto"/>
          <w:lang w:eastAsia="en-US"/>
        </w:rPr>
        <w:t xml:space="preserve">., </w:t>
      </w:r>
      <w:r w:rsidRPr="00D40C27">
        <w:rPr>
          <w:rFonts w:eastAsia="Times New Roman"/>
          <w:i/>
          <w:iCs/>
          <w:color w:val="auto"/>
        </w:rPr>
        <w:t xml:space="preserve">“Due to my (Facial disfigurement) condition, I do stand out from the crowd and you know, there have been times where I’ve been an easy target for bullies. That’s left me feeling isolated (…) As I’ve got older, I’ve learnt to be proud of the way I look. I love looking the way I do and I love being me”; </w:t>
      </w:r>
      <w:r w:rsidRPr="00D40C27">
        <w:rPr>
          <w:rFonts w:eastAsia="Times New Roman"/>
          <w:color w:val="auto"/>
        </w:rPr>
        <w:t>Jono Lancaster, Treacher Collins advocate).</w:t>
      </w:r>
    </w:p>
    <w:p w14:paraId="4243DEFA" w14:textId="1EEF37E6"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i/>
          <w:color w:val="auto"/>
          <w:lang w:eastAsia="en-US"/>
        </w:rPr>
      </w:pPr>
      <w:r w:rsidRPr="000215FF">
        <w:rPr>
          <w:rFonts w:eastAsia="Cambria"/>
          <w:color w:val="auto"/>
          <w:lang w:eastAsia="en-US"/>
        </w:rPr>
        <w:t>Following the presentation of educational material, participants were directed to an imagination task that encouraged them to imagine a positive interaction with an individual with FD (i.e. “</w:t>
      </w:r>
      <w:r w:rsidRPr="000215FF">
        <w:rPr>
          <w:rFonts w:eastAsia="Cambria"/>
          <w:i/>
          <w:iCs/>
          <w:color w:val="auto"/>
          <w:lang w:eastAsia="en-US"/>
        </w:rPr>
        <w:t xml:space="preserve">We would like you to spend a few moments imagining yourself meeting and talking to an adult with a severe facial disfigurement that has sat next to you on the train. Imagine that the interaction is </w:t>
      </w:r>
      <w:r w:rsidRPr="000215FF">
        <w:rPr>
          <w:rFonts w:eastAsia="Cambria"/>
          <w:b/>
          <w:i/>
          <w:iCs/>
          <w:color w:val="auto"/>
          <w:lang w:eastAsia="en-US"/>
        </w:rPr>
        <w:t>positive,</w:t>
      </w:r>
      <w:r w:rsidRPr="000215FF">
        <w:rPr>
          <w:rFonts w:eastAsia="Cambria"/>
          <w:i/>
          <w:iCs/>
          <w:color w:val="auto"/>
          <w:lang w:eastAsia="en-US"/>
        </w:rPr>
        <w:t xml:space="preserve"> and you find out some interesting and unexpected things about this person</w:t>
      </w:r>
      <w:r w:rsidRPr="000215FF">
        <w:rPr>
          <w:rFonts w:eastAsia="Cambria"/>
          <w:color w:val="auto"/>
          <w:lang w:eastAsia="en-US"/>
        </w:rPr>
        <w:t xml:space="preserve">.”). A timer was introduced in this </w:t>
      </w:r>
      <w:r w:rsidR="004246E2">
        <w:rPr>
          <w:rFonts w:eastAsia="Cambria"/>
          <w:color w:val="auto"/>
          <w:lang w:eastAsia="en-US"/>
        </w:rPr>
        <w:t>section</w:t>
      </w:r>
      <w:r w:rsidR="004246E2" w:rsidRPr="000215FF">
        <w:rPr>
          <w:rFonts w:eastAsia="Cambria"/>
          <w:color w:val="auto"/>
          <w:lang w:eastAsia="en-US"/>
        </w:rPr>
        <w:t xml:space="preserve"> </w:t>
      </w:r>
      <w:r w:rsidRPr="000215FF">
        <w:rPr>
          <w:rFonts w:eastAsia="Cambria"/>
          <w:color w:val="auto"/>
          <w:lang w:eastAsia="en-US"/>
        </w:rPr>
        <w:t xml:space="preserve">so participants could not continue with the experiment for 60 seconds. After the instructions and timer were displayed, participants were asked to write a few lines describing the individual and interaction they just imagined: (1) </w:t>
      </w:r>
      <w:r w:rsidRPr="000215FF">
        <w:rPr>
          <w:rFonts w:eastAsia="Cambria"/>
          <w:i/>
          <w:color w:val="auto"/>
          <w:lang w:eastAsia="en-US"/>
        </w:rPr>
        <w:t xml:space="preserve">“1. In a few sentences, please describe the person you just interacted with (for example, how was his/her physical appearance, tone of voice, etc). </w:t>
      </w:r>
      <w:r w:rsidRPr="000215FF">
        <w:rPr>
          <w:rFonts w:eastAsia="Cambria"/>
          <w:color w:val="auto"/>
          <w:lang w:eastAsia="en-US"/>
        </w:rPr>
        <w:t>(2) </w:t>
      </w:r>
      <w:r w:rsidRPr="000215FF">
        <w:rPr>
          <w:rFonts w:eastAsia="Cambria"/>
          <w:i/>
          <w:color w:val="auto"/>
          <w:lang w:eastAsia="en-US"/>
        </w:rPr>
        <w:t xml:space="preserve">“Please take a moment to describe the </w:t>
      </w:r>
    </w:p>
    <w:p w14:paraId="40CDF1B7"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i/>
          <w:color w:val="auto"/>
          <w:lang w:eastAsia="en-US"/>
        </w:rPr>
      </w:pPr>
      <w:r w:rsidRPr="000215FF">
        <w:rPr>
          <w:rFonts w:eastAsia="Cambria"/>
          <w:i/>
          <w:color w:val="auto"/>
          <w:lang w:eastAsia="en-US"/>
        </w:rPr>
        <w:lastRenderedPageBreak/>
        <w:t>interaction you've just imagined in a few sentences”</w:t>
      </w:r>
    </w:p>
    <w:p w14:paraId="37BECB9A" w14:textId="26D05763"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Participants allocated to the control condition were presented with a message about work-related stress, which included general information about work related stress and recommendations for its prevention, followed by a website link for further advice from the Health and Safety Executive (HSE, </w:t>
      </w:r>
      <w:hyperlink r:id="rId23" w:history="1">
        <w:r w:rsidRPr="000215FF">
          <w:rPr>
            <w:rFonts w:eastAsia="Cambria"/>
            <w:color w:val="0000FF"/>
            <w:u w:val="single"/>
            <w:lang w:eastAsia="en-US"/>
          </w:rPr>
          <w:t>http://www.hse.gov.uk/stress</w:t>
        </w:r>
      </w:hyperlink>
      <w:r w:rsidRPr="000215FF">
        <w:rPr>
          <w:rFonts w:eastAsia="Cambria"/>
          <w:color w:val="auto"/>
          <w:lang w:eastAsia="en-US"/>
        </w:rPr>
        <w:t>). The control message on work-related stress was followed by instructions to complete a control imaginary task (i.e.</w:t>
      </w:r>
      <w:r w:rsidR="004246E2">
        <w:rPr>
          <w:rFonts w:eastAsia="Cambria"/>
          <w:color w:val="auto"/>
          <w:lang w:eastAsia="en-US"/>
        </w:rPr>
        <w:t>,</w:t>
      </w:r>
      <w:r w:rsidRPr="000215FF">
        <w:rPr>
          <w:rFonts w:eastAsia="Cambria"/>
          <w:color w:val="auto"/>
          <w:lang w:eastAsia="en-US"/>
        </w:rPr>
        <w:t xml:space="preserve"> </w:t>
      </w:r>
      <w:r w:rsidRPr="000215FF">
        <w:rPr>
          <w:rFonts w:eastAsia="Cambria"/>
          <w:i/>
          <w:iCs/>
          <w:color w:val="auto"/>
          <w:lang w:eastAsia="en-US"/>
        </w:rPr>
        <w:t>We would like you to spend a few moments imagining an outdoor scene. Try to imagine aspects of the scene about you, e.g</w:t>
      </w:r>
      <w:r w:rsidR="008471FC">
        <w:rPr>
          <w:rFonts w:eastAsia="Cambria"/>
          <w:i/>
          <w:iCs/>
          <w:color w:val="auto"/>
          <w:lang w:eastAsia="en-US"/>
        </w:rPr>
        <w:t xml:space="preserve">., </w:t>
      </w:r>
      <w:r w:rsidRPr="000215FF">
        <w:rPr>
          <w:rFonts w:eastAsia="Cambria"/>
          <w:i/>
          <w:iCs/>
          <w:color w:val="auto"/>
          <w:lang w:eastAsia="en-US"/>
        </w:rPr>
        <w:t xml:space="preserve">is it a beach, a forest, are there trees, hills, what’s on the horizon?). </w:t>
      </w:r>
      <w:r w:rsidRPr="000215FF">
        <w:rPr>
          <w:rFonts w:eastAsia="Cambria"/>
          <w:color w:val="auto"/>
          <w:lang w:eastAsia="en-US"/>
        </w:rPr>
        <w:t xml:space="preserve">Afterwards, participants were instructed to write a few words describing what they imagined; </w:t>
      </w:r>
      <w:r w:rsidRPr="000215FF">
        <w:rPr>
          <w:rFonts w:eastAsia="Cambria"/>
          <w:i/>
          <w:color w:val="auto"/>
          <w:lang w:eastAsia="en-US"/>
        </w:rPr>
        <w:t>“Now, please list in a few sentences the different things that you saw in the scene you just imagined.”</w:t>
      </w:r>
      <w:r w:rsidRPr="000215FF">
        <w:rPr>
          <w:rFonts w:eastAsia="Cambria"/>
          <w:color w:val="auto"/>
          <w:lang w:eastAsia="en-US"/>
        </w:rPr>
        <w:t xml:space="preserve"> </w:t>
      </w:r>
    </w:p>
    <w:p w14:paraId="2D95AFC8"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After the presentation of the anti-stigma experimental and control conditions, participants were asked to read a brief job vacancy advert for a travel agent (see Figure 5.2). </w:t>
      </w:r>
    </w:p>
    <w:p w14:paraId="62856784" w14:textId="77777777" w:rsidR="00A427E8" w:rsidRPr="00D40C27" w:rsidRDefault="00A427E8" w:rsidP="00A427E8">
      <w:pPr>
        <w:pStyle w:val="Figures"/>
        <w:rPr>
          <w:lang w:eastAsia="en-US"/>
        </w:rPr>
      </w:pPr>
      <w:bookmarkStart w:id="114" w:name="_Toc12024857"/>
      <w:r>
        <w:rPr>
          <w:lang w:eastAsia="en-US"/>
        </w:rPr>
        <w:t>Figure 5.2</w:t>
      </w:r>
      <w:r w:rsidRPr="00D40C27">
        <w:rPr>
          <w:lang w:eastAsia="en-US"/>
        </w:rPr>
        <w:t>. Travel agent job advert</w:t>
      </w:r>
      <w:bookmarkEnd w:id="114"/>
    </w:p>
    <w:p w14:paraId="32E12751" w14:textId="69688EC2" w:rsidR="00A427E8" w:rsidRPr="000215FF" w:rsidRDefault="00D02823"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r>
        <w:rPr>
          <w:rFonts w:ascii="Cambria" w:eastAsia="Cambria" w:hAnsi="Cambria"/>
          <w:noProof/>
          <w:color w:val="auto"/>
          <w:lang w:val="es-CO" w:eastAsia="es-CO"/>
        </w:rPr>
        <w:drawing>
          <wp:inline distT="0" distB="0" distL="0" distR="0" wp14:anchorId="632F9D3E" wp14:editId="45870F73">
            <wp:extent cx="5402580" cy="377317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2580" cy="3773170"/>
                    </a:xfrm>
                    <a:prstGeom prst="rect">
                      <a:avLst/>
                    </a:prstGeom>
                    <a:noFill/>
                    <a:ln>
                      <a:noFill/>
                    </a:ln>
                  </pic:spPr>
                </pic:pic>
              </a:graphicData>
            </a:graphic>
          </wp:inline>
        </w:drawing>
      </w:r>
    </w:p>
    <w:p w14:paraId="02AE2BA4"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Then, participants were randomly allocated to evaluate a mock CV of either an applicant with FD or an applicant without FD. The content of the CV was identical for both mock applicants and the only difference was the picture associated with each CV. See figure </w:t>
      </w:r>
      <w:r w:rsidR="00B32D9C">
        <w:rPr>
          <w:rFonts w:eastAsia="Cambria"/>
          <w:color w:val="auto"/>
          <w:lang w:eastAsia="en-US"/>
        </w:rPr>
        <w:t>5.3</w:t>
      </w:r>
      <w:r w:rsidRPr="000215FF">
        <w:rPr>
          <w:rFonts w:eastAsia="Cambria"/>
          <w:color w:val="auto"/>
          <w:lang w:eastAsia="en-US"/>
        </w:rPr>
        <w:t xml:space="preserve"> for details of mock CVs.</w:t>
      </w:r>
    </w:p>
    <w:p w14:paraId="01EAFA2E" w14:textId="77777777" w:rsidR="00A427E8" w:rsidRPr="00D96D98" w:rsidRDefault="00A427E8" w:rsidP="009E095F">
      <w:pPr>
        <w:pStyle w:val="Figures"/>
      </w:pPr>
      <w:bookmarkStart w:id="115" w:name="_Toc12024858"/>
      <w:r>
        <w:lastRenderedPageBreak/>
        <w:t>Figure 5.3</w:t>
      </w:r>
      <w:r w:rsidRPr="00D96D98">
        <w:t>. Mock CV and photos</w:t>
      </w:r>
      <w:bookmarkEnd w:id="115"/>
      <w:r w:rsidRPr="00D96D98">
        <w:t xml:space="preserve"> </w:t>
      </w:r>
    </w:p>
    <w:p w14:paraId="2E8C5B47" w14:textId="6839A6B6" w:rsidR="00A427E8" w:rsidRPr="000215FF" w:rsidRDefault="00D02823"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r>
        <w:rPr>
          <w:noProof/>
          <w:lang w:val="es-CO" w:eastAsia="es-CO"/>
        </w:rPr>
        <mc:AlternateContent>
          <mc:Choice Requires="wpg">
            <w:drawing>
              <wp:anchor distT="0" distB="0" distL="114300" distR="114300" simplePos="0" relativeHeight="251659264" behindDoc="0" locked="0" layoutInCell="1" allowOverlap="1" wp14:anchorId="34B050A8" wp14:editId="6B1037CD">
                <wp:simplePos x="0" y="0"/>
                <wp:positionH relativeFrom="margin">
                  <wp:posOffset>252095</wp:posOffset>
                </wp:positionH>
                <wp:positionV relativeFrom="paragraph">
                  <wp:posOffset>404495</wp:posOffset>
                </wp:positionV>
                <wp:extent cx="5343525" cy="5086350"/>
                <wp:effectExtent l="0" t="0" r="0" b="0"/>
                <wp:wrapTopAndBottom/>
                <wp:docPr id="8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5086350"/>
                          <a:chOff x="0" y="0"/>
                          <a:chExt cx="7633699" cy="6287748"/>
                        </a:xfrm>
                      </wpg:grpSpPr>
                      <pic:pic xmlns:pic="http://schemas.openxmlformats.org/drawingml/2006/picture">
                        <pic:nvPicPr>
                          <pic:cNvPr id="83" name="Picture 83"/>
                          <pic:cNvPicPr>
                            <a:picLocks noChangeAspect="1"/>
                          </pic:cNvPicPr>
                        </pic:nvPicPr>
                        <pic:blipFill>
                          <a:blip r:embed="rId25"/>
                          <a:stretch>
                            <a:fillRect/>
                          </a:stretch>
                        </pic:blipFill>
                        <pic:spPr>
                          <a:xfrm>
                            <a:off x="0" y="0"/>
                            <a:ext cx="6334906" cy="6287748"/>
                          </a:xfrm>
                          <a:prstGeom prst="rect">
                            <a:avLst/>
                          </a:prstGeom>
                        </pic:spPr>
                      </pic:pic>
                      <pic:pic xmlns:pic="http://schemas.openxmlformats.org/drawingml/2006/picture">
                        <pic:nvPicPr>
                          <pic:cNvPr id="99" name="Picture 99"/>
                          <pic:cNvPicPr>
                            <a:picLocks noChangeAspect="1"/>
                          </pic:cNvPicPr>
                        </pic:nvPicPr>
                        <pic:blipFill>
                          <a:blip r:embed="rId26"/>
                          <a:stretch>
                            <a:fillRect/>
                          </a:stretch>
                        </pic:blipFill>
                        <pic:spPr>
                          <a:xfrm>
                            <a:off x="2500045" y="3441911"/>
                            <a:ext cx="2348532" cy="2455014"/>
                          </a:xfrm>
                          <a:prstGeom prst="rect">
                            <a:avLst/>
                          </a:prstGeom>
                        </pic:spPr>
                      </pic:pic>
                      <pic:pic xmlns:pic="http://schemas.openxmlformats.org/drawingml/2006/picture">
                        <pic:nvPicPr>
                          <pic:cNvPr id="100" name="Picture 100"/>
                          <pic:cNvPicPr>
                            <a:picLocks noChangeAspect="1"/>
                          </pic:cNvPicPr>
                        </pic:nvPicPr>
                        <pic:blipFill>
                          <a:blip r:embed="rId27"/>
                          <a:stretch>
                            <a:fillRect/>
                          </a:stretch>
                        </pic:blipFill>
                        <pic:spPr>
                          <a:xfrm>
                            <a:off x="4848577" y="3392906"/>
                            <a:ext cx="2785122" cy="25530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F74DB6" id="Group 6" o:spid="_x0000_s1026" style="position:absolute;margin-left:19.85pt;margin-top:31.85pt;width:420.75pt;height:400.5pt;z-index:251659264;mso-position-horizontal-relative:margin;mso-width-relative:margin;mso-height-relative:margin" coordsize="76336,62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7" type="#_x0000_t75" style="position:absolute;width:63349;height:6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">
                  <v:imagedata r:id="rId35" o:title=""/>
                  <v:path arrowok="t"/>
                </v:shape>
                <v:shape id="Picture 99" o:spid="_x0000_s1028" type="#_x0000_t75" style="position:absolute;left:25000;top:34419;width:23485;height:24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">
                  <v:imagedata r:id="rId36" o:title=""/>
                  <v:path arrowok="t"/>
                </v:shape>
                <v:shape id="Picture 100" o:spid="_x0000_s1029" type="#_x0000_t75" style="position:absolute;left:48485;top:33929;width:27851;height:25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">
                  <v:imagedata r:id="rId37" o:title=""/>
                  <v:path arrowok="t"/>
                </v:shape>
                <w10:wrap type="topAndBottom" anchorx="margin"/>
              </v:group>
            </w:pict>
          </mc:Fallback>
        </mc:AlternateContent>
      </w:r>
    </w:p>
    <w:p w14:paraId="59967ED9"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7D8D2352"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2A90EE7C"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1519E1E4"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1CFBAF50"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7E814E79"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41AC83EC"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124DDA44"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4FBB1AE6"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5803CC3C"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p>
    <w:p w14:paraId="24BEFC1B" w14:textId="16B49704" w:rsidR="00A427E8" w:rsidRPr="00D40C27" w:rsidRDefault="00A427E8" w:rsidP="009E095F">
      <w:pPr>
        <w:pStyle w:val="Heading3"/>
        <w:rPr>
          <w:lang w:eastAsia="en-US"/>
        </w:rPr>
      </w:pPr>
      <w:bookmarkStart w:id="116" w:name="_Toc12024674"/>
      <w:r w:rsidRPr="00D40C27">
        <w:rPr>
          <w:lang w:eastAsia="en-US"/>
        </w:rPr>
        <w:lastRenderedPageBreak/>
        <w:t>Measures</w:t>
      </w:r>
      <w:bookmarkEnd w:id="116"/>
    </w:p>
    <w:p w14:paraId="4DDA5746" w14:textId="0FB18A2D" w:rsidR="00A427E8" w:rsidRPr="00D40C27" w:rsidRDefault="00A427E8" w:rsidP="006D318E">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r w:rsidRPr="00D40C27">
        <w:rPr>
          <w:rFonts w:eastAsia="Times New Roman"/>
          <w:i/>
          <w:iCs/>
          <w:color w:val="auto"/>
        </w:rPr>
        <w:t>Demographic Information</w:t>
      </w:r>
      <w:r w:rsidRPr="00D40C27">
        <w:rPr>
          <w:rFonts w:eastAsia="Times New Roman"/>
          <w:b/>
          <w:bCs/>
          <w:color w:val="auto"/>
        </w:rPr>
        <w:t xml:space="preserve">. </w:t>
      </w:r>
      <w:r w:rsidRPr="00D40C27">
        <w:rPr>
          <w:rFonts w:eastAsia="Times New Roman"/>
          <w:color w:val="auto"/>
        </w:rPr>
        <w:t>All participants were asked to provide information about their age, gender, ethnicity, and whether they could identify FD as a protected form of disability.</w:t>
      </w:r>
      <w:r w:rsidR="000A7152" w:rsidRPr="000A7152">
        <w:rPr>
          <w:rFonts w:eastAsia="Times New Roman"/>
          <w:color w:val="auto"/>
        </w:rPr>
        <w:t xml:space="preserve"> </w:t>
      </w:r>
      <w:r w:rsidR="000A7152">
        <w:rPr>
          <w:rFonts w:eastAsia="Times New Roman"/>
          <w:color w:val="auto"/>
        </w:rPr>
        <w:t>See appendix 5B-5D</w:t>
      </w:r>
    </w:p>
    <w:p w14:paraId="4C52EC80" w14:textId="77777777" w:rsidR="00A427E8" w:rsidRPr="000215FF" w:rsidRDefault="00A427E8" w:rsidP="006D318E">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r w:rsidRPr="000215FF">
        <w:rPr>
          <w:rFonts w:eastAsia="Cambria"/>
          <w:i/>
          <w:color w:val="auto"/>
          <w:lang w:eastAsia="en-US"/>
        </w:rPr>
        <w:t>Intended avoidance</w:t>
      </w:r>
      <w:r w:rsidRPr="000215FF">
        <w:rPr>
          <w:rFonts w:eastAsia="Cambria"/>
          <w:b/>
          <w:bCs/>
          <w:iCs/>
          <w:color w:val="auto"/>
          <w:lang w:eastAsia="en-US"/>
        </w:rPr>
        <w:t xml:space="preserve">. </w:t>
      </w:r>
      <w:r w:rsidRPr="000215FF">
        <w:rPr>
          <w:rFonts w:eastAsia="Cambria"/>
          <w:bCs/>
          <w:iCs/>
          <w:color w:val="auto"/>
          <w:lang w:eastAsia="en-US"/>
        </w:rPr>
        <w:t xml:space="preserve">Intentions to avoid individuals with FD were measured with the scale used by </w:t>
      </w:r>
      <w:r w:rsidRPr="000215FF">
        <w:rPr>
          <w:rFonts w:eastAsia="Cambria"/>
          <w:bCs/>
          <w:iCs/>
          <w:color w:val="auto"/>
          <w:lang w:eastAsia="en-US"/>
        </w:rPr>
        <w:fldChar w:fldCharType="begin" w:fldLock="1"/>
      </w:r>
      <w:r w:rsidRPr="000215FF">
        <w:rPr>
          <w:rFonts w:eastAsia="Cambria"/>
          <w:bCs/>
          <w:iCs/>
          <w:color w:val="auto"/>
          <w:lang w:eastAsia="en-US"/>
        </w:rPr>
        <w:instrText xml:space="preserve">  CSL_CITATION {"citationItems":[{"id":"ITEM-1","itemData":{"DOI":"10.1080/08870446.2011.603424","ISBN":"1476-8321","ISSN":"0887-0446","PMID":"21801076","abstract":"Medical conditions that are non-contagious, but that appear contagious, seem to result in the sufferer being avoided. Error management theory (EMT), suggests that such false alarms occur because the cost of infection poses a greater threat to ones fitness than avoidance. Study 1 attempted to demonstrate a disease-related false alarm effect by asking participants, to evaluate a series of vignettes, featuring people with infectious diseases, non-infectious diseases that looked infectious and non-infectious diseases that did not. Judgements of contracting infection under varying levels of contact, and desire to avoid were obtained. Consistent with EMT, a false alarm effect was evident. Study 2 examined the importance of the face as a key indicator of real and apparent infection, by determining whether facial symptoms result in a greater desire to avoid people with infectious and non-infectious diseases. Consistent with expectation, participants reported a greater desire to avoid people with facially displayed symptoms. Together, these results support the idea that humans have evolved a general tendency to avoid individuals with disease signs, especially if displayed upon the face. One consequence is that where a facially displayed disease sign persists, even if known to be benign, its bearer will experience chronic avoidance.","author":[{"dropping-particle":"","family":"Kouznetsova","given":"Daria","non-dropping-particle":"","parse-names":false,"suffix":""},{"dropping-particle":"","family":"Stevenson","given":"Richard J.","non-dropping-particle":"","parse-names":false,"suffix":""},{"dropping-particle":"","family":"Oaten","given":"Megan J.","non-dropping-particle":"","parse-names":false,"suffix":""},{"dropping-particle":"","family":"Case","given":"Trevor I.","non-dropping-particle":"","parse-names":false,"suffix":""}],"container-title":"Psychology &amp; Health","id":"ITEM-1","issue":"4","issued":{"date-parts":[["2012"]]},"page":"491-506","title":"Disease-avoidant behaviour and its consequences","type":"article-journal","volume":"27"},"uris":["http://www.mendeley.com/documents/?uuid=62fc8155-4316-4ab2-b8fc-c0adf53c0e53"]}],"mendeley":{"formattedCitation":"(Kouznetsova et al., 2012)","manualFormatting":"Kouznetsova, Stevenson, Oaten and Case (2012)","plainTextFormattedCitation":"(Kouznetsova et al., 2012)","previouslyFormattedCitation":"(Kouznetsova et al., 2012)"},"properties":{"noteIndex":0},"schema":"https://github.com/citation-style-language/schema/raw/master/csl-citation.json"}</w:instrText>
      </w:r>
      <w:r w:rsidRPr="000215FF">
        <w:rPr>
          <w:rFonts w:eastAsia="Cambria"/>
          <w:bCs/>
          <w:iCs/>
          <w:color w:val="auto"/>
          <w:lang w:eastAsia="en-US"/>
        </w:rPr>
        <w:fldChar w:fldCharType="separate"/>
      </w:r>
      <w:r w:rsidRPr="000215FF">
        <w:rPr>
          <w:rFonts w:eastAsia="Cambria"/>
          <w:bCs/>
          <w:iCs/>
          <w:noProof/>
          <w:color w:val="auto"/>
          <w:lang w:eastAsia="en-US"/>
        </w:rPr>
        <w:t>Kouznetsova, Stevenson, Oaten</w:t>
      </w:r>
      <w:r w:rsidR="00B32D9C">
        <w:rPr>
          <w:rFonts w:eastAsia="Cambria"/>
          <w:bCs/>
          <w:iCs/>
          <w:noProof/>
          <w:color w:val="auto"/>
          <w:lang w:eastAsia="en-US"/>
        </w:rPr>
        <w:t>,</w:t>
      </w:r>
      <w:r w:rsidRPr="000215FF">
        <w:rPr>
          <w:rFonts w:eastAsia="Cambria"/>
          <w:bCs/>
          <w:iCs/>
          <w:noProof/>
          <w:color w:val="auto"/>
          <w:lang w:eastAsia="en-US"/>
        </w:rPr>
        <w:t xml:space="preserve"> and Case (2012)</w:t>
      </w:r>
      <w:r w:rsidRPr="000215FF">
        <w:rPr>
          <w:rFonts w:eastAsia="Cambria"/>
          <w:bCs/>
          <w:iCs/>
          <w:color w:val="auto"/>
          <w:lang w:eastAsia="en-US"/>
        </w:rPr>
        <w:fldChar w:fldCharType="end"/>
      </w:r>
      <w:r w:rsidRPr="000215FF">
        <w:rPr>
          <w:rFonts w:eastAsia="Cambria"/>
          <w:bCs/>
          <w:iCs/>
          <w:color w:val="auto"/>
          <w:lang w:eastAsia="en-US"/>
        </w:rPr>
        <w:t>. This scale was also utilised as an outcome variable on Study 2. The measure included three levels of contact; participants were asked to rate on a 7-point Likert scale (1= definitely would not/7=Definitely would) whether they would sit on a chair where someone with FD has been sat (1), sit next to someone with FD (2) and greet someone with FD (e.g.</w:t>
      </w:r>
      <w:r w:rsidR="008471FC">
        <w:rPr>
          <w:rFonts w:eastAsia="Cambria"/>
          <w:bCs/>
          <w:iCs/>
          <w:color w:val="auto"/>
          <w:lang w:eastAsia="en-US"/>
        </w:rPr>
        <w:t xml:space="preserve">, </w:t>
      </w:r>
      <w:r w:rsidRPr="000215FF">
        <w:rPr>
          <w:rFonts w:eastAsia="Cambria"/>
          <w:bCs/>
          <w:iCs/>
          <w:color w:val="auto"/>
          <w:lang w:eastAsia="en-US"/>
        </w:rPr>
        <w:t xml:space="preserve">with a kiss on the cheek and a hug) (3).  For this study, </w:t>
      </w:r>
      <w:r w:rsidR="00B32D9C">
        <w:rPr>
          <w:rFonts w:eastAsia="Cambria"/>
          <w:bCs/>
          <w:iCs/>
          <w:color w:val="auto"/>
          <w:lang w:eastAsia="en-US"/>
        </w:rPr>
        <w:t xml:space="preserve">the </w:t>
      </w:r>
      <w:r w:rsidRPr="000215FF">
        <w:rPr>
          <w:rFonts w:eastAsia="Cambria"/>
          <w:bCs/>
          <w:iCs/>
          <w:color w:val="auto"/>
          <w:lang w:eastAsia="en-US"/>
        </w:rPr>
        <w:t>internal consistency of this measure was acceptable (</w:t>
      </w:r>
      <w:r w:rsidRPr="000215FF">
        <w:rPr>
          <w:rFonts w:eastAsia="Cambria"/>
          <w:bCs/>
          <w:color w:val="auto"/>
          <w:lang w:eastAsia="en-US"/>
        </w:rPr>
        <w:t xml:space="preserve">α </w:t>
      </w:r>
      <w:r w:rsidRPr="000215FF">
        <w:rPr>
          <w:rFonts w:eastAsia="Cambria"/>
          <w:color w:val="auto"/>
          <w:lang w:eastAsia="en-US"/>
        </w:rPr>
        <w:t xml:space="preserve">= .75). </w:t>
      </w:r>
    </w:p>
    <w:p w14:paraId="2447BCB3" w14:textId="77777777" w:rsidR="00A427E8" w:rsidRPr="000215FF" w:rsidRDefault="00A427E8" w:rsidP="006D318E">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r w:rsidRPr="000215FF">
        <w:rPr>
          <w:rFonts w:eastAsia="Cambria"/>
          <w:bCs/>
          <w:i/>
          <w:iCs/>
          <w:color w:val="auto"/>
          <w:lang w:eastAsia="en-US"/>
        </w:rPr>
        <w:t>Personality rating scales</w:t>
      </w:r>
      <w:r w:rsidRPr="000215FF">
        <w:rPr>
          <w:rFonts w:eastAsia="Cambria"/>
          <w:b/>
          <w:color w:val="auto"/>
          <w:lang w:eastAsia="en-US"/>
        </w:rPr>
        <w:t xml:space="preserve">. </w:t>
      </w:r>
      <w:r w:rsidRPr="000215FF">
        <w:rPr>
          <w:rFonts w:eastAsia="Cambria"/>
          <w:color w:val="auto"/>
          <w:lang w:eastAsia="en-US"/>
        </w:rPr>
        <w:t>A measure of personality trait ratings was used at post-test. The scale had been utilised in the study of perceptions of FD, originally by</w:t>
      </w:r>
      <w:r w:rsidRPr="000215FF">
        <w:rPr>
          <w:rFonts w:eastAsia="Cambria"/>
          <w:noProof/>
          <w:color w:val="FFFFFF"/>
          <w:lang w:eastAsia="en-US"/>
        </w:rPr>
        <w:t>(</w:t>
      </w:r>
      <w:r w:rsidRPr="000215FF">
        <w:rPr>
          <w:rFonts w:eastAsia="Cambria"/>
          <w:noProof/>
          <w:color w:val="auto"/>
          <w:lang w:eastAsia="en-US"/>
        </w:rPr>
        <w:t>Stevenage and McKay (1999)</w:t>
      </w:r>
      <w:r w:rsidRPr="000215FF">
        <w:rPr>
          <w:rFonts w:eastAsia="Cambria"/>
          <w:color w:val="auto"/>
          <w:lang w:eastAsia="en-US"/>
        </w:rPr>
        <w:t xml:space="preserve"> and later on by</w:t>
      </w:r>
      <w:r w:rsidRPr="000215FF">
        <w:rPr>
          <w:rFonts w:eastAsia="Cambria"/>
          <w:noProof/>
          <w:color w:val="FFFFFF"/>
          <w:lang w:eastAsia="en-US"/>
        </w:rPr>
        <w:t>(</w:t>
      </w:r>
      <w:r w:rsidRPr="000215FF">
        <w:rPr>
          <w:rFonts w:eastAsia="Cambria"/>
          <w:noProof/>
          <w:color w:val="auto"/>
          <w:lang w:eastAsia="en-US"/>
        </w:rPr>
        <w:t>Stone and Wright (2012)</w:t>
      </w:r>
      <w:r w:rsidRPr="000215FF">
        <w:rPr>
          <w:rFonts w:eastAsia="Cambria"/>
          <w:color w:val="auto"/>
          <w:lang w:eastAsia="en-US"/>
        </w:rPr>
        <w:t>, whom adapted the scale to cover four specific areas: work-related competence (7 items), social potency (5 items), emotional strength (3 items), warmth (2 items) and attractiveness (1 item). Participants were instructed to rate one of two randomly allocated photograph (FD/Non-FD) and associated CV in a 6-point Likert scale ranging from ‘strongly disagree’ to ‘strongly agree. Reliability analysis showed good internal consistency for this instrument (</w:t>
      </w:r>
      <w:r w:rsidRPr="000215FF">
        <w:rPr>
          <w:rFonts w:eastAsia="Cambria"/>
          <w:bCs/>
          <w:color w:val="auto"/>
          <w:lang w:eastAsia="en-US"/>
        </w:rPr>
        <w:t xml:space="preserve">α </w:t>
      </w:r>
      <w:r w:rsidRPr="000215FF">
        <w:rPr>
          <w:rFonts w:eastAsia="Cambria"/>
          <w:color w:val="auto"/>
          <w:lang w:eastAsia="en-US"/>
        </w:rPr>
        <w:t>= .88).</w:t>
      </w:r>
      <w:r w:rsidR="000251FB">
        <w:rPr>
          <w:rFonts w:eastAsia="Cambria"/>
          <w:color w:val="auto"/>
          <w:lang w:eastAsia="en-US"/>
        </w:rPr>
        <w:t xml:space="preserve"> See appendix 5G.</w:t>
      </w:r>
    </w:p>
    <w:p w14:paraId="6F1EDC77" w14:textId="77777777" w:rsidR="00A427E8" w:rsidRPr="000215FF" w:rsidRDefault="00A427E8" w:rsidP="006D318E">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r w:rsidRPr="000215FF">
        <w:rPr>
          <w:rFonts w:eastAsia="Cambria"/>
          <w:bCs/>
          <w:i/>
          <w:iCs/>
          <w:color w:val="auto"/>
          <w:lang w:eastAsia="en-US"/>
        </w:rPr>
        <w:t>Memory recall</w:t>
      </w:r>
      <w:r w:rsidRPr="000215FF">
        <w:rPr>
          <w:rFonts w:eastAsia="Cambria"/>
          <w:b/>
          <w:color w:val="auto"/>
          <w:lang w:eastAsia="en-US"/>
        </w:rPr>
        <w:t xml:space="preserve">. </w:t>
      </w:r>
      <w:r w:rsidRPr="000215FF">
        <w:rPr>
          <w:rFonts w:eastAsia="Cambria"/>
          <w:color w:val="auto"/>
          <w:lang w:eastAsia="en-US"/>
        </w:rPr>
        <w:t xml:space="preserve">Five multiple-choice questions were designed to assess </w:t>
      </w:r>
      <w:r w:rsidR="00B32D9C">
        <w:rPr>
          <w:rFonts w:eastAsia="Cambria"/>
          <w:color w:val="auto"/>
          <w:lang w:eastAsia="en-US"/>
        </w:rPr>
        <w:t xml:space="preserve">the </w:t>
      </w:r>
      <w:r w:rsidRPr="000215FF">
        <w:rPr>
          <w:rFonts w:eastAsia="Cambria"/>
          <w:color w:val="auto"/>
          <w:lang w:eastAsia="en-US"/>
        </w:rPr>
        <w:t xml:space="preserve">participant’s memory recall of information provided in the mock CV. Questions included the name of the candidate (1 item), employment history (1 item) and qualifications (3 questions). </w:t>
      </w:r>
      <w:r w:rsidR="000251FB">
        <w:rPr>
          <w:rFonts w:eastAsia="Cambria"/>
          <w:color w:val="auto"/>
          <w:lang w:eastAsia="en-US"/>
        </w:rPr>
        <w:t>See appendix 5H.</w:t>
      </w:r>
    </w:p>
    <w:p w14:paraId="0DFCBF57" w14:textId="77777777" w:rsidR="00A427E8" w:rsidRPr="00D40C27" w:rsidRDefault="00A427E8" w:rsidP="006D318E">
      <w:pPr>
        <w:pStyle w:val="Heading3"/>
        <w:rPr>
          <w:lang w:eastAsia="en-US"/>
        </w:rPr>
      </w:pPr>
      <w:bookmarkStart w:id="117" w:name="_Toc12024675"/>
      <w:r w:rsidRPr="00D40C27">
        <w:rPr>
          <w:lang w:eastAsia="en-US"/>
        </w:rPr>
        <w:t>Sample size</w:t>
      </w:r>
      <w:bookmarkEnd w:id="117"/>
    </w:p>
    <w:p w14:paraId="344514B1" w14:textId="4B95AEAA" w:rsidR="00A427E8" w:rsidRPr="00D40C27" w:rsidRDefault="00A427E8" w:rsidP="006D318E">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r w:rsidRPr="00D40C27">
        <w:rPr>
          <w:rFonts w:eastAsia="Times New Roman"/>
          <w:color w:val="auto"/>
        </w:rPr>
        <w:t xml:space="preserve">According to Connelly (2008), an appropriate sample size for a pilot study comprises at least 10% of the required sample size for a larger full-size study. However, guidelines are not consistent in the literature, for example; Isaac and Michael (1995) suggest as a rule of thumb to include from 10 to 30 participants for a pilot study. For the purpose of this study, power analysis for a 2x2 ANCOVA (experimental and control condition/FD mock profile/Control mock profile) was conducted using the software G*Power </w:t>
      </w:r>
      <w:r w:rsidR="005A1065" w:rsidRPr="00D40C27">
        <w:rPr>
          <w:rFonts w:eastAsia="Times New Roman"/>
          <w:color w:val="auto"/>
        </w:rPr>
        <w:t>3.1</w:t>
      </w:r>
      <w:r w:rsidR="005A1065" w:rsidRPr="00D40C27">
        <w:rPr>
          <w:rFonts w:ascii="Times New Roman" w:eastAsia="Times New Roman" w:hAnsi="Times New Roman" w:cs="Times New Roman"/>
          <w:color w:val="auto"/>
          <w:sz w:val="24"/>
          <w:szCs w:val="24"/>
        </w:rPr>
        <w:t xml:space="preserve"> </w:t>
      </w:r>
      <w:r w:rsidR="005A1065" w:rsidRPr="00D40C27">
        <w:rPr>
          <w:rFonts w:eastAsia="Times New Roman"/>
          <w:color w:val="auto"/>
        </w:rPr>
        <w:t>(</w:t>
      </w:r>
      <w:r w:rsidRPr="00D40C27">
        <w:rPr>
          <w:rFonts w:eastAsia="Times New Roman"/>
          <w:noProof/>
          <w:color w:val="auto"/>
        </w:rPr>
        <w:t>Faul, Erdfelder, Buchner, &amp; Lang, 2009)</w:t>
      </w:r>
      <w:r w:rsidRPr="00D40C27">
        <w:rPr>
          <w:rFonts w:eastAsia="Times New Roman"/>
          <w:color w:val="auto"/>
        </w:rPr>
        <w:t xml:space="preserve">. The analysis used an alpha of 0.05, a power of 0.80, and a medium effect size (f = 0.25) based on previous studies testing education strategies to reduce stigma towards FD </w:t>
      </w:r>
      <w:r w:rsidRPr="00D40C27">
        <w:rPr>
          <w:rFonts w:eastAsia="Times New Roman"/>
          <w:noProof/>
          <w:color w:val="auto"/>
        </w:rPr>
        <w:t>(Bogart &amp; Tickle-Degnen, 2015)</w:t>
      </w:r>
      <w:r w:rsidRPr="00D40C27">
        <w:rPr>
          <w:rFonts w:eastAsia="Times New Roman"/>
          <w:color w:val="auto"/>
        </w:rPr>
        <w:t xml:space="preserve">. </w:t>
      </w:r>
      <w:r w:rsidRPr="00D40C27">
        <w:rPr>
          <w:rFonts w:eastAsia="Times New Roman"/>
          <w:color w:val="auto"/>
        </w:rPr>
        <w:lastRenderedPageBreak/>
        <w:t>Results indicated that the desired sample size for a parent study of these characteristics would be 179; thus, a pilot study would require 17 participants per condition, adding up to at least a total sample of 68 respondents required to grant the study sufficient power.</w:t>
      </w:r>
    </w:p>
    <w:p w14:paraId="5937AAF5" w14:textId="77777777" w:rsidR="00A427E8" w:rsidRPr="00D40C27" w:rsidRDefault="00A427E8" w:rsidP="007A3FE4">
      <w:pPr>
        <w:pStyle w:val="Heading2"/>
      </w:pPr>
      <w:bookmarkStart w:id="118" w:name="_Toc12024676"/>
      <w:r w:rsidRPr="00D40C27">
        <w:t>Results</w:t>
      </w:r>
      <w:bookmarkEnd w:id="118"/>
    </w:p>
    <w:p w14:paraId="47A65EFB" w14:textId="77777777" w:rsidR="00A427E8" w:rsidRPr="00D40C27" w:rsidRDefault="00A427E8" w:rsidP="009E095F">
      <w:pPr>
        <w:pStyle w:val="Heading3"/>
      </w:pPr>
      <w:bookmarkStart w:id="119" w:name="_Toc12024677"/>
      <w:r w:rsidRPr="00D40C27">
        <w:t>Demographics</w:t>
      </w:r>
      <w:bookmarkEnd w:id="119"/>
    </w:p>
    <w:p w14:paraId="5496A530" w14:textId="7C84AA47" w:rsidR="00A427E8" w:rsidRPr="00D40C27" w:rsidRDefault="00A427E8" w:rsidP="00A427E8">
      <w:pPr>
        <w:pBdr>
          <w:top w:val="none" w:sz="0" w:space="0" w:color="auto"/>
          <w:left w:val="none" w:sz="0" w:space="0" w:color="auto"/>
          <w:bottom w:val="none" w:sz="0" w:space="0" w:color="auto"/>
          <w:right w:val="none" w:sz="0" w:space="0" w:color="auto"/>
          <w:between w:val="none" w:sz="0" w:space="0" w:color="auto"/>
        </w:pBdr>
        <w:spacing w:before="100" w:beforeAutospacing="1"/>
        <w:rPr>
          <w:rFonts w:eastAsia="Times New Roman"/>
          <w:color w:val="auto"/>
        </w:rPr>
      </w:pPr>
      <w:r w:rsidRPr="00D40C27">
        <w:rPr>
          <w:rFonts w:eastAsia="Times New Roman"/>
          <w:color w:val="auto"/>
        </w:rPr>
        <w:t xml:space="preserve">Demographic differences between participants recruited via email invitation and </w:t>
      </w:r>
      <w:r w:rsidRPr="00D40C27">
        <w:rPr>
          <w:rFonts w:eastAsia="Times New Roman"/>
          <w:i/>
          <w:iCs/>
          <w:color w:val="auto"/>
        </w:rPr>
        <w:t xml:space="preserve">Prolific </w:t>
      </w:r>
      <w:r w:rsidRPr="00D40C27">
        <w:rPr>
          <w:rFonts w:eastAsia="Times New Roman"/>
          <w:color w:val="auto"/>
        </w:rPr>
        <w:t>were assessed using Chi</w:t>
      </w:r>
      <w:r w:rsidRPr="00D40C27">
        <w:rPr>
          <w:rFonts w:eastAsia="Times New Roman"/>
          <w:color w:val="auto"/>
          <w:vertAlign w:val="superscript"/>
        </w:rPr>
        <w:t>2</w:t>
      </w:r>
      <w:r w:rsidRPr="00D40C27">
        <w:rPr>
          <w:rFonts w:eastAsia="Times New Roman"/>
          <w:color w:val="auto"/>
        </w:rPr>
        <w:t xml:space="preserve">-test and independent samples </w:t>
      </w:r>
      <w:r w:rsidRPr="00D40C27">
        <w:rPr>
          <w:rFonts w:eastAsia="Times New Roman"/>
          <w:i/>
          <w:iCs/>
          <w:color w:val="auto"/>
        </w:rPr>
        <w:t>t</w:t>
      </w:r>
      <w:r w:rsidRPr="00D40C27">
        <w:rPr>
          <w:rFonts w:eastAsia="Times New Roman"/>
          <w:color w:val="auto"/>
        </w:rPr>
        <w:t>-test for categorical and continuous variables, respectively. There were no baseline differences between groups in terms of gender, ethnicity (White/Non-White)</w:t>
      </w:r>
      <w:r w:rsidR="005A1065">
        <w:rPr>
          <w:rFonts w:eastAsia="Times New Roman"/>
          <w:color w:val="auto"/>
        </w:rPr>
        <w:t>,</w:t>
      </w:r>
      <w:r w:rsidRPr="00D40C27">
        <w:rPr>
          <w:rFonts w:eastAsia="Times New Roman"/>
          <w:color w:val="auto"/>
        </w:rPr>
        <w:t xml:space="preserve"> or whether they identified FD as a disability. However, participants who completed the experiment via </w:t>
      </w:r>
      <w:r w:rsidRPr="00D40C27">
        <w:rPr>
          <w:rFonts w:eastAsia="Times New Roman"/>
          <w:i/>
          <w:iCs/>
          <w:color w:val="auto"/>
        </w:rPr>
        <w:t>Prolific</w:t>
      </w:r>
      <w:r w:rsidRPr="00D40C27">
        <w:rPr>
          <w:rFonts w:eastAsia="Times New Roman"/>
          <w:color w:val="auto"/>
        </w:rPr>
        <w:t xml:space="preserve"> were significantly older (</w:t>
      </w:r>
      <w:r w:rsidRPr="00D40C27">
        <w:rPr>
          <w:rFonts w:eastAsia="Times New Roman"/>
          <w:i/>
          <w:color w:val="auto"/>
        </w:rPr>
        <w:t xml:space="preserve">M = </w:t>
      </w:r>
      <w:r w:rsidRPr="00D40C27">
        <w:rPr>
          <w:rFonts w:eastAsia="Times New Roman"/>
          <w:color w:val="auto"/>
        </w:rPr>
        <w:t>39.54</w:t>
      </w:r>
      <w:r w:rsidRPr="00D40C27">
        <w:rPr>
          <w:rFonts w:eastAsia="Times New Roman"/>
          <w:i/>
          <w:color w:val="auto"/>
        </w:rPr>
        <w:t xml:space="preserve">, SD = </w:t>
      </w:r>
      <w:r w:rsidRPr="00D40C27">
        <w:rPr>
          <w:rFonts w:eastAsia="Times New Roman"/>
          <w:color w:val="auto"/>
        </w:rPr>
        <w:t>12.87) than respondents invited via e-mail (</w:t>
      </w:r>
      <w:r w:rsidRPr="00D40C27">
        <w:rPr>
          <w:rFonts w:eastAsia="Times New Roman"/>
          <w:i/>
          <w:color w:val="auto"/>
        </w:rPr>
        <w:t>M</w:t>
      </w:r>
      <w:r w:rsidRPr="00D40C27">
        <w:rPr>
          <w:rFonts w:eastAsia="Times New Roman"/>
          <w:color w:val="auto"/>
        </w:rPr>
        <w:t xml:space="preserve"> = 31.20, </w:t>
      </w:r>
      <w:r w:rsidRPr="00D40C27">
        <w:rPr>
          <w:rFonts w:eastAsia="Times New Roman"/>
          <w:i/>
          <w:color w:val="auto"/>
        </w:rPr>
        <w:t>SD</w:t>
      </w:r>
      <w:r w:rsidRPr="00D40C27">
        <w:rPr>
          <w:rFonts w:eastAsia="Times New Roman"/>
          <w:color w:val="auto"/>
        </w:rPr>
        <w:t xml:space="preserve"> = 9.66), </w:t>
      </w:r>
      <w:r w:rsidRPr="00D40C27">
        <w:rPr>
          <w:rFonts w:eastAsia="Times New Roman"/>
          <w:i/>
          <w:color w:val="auto"/>
        </w:rPr>
        <w:t>t</w:t>
      </w:r>
      <w:r w:rsidRPr="00D40C27">
        <w:rPr>
          <w:rFonts w:eastAsia="Times New Roman"/>
          <w:color w:val="auto"/>
        </w:rPr>
        <w:t xml:space="preserve">(76) = 3.04, </w:t>
      </w:r>
      <w:r w:rsidRPr="00D40C27">
        <w:rPr>
          <w:rFonts w:eastAsia="Times New Roman"/>
          <w:i/>
          <w:color w:val="auto"/>
        </w:rPr>
        <w:t xml:space="preserve">p </w:t>
      </w:r>
      <w:r w:rsidRPr="00D40C27">
        <w:rPr>
          <w:rFonts w:eastAsia="Times New Roman"/>
          <w:color w:val="auto"/>
        </w:rPr>
        <w:t xml:space="preserve">= 0.003. </w:t>
      </w:r>
    </w:p>
    <w:p w14:paraId="324C12C2" w14:textId="77777777" w:rsidR="00A427E8" w:rsidRPr="00D40C27" w:rsidRDefault="00A427E8" w:rsidP="00A427E8">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r w:rsidRPr="00D40C27">
        <w:rPr>
          <w:rFonts w:eastAsia="Times New Roman"/>
          <w:color w:val="auto"/>
        </w:rPr>
        <w:t>A total of 78 recruitment staff took part in the study. The sample was composed of 44 (56.4%) females and 34 (43.6%) males, with a mean age of 36.33 (SD = 12.3). Participants were mostly of white ethnicity (n = 73). Fifty-eight participants (74%) identified FD as a protected form of disability, but only ten (12.8%) respondents reported ever encountering a person with FD in a recruitment process. Results from a Chi</w:t>
      </w:r>
      <w:r w:rsidRPr="00D40C27">
        <w:rPr>
          <w:rFonts w:eastAsia="Times New Roman"/>
          <w:color w:val="auto"/>
          <w:vertAlign w:val="superscript"/>
        </w:rPr>
        <w:t>2</w:t>
      </w:r>
      <w:r w:rsidRPr="00D40C27">
        <w:rPr>
          <w:rFonts w:eastAsia="Times New Roman"/>
          <w:color w:val="auto"/>
        </w:rPr>
        <w:t>-test and a t-test showed no significant differences in terms of gender, ethnicity or age between participants allocated to either control or experimental conditions. See</w:t>
      </w:r>
      <w:r w:rsidR="00030B4C">
        <w:rPr>
          <w:rFonts w:eastAsia="Times New Roman"/>
          <w:color w:val="auto"/>
        </w:rPr>
        <w:t xml:space="preserve"> </w:t>
      </w:r>
      <w:r w:rsidRPr="00D40C27">
        <w:rPr>
          <w:rFonts w:eastAsia="Times New Roman"/>
          <w:color w:val="auto"/>
        </w:rPr>
        <w:t xml:space="preserve">Table </w:t>
      </w:r>
      <w:r w:rsidR="005404CD">
        <w:rPr>
          <w:rFonts w:eastAsia="Times New Roman"/>
          <w:color w:val="auto"/>
        </w:rPr>
        <w:t>5.</w:t>
      </w:r>
      <w:r w:rsidRPr="00D40C27">
        <w:rPr>
          <w:rFonts w:eastAsia="Times New Roman"/>
          <w:color w:val="auto"/>
        </w:rPr>
        <w:t>1 for demographic details.</w:t>
      </w:r>
    </w:p>
    <w:p w14:paraId="2B785AAB" w14:textId="77777777" w:rsidR="00A427E8" w:rsidRDefault="00A427E8" w:rsidP="00A427E8">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p>
    <w:p w14:paraId="433B22D2" w14:textId="77777777" w:rsidR="00030B4C" w:rsidRDefault="00030B4C" w:rsidP="00A427E8">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p>
    <w:p w14:paraId="4EB39DD1" w14:textId="77777777" w:rsidR="00030B4C" w:rsidRDefault="00030B4C" w:rsidP="00A427E8">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p>
    <w:p w14:paraId="5BBA385C" w14:textId="77777777" w:rsidR="00030B4C" w:rsidRDefault="00030B4C" w:rsidP="00A427E8">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p>
    <w:p w14:paraId="12110EAC" w14:textId="7751F748" w:rsidR="00030B4C" w:rsidRDefault="00030B4C" w:rsidP="00A427E8">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p>
    <w:p w14:paraId="1E88867C" w14:textId="3DB30A25" w:rsidR="005A1065" w:rsidRDefault="005A1065" w:rsidP="00A427E8">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p>
    <w:p w14:paraId="18991512" w14:textId="77777777" w:rsidR="005A1065" w:rsidRDefault="005A1065" w:rsidP="00A427E8">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p>
    <w:p w14:paraId="336C8984" w14:textId="77777777" w:rsidR="00030B4C" w:rsidRPr="00D40C27" w:rsidRDefault="00030B4C" w:rsidP="00A427E8">
      <w:pPr>
        <w:pBdr>
          <w:top w:val="none" w:sz="0" w:space="0" w:color="auto"/>
          <w:left w:val="none" w:sz="0" w:space="0" w:color="auto"/>
          <w:bottom w:val="none" w:sz="0" w:space="0" w:color="auto"/>
          <w:right w:val="none" w:sz="0" w:space="0" w:color="auto"/>
          <w:between w:val="none" w:sz="0" w:space="0" w:color="auto"/>
        </w:pBdr>
        <w:spacing w:before="100" w:beforeAutospacing="1"/>
        <w:ind w:firstLine="0"/>
        <w:rPr>
          <w:rFonts w:eastAsia="Times New Roman"/>
          <w:color w:val="auto"/>
        </w:rPr>
      </w:pPr>
    </w:p>
    <w:p w14:paraId="65E46D29" w14:textId="77777777" w:rsidR="00A427E8" w:rsidRPr="00D40C27" w:rsidRDefault="00A427E8" w:rsidP="009E095F">
      <w:pPr>
        <w:pStyle w:val="Tables"/>
        <w:rPr>
          <w:color w:val="auto"/>
        </w:rPr>
      </w:pPr>
      <w:bookmarkStart w:id="120" w:name="_Toc12024838"/>
      <w:r w:rsidRPr="00D40C27">
        <w:lastRenderedPageBreak/>
        <w:t xml:space="preserve">Table </w:t>
      </w:r>
      <w:r w:rsidR="009E095F">
        <w:t>5.</w:t>
      </w:r>
      <w:r w:rsidRPr="00D40C27">
        <w:t>1. Demographic information (N = 78)</w:t>
      </w:r>
      <w:bookmarkEnd w:id="120"/>
    </w:p>
    <w:tbl>
      <w:tblPr>
        <w:tblW w:w="6882" w:type="dxa"/>
        <w:tblLook w:val="04A0" w:firstRow="1" w:lastRow="0" w:firstColumn="1" w:lastColumn="0" w:noHBand="0" w:noVBand="1"/>
      </w:tblPr>
      <w:tblGrid>
        <w:gridCol w:w="1145"/>
        <w:gridCol w:w="1588"/>
        <w:gridCol w:w="1588"/>
        <w:gridCol w:w="1916"/>
        <w:gridCol w:w="645"/>
      </w:tblGrid>
      <w:tr w:rsidR="00A427E8" w:rsidRPr="00D40C27" w14:paraId="2F6F69CB" w14:textId="77777777" w:rsidTr="00014EE0">
        <w:trPr>
          <w:trHeight w:val="300"/>
        </w:trPr>
        <w:tc>
          <w:tcPr>
            <w:tcW w:w="4321" w:type="dxa"/>
            <w:gridSpan w:val="3"/>
            <w:tcBorders>
              <w:top w:val="single" w:sz="8" w:space="0" w:color="auto"/>
              <w:left w:val="nil"/>
              <w:bottom w:val="single" w:sz="8" w:space="0" w:color="auto"/>
              <w:right w:val="nil"/>
            </w:tcBorders>
            <w:shd w:val="clear" w:color="auto" w:fill="auto"/>
            <w:vAlign w:val="center"/>
            <w:hideMark/>
          </w:tcPr>
          <w:p w14:paraId="073CA06E"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 </w:t>
            </w:r>
          </w:p>
        </w:tc>
        <w:tc>
          <w:tcPr>
            <w:tcW w:w="1916" w:type="dxa"/>
            <w:tcBorders>
              <w:top w:val="single" w:sz="8" w:space="0" w:color="auto"/>
              <w:left w:val="nil"/>
              <w:bottom w:val="single" w:sz="8" w:space="0" w:color="auto"/>
              <w:right w:val="nil"/>
            </w:tcBorders>
            <w:shd w:val="clear" w:color="auto" w:fill="auto"/>
            <w:vAlign w:val="center"/>
            <w:hideMark/>
          </w:tcPr>
          <w:p w14:paraId="3BE349F8"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rPr>
            </w:pPr>
            <w:r w:rsidRPr="00D40C27">
              <w:rPr>
                <w:rFonts w:eastAsia="Times New Roman"/>
                <w:b/>
                <w:bCs/>
              </w:rPr>
              <w:t>N</w:t>
            </w:r>
          </w:p>
        </w:tc>
        <w:tc>
          <w:tcPr>
            <w:tcW w:w="645" w:type="dxa"/>
            <w:tcBorders>
              <w:top w:val="single" w:sz="8" w:space="0" w:color="auto"/>
              <w:left w:val="nil"/>
              <w:bottom w:val="single" w:sz="8" w:space="0" w:color="auto"/>
              <w:right w:val="nil"/>
            </w:tcBorders>
            <w:shd w:val="clear" w:color="auto" w:fill="auto"/>
            <w:vAlign w:val="center"/>
            <w:hideMark/>
          </w:tcPr>
          <w:p w14:paraId="199976CE"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b/>
                <w:bCs/>
              </w:rPr>
            </w:pPr>
            <w:r w:rsidRPr="00D40C27">
              <w:rPr>
                <w:rFonts w:eastAsia="Times New Roman"/>
                <w:b/>
                <w:bCs/>
              </w:rPr>
              <w:t xml:space="preserve"> %</w:t>
            </w:r>
          </w:p>
        </w:tc>
      </w:tr>
      <w:tr w:rsidR="00A427E8" w:rsidRPr="00D40C27" w14:paraId="29A0F235" w14:textId="77777777" w:rsidTr="00014EE0">
        <w:trPr>
          <w:trHeight w:val="290"/>
        </w:trPr>
        <w:tc>
          <w:tcPr>
            <w:tcW w:w="1145" w:type="dxa"/>
            <w:tcBorders>
              <w:top w:val="nil"/>
              <w:left w:val="nil"/>
              <w:bottom w:val="nil"/>
              <w:right w:val="nil"/>
            </w:tcBorders>
            <w:shd w:val="clear" w:color="auto" w:fill="auto"/>
            <w:vAlign w:val="center"/>
            <w:hideMark/>
          </w:tcPr>
          <w:p w14:paraId="603A69FC"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r w:rsidRPr="00D40C27">
              <w:rPr>
                <w:rFonts w:eastAsia="Times New Roman"/>
                <w:b/>
                <w:bCs/>
              </w:rPr>
              <w:t>Gender</w:t>
            </w:r>
          </w:p>
        </w:tc>
        <w:tc>
          <w:tcPr>
            <w:tcW w:w="1588" w:type="dxa"/>
            <w:tcBorders>
              <w:top w:val="nil"/>
              <w:left w:val="nil"/>
              <w:bottom w:val="nil"/>
              <w:right w:val="nil"/>
            </w:tcBorders>
            <w:shd w:val="clear" w:color="auto" w:fill="auto"/>
            <w:vAlign w:val="center"/>
            <w:hideMark/>
          </w:tcPr>
          <w:p w14:paraId="3C00CF33"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p>
        </w:tc>
        <w:tc>
          <w:tcPr>
            <w:tcW w:w="3504" w:type="dxa"/>
            <w:gridSpan w:val="2"/>
            <w:tcBorders>
              <w:top w:val="single" w:sz="8" w:space="0" w:color="auto"/>
              <w:left w:val="nil"/>
              <w:bottom w:val="nil"/>
              <w:right w:val="nil"/>
            </w:tcBorders>
            <w:shd w:val="clear" w:color="auto" w:fill="auto"/>
            <w:vAlign w:val="bottom"/>
            <w:hideMark/>
          </w:tcPr>
          <w:p w14:paraId="0619AB87"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 </w:t>
            </w:r>
          </w:p>
        </w:tc>
        <w:tc>
          <w:tcPr>
            <w:tcW w:w="645" w:type="dxa"/>
            <w:tcBorders>
              <w:top w:val="nil"/>
              <w:left w:val="nil"/>
              <w:bottom w:val="nil"/>
              <w:right w:val="nil"/>
            </w:tcBorders>
            <w:shd w:val="clear" w:color="auto" w:fill="auto"/>
            <w:vAlign w:val="bottom"/>
            <w:hideMark/>
          </w:tcPr>
          <w:p w14:paraId="21D5FEE9"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r>
      <w:tr w:rsidR="00A427E8" w:rsidRPr="00D40C27" w14:paraId="26010C1E" w14:textId="77777777" w:rsidTr="00014EE0">
        <w:trPr>
          <w:trHeight w:val="290"/>
        </w:trPr>
        <w:tc>
          <w:tcPr>
            <w:tcW w:w="1145" w:type="dxa"/>
            <w:tcBorders>
              <w:top w:val="nil"/>
              <w:left w:val="nil"/>
              <w:bottom w:val="nil"/>
              <w:right w:val="nil"/>
            </w:tcBorders>
            <w:shd w:val="clear" w:color="auto" w:fill="auto"/>
            <w:hideMark/>
          </w:tcPr>
          <w:p w14:paraId="1E78B29F"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3176" w:type="dxa"/>
            <w:gridSpan w:val="2"/>
            <w:tcBorders>
              <w:top w:val="nil"/>
              <w:left w:val="nil"/>
              <w:bottom w:val="nil"/>
              <w:right w:val="nil"/>
            </w:tcBorders>
            <w:shd w:val="clear" w:color="auto" w:fill="auto"/>
            <w:vAlign w:val="center"/>
            <w:hideMark/>
          </w:tcPr>
          <w:p w14:paraId="17694FA9"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Female</w:t>
            </w:r>
          </w:p>
        </w:tc>
        <w:tc>
          <w:tcPr>
            <w:tcW w:w="1916" w:type="dxa"/>
            <w:tcBorders>
              <w:top w:val="nil"/>
              <w:left w:val="nil"/>
              <w:bottom w:val="nil"/>
              <w:right w:val="nil"/>
            </w:tcBorders>
            <w:shd w:val="clear" w:color="auto" w:fill="auto"/>
            <w:noWrap/>
            <w:vAlign w:val="center"/>
            <w:hideMark/>
          </w:tcPr>
          <w:p w14:paraId="3E21CE53"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44</w:t>
            </w:r>
          </w:p>
        </w:tc>
        <w:tc>
          <w:tcPr>
            <w:tcW w:w="645" w:type="dxa"/>
            <w:tcBorders>
              <w:top w:val="nil"/>
              <w:left w:val="nil"/>
              <w:bottom w:val="nil"/>
              <w:right w:val="nil"/>
            </w:tcBorders>
            <w:shd w:val="clear" w:color="auto" w:fill="auto"/>
            <w:noWrap/>
            <w:vAlign w:val="center"/>
            <w:hideMark/>
          </w:tcPr>
          <w:p w14:paraId="31F52E61"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56.4</w:t>
            </w:r>
          </w:p>
        </w:tc>
      </w:tr>
      <w:tr w:rsidR="00A427E8" w:rsidRPr="00D40C27" w14:paraId="0D47A5B6" w14:textId="77777777" w:rsidTr="00014EE0">
        <w:trPr>
          <w:trHeight w:val="290"/>
        </w:trPr>
        <w:tc>
          <w:tcPr>
            <w:tcW w:w="1145" w:type="dxa"/>
            <w:tcBorders>
              <w:top w:val="nil"/>
              <w:left w:val="nil"/>
              <w:bottom w:val="nil"/>
              <w:right w:val="nil"/>
            </w:tcBorders>
            <w:shd w:val="clear" w:color="auto" w:fill="auto"/>
            <w:hideMark/>
          </w:tcPr>
          <w:p w14:paraId="113A9C50"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tc>
        <w:tc>
          <w:tcPr>
            <w:tcW w:w="3176" w:type="dxa"/>
            <w:gridSpan w:val="2"/>
            <w:tcBorders>
              <w:top w:val="nil"/>
              <w:left w:val="nil"/>
              <w:bottom w:val="nil"/>
              <w:right w:val="nil"/>
            </w:tcBorders>
            <w:shd w:val="clear" w:color="auto" w:fill="auto"/>
            <w:vAlign w:val="center"/>
            <w:hideMark/>
          </w:tcPr>
          <w:p w14:paraId="108B727F"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Male</w:t>
            </w:r>
          </w:p>
        </w:tc>
        <w:tc>
          <w:tcPr>
            <w:tcW w:w="1916" w:type="dxa"/>
            <w:tcBorders>
              <w:top w:val="nil"/>
              <w:left w:val="nil"/>
              <w:bottom w:val="nil"/>
              <w:right w:val="nil"/>
            </w:tcBorders>
            <w:shd w:val="clear" w:color="auto" w:fill="auto"/>
            <w:noWrap/>
            <w:vAlign w:val="center"/>
            <w:hideMark/>
          </w:tcPr>
          <w:p w14:paraId="50B425E9"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34</w:t>
            </w:r>
          </w:p>
        </w:tc>
        <w:tc>
          <w:tcPr>
            <w:tcW w:w="645" w:type="dxa"/>
            <w:tcBorders>
              <w:top w:val="nil"/>
              <w:left w:val="nil"/>
              <w:bottom w:val="nil"/>
              <w:right w:val="nil"/>
            </w:tcBorders>
            <w:shd w:val="clear" w:color="auto" w:fill="auto"/>
            <w:noWrap/>
            <w:vAlign w:val="center"/>
            <w:hideMark/>
          </w:tcPr>
          <w:p w14:paraId="2A1F4931"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43.6</w:t>
            </w:r>
          </w:p>
        </w:tc>
      </w:tr>
      <w:tr w:rsidR="00A427E8" w:rsidRPr="00D40C27" w14:paraId="30116A0E" w14:textId="77777777" w:rsidTr="00014EE0">
        <w:trPr>
          <w:trHeight w:val="290"/>
        </w:trPr>
        <w:tc>
          <w:tcPr>
            <w:tcW w:w="1145" w:type="dxa"/>
            <w:vMerge w:val="restart"/>
            <w:tcBorders>
              <w:top w:val="nil"/>
              <w:left w:val="nil"/>
              <w:bottom w:val="nil"/>
              <w:right w:val="nil"/>
            </w:tcBorders>
            <w:shd w:val="clear" w:color="auto" w:fill="auto"/>
            <w:vAlign w:val="center"/>
            <w:hideMark/>
          </w:tcPr>
          <w:p w14:paraId="10ACE07B"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r w:rsidRPr="00D40C27">
              <w:rPr>
                <w:rFonts w:eastAsia="Times New Roman"/>
                <w:b/>
                <w:bCs/>
              </w:rPr>
              <w:t>Age</w:t>
            </w:r>
          </w:p>
        </w:tc>
        <w:tc>
          <w:tcPr>
            <w:tcW w:w="3176" w:type="dxa"/>
            <w:gridSpan w:val="2"/>
            <w:tcBorders>
              <w:top w:val="nil"/>
              <w:left w:val="nil"/>
              <w:bottom w:val="nil"/>
              <w:right w:val="nil"/>
            </w:tcBorders>
            <w:shd w:val="clear" w:color="auto" w:fill="auto"/>
            <w:vAlign w:val="center"/>
            <w:hideMark/>
          </w:tcPr>
          <w:p w14:paraId="532C8C59"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Range</w:t>
            </w:r>
          </w:p>
        </w:tc>
        <w:tc>
          <w:tcPr>
            <w:tcW w:w="1916" w:type="dxa"/>
            <w:tcBorders>
              <w:top w:val="nil"/>
              <w:left w:val="nil"/>
              <w:bottom w:val="nil"/>
              <w:right w:val="nil"/>
            </w:tcBorders>
            <w:shd w:val="clear" w:color="auto" w:fill="auto"/>
            <w:vAlign w:val="center"/>
            <w:hideMark/>
          </w:tcPr>
          <w:p w14:paraId="6F111EFA"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 xml:space="preserve">18-73 </w:t>
            </w:r>
          </w:p>
        </w:tc>
        <w:tc>
          <w:tcPr>
            <w:tcW w:w="645" w:type="dxa"/>
            <w:vMerge w:val="restart"/>
            <w:tcBorders>
              <w:top w:val="nil"/>
              <w:left w:val="nil"/>
              <w:bottom w:val="nil"/>
              <w:right w:val="nil"/>
            </w:tcBorders>
            <w:shd w:val="clear" w:color="auto" w:fill="auto"/>
            <w:vAlign w:val="center"/>
            <w:hideMark/>
          </w:tcPr>
          <w:p w14:paraId="7EDE4531"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tc>
      </w:tr>
      <w:tr w:rsidR="00A427E8" w:rsidRPr="00D40C27" w14:paraId="427D66FD" w14:textId="77777777" w:rsidTr="00014EE0">
        <w:trPr>
          <w:trHeight w:val="560"/>
        </w:trPr>
        <w:tc>
          <w:tcPr>
            <w:tcW w:w="1145" w:type="dxa"/>
            <w:vMerge/>
            <w:tcBorders>
              <w:top w:val="nil"/>
              <w:left w:val="nil"/>
              <w:bottom w:val="nil"/>
              <w:right w:val="nil"/>
            </w:tcBorders>
            <w:vAlign w:val="center"/>
            <w:hideMark/>
          </w:tcPr>
          <w:p w14:paraId="271E5B4D"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p>
        </w:tc>
        <w:tc>
          <w:tcPr>
            <w:tcW w:w="3176" w:type="dxa"/>
            <w:gridSpan w:val="2"/>
            <w:tcBorders>
              <w:top w:val="nil"/>
              <w:left w:val="nil"/>
              <w:bottom w:val="nil"/>
              <w:right w:val="nil"/>
            </w:tcBorders>
            <w:shd w:val="clear" w:color="auto" w:fill="auto"/>
            <w:vAlign w:val="center"/>
            <w:hideMark/>
          </w:tcPr>
          <w:p w14:paraId="52A16600"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M (SD)</w:t>
            </w:r>
          </w:p>
        </w:tc>
        <w:tc>
          <w:tcPr>
            <w:tcW w:w="1916" w:type="dxa"/>
            <w:tcBorders>
              <w:top w:val="nil"/>
              <w:left w:val="nil"/>
              <w:bottom w:val="nil"/>
              <w:right w:val="nil"/>
            </w:tcBorders>
            <w:shd w:val="clear" w:color="auto" w:fill="auto"/>
            <w:vAlign w:val="center"/>
            <w:hideMark/>
          </w:tcPr>
          <w:p w14:paraId="14D2DD5A"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36.33 (12.37)</w:t>
            </w:r>
          </w:p>
        </w:tc>
        <w:tc>
          <w:tcPr>
            <w:tcW w:w="645" w:type="dxa"/>
            <w:vMerge/>
            <w:tcBorders>
              <w:top w:val="nil"/>
              <w:left w:val="nil"/>
              <w:bottom w:val="nil"/>
              <w:right w:val="nil"/>
            </w:tcBorders>
            <w:vAlign w:val="center"/>
            <w:hideMark/>
          </w:tcPr>
          <w:p w14:paraId="788286E1"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r>
      <w:tr w:rsidR="00A427E8" w:rsidRPr="00D40C27" w14:paraId="7956D12D" w14:textId="77777777" w:rsidTr="00014EE0">
        <w:trPr>
          <w:trHeight w:val="290"/>
        </w:trPr>
        <w:tc>
          <w:tcPr>
            <w:tcW w:w="1145" w:type="dxa"/>
            <w:tcBorders>
              <w:top w:val="nil"/>
              <w:left w:val="nil"/>
              <w:bottom w:val="nil"/>
              <w:right w:val="nil"/>
            </w:tcBorders>
            <w:shd w:val="clear" w:color="auto" w:fill="auto"/>
            <w:vAlign w:val="center"/>
            <w:hideMark/>
          </w:tcPr>
          <w:p w14:paraId="5FE4DE7C"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r w:rsidRPr="00D40C27">
              <w:rPr>
                <w:rFonts w:eastAsia="Times New Roman"/>
                <w:b/>
                <w:bCs/>
              </w:rPr>
              <w:t>Ethnicity</w:t>
            </w:r>
          </w:p>
        </w:tc>
        <w:tc>
          <w:tcPr>
            <w:tcW w:w="3176" w:type="dxa"/>
            <w:gridSpan w:val="2"/>
            <w:tcBorders>
              <w:top w:val="nil"/>
              <w:left w:val="nil"/>
              <w:bottom w:val="nil"/>
              <w:right w:val="nil"/>
            </w:tcBorders>
            <w:shd w:val="clear" w:color="auto" w:fill="auto"/>
            <w:vAlign w:val="center"/>
            <w:hideMark/>
          </w:tcPr>
          <w:p w14:paraId="6A382E6F"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p>
        </w:tc>
        <w:tc>
          <w:tcPr>
            <w:tcW w:w="1916" w:type="dxa"/>
            <w:tcBorders>
              <w:top w:val="nil"/>
              <w:left w:val="nil"/>
              <w:bottom w:val="nil"/>
              <w:right w:val="nil"/>
            </w:tcBorders>
            <w:shd w:val="clear" w:color="auto" w:fill="auto"/>
            <w:vAlign w:val="center"/>
            <w:hideMark/>
          </w:tcPr>
          <w:p w14:paraId="085A4E0A"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645" w:type="dxa"/>
            <w:tcBorders>
              <w:top w:val="nil"/>
              <w:left w:val="nil"/>
              <w:bottom w:val="nil"/>
              <w:right w:val="nil"/>
            </w:tcBorders>
            <w:shd w:val="clear" w:color="auto" w:fill="auto"/>
            <w:vAlign w:val="center"/>
            <w:hideMark/>
          </w:tcPr>
          <w:p w14:paraId="0B7096D3"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r>
      <w:tr w:rsidR="00A427E8" w:rsidRPr="00D40C27" w14:paraId="4098883F" w14:textId="77777777" w:rsidTr="00014EE0">
        <w:trPr>
          <w:trHeight w:val="290"/>
        </w:trPr>
        <w:tc>
          <w:tcPr>
            <w:tcW w:w="1145" w:type="dxa"/>
            <w:tcBorders>
              <w:top w:val="nil"/>
              <w:left w:val="nil"/>
              <w:bottom w:val="nil"/>
              <w:right w:val="nil"/>
            </w:tcBorders>
            <w:shd w:val="clear" w:color="auto" w:fill="auto"/>
            <w:hideMark/>
          </w:tcPr>
          <w:p w14:paraId="12A391DA"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3176" w:type="dxa"/>
            <w:gridSpan w:val="2"/>
            <w:tcBorders>
              <w:top w:val="nil"/>
              <w:left w:val="nil"/>
              <w:bottom w:val="nil"/>
              <w:right w:val="nil"/>
            </w:tcBorders>
            <w:shd w:val="clear" w:color="auto" w:fill="auto"/>
            <w:vAlign w:val="center"/>
            <w:hideMark/>
          </w:tcPr>
          <w:p w14:paraId="281F1E41"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 xml:space="preserve">White </w:t>
            </w:r>
          </w:p>
        </w:tc>
        <w:tc>
          <w:tcPr>
            <w:tcW w:w="1916" w:type="dxa"/>
            <w:tcBorders>
              <w:top w:val="nil"/>
              <w:left w:val="nil"/>
              <w:bottom w:val="nil"/>
              <w:right w:val="nil"/>
            </w:tcBorders>
            <w:shd w:val="clear" w:color="auto" w:fill="auto"/>
            <w:noWrap/>
            <w:vAlign w:val="center"/>
            <w:hideMark/>
          </w:tcPr>
          <w:p w14:paraId="4CD87715"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73</w:t>
            </w:r>
          </w:p>
        </w:tc>
        <w:tc>
          <w:tcPr>
            <w:tcW w:w="645" w:type="dxa"/>
            <w:tcBorders>
              <w:top w:val="nil"/>
              <w:left w:val="nil"/>
              <w:bottom w:val="nil"/>
              <w:right w:val="nil"/>
            </w:tcBorders>
            <w:shd w:val="clear" w:color="auto" w:fill="auto"/>
            <w:noWrap/>
            <w:vAlign w:val="center"/>
            <w:hideMark/>
          </w:tcPr>
          <w:p w14:paraId="275D47CF"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93.6</w:t>
            </w:r>
          </w:p>
        </w:tc>
      </w:tr>
      <w:tr w:rsidR="00A427E8" w:rsidRPr="00D40C27" w14:paraId="5834D975" w14:textId="77777777" w:rsidTr="00014EE0">
        <w:trPr>
          <w:trHeight w:val="290"/>
        </w:trPr>
        <w:tc>
          <w:tcPr>
            <w:tcW w:w="1145" w:type="dxa"/>
            <w:tcBorders>
              <w:top w:val="nil"/>
              <w:left w:val="nil"/>
              <w:bottom w:val="nil"/>
              <w:right w:val="nil"/>
            </w:tcBorders>
            <w:shd w:val="clear" w:color="auto" w:fill="auto"/>
            <w:hideMark/>
          </w:tcPr>
          <w:p w14:paraId="36AFADA2"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tc>
        <w:tc>
          <w:tcPr>
            <w:tcW w:w="3176" w:type="dxa"/>
            <w:gridSpan w:val="2"/>
            <w:tcBorders>
              <w:top w:val="nil"/>
              <w:left w:val="nil"/>
              <w:bottom w:val="nil"/>
              <w:right w:val="nil"/>
            </w:tcBorders>
            <w:shd w:val="clear" w:color="auto" w:fill="auto"/>
            <w:vAlign w:val="center"/>
            <w:hideMark/>
          </w:tcPr>
          <w:p w14:paraId="0CA4E40A"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Asian/Asian British</w:t>
            </w:r>
          </w:p>
        </w:tc>
        <w:tc>
          <w:tcPr>
            <w:tcW w:w="1916" w:type="dxa"/>
            <w:tcBorders>
              <w:top w:val="nil"/>
              <w:left w:val="nil"/>
              <w:bottom w:val="nil"/>
              <w:right w:val="nil"/>
            </w:tcBorders>
            <w:shd w:val="clear" w:color="auto" w:fill="auto"/>
            <w:noWrap/>
            <w:vAlign w:val="center"/>
            <w:hideMark/>
          </w:tcPr>
          <w:p w14:paraId="2CCD1259"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2</w:t>
            </w:r>
          </w:p>
        </w:tc>
        <w:tc>
          <w:tcPr>
            <w:tcW w:w="645" w:type="dxa"/>
            <w:tcBorders>
              <w:top w:val="nil"/>
              <w:left w:val="nil"/>
              <w:bottom w:val="nil"/>
              <w:right w:val="nil"/>
            </w:tcBorders>
            <w:shd w:val="clear" w:color="auto" w:fill="auto"/>
            <w:noWrap/>
            <w:vAlign w:val="center"/>
            <w:hideMark/>
          </w:tcPr>
          <w:p w14:paraId="5245BB72"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2.6</w:t>
            </w:r>
          </w:p>
        </w:tc>
      </w:tr>
      <w:tr w:rsidR="00A427E8" w:rsidRPr="00D40C27" w14:paraId="3F69230F" w14:textId="77777777" w:rsidTr="00014EE0">
        <w:trPr>
          <w:trHeight w:val="560"/>
        </w:trPr>
        <w:tc>
          <w:tcPr>
            <w:tcW w:w="1145" w:type="dxa"/>
            <w:tcBorders>
              <w:top w:val="nil"/>
              <w:left w:val="nil"/>
              <w:bottom w:val="nil"/>
              <w:right w:val="nil"/>
            </w:tcBorders>
            <w:shd w:val="clear" w:color="auto" w:fill="auto"/>
            <w:hideMark/>
          </w:tcPr>
          <w:p w14:paraId="7E873D8F"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tc>
        <w:tc>
          <w:tcPr>
            <w:tcW w:w="3176" w:type="dxa"/>
            <w:gridSpan w:val="2"/>
            <w:tcBorders>
              <w:top w:val="nil"/>
              <w:left w:val="nil"/>
              <w:bottom w:val="nil"/>
              <w:right w:val="nil"/>
            </w:tcBorders>
            <w:shd w:val="clear" w:color="auto" w:fill="auto"/>
            <w:vAlign w:val="center"/>
            <w:hideMark/>
          </w:tcPr>
          <w:p w14:paraId="255191E9"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Mixed/Multiple ethnic group</w:t>
            </w:r>
            <w:r w:rsidR="00B32D9C">
              <w:rPr>
                <w:rFonts w:eastAsia="Times New Roman"/>
              </w:rPr>
              <w:t>s</w:t>
            </w:r>
          </w:p>
        </w:tc>
        <w:tc>
          <w:tcPr>
            <w:tcW w:w="1916" w:type="dxa"/>
            <w:tcBorders>
              <w:top w:val="nil"/>
              <w:left w:val="nil"/>
              <w:bottom w:val="nil"/>
              <w:right w:val="nil"/>
            </w:tcBorders>
            <w:shd w:val="clear" w:color="auto" w:fill="auto"/>
            <w:noWrap/>
            <w:vAlign w:val="center"/>
            <w:hideMark/>
          </w:tcPr>
          <w:p w14:paraId="45574DF8"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2</w:t>
            </w:r>
          </w:p>
        </w:tc>
        <w:tc>
          <w:tcPr>
            <w:tcW w:w="645" w:type="dxa"/>
            <w:tcBorders>
              <w:top w:val="nil"/>
              <w:left w:val="nil"/>
              <w:bottom w:val="nil"/>
              <w:right w:val="nil"/>
            </w:tcBorders>
            <w:shd w:val="clear" w:color="auto" w:fill="auto"/>
            <w:noWrap/>
            <w:vAlign w:val="center"/>
            <w:hideMark/>
          </w:tcPr>
          <w:p w14:paraId="4156F105"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2.6</w:t>
            </w:r>
          </w:p>
        </w:tc>
      </w:tr>
      <w:tr w:rsidR="00A427E8" w:rsidRPr="00D40C27" w14:paraId="251B9307" w14:textId="77777777" w:rsidTr="00014EE0">
        <w:trPr>
          <w:trHeight w:val="560"/>
        </w:trPr>
        <w:tc>
          <w:tcPr>
            <w:tcW w:w="1145" w:type="dxa"/>
            <w:tcBorders>
              <w:top w:val="nil"/>
              <w:left w:val="nil"/>
              <w:bottom w:val="nil"/>
              <w:right w:val="nil"/>
            </w:tcBorders>
            <w:shd w:val="clear" w:color="auto" w:fill="auto"/>
            <w:hideMark/>
          </w:tcPr>
          <w:p w14:paraId="3F72D2E9"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tc>
        <w:tc>
          <w:tcPr>
            <w:tcW w:w="3176" w:type="dxa"/>
            <w:gridSpan w:val="2"/>
            <w:tcBorders>
              <w:top w:val="nil"/>
              <w:left w:val="nil"/>
              <w:bottom w:val="nil"/>
              <w:right w:val="nil"/>
            </w:tcBorders>
            <w:shd w:val="clear" w:color="auto" w:fill="auto"/>
            <w:vAlign w:val="center"/>
            <w:hideMark/>
          </w:tcPr>
          <w:p w14:paraId="33121408"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Black/African/Caribbean/Black British</w:t>
            </w:r>
          </w:p>
        </w:tc>
        <w:tc>
          <w:tcPr>
            <w:tcW w:w="1916" w:type="dxa"/>
            <w:tcBorders>
              <w:top w:val="nil"/>
              <w:left w:val="nil"/>
              <w:bottom w:val="nil"/>
              <w:right w:val="nil"/>
            </w:tcBorders>
            <w:shd w:val="clear" w:color="auto" w:fill="auto"/>
            <w:noWrap/>
            <w:vAlign w:val="center"/>
            <w:hideMark/>
          </w:tcPr>
          <w:p w14:paraId="57973326"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1</w:t>
            </w:r>
          </w:p>
        </w:tc>
        <w:tc>
          <w:tcPr>
            <w:tcW w:w="645" w:type="dxa"/>
            <w:tcBorders>
              <w:top w:val="nil"/>
              <w:left w:val="nil"/>
              <w:bottom w:val="nil"/>
              <w:right w:val="nil"/>
            </w:tcBorders>
            <w:shd w:val="clear" w:color="auto" w:fill="auto"/>
            <w:noWrap/>
            <w:vAlign w:val="center"/>
            <w:hideMark/>
          </w:tcPr>
          <w:p w14:paraId="5E921424"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1.3</w:t>
            </w:r>
          </w:p>
        </w:tc>
      </w:tr>
      <w:tr w:rsidR="00A427E8" w:rsidRPr="00D40C27" w14:paraId="3EC6BDC9" w14:textId="77777777" w:rsidTr="00014EE0">
        <w:trPr>
          <w:trHeight w:val="290"/>
        </w:trPr>
        <w:tc>
          <w:tcPr>
            <w:tcW w:w="6237" w:type="dxa"/>
            <w:gridSpan w:val="4"/>
            <w:tcBorders>
              <w:top w:val="nil"/>
              <w:left w:val="nil"/>
              <w:bottom w:val="nil"/>
              <w:right w:val="nil"/>
            </w:tcBorders>
            <w:shd w:val="clear" w:color="auto" w:fill="auto"/>
            <w:noWrap/>
            <w:vAlign w:val="bottom"/>
            <w:hideMark/>
          </w:tcPr>
          <w:p w14:paraId="2DE4473D"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r w:rsidRPr="00D40C27">
              <w:rPr>
                <w:rFonts w:eastAsia="Times New Roman"/>
                <w:b/>
                <w:bCs/>
              </w:rPr>
              <w:t>Is FD protected under the disability act?</w:t>
            </w:r>
          </w:p>
        </w:tc>
        <w:tc>
          <w:tcPr>
            <w:tcW w:w="645" w:type="dxa"/>
            <w:tcBorders>
              <w:top w:val="nil"/>
              <w:left w:val="nil"/>
              <w:bottom w:val="nil"/>
              <w:right w:val="nil"/>
            </w:tcBorders>
            <w:shd w:val="clear" w:color="auto" w:fill="auto"/>
            <w:noWrap/>
            <w:vAlign w:val="bottom"/>
            <w:hideMark/>
          </w:tcPr>
          <w:p w14:paraId="298DC4E1"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p>
        </w:tc>
      </w:tr>
      <w:tr w:rsidR="00A427E8" w:rsidRPr="00D40C27" w14:paraId="633A83A2" w14:textId="77777777" w:rsidTr="00014EE0">
        <w:trPr>
          <w:trHeight w:val="290"/>
        </w:trPr>
        <w:tc>
          <w:tcPr>
            <w:tcW w:w="1145" w:type="dxa"/>
            <w:tcBorders>
              <w:top w:val="nil"/>
              <w:left w:val="nil"/>
              <w:bottom w:val="nil"/>
              <w:right w:val="nil"/>
            </w:tcBorders>
            <w:shd w:val="clear" w:color="auto" w:fill="auto"/>
            <w:noWrap/>
            <w:vAlign w:val="bottom"/>
            <w:hideMark/>
          </w:tcPr>
          <w:p w14:paraId="696B9DE3"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1588" w:type="dxa"/>
            <w:tcBorders>
              <w:top w:val="nil"/>
              <w:left w:val="nil"/>
              <w:bottom w:val="nil"/>
              <w:right w:val="nil"/>
            </w:tcBorders>
            <w:shd w:val="clear" w:color="auto" w:fill="auto"/>
            <w:noWrap/>
            <w:vAlign w:val="bottom"/>
            <w:hideMark/>
          </w:tcPr>
          <w:p w14:paraId="6094ED72"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Yes</w:t>
            </w:r>
          </w:p>
        </w:tc>
        <w:tc>
          <w:tcPr>
            <w:tcW w:w="1588" w:type="dxa"/>
            <w:tcBorders>
              <w:top w:val="nil"/>
              <w:left w:val="nil"/>
              <w:bottom w:val="nil"/>
              <w:right w:val="nil"/>
            </w:tcBorders>
            <w:shd w:val="clear" w:color="auto" w:fill="auto"/>
            <w:noWrap/>
            <w:vAlign w:val="bottom"/>
            <w:hideMark/>
          </w:tcPr>
          <w:p w14:paraId="4C662267"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916" w:type="dxa"/>
            <w:tcBorders>
              <w:top w:val="nil"/>
              <w:left w:val="nil"/>
              <w:bottom w:val="nil"/>
              <w:right w:val="nil"/>
            </w:tcBorders>
            <w:shd w:val="clear" w:color="auto" w:fill="auto"/>
            <w:noWrap/>
            <w:vAlign w:val="center"/>
            <w:hideMark/>
          </w:tcPr>
          <w:p w14:paraId="0542AA28"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58</w:t>
            </w:r>
          </w:p>
        </w:tc>
        <w:tc>
          <w:tcPr>
            <w:tcW w:w="645" w:type="dxa"/>
            <w:tcBorders>
              <w:top w:val="nil"/>
              <w:left w:val="nil"/>
              <w:bottom w:val="nil"/>
              <w:right w:val="nil"/>
            </w:tcBorders>
            <w:shd w:val="clear" w:color="auto" w:fill="auto"/>
            <w:noWrap/>
            <w:vAlign w:val="center"/>
            <w:hideMark/>
          </w:tcPr>
          <w:p w14:paraId="698660C0"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74.4</w:t>
            </w:r>
          </w:p>
        </w:tc>
      </w:tr>
      <w:tr w:rsidR="00A427E8" w:rsidRPr="00D40C27" w14:paraId="7807B654" w14:textId="77777777" w:rsidTr="00014EE0">
        <w:trPr>
          <w:trHeight w:val="290"/>
        </w:trPr>
        <w:tc>
          <w:tcPr>
            <w:tcW w:w="1145" w:type="dxa"/>
            <w:tcBorders>
              <w:top w:val="nil"/>
              <w:left w:val="nil"/>
              <w:bottom w:val="nil"/>
              <w:right w:val="nil"/>
            </w:tcBorders>
            <w:shd w:val="clear" w:color="auto" w:fill="auto"/>
            <w:noWrap/>
            <w:vAlign w:val="bottom"/>
            <w:hideMark/>
          </w:tcPr>
          <w:p w14:paraId="56D8CE8B"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tc>
        <w:tc>
          <w:tcPr>
            <w:tcW w:w="1588" w:type="dxa"/>
            <w:tcBorders>
              <w:top w:val="nil"/>
              <w:left w:val="nil"/>
              <w:bottom w:val="nil"/>
              <w:right w:val="nil"/>
            </w:tcBorders>
            <w:shd w:val="clear" w:color="auto" w:fill="auto"/>
            <w:noWrap/>
            <w:vAlign w:val="bottom"/>
            <w:hideMark/>
          </w:tcPr>
          <w:p w14:paraId="56788B87"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No</w:t>
            </w:r>
          </w:p>
        </w:tc>
        <w:tc>
          <w:tcPr>
            <w:tcW w:w="1588" w:type="dxa"/>
            <w:tcBorders>
              <w:top w:val="nil"/>
              <w:left w:val="nil"/>
              <w:bottom w:val="nil"/>
              <w:right w:val="nil"/>
            </w:tcBorders>
            <w:shd w:val="clear" w:color="auto" w:fill="auto"/>
            <w:noWrap/>
            <w:vAlign w:val="bottom"/>
            <w:hideMark/>
          </w:tcPr>
          <w:p w14:paraId="698D9C7F"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916" w:type="dxa"/>
            <w:tcBorders>
              <w:top w:val="nil"/>
              <w:left w:val="nil"/>
              <w:bottom w:val="nil"/>
              <w:right w:val="nil"/>
            </w:tcBorders>
            <w:shd w:val="clear" w:color="auto" w:fill="auto"/>
            <w:noWrap/>
            <w:vAlign w:val="center"/>
            <w:hideMark/>
          </w:tcPr>
          <w:p w14:paraId="78B9A7E6"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20</w:t>
            </w:r>
          </w:p>
        </w:tc>
        <w:tc>
          <w:tcPr>
            <w:tcW w:w="645" w:type="dxa"/>
            <w:tcBorders>
              <w:top w:val="nil"/>
              <w:left w:val="nil"/>
              <w:bottom w:val="nil"/>
              <w:right w:val="nil"/>
            </w:tcBorders>
            <w:shd w:val="clear" w:color="auto" w:fill="auto"/>
            <w:noWrap/>
            <w:vAlign w:val="center"/>
            <w:hideMark/>
          </w:tcPr>
          <w:p w14:paraId="056B14C0"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25.6</w:t>
            </w:r>
          </w:p>
        </w:tc>
      </w:tr>
      <w:tr w:rsidR="00A427E8" w:rsidRPr="00D40C27" w14:paraId="7993E39E" w14:textId="77777777" w:rsidTr="00014EE0">
        <w:trPr>
          <w:trHeight w:val="530"/>
        </w:trPr>
        <w:tc>
          <w:tcPr>
            <w:tcW w:w="6882" w:type="dxa"/>
            <w:gridSpan w:val="5"/>
            <w:tcBorders>
              <w:top w:val="nil"/>
              <w:left w:val="nil"/>
              <w:bottom w:val="nil"/>
              <w:right w:val="nil"/>
            </w:tcBorders>
            <w:shd w:val="clear" w:color="auto" w:fill="auto"/>
            <w:vAlign w:val="bottom"/>
            <w:hideMark/>
          </w:tcPr>
          <w:p w14:paraId="5AEAB7A4"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r w:rsidRPr="00D40C27">
              <w:rPr>
                <w:rFonts w:eastAsia="Times New Roman"/>
                <w:b/>
                <w:bCs/>
              </w:rPr>
              <w:t>Have you ever encountered a person with FD in a recruitment process?</w:t>
            </w:r>
          </w:p>
        </w:tc>
      </w:tr>
      <w:tr w:rsidR="00A427E8" w:rsidRPr="00D40C27" w14:paraId="60512354" w14:textId="77777777" w:rsidTr="00014EE0">
        <w:trPr>
          <w:trHeight w:val="290"/>
        </w:trPr>
        <w:tc>
          <w:tcPr>
            <w:tcW w:w="1145" w:type="dxa"/>
            <w:tcBorders>
              <w:top w:val="nil"/>
              <w:left w:val="nil"/>
              <w:right w:val="nil"/>
            </w:tcBorders>
            <w:shd w:val="clear" w:color="auto" w:fill="auto"/>
            <w:noWrap/>
            <w:vAlign w:val="bottom"/>
            <w:hideMark/>
          </w:tcPr>
          <w:p w14:paraId="39902AD2"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b/>
                <w:bCs/>
              </w:rPr>
            </w:pPr>
          </w:p>
        </w:tc>
        <w:tc>
          <w:tcPr>
            <w:tcW w:w="1588" w:type="dxa"/>
            <w:tcBorders>
              <w:top w:val="nil"/>
              <w:left w:val="nil"/>
              <w:right w:val="nil"/>
            </w:tcBorders>
            <w:shd w:val="clear" w:color="auto" w:fill="auto"/>
            <w:noWrap/>
            <w:vAlign w:val="bottom"/>
            <w:hideMark/>
          </w:tcPr>
          <w:p w14:paraId="6AC78F08"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Yes</w:t>
            </w:r>
          </w:p>
        </w:tc>
        <w:tc>
          <w:tcPr>
            <w:tcW w:w="1588" w:type="dxa"/>
            <w:tcBorders>
              <w:top w:val="nil"/>
              <w:left w:val="nil"/>
              <w:right w:val="nil"/>
            </w:tcBorders>
            <w:shd w:val="clear" w:color="auto" w:fill="auto"/>
            <w:noWrap/>
            <w:vAlign w:val="bottom"/>
            <w:hideMark/>
          </w:tcPr>
          <w:p w14:paraId="04C71075"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916" w:type="dxa"/>
            <w:tcBorders>
              <w:top w:val="nil"/>
              <w:left w:val="nil"/>
              <w:right w:val="nil"/>
            </w:tcBorders>
            <w:shd w:val="clear" w:color="auto" w:fill="auto"/>
            <w:noWrap/>
            <w:vAlign w:val="center"/>
            <w:hideMark/>
          </w:tcPr>
          <w:p w14:paraId="63CF175E"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10</w:t>
            </w:r>
          </w:p>
        </w:tc>
        <w:tc>
          <w:tcPr>
            <w:tcW w:w="645" w:type="dxa"/>
            <w:tcBorders>
              <w:top w:val="nil"/>
              <w:left w:val="nil"/>
              <w:right w:val="nil"/>
            </w:tcBorders>
            <w:shd w:val="clear" w:color="auto" w:fill="auto"/>
            <w:noWrap/>
            <w:vAlign w:val="center"/>
            <w:hideMark/>
          </w:tcPr>
          <w:p w14:paraId="1AC05A33"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12.8</w:t>
            </w:r>
          </w:p>
        </w:tc>
      </w:tr>
      <w:tr w:rsidR="00A427E8" w:rsidRPr="00D40C27" w14:paraId="6BC8868C" w14:textId="77777777" w:rsidTr="00014EE0">
        <w:trPr>
          <w:trHeight w:val="290"/>
        </w:trPr>
        <w:tc>
          <w:tcPr>
            <w:tcW w:w="1145" w:type="dxa"/>
            <w:tcBorders>
              <w:top w:val="nil"/>
              <w:left w:val="nil"/>
              <w:bottom w:val="single" w:sz="4" w:space="0" w:color="auto"/>
              <w:right w:val="nil"/>
            </w:tcBorders>
            <w:shd w:val="clear" w:color="auto" w:fill="auto"/>
            <w:noWrap/>
            <w:vAlign w:val="bottom"/>
            <w:hideMark/>
          </w:tcPr>
          <w:p w14:paraId="23C52E53"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tc>
        <w:tc>
          <w:tcPr>
            <w:tcW w:w="1588" w:type="dxa"/>
            <w:tcBorders>
              <w:top w:val="nil"/>
              <w:left w:val="nil"/>
              <w:bottom w:val="single" w:sz="4" w:space="0" w:color="auto"/>
              <w:right w:val="nil"/>
            </w:tcBorders>
            <w:shd w:val="clear" w:color="auto" w:fill="auto"/>
            <w:noWrap/>
            <w:vAlign w:val="bottom"/>
            <w:hideMark/>
          </w:tcPr>
          <w:p w14:paraId="5E8EF3B4"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No</w:t>
            </w:r>
          </w:p>
        </w:tc>
        <w:tc>
          <w:tcPr>
            <w:tcW w:w="1588" w:type="dxa"/>
            <w:tcBorders>
              <w:top w:val="nil"/>
              <w:left w:val="nil"/>
              <w:bottom w:val="single" w:sz="4" w:space="0" w:color="auto"/>
              <w:right w:val="nil"/>
            </w:tcBorders>
            <w:shd w:val="clear" w:color="auto" w:fill="auto"/>
            <w:noWrap/>
            <w:vAlign w:val="bottom"/>
            <w:hideMark/>
          </w:tcPr>
          <w:p w14:paraId="2D281A28"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916" w:type="dxa"/>
            <w:tcBorders>
              <w:top w:val="nil"/>
              <w:left w:val="nil"/>
              <w:bottom w:val="single" w:sz="4" w:space="0" w:color="auto"/>
              <w:right w:val="nil"/>
            </w:tcBorders>
            <w:shd w:val="clear" w:color="auto" w:fill="auto"/>
            <w:noWrap/>
            <w:vAlign w:val="center"/>
            <w:hideMark/>
          </w:tcPr>
          <w:p w14:paraId="76803B3B"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68</w:t>
            </w:r>
          </w:p>
        </w:tc>
        <w:tc>
          <w:tcPr>
            <w:tcW w:w="645" w:type="dxa"/>
            <w:tcBorders>
              <w:top w:val="nil"/>
              <w:left w:val="nil"/>
              <w:bottom w:val="single" w:sz="4" w:space="0" w:color="auto"/>
              <w:right w:val="nil"/>
            </w:tcBorders>
            <w:shd w:val="clear" w:color="auto" w:fill="auto"/>
            <w:noWrap/>
            <w:vAlign w:val="center"/>
            <w:hideMark/>
          </w:tcPr>
          <w:p w14:paraId="306D4A4F"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87.2</w:t>
            </w:r>
          </w:p>
        </w:tc>
      </w:tr>
      <w:tr w:rsidR="00A427E8" w:rsidRPr="00D40C27" w14:paraId="1C9D3AD8" w14:textId="77777777" w:rsidTr="00014EE0">
        <w:trPr>
          <w:trHeight w:val="290"/>
        </w:trPr>
        <w:tc>
          <w:tcPr>
            <w:tcW w:w="1145" w:type="dxa"/>
            <w:tcBorders>
              <w:top w:val="single" w:sz="4" w:space="0" w:color="auto"/>
              <w:left w:val="nil"/>
              <w:bottom w:val="nil"/>
              <w:right w:val="nil"/>
            </w:tcBorders>
            <w:shd w:val="clear" w:color="auto" w:fill="auto"/>
            <w:noWrap/>
            <w:vAlign w:val="bottom"/>
            <w:hideMark/>
          </w:tcPr>
          <w:p w14:paraId="06DE9E80"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p w14:paraId="25734EDF"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p>
        </w:tc>
        <w:tc>
          <w:tcPr>
            <w:tcW w:w="1588" w:type="dxa"/>
            <w:tcBorders>
              <w:top w:val="single" w:sz="4" w:space="0" w:color="auto"/>
              <w:left w:val="nil"/>
              <w:bottom w:val="nil"/>
              <w:right w:val="nil"/>
            </w:tcBorders>
            <w:shd w:val="clear" w:color="auto" w:fill="auto"/>
            <w:noWrap/>
            <w:vAlign w:val="bottom"/>
            <w:hideMark/>
          </w:tcPr>
          <w:p w14:paraId="53A58798"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1588" w:type="dxa"/>
            <w:tcBorders>
              <w:top w:val="single" w:sz="4" w:space="0" w:color="auto"/>
              <w:left w:val="nil"/>
              <w:bottom w:val="nil"/>
              <w:right w:val="nil"/>
            </w:tcBorders>
            <w:shd w:val="clear" w:color="auto" w:fill="auto"/>
            <w:noWrap/>
            <w:vAlign w:val="bottom"/>
            <w:hideMark/>
          </w:tcPr>
          <w:p w14:paraId="104FB01B"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1916" w:type="dxa"/>
            <w:tcBorders>
              <w:top w:val="single" w:sz="4" w:space="0" w:color="auto"/>
              <w:left w:val="nil"/>
              <w:bottom w:val="nil"/>
              <w:right w:val="nil"/>
            </w:tcBorders>
            <w:shd w:val="clear" w:color="auto" w:fill="auto"/>
            <w:noWrap/>
            <w:vAlign w:val="bottom"/>
            <w:hideMark/>
          </w:tcPr>
          <w:p w14:paraId="5C23C623"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645" w:type="dxa"/>
            <w:tcBorders>
              <w:top w:val="single" w:sz="4" w:space="0" w:color="auto"/>
              <w:left w:val="nil"/>
              <w:bottom w:val="nil"/>
              <w:right w:val="nil"/>
            </w:tcBorders>
            <w:shd w:val="clear" w:color="auto" w:fill="auto"/>
            <w:noWrap/>
            <w:vAlign w:val="bottom"/>
            <w:hideMark/>
          </w:tcPr>
          <w:p w14:paraId="63750DBF" w14:textId="77777777" w:rsidR="00A427E8" w:rsidRPr="00D40C27" w:rsidRDefault="00A427E8"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r>
    </w:tbl>
    <w:p w14:paraId="56E73DDE" w14:textId="77777777" w:rsidR="00A427E8" w:rsidRPr="00D40C27" w:rsidRDefault="00A427E8" w:rsidP="009E095F">
      <w:pPr>
        <w:pStyle w:val="Heading3"/>
      </w:pPr>
      <w:bookmarkStart w:id="121" w:name="_Toc12024678"/>
      <w:r w:rsidRPr="00D40C27">
        <w:t>Intervention effect</w:t>
      </w:r>
      <w:bookmarkEnd w:id="121"/>
    </w:p>
    <w:p w14:paraId="003D5FD8" w14:textId="6E3DA2D6" w:rsidR="00A427E8"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r w:rsidRPr="000215FF">
        <w:rPr>
          <w:rFonts w:eastAsia="Cambria"/>
          <w:color w:val="auto"/>
          <w:lang w:eastAsia="en-US"/>
        </w:rPr>
        <w:t>A mixed 2x2 ANCOVA was conducted on this sample to assess the effect of an IC condition</w:t>
      </w:r>
      <w:r w:rsidR="005A1065">
        <w:rPr>
          <w:rFonts w:eastAsia="Cambria"/>
          <w:color w:val="auto"/>
          <w:lang w:eastAsia="en-US"/>
        </w:rPr>
        <w:t>s (Control vs IC)</w:t>
      </w:r>
      <w:r w:rsidR="005A1065" w:rsidRPr="000215FF">
        <w:rPr>
          <w:rFonts w:eastAsia="Cambria"/>
          <w:color w:val="auto"/>
          <w:lang w:eastAsia="en-US"/>
        </w:rPr>
        <w:t xml:space="preserve"> </w:t>
      </w:r>
      <w:r w:rsidRPr="000215FF">
        <w:rPr>
          <w:rFonts w:eastAsia="Cambria"/>
          <w:color w:val="auto"/>
          <w:lang w:eastAsia="en-US"/>
        </w:rPr>
        <w:t>on intentions to avoid a FD</w:t>
      </w:r>
      <w:r w:rsidR="00C45376">
        <w:rPr>
          <w:rFonts w:eastAsia="Cambria"/>
          <w:color w:val="auto"/>
          <w:lang w:eastAsia="en-US"/>
        </w:rPr>
        <w:t>, memory recall,</w:t>
      </w:r>
      <w:r w:rsidR="005A1065">
        <w:rPr>
          <w:rFonts w:eastAsia="Cambria"/>
          <w:color w:val="auto"/>
          <w:lang w:eastAsia="en-US"/>
        </w:rPr>
        <w:t xml:space="preserve"> </w:t>
      </w:r>
      <w:r w:rsidRPr="000215FF">
        <w:rPr>
          <w:rFonts w:eastAsia="Cambria"/>
          <w:color w:val="auto"/>
          <w:lang w:eastAsia="en-US"/>
        </w:rPr>
        <w:t>and evaluation</w:t>
      </w:r>
      <w:r w:rsidR="005A1065">
        <w:rPr>
          <w:rFonts w:eastAsia="Cambria"/>
          <w:color w:val="auto"/>
          <w:lang w:eastAsia="en-US"/>
        </w:rPr>
        <w:t xml:space="preserve"> ratings</w:t>
      </w:r>
      <w:r w:rsidRPr="000215FF">
        <w:rPr>
          <w:rFonts w:eastAsia="Cambria"/>
          <w:color w:val="auto"/>
          <w:lang w:eastAsia="en-US"/>
        </w:rPr>
        <w:t xml:space="preserve"> of a mock </w:t>
      </w:r>
      <w:r w:rsidR="005A1065">
        <w:rPr>
          <w:rFonts w:eastAsia="Cambria"/>
          <w:color w:val="auto"/>
          <w:lang w:eastAsia="en-US"/>
        </w:rPr>
        <w:t>applicant</w:t>
      </w:r>
      <w:r w:rsidRPr="000215FF">
        <w:rPr>
          <w:rFonts w:eastAsia="Cambria"/>
          <w:color w:val="auto"/>
          <w:lang w:eastAsia="en-US"/>
        </w:rPr>
        <w:t xml:space="preserve"> FD</w:t>
      </w:r>
      <w:r w:rsidR="005A1065">
        <w:rPr>
          <w:rFonts w:eastAsia="Cambria"/>
          <w:color w:val="auto"/>
          <w:lang w:eastAsia="en-US"/>
        </w:rPr>
        <w:t xml:space="preserve"> (vs applicant without FD)</w:t>
      </w:r>
      <w:r w:rsidR="00C45376">
        <w:rPr>
          <w:rFonts w:eastAsia="Cambria"/>
          <w:color w:val="auto"/>
          <w:lang w:eastAsia="en-US"/>
        </w:rPr>
        <w:t xml:space="preserve"> in terms of work competence, social potency, </w:t>
      </w:r>
      <w:r w:rsidR="00C45376">
        <w:rPr>
          <w:rFonts w:eastAsia="Times New Roman"/>
        </w:rPr>
        <w:t>e</w:t>
      </w:r>
      <w:r w:rsidR="00C45376" w:rsidRPr="00D40C27">
        <w:rPr>
          <w:rFonts w:eastAsia="Times New Roman"/>
        </w:rPr>
        <w:t>motional Strength</w:t>
      </w:r>
      <w:r w:rsidR="00C45376">
        <w:rPr>
          <w:rFonts w:eastAsia="Times New Roman"/>
        </w:rPr>
        <w:t>,</w:t>
      </w:r>
      <w:r w:rsidR="00C45376">
        <w:rPr>
          <w:rFonts w:eastAsia="Cambria"/>
          <w:color w:val="auto"/>
          <w:lang w:eastAsia="en-US"/>
        </w:rPr>
        <w:t xml:space="preserve"> warmth and attractiveness</w:t>
      </w:r>
      <w:r w:rsidRPr="000215FF">
        <w:rPr>
          <w:rFonts w:eastAsia="Cambria"/>
          <w:color w:val="auto"/>
          <w:lang w:eastAsia="en-US"/>
        </w:rPr>
        <w:t>.</w:t>
      </w:r>
      <w:r w:rsidR="00C97C3F">
        <w:rPr>
          <w:rFonts w:eastAsia="Cambria"/>
          <w:color w:val="auto"/>
          <w:lang w:eastAsia="en-US"/>
        </w:rPr>
        <w:t xml:space="preserve"> </w:t>
      </w:r>
      <w:r w:rsidR="0050639B">
        <w:rPr>
          <w:rFonts w:eastAsia="Cambria"/>
          <w:color w:val="auto"/>
          <w:lang w:eastAsia="en-US"/>
        </w:rPr>
        <w:t xml:space="preserve">First a within sample t-test was conducted to assess the difference in scores of intended avoidance pre-test and post-test. </w:t>
      </w:r>
      <w:r w:rsidR="003E4558">
        <w:rPr>
          <w:rFonts w:eastAsia="Cambria"/>
          <w:color w:val="auto"/>
          <w:lang w:eastAsia="en-US"/>
        </w:rPr>
        <w:t>Participant’s i</w:t>
      </w:r>
      <w:r w:rsidR="0050639B">
        <w:rPr>
          <w:rFonts w:eastAsia="Cambria"/>
          <w:color w:val="auto"/>
          <w:lang w:eastAsia="en-US"/>
        </w:rPr>
        <w:t>ntentions to avoid FD were not different a</w:t>
      </w:r>
      <w:r w:rsidR="003E4558">
        <w:rPr>
          <w:rFonts w:eastAsia="Cambria"/>
          <w:color w:val="auto"/>
          <w:lang w:eastAsia="en-US"/>
        </w:rPr>
        <w:t>t</w:t>
      </w:r>
      <w:r w:rsidR="0050639B">
        <w:rPr>
          <w:rFonts w:eastAsia="Cambria"/>
          <w:color w:val="auto"/>
          <w:lang w:eastAsia="en-US"/>
        </w:rPr>
        <w:t xml:space="preserve"> pre-test (M = </w:t>
      </w:r>
      <w:r w:rsidR="003E4558">
        <w:rPr>
          <w:rFonts w:eastAsia="Cambria"/>
          <w:color w:val="auto"/>
          <w:lang w:eastAsia="en-US"/>
        </w:rPr>
        <w:t>5.77</w:t>
      </w:r>
      <w:r w:rsidR="0050639B">
        <w:rPr>
          <w:rFonts w:eastAsia="Cambria"/>
          <w:color w:val="auto"/>
          <w:lang w:eastAsia="en-US"/>
        </w:rPr>
        <w:t>, SD =</w:t>
      </w:r>
      <w:r w:rsidR="003E4558">
        <w:rPr>
          <w:rFonts w:eastAsia="Cambria"/>
          <w:color w:val="auto"/>
          <w:lang w:eastAsia="en-US"/>
        </w:rPr>
        <w:t xml:space="preserve"> 0.78)</w:t>
      </w:r>
      <w:r w:rsidR="0050639B">
        <w:rPr>
          <w:rFonts w:eastAsia="Cambria"/>
          <w:color w:val="auto"/>
          <w:lang w:eastAsia="en-US"/>
        </w:rPr>
        <w:t xml:space="preserve"> compared to scores </w:t>
      </w:r>
      <w:r w:rsidR="003E4558">
        <w:rPr>
          <w:rFonts w:eastAsia="Cambria"/>
          <w:color w:val="auto"/>
          <w:lang w:eastAsia="en-US"/>
        </w:rPr>
        <w:t xml:space="preserve">collected at post-test (M = 5.75, SD = 0.86; </w:t>
      </w:r>
      <w:r w:rsidR="003E4558" w:rsidRPr="00D40C27">
        <w:rPr>
          <w:rFonts w:eastAsia="SimSun"/>
          <w:bCs/>
          <w:i/>
          <w:color w:val="auto"/>
          <w:lang w:eastAsia="zh-CN"/>
        </w:rPr>
        <w:t>t</w:t>
      </w:r>
      <w:r w:rsidR="000C0F0D">
        <w:rPr>
          <w:rFonts w:eastAsia="SimSun"/>
          <w:bCs/>
          <w:color w:val="auto"/>
          <w:lang w:eastAsia="zh-CN"/>
        </w:rPr>
        <w:t>(72</w:t>
      </w:r>
      <w:r w:rsidR="003E4558" w:rsidRPr="00D40C27">
        <w:rPr>
          <w:rFonts w:eastAsia="SimSun"/>
          <w:bCs/>
          <w:color w:val="auto"/>
          <w:lang w:eastAsia="zh-CN"/>
        </w:rPr>
        <w:t xml:space="preserve">) = </w:t>
      </w:r>
      <w:r w:rsidR="000C0F0D">
        <w:rPr>
          <w:rFonts w:eastAsia="SimSun"/>
          <w:bCs/>
          <w:color w:val="auto"/>
          <w:lang w:eastAsia="zh-CN"/>
        </w:rPr>
        <w:t>0.00</w:t>
      </w:r>
      <w:r w:rsidR="003E4558" w:rsidRPr="00D40C27">
        <w:rPr>
          <w:rFonts w:eastAsia="SimSun"/>
          <w:bCs/>
          <w:color w:val="auto"/>
          <w:lang w:eastAsia="zh-CN"/>
        </w:rPr>
        <w:t xml:space="preserve">, </w:t>
      </w:r>
      <w:r w:rsidR="003E4558" w:rsidRPr="00D40C27">
        <w:rPr>
          <w:rFonts w:eastAsia="SimSun"/>
          <w:bCs/>
          <w:i/>
          <w:color w:val="auto"/>
          <w:lang w:eastAsia="zh-CN"/>
        </w:rPr>
        <w:t>p</w:t>
      </w:r>
      <w:r w:rsidR="003E4558" w:rsidRPr="00D40C27">
        <w:rPr>
          <w:rFonts w:eastAsia="SimSun"/>
          <w:bCs/>
          <w:color w:val="auto"/>
          <w:lang w:eastAsia="zh-CN"/>
        </w:rPr>
        <w:t xml:space="preserve"> = .</w:t>
      </w:r>
      <w:r w:rsidR="000C0F0D">
        <w:rPr>
          <w:rFonts w:eastAsia="SimSun"/>
          <w:bCs/>
          <w:color w:val="auto"/>
          <w:lang w:eastAsia="zh-CN"/>
        </w:rPr>
        <w:t>99</w:t>
      </w:r>
      <w:r w:rsidR="003E4558">
        <w:rPr>
          <w:rFonts w:eastAsia="Cambria"/>
          <w:color w:val="auto"/>
          <w:lang w:eastAsia="en-US"/>
        </w:rPr>
        <w:t xml:space="preserve">). </w:t>
      </w:r>
      <w:r w:rsidR="000C0F0D">
        <w:rPr>
          <w:rFonts w:eastAsia="Cambria"/>
          <w:color w:val="auto"/>
          <w:lang w:eastAsia="en-US"/>
        </w:rPr>
        <w:t>F</w:t>
      </w:r>
      <w:r w:rsidR="003E4558">
        <w:rPr>
          <w:rFonts w:eastAsia="Cambria"/>
          <w:color w:val="auto"/>
          <w:lang w:eastAsia="en-US"/>
        </w:rPr>
        <w:t>or the subsequent</w:t>
      </w:r>
      <w:r w:rsidR="000C0F0D">
        <w:rPr>
          <w:rFonts w:eastAsia="Cambria"/>
          <w:color w:val="auto"/>
          <w:lang w:eastAsia="en-US"/>
        </w:rPr>
        <w:t xml:space="preserve"> 2x2</w:t>
      </w:r>
      <w:r w:rsidR="003E4558">
        <w:rPr>
          <w:rFonts w:eastAsia="Cambria"/>
          <w:color w:val="auto"/>
          <w:lang w:eastAsia="en-US"/>
        </w:rPr>
        <w:t xml:space="preserve"> between-subject analysis, t</w:t>
      </w:r>
      <w:r w:rsidR="00C97C3F">
        <w:rPr>
          <w:rFonts w:eastAsia="Cambria"/>
          <w:color w:val="auto"/>
          <w:lang w:eastAsia="en-US"/>
        </w:rPr>
        <w:t xml:space="preserve">he variable of intended avoidance collected at pre-test was entered as a covariate </w:t>
      </w:r>
      <w:r w:rsidR="000C0F0D">
        <w:rPr>
          <w:rFonts w:eastAsia="Cambria"/>
          <w:color w:val="auto"/>
          <w:lang w:eastAsia="en-US"/>
        </w:rPr>
        <w:t>and the variable of intended avoidance at post-test was entered as outcome variable.</w:t>
      </w:r>
      <w:r w:rsidRPr="000215FF">
        <w:rPr>
          <w:rFonts w:eastAsia="Cambria"/>
          <w:color w:val="auto"/>
          <w:lang w:eastAsia="en-US"/>
        </w:rPr>
        <w:t xml:space="preserve"> </w:t>
      </w:r>
      <w:r w:rsidR="000C0F0D">
        <w:rPr>
          <w:rFonts w:eastAsia="Cambria"/>
          <w:color w:val="auto"/>
          <w:lang w:eastAsia="en-US"/>
        </w:rPr>
        <w:t>T</w:t>
      </w:r>
      <w:r w:rsidRPr="000215FF">
        <w:rPr>
          <w:rFonts w:eastAsia="Cambria"/>
          <w:color w:val="auto"/>
          <w:lang w:eastAsia="en-US"/>
        </w:rPr>
        <w:t xml:space="preserve">here was no significant effect of IC on intentions to avoid FD, </w:t>
      </w:r>
      <w:r w:rsidRPr="000215FF">
        <w:rPr>
          <w:rFonts w:eastAsia="Cambria"/>
          <w:i/>
          <w:color w:val="auto"/>
          <w:lang w:eastAsia="en-US"/>
        </w:rPr>
        <w:t>F</w:t>
      </w:r>
      <w:r w:rsidRPr="000215FF">
        <w:rPr>
          <w:rFonts w:eastAsia="Cambria"/>
          <w:color w:val="auto"/>
          <w:lang w:eastAsia="en-US"/>
        </w:rPr>
        <w:t xml:space="preserve">(4, 61) = 1.60, </w:t>
      </w:r>
      <w:r w:rsidRPr="000215FF">
        <w:rPr>
          <w:rFonts w:eastAsia="Cambria"/>
          <w:i/>
          <w:color w:val="auto"/>
          <w:lang w:eastAsia="en-US"/>
        </w:rPr>
        <w:t xml:space="preserve">p </w:t>
      </w:r>
      <w:r w:rsidRPr="000215FF">
        <w:rPr>
          <w:rFonts w:eastAsia="Cambria"/>
          <w:color w:val="auto"/>
          <w:lang w:eastAsia="en-US"/>
        </w:rPr>
        <w:t xml:space="preserve">= 0.15, ES = 0.15. However, there was a significant difference between evaluations of a mock CV of a person with </w:t>
      </w:r>
      <w:r w:rsidR="00C45376">
        <w:rPr>
          <w:rFonts w:eastAsia="Cambria"/>
          <w:color w:val="auto"/>
          <w:lang w:eastAsia="en-US"/>
        </w:rPr>
        <w:t>compared to the CV of an applicant</w:t>
      </w:r>
      <w:r w:rsidR="00C45376" w:rsidRPr="000215FF">
        <w:rPr>
          <w:rFonts w:eastAsia="Cambria"/>
          <w:color w:val="auto"/>
          <w:lang w:eastAsia="en-US"/>
        </w:rPr>
        <w:t xml:space="preserve"> </w:t>
      </w:r>
      <w:r w:rsidRPr="000215FF">
        <w:rPr>
          <w:rFonts w:eastAsia="Cambria"/>
          <w:color w:val="auto"/>
          <w:lang w:eastAsia="en-US"/>
        </w:rPr>
        <w:t xml:space="preserve">without FD, </w:t>
      </w:r>
      <w:r w:rsidRPr="000215FF">
        <w:rPr>
          <w:rFonts w:eastAsia="Cambria"/>
          <w:i/>
          <w:color w:val="auto"/>
          <w:lang w:eastAsia="en-US"/>
        </w:rPr>
        <w:t>F</w:t>
      </w:r>
      <w:r w:rsidRPr="000215FF">
        <w:rPr>
          <w:rFonts w:eastAsia="Cambria"/>
          <w:color w:val="auto"/>
          <w:lang w:eastAsia="en-US"/>
        </w:rPr>
        <w:t xml:space="preserve">(4, 61) = 13.10, </w:t>
      </w:r>
      <w:r w:rsidRPr="000215FF">
        <w:rPr>
          <w:rFonts w:eastAsia="Cambria"/>
          <w:i/>
          <w:color w:val="auto"/>
          <w:lang w:eastAsia="en-US"/>
        </w:rPr>
        <w:t xml:space="preserve">p </w:t>
      </w:r>
      <w:r w:rsidRPr="000215FF">
        <w:rPr>
          <w:rFonts w:eastAsia="Cambria"/>
          <w:color w:val="auto"/>
          <w:lang w:eastAsia="en-US"/>
        </w:rPr>
        <w:t xml:space="preserve">&lt; 0.001 ES=0.60. Furthermore, there was a significant interaction between IC conditions and evaluation of a FD mock application, </w:t>
      </w:r>
      <w:r w:rsidRPr="000215FF">
        <w:rPr>
          <w:rFonts w:eastAsia="Cambria"/>
          <w:i/>
          <w:color w:val="auto"/>
          <w:lang w:eastAsia="en-US"/>
        </w:rPr>
        <w:t>F</w:t>
      </w:r>
      <w:r w:rsidRPr="000215FF">
        <w:rPr>
          <w:rFonts w:eastAsia="Cambria"/>
          <w:color w:val="auto"/>
          <w:lang w:eastAsia="en-US"/>
        </w:rPr>
        <w:t xml:space="preserve">(4, 61) = 2.02, </w:t>
      </w:r>
      <w:r w:rsidRPr="000215FF">
        <w:rPr>
          <w:rFonts w:eastAsia="Cambria"/>
          <w:i/>
          <w:color w:val="auto"/>
          <w:lang w:eastAsia="en-US"/>
        </w:rPr>
        <w:t xml:space="preserve">p </w:t>
      </w:r>
      <w:r w:rsidRPr="000215FF">
        <w:rPr>
          <w:rFonts w:eastAsia="Cambria"/>
          <w:color w:val="auto"/>
          <w:lang w:eastAsia="en-US"/>
        </w:rPr>
        <w:t xml:space="preserve">&lt; 0.04 ES=0.20. See table </w:t>
      </w:r>
      <w:r w:rsidR="005404CD">
        <w:rPr>
          <w:rFonts w:eastAsia="Cambria"/>
          <w:color w:val="auto"/>
          <w:lang w:eastAsia="en-US"/>
        </w:rPr>
        <w:t>5.2</w:t>
      </w:r>
      <w:r w:rsidRPr="000215FF">
        <w:rPr>
          <w:rFonts w:eastAsia="Cambria"/>
          <w:color w:val="auto"/>
          <w:lang w:eastAsia="en-US"/>
        </w:rPr>
        <w:t xml:space="preserve"> for </w:t>
      </w:r>
      <w:r w:rsidR="00B32D9C">
        <w:rPr>
          <w:rFonts w:eastAsia="Cambria"/>
          <w:color w:val="auto"/>
          <w:lang w:eastAsia="en-US"/>
        </w:rPr>
        <w:t xml:space="preserve">the </w:t>
      </w:r>
      <w:r w:rsidRPr="000215FF">
        <w:rPr>
          <w:rFonts w:eastAsia="Cambria"/>
          <w:color w:val="auto"/>
          <w:lang w:eastAsia="en-US"/>
        </w:rPr>
        <w:t xml:space="preserve">estimated means. </w:t>
      </w:r>
    </w:p>
    <w:p w14:paraId="4D928E0D" w14:textId="77777777" w:rsidR="008471FC" w:rsidRDefault="008471FC" w:rsidP="008471FC">
      <w:pPr>
        <w:pStyle w:val="Tables"/>
        <w:spacing w:after="0" w:line="240" w:lineRule="auto"/>
        <w:rPr>
          <w:lang w:eastAsia="en-US"/>
        </w:rPr>
      </w:pPr>
      <w:bookmarkStart w:id="122" w:name="_Toc12024839"/>
    </w:p>
    <w:p w14:paraId="0A60657D" w14:textId="77777777" w:rsidR="005404CD" w:rsidRDefault="005404CD" w:rsidP="008471FC">
      <w:pPr>
        <w:pStyle w:val="Tables"/>
        <w:spacing w:after="0" w:line="240" w:lineRule="auto"/>
        <w:rPr>
          <w:lang w:eastAsia="en-US"/>
        </w:rPr>
      </w:pPr>
    </w:p>
    <w:p w14:paraId="2F222954" w14:textId="77777777" w:rsidR="005404CD" w:rsidRDefault="005404CD" w:rsidP="008471FC">
      <w:pPr>
        <w:pStyle w:val="Tables"/>
        <w:spacing w:after="0" w:line="240" w:lineRule="auto"/>
        <w:rPr>
          <w:lang w:eastAsia="en-US"/>
        </w:rPr>
      </w:pPr>
    </w:p>
    <w:p w14:paraId="4C9848D7" w14:textId="77777777" w:rsidR="005404CD" w:rsidRDefault="005404CD" w:rsidP="008471FC">
      <w:pPr>
        <w:pStyle w:val="Tables"/>
        <w:spacing w:after="0" w:line="240" w:lineRule="auto"/>
        <w:rPr>
          <w:lang w:eastAsia="en-US"/>
        </w:rPr>
      </w:pPr>
    </w:p>
    <w:p w14:paraId="092F4B55" w14:textId="77777777" w:rsidR="005404CD" w:rsidRDefault="005404CD" w:rsidP="008471FC">
      <w:pPr>
        <w:pStyle w:val="Tables"/>
        <w:spacing w:after="0" w:line="240" w:lineRule="auto"/>
        <w:rPr>
          <w:lang w:eastAsia="en-US"/>
        </w:rPr>
      </w:pPr>
    </w:p>
    <w:p w14:paraId="7669AC94" w14:textId="77777777" w:rsidR="00030B4C" w:rsidRDefault="00030B4C" w:rsidP="008471FC">
      <w:pPr>
        <w:pStyle w:val="Tables"/>
        <w:spacing w:after="0" w:line="240" w:lineRule="auto"/>
        <w:rPr>
          <w:lang w:eastAsia="en-US"/>
        </w:rPr>
      </w:pPr>
    </w:p>
    <w:p w14:paraId="4F0EAC84" w14:textId="77777777" w:rsidR="00030B4C" w:rsidRDefault="00030B4C" w:rsidP="008471FC">
      <w:pPr>
        <w:pStyle w:val="Tables"/>
        <w:spacing w:after="0" w:line="240" w:lineRule="auto"/>
        <w:rPr>
          <w:lang w:eastAsia="en-US"/>
        </w:rPr>
      </w:pPr>
    </w:p>
    <w:p w14:paraId="00FD1C73" w14:textId="77777777" w:rsidR="00030B4C" w:rsidRDefault="00030B4C" w:rsidP="008471FC">
      <w:pPr>
        <w:pStyle w:val="Tables"/>
        <w:spacing w:after="0" w:line="240" w:lineRule="auto"/>
        <w:rPr>
          <w:lang w:eastAsia="en-US"/>
        </w:rPr>
      </w:pPr>
    </w:p>
    <w:p w14:paraId="093908C0" w14:textId="77777777" w:rsidR="00030B4C" w:rsidRDefault="00030B4C" w:rsidP="008471FC">
      <w:pPr>
        <w:pStyle w:val="Tables"/>
        <w:spacing w:after="0" w:line="240" w:lineRule="auto"/>
        <w:rPr>
          <w:lang w:eastAsia="en-US"/>
        </w:rPr>
      </w:pPr>
    </w:p>
    <w:p w14:paraId="6C115E3A" w14:textId="77777777" w:rsidR="00030B4C" w:rsidRDefault="00030B4C" w:rsidP="008471FC">
      <w:pPr>
        <w:pStyle w:val="Tables"/>
        <w:spacing w:after="0" w:line="240" w:lineRule="auto"/>
        <w:rPr>
          <w:lang w:eastAsia="en-US"/>
        </w:rPr>
      </w:pPr>
    </w:p>
    <w:p w14:paraId="7158D06A" w14:textId="77777777" w:rsidR="005404CD" w:rsidRDefault="005404CD" w:rsidP="008471FC">
      <w:pPr>
        <w:pStyle w:val="Tables"/>
        <w:spacing w:after="0" w:line="240" w:lineRule="auto"/>
        <w:rPr>
          <w:lang w:eastAsia="en-US"/>
        </w:rPr>
      </w:pPr>
    </w:p>
    <w:p w14:paraId="774065F8" w14:textId="77777777" w:rsidR="005404CD" w:rsidRDefault="005404CD" w:rsidP="008471FC">
      <w:pPr>
        <w:pStyle w:val="Tables"/>
        <w:spacing w:after="0" w:line="240" w:lineRule="auto"/>
        <w:rPr>
          <w:lang w:eastAsia="en-US"/>
        </w:rPr>
      </w:pPr>
    </w:p>
    <w:p w14:paraId="7C94D7D9" w14:textId="77777777" w:rsidR="005404CD" w:rsidRDefault="005404CD" w:rsidP="008471FC">
      <w:pPr>
        <w:pStyle w:val="Tables"/>
        <w:spacing w:after="0" w:line="240" w:lineRule="auto"/>
        <w:rPr>
          <w:lang w:eastAsia="en-US"/>
        </w:rPr>
      </w:pPr>
    </w:p>
    <w:p w14:paraId="75298A4D" w14:textId="77777777" w:rsidR="005404CD" w:rsidRDefault="005404CD" w:rsidP="008471FC">
      <w:pPr>
        <w:pStyle w:val="Tables"/>
        <w:spacing w:after="0" w:line="240" w:lineRule="auto"/>
        <w:rPr>
          <w:lang w:eastAsia="en-US"/>
        </w:rPr>
      </w:pPr>
    </w:p>
    <w:tbl>
      <w:tblPr>
        <w:tblpPr w:leftFromText="180" w:rightFromText="180" w:vertAnchor="text" w:horzAnchor="margin" w:tblpXSpec="center" w:tblpY="466"/>
        <w:tblW w:w="9162" w:type="dxa"/>
        <w:tblLook w:val="04A0" w:firstRow="1" w:lastRow="0" w:firstColumn="1" w:lastColumn="0" w:noHBand="0" w:noVBand="1"/>
      </w:tblPr>
      <w:tblGrid>
        <w:gridCol w:w="2204"/>
        <w:gridCol w:w="959"/>
        <w:gridCol w:w="1523"/>
        <w:gridCol w:w="816"/>
        <w:gridCol w:w="816"/>
        <w:gridCol w:w="1349"/>
        <w:gridCol w:w="816"/>
        <w:gridCol w:w="816"/>
      </w:tblGrid>
      <w:tr w:rsidR="005404CD" w:rsidRPr="00D40C27" w14:paraId="7B9F160A" w14:textId="77777777" w:rsidTr="005404CD">
        <w:trPr>
          <w:trHeight w:val="274"/>
        </w:trPr>
        <w:tc>
          <w:tcPr>
            <w:tcW w:w="2204" w:type="dxa"/>
            <w:vMerge w:val="restart"/>
            <w:tcBorders>
              <w:top w:val="single" w:sz="4" w:space="0" w:color="auto"/>
              <w:left w:val="nil"/>
              <w:bottom w:val="single" w:sz="4" w:space="0" w:color="000000"/>
              <w:right w:val="nil"/>
            </w:tcBorders>
            <w:shd w:val="clear" w:color="auto" w:fill="auto"/>
            <w:noWrap/>
            <w:vAlign w:val="center"/>
            <w:hideMark/>
          </w:tcPr>
          <w:p w14:paraId="55ABB085"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rPr>
            </w:pPr>
            <w:r w:rsidRPr="00D40C27">
              <w:rPr>
                <w:rFonts w:eastAsia="Times New Roman"/>
              </w:rPr>
              <w:t>Post-test measure</w:t>
            </w:r>
          </w:p>
        </w:tc>
        <w:tc>
          <w:tcPr>
            <w:tcW w:w="959" w:type="dxa"/>
            <w:vMerge w:val="restart"/>
            <w:tcBorders>
              <w:top w:val="single" w:sz="4" w:space="0" w:color="auto"/>
              <w:left w:val="nil"/>
              <w:bottom w:val="single" w:sz="4" w:space="0" w:color="000000"/>
              <w:right w:val="nil"/>
            </w:tcBorders>
            <w:shd w:val="clear" w:color="auto" w:fill="auto"/>
            <w:noWrap/>
            <w:vAlign w:val="center"/>
            <w:hideMark/>
          </w:tcPr>
          <w:p w14:paraId="369FC49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Target</w:t>
            </w:r>
          </w:p>
        </w:tc>
        <w:tc>
          <w:tcPr>
            <w:tcW w:w="3087" w:type="dxa"/>
            <w:gridSpan w:val="3"/>
            <w:tcBorders>
              <w:top w:val="single" w:sz="4" w:space="0" w:color="auto"/>
              <w:left w:val="nil"/>
              <w:bottom w:val="single" w:sz="4" w:space="0" w:color="auto"/>
            </w:tcBorders>
            <w:shd w:val="clear" w:color="auto" w:fill="auto"/>
            <w:vAlign w:val="center"/>
            <w:hideMark/>
          </w:tcPr>
          <w:p w14:paraId="2A45D2B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Control IC</w:t>
            </w:r>
          </w:p>
        </w:tc>
        <w:tc>
          <w:tcPr>
            <w:tcW w:w="2912" w:type="dxa"/>
            <w:gridSpan w:val="3"/>
            <w:tcBorders>
              <w:top w:val="single" w:sz="4" w:space="0" w:color="auto"/>
              <w:bottom w:val="single" w:sz="4" w:space="0" w:color="auto"/>
              <w:right w:val="nil"/>
            </w:tcBorders>
            <w:shd w:val="clear" w:color="auto" w:fill="auto"/>
            <w:vAlign w:val="center"/>
            <w:hideMark/>
          </w:tcPr>
          <w:p w14:paraId="53B2562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Imagined Contact</w:t>
            </w:r>
          </w:p>
        </w:tc>
      </w:tr>
      <w:tr w:rsidR="005404CD" w:rsidRPr="00D40C27" w14:paraId="0365C52C" w14:textId="77777777" w:rsidTr="005404CD">
        <w:trPr>
          <w:trHeight w:val="274"/>
        </w:trPr>
        <w:tc>
          <w:tcPr>
            <w:tcW w:w="2204" w:type="dxa"/>
            <w:vMerge/>
            <w:tcBorders>
              <w:top w:val="nil"/>
              <w:left w:val="nil"/>
              <w:bottom w:val="single" w:sz="4" w:space="0" w:color="000000"/>
              <w:right w:val="nil"/>
            </w:tcBorders>
            <w:vAlign w:val="center"/>
            <w:hideMark/>
          </w:tcPr>
          <w:p w14:paraId="211D669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959" w:type="dxa"/>
            <w:vMerge/>
            <w:tcBorders>
              <w:top w:val="nil"/>
              <w:left w:val="nil"/>
              <w:bottom w:val="single" w:sz="4" w:space="0" w:color="000000"/>
              <w:right w:val="nil"/>
            </w:tcBorders>
            <w:vAlign w:val="center"/>
            <w:hideMark/>
          </w:tcPr>
          <w:p w14:paraId="7FF6349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1523" w:type="dxa"/>
            <w:vMerge w:val="restart"/>
            <w:tcBorders>
              <w:top w:val="single" w:sz="4" w:space="0" w:color="auto"/>
              <w:left w:val="nil"/>
              <w:right w:val="nil"/>
            </w:tcBorders>
            <w:shd w:val="clear" w:color="auto" w:fill="auto"/>
            <w:vAlign w:val="center"/>
            <w:hideMark/>
          </w:tcPr>
          <w:p w14:paraId="234BFDA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EM (SE)</w:t>
            </w:r>
          </w:p>
        </w:tc>
        <w:tc>
          <w:tcPr>
            <w:tcW w:w="1563" w:type="dxa"/>
            <w:gridSpan w:val="2"/>
            <w:tcBorders>
              <w:top w:val="single" w:sz="4" w:space="0" w:color="auto"/>
              <w:left w:val="nil"/>
              <w:right w:val="nil"/>
            </w:tcBorders>
            <w:shd w:val="clear" w:color="auto" w:fill="auto"/>
            <w:vAlign w:val="center"/>
            <w:hideMark/>
          </w:tcPr>
          <w:p w14:paraId="354F2BD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95% Confidence Interval</w:t>
            </w:r>
          </w:p>
        </w:tc>
        <w:tc>
          <w:tcPr>
            <w:tcW w:w="1349" w:type="dxa"/>
            <w:vMerge w:val="restart"/>
            <w:tcBorders>
              <w:top w:val="single" w:sz="4" w:space="0" w:color="auto"/>
              <w:left w:val="nil"/>
              <w:right w:val="nil"/>
            </w:tcBorders>
            <w:shd w:val="clear" w:color="auto" w:fill="auto"/>
            <w:vAlign w:val="center"/>
            <w:hideMark/>
          </w:tcPr>
          <w:p w14:paraId="3950A839"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EM (SE)</w:t>
            </w:r>
          </w:p>
        </w:tc>
        <w:tc>
          <w:tcPr>
            <w:tcW w:w="1563" w:type="dxa"/>
            <w:gridSpan w:val="2"/>
            <w:tcBorders>
              <w:top w:val="single" w:sz="4" w:space="0" w:color="auto"/>
              <w:left w:val="nil"/>
              <w:right w:val="nil"/>
            </w:tcBorders>
            <w:shd w:val="clear" w:color="auto" w:fill="auto"/>
            <w:vAlign w:val="center"/>
            <w:hideMark/>
          </w:tcPr>
          <w:p w14:paraId="66526E7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95% Confidence Interval</w:t>
            </w:r>
          </w:p>
        </w:tc>
      </w:tr>
      <w:tr w:rsidR="005404CD" w:rsidRPr="00D40C27" w14:paraId="73C9C13E" w14:textId="77777777" w:rsidTr="005404CD">
        <w:trPr>
          <w:trHeight w:val="274"/>
        </w:trPr>
        <w:tc>
          <w:tcPr>
            <w:tcW w:w="2204" w:type="dxa"/>
            <w:vMerge/>
            <w:tcBorders>
              <w:top w:val="nil"/>
              <w:left w:val="nil"/>
              <w:bottom w:val="single" w:sz="4" w:space="0" w:color="000000"/>
              <w:right w:val="nil"/>
            </w:tcBorders>
            <w:vAlign w:val="center"/>
            <w:hideMark/>
          </w:tcPr>
          <w:p w14:paraId="7249E3F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959" w:type="dxa"/>
            <w:vMerge/>
            <w:tcBorders>
              <w:top w:val="nil"/>
              <w:left w:val="nil"/>
              <w:bottom w:val="single" w:sz="4" w:space="0" w:color="000000"/>
              <w:right w:val="nil"/>
            </w:tcBorders>
            <w:vAlign w:val="center"/>
            <w:hideMark/>
          </w:tcPr>
          <w:p w14:paraId="17BADF9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1523" w:type="dxa"/>
            <w:vMerge/>
            <w:tcBorders>
              <w:left w:val="nil"/>
              <w:bottom w:val="single" w:sz="4" w:space="0" w:color="auto"/>
              <w:right w:val="nil"/>
            </w:tcBorders>
            <w:vAlign w:val="center"/>
            <w:hideMark/>
          </w:tcPr>
          <w:p w14:paraId="772120B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781" w:type="dxa"/>
            <w:tcBorders>
              <w:left w:val="nil"/>
              <w:bottom w:val="single" w:sz="4" w:space="0" w:color="auto"/>
              <w:right w:val="nil"/>
            </w:tcBorders>
            <w:shd w:val="clear" w:color="auto" w:fill="auto"/>
            <w:noWrap/>
            <w:vAlign w:val="center"/>
            <w:hideMark/>
          </w:tcPr>
          <w:p w14:paraId="4CF1CDE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Lower</w:t>
            </w:r>
          </w:p>
        </w:tc>
        <w:tc>
          <w:tcPr>
            <w:tcW w:w="781" w:type="dxa"/>
            <w:tcBorders>
              <w:left w:val="nil"/>
              <w:bottom w:val="single" w:sz="4" w:space="0" w:color="auto"/>
              <w:right w:val="nil"/>
            </w:tcBorders>
            <w:shd w:val="clear" w:color="auto" w:fill="auto"/>
            <w:noWrap/>
            <w:vAlign w:val="center"/>
            <w:hideMark/>
          </w:tcPr>
          <w:p w14:paraId="7375B9D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Upper</w:t>
            </w:r>
          </w:p>
        </w:tc>
        <w:tc>
          <w:tcPr>
            <w:tcW w:w="1349" w:type="dxa"/>
            <w:vMerge/>
            <w:tcBorders>
              <w:left w:val="nil"/>
              <w:bottom w:val="single" w:sz="4" w:space="0" w:color="000000"/>
              <w:right w:val="nil"/>
            </w:tcBorders>
            <w:vAlign w:val="center"/>
            <w:hideMark/>
          </w:tcPr>
          <w:p w14:paraId="0668390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color w:val="auto"/>
              </w:rPr>
            </w:pPr>
          </w:p>
        </w:tc>
        <w:tc>
          <w:tcPr>
            <w:tcW w:w="781" w:type="dxa"/>
            <w:tcBorders>
              <w:left w:val="nil"/>
              <w:bottom w:val="single" w:sz="4" w:space="0" w:color="auto"/>
              <w:right w:val="nil"/>
            </w:tcBorders>
            <w:shd w:val="clear" w:color="auto" w:fill="auto"/>
            <w:noWrap/>
            <w:vAlign w:val="center"/>
            <w:hideMark/>
          </w:tcPr>
          <w:p w14:paraId="676101E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Lower</w:t>
            </w:r>
          </w:p>
        </w:tc>
        <w:tc>
          <w:tcPr>
            <w:tcW w:w="781" w:type="dxa"/>
            <w:tcBorders>
              <w:left w:val="nil"/>
              <w:bottom w:val="single" w:sz="4" w:space="0" w:color="auto"/>
              <w:right w:val="nil"/>
            </w:tcBorders>
            <w:shd w:val="clear" w:color="auto" w:fill="auto"/>
            <w:noWrap/>
            <w:vAlign w:val="center"/>
            <w:hideMark/>
          </w:tcPr>
          <w:p w14:paraId="0F921F5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Upper</w:t>
            </w:r>
          </w:p>
        </w:tc>
      </w:tr>
      <w:tr w:rsidR="005404CD" w:rsidRPr="00D40C27" w14:paraId="6867F889" w14:textId="77777777" w:rsidTr="005404CD">
        <w:trPr>
          <w:trHeight w:val="274"/>
        </w:trPr>
        <w:tc>
          <w:tcPr>
            <w:tcW w:w="2204" w:type="dxa"/>
            <w:tcBorders>
              <w:top w:val="nil"/>
              <w:left w:val="nil"/>
              <w:bottom w:val="nil"/>
              <w:right w:val="nil"/>
            </w:tcBorders>
            <w:shd w:val="clear" w:color="auto" w:fill="auto"/>
            <w:noWrap/>
            <w:vAlign w:val="bottom"/>
            <w:hideMark/>
          </w:tcPr>
          <w:p w14:paraId="1E0769E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p>
        </w:tc>
        <w:tc>
          <w:tcPr>
            <w:tcW w:w="959" w:type="dxa"/>
            <w:tcBorders>
              <w:top w:val="nil"/>
              <w:left w:val="nil"/>
              <w:bottom w:val="nil"/>
              <w:right w:val="nil"/>
            </w:tcBorders>
            <w:shd w:val="clear" w:color="auto" w:fill="auto"/>
            <w:noWrap/>
            <w:vAlign w:val="center"/>
            <w:hideMark/>
          </w:tcPr>
          <w:p w14:paraId="1D76787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color w:val="auto"/>
              </w:rPr>
            </w:pPr>
          </w:p>
        </w:tc>
        <w:tc>
          <w:tcPr>
            <w:tcW w:w="1523" w:type="dxa"/>
            <w:tcBorders>
              <w:top w:val="nil"/>
              <w:left w:val="nil"/>
              <w:bottom w:val="nil"/>
              <w:right w:val="nil"/>
            </w:tcBorders>
            <w:shd w:val="clear" w:color="auto" w:fill="auto"/>
            <w:vAlign w:val="center"/>
            <w:hideMark/>
          </w:tcPr>
          <w:p w14:paraId="64F94EB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4B4EA81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2394394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1349" w:type="dxa"/>
            <w:tcBorders>
              <w:top w:val="nil"/>
              <w:left w:val="nil"/>
              <w:bottom w:val="nil"/>
              <w:right w:val="nil"/>
            </w:tcBorders>
            <w:shd w:val="clear" w:color="auto" w:fill="auto"/>
            <w:vAlign w:val="center"/>
            <w:hideMark/>
          </w:tcPr>
          <w:p w14:paraId="0865287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2BCF0DE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4154AC6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r>
      <w:tr w:rsidR="005404CD" w:rsidRPr="00D40C27" w14:paraId="30FDEFDF" w14:textId="77777777" w:rsidTr="005404CD">
        <w:trPr>
          <w:trHeight w:val="283"/>
        </w:trPr>
        <w:tc>
          <w:tcPr>
            <w:tcW w:w="2204" w:type="dxa"/>
            <w:tcBorders>
              <w:top w:val="nil"/>
              <w:left w:val="nil"/>
              <w:bottom w:val="nil"/>
              <w:right w:val="nil"/>
            </w:tcBorders>
            <w:shd w:val="clear" w:color="auto" w:fill="auto"/>
            <w:noWrap/>
            <w:vAlign w:val="bottom"/>
            <w:hideMark/>
          </w:tcPr>
          <w:p w14:paraId="77B6944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Intended avoidance</w:t>
            </w:r>
          </w:p>
        </w:tc>
        <w:tc>
          <w:tcPr>
            <w:tcW w:w="959" w:type="dxa"/>
            <w:tcBorders>
              <w:top w:val="nil"/>
              <w:left w:val="nil"/>
              <w:bottom w:val="nil"/>
              <w:right w:val="nil"/>
            </w:tcBorders>
            <w:shd w:val="clear" w:color="auto" w:fill="auto"/>
            <w:noWrap/>
            <w:vAlign w:val="center"/>
            <w:hideMark/>
          </w:tcPr>
          <w:p w14:paraId="3263794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523" w:type="dxa"/>
            <w:tcBorders>
              <w:top w:val="nil"/>
              <w:left w:val="nil"/>
              <w:bottom w:val="nil"/>
              <w:right w:val="nil"/>
            </w:tcBorders>
            <w:shd w:val="clear" w:color="auto" w:fill="auto"/>
            <w:vAlign w:val="center"/>
            <w:hideMark/>
          </w:tcPr>
          <w:p w14:paraId="2D317596"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5D78C39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7CF3AE3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1349" w:type="dxa"/>
            <w:tcBorders>
              <w:top w:val="nil"/>
              <w:left w:val="nil"/>
              <w:bottom w:val="nil"/>
              <w:right w:val="nil"/>
            </w:tcBorders>
            <w:shd w:val="clear" w:color="auto" w:fill="auto"/>
            <w:vAlign w:val="center"/>
            <w:hideMark/>
          </w:tcPr>
          <w:p w14:paraId="2B6EC58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539C8E3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80849A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r>
      <w:tr w:rsidR="005404CD" w:rsidRPr="00D40C27" w14:paraId="2CB512C2" w14:textId="77777777" w:rsidTr="005404CD">
        <w:trPr>
          <w:trHeight w:val="454"/>
        </w:trPr>
        <w:tc>
          <w:tcPr>
            <w:tcW w:w="2204" w:type="dxa"/>
            <w:tcBorders>
              <w:top w:val="nil"/>
              <w:left w:val="nil"/>
              <w:bottom w:val="nil"/>
              <w:right w:val="nil"/>
            </w:tcBorders>
            <w:shd w:val="clear" w:color="auto" w:fill="auto"/>
            <w:noWrap/>
            <w:vAlign w:val="bottom"/>
            <w:hideMark/>
          </w:tcPr>
          <w:p w14:paraId="18E808F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959" w:type="dxa"/>
            <w:tcBorders>
              <w:top w:val="nil"/>
              <w:left w:val="nil"/>
              <w:bottom w:val="nil"/>
              <w:right w:val="nil"/>
            </w:tcBorders>
            <w:shd w:val="clear" w:color="auto" w:fill="auto"/>
            <w:noWrap/>
            <w:vAlign w:val="center"/>
            <w:hideMark/>
          </w:tcPr>
          <w:p w14:paraId="18ABD19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Control</w:t>
            </w:r>
          </w:p>
        </w:tc>
        <w:tc>
          <w:tcPr>
            <w:tcW w:w="1523" w:type="dxa"/>
            <w:tcBorders>
              <w:top w:val="nil"/>
              <w:left w:val="nil"/>
              <w:bottom w:val="nil"/>
              <w:right w:val="nil"/>
            </w:tcBorders>
            <w:shd w:val="clear" w:color="auto" w:fill="auto"/>
            <w:noWrap/>
            <w:vAlign w:val="center"/>
            <w:hideMark/>
          </w:tcPr>
          <w:p w14:paraId="1294E8C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5.56(0.13)</w:t>
            </w:r>
          </w:p>
        </w:tc>
        <w:tc>
          <w:tcPr>
            <w:tcW w:w="781" w:type="dxa"/>
            <w:tcBorders>
              <w:top w:val="nil"/>
              <w:left w:val="nil"/>
              <w:bottom w:val="nil"/>
              <w:right w:val="nil"/>
            </w:tcBorders>
            <w:shd w:val="clear" w:color="auto" w:fill="auto"/>
            <w:noWrap/>
            <w:vAlign w:val="center"/>
            <w:hideMark/>
          </w:tcPr>
          <w:p w14:paraId="75B3AA8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5.302</w:t>
            </w:r>
          </w:p>
        </w:tc>
        <w:tc>
          <w:tcPr>
            <w:tcW w:w="781" w:type="dxa"/>
            <w:tcBorders>
              <w:top w:val="nil"/>
              <w:left w:val="nil"/>
              <w:bottom w:val="nil"/>
              <w:right w:val="nil"/>
            </w:tcBorders>
            <w:shd w:val="clear" w:color="auto" w:fill="auto"/>
            <w:noWrap/>
            <w:vAlign w:val="center"/>
            <w:hideMark/>
          </w:tcPr>
          <w:p w14:paraId="08A1133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5.822</w:t>
            </w:r>
          </w:p>
        </w:tc>
        <w:tc>
          <w:tcPr>
            <w:tcW w:w="1349" w:type="dxa"/>
            <w:tcBorders>
              <w:top w:val="nil"/>
              <w:left w:val="nil"/>
              <w:bottom w:val="nil"/>
              <w:right w:val="nil"/>
            </w:tcBorders>
            <w:shd w:val="clear" w:color="auto" w:fill="auto"/>
            <w:noWrap/>
            <w:vAlign w:val="center"/>
            <w:hideMark/>
          </w:tcPr>
          <w:p w14:paraId="266C1F7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5.78(0.11)</w:t>
            </w:r>
          </w:p>
        </w:tc>
        <w:tc>
          <w:tcPr>
            <w:tcW w:w="781" w:type="dxa"/>
            <w:tcBorders>
              <w:top w:val="nil"/>
              <w:left w:val="nil"/>
              <w:bottom w:val="nil"/>
              <w:right w:val="nil"/>
            </w:tcBorders>
            <w:shd w:val="clear" w:color="auto" w:fill="auto"/>
            <w:noWrap/>
            <w:vAlign w:val="center"/>
            <w:hideMark/>
          </w:tcPr>
          <w:p w14:paraId="1CFF1DC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5.547</w:t>
            </w:r>
          </w:p>
        </w:tc>
        <w:tc>
          <w:tcPr>
            <w:tcW w:w="781" w:type="dxa"/>
            <w:tcBorders>
              <w:top w:val="nil"/>
              <w:left w:val="nil"/>
              <w:bottom w:val="nil"/>
              <w:right w:val="nil"/>
            </w:tcBorders>
            <w:shd w:val="clear" w:color="auto" w:fill="auto"/>
            <w:noWrap/>
            <w:vAlign w:val="center"/>
            <w:hideMark/>
          </w:tcPr>
          <w:p w14:paraId="0226FC9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6.018</w:t>
            </w:r>
          </w:p>
        </w:tc>
      </w:tr>
      <w:tr w:rsidR="005404CD" w:rsidRPr="00D40C27" w14:paraId="6EF0AB69" w14:textId="77777777" w:rsidTr="005404CD">
        <w:trPr>
          <w:trHeight w:val="435"/>
        </w:trPr>
        <w:tc>
          <w:tcPr>
            <w:tcW w:w="2204" w:type="dxa"/>
            <w:tcBorders>
              <w:top w:val="nil"/>
              <w:left w:val="nil"/>
              <w:bottom w:val="nil"/>
              <w:right w:val="nil"/>
            </w:tcBorders>
            <w:shd w:val="clear" w:color="auto" w:fill="auto"/>
            <w:noWrap/>
            <w:vAlign w:val="bottom"/>
            <w:hideMark/>
          </w:tcPr>
          <w:p w14:paraId="399D778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p>
        </w:tc>
        <w:tc>
          <w:tcPr>
            <w:tcW w:w="959" w:type="dxa"/>
            <w:tcBorders>
              <w:top w:val="nil"/>
              <w:left w:val="nil"/>
              <w:bottom w:val="nil"/>
              <w:right w:val="nil"/>
            </w:tcBorders>
            <w:shd w:val="clear" w:color="auto" w:fill="auto"/>
            <w:noWrap/>
            <w:vAlign w:val="center"/>
            <w:hideMark/>
          </w:tcPr>
          <w:p w14:paraId="68FEE80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FD</w:t>
            </w:r>
          </w:p>
        </w:tc>
        <w:tc>
          <w:tcPr>
            <w:tcW w:w="1523" w:type="dxa"/>
            <w:tcBorders>
              <w:top w:val="nil"/>
              <w:left w:val="nil"/>
              <w:bottom w:val="nil"/>
              <w:right w:val="nil"/>
            </w:tcBorders>
            <w:shd w:val="clear" w:color="auto" w:fill="auto"/>
            <w:noWrap/>
            <w:vAlign w:val="center"/>
            <w:hideMark/>
          </w:tcPr>
          <w:p w14:paraId="16185606"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5.86(0.10)</w:t>
            </w:r>
          </w:p>
        </w:tc>
        <w:tc>
          <w:tcPr>
            <w:tcW w:w="781" w:type="dxa"/>
            <w:tcBorders>
              <w:top w:val="nil"/>
              <w:left w:val="nil"/>
              <w:bottom w:val="nil"/>
              <w:right w:val="nil"/>
            </w:tcBorders>
            <w:shd w:val="clear" w:color="auto" w:fill="auto"/>
            <w:noWrap/>
            <w:vAlign w:val="center"/>
            <w:hideMark/>
          </w:tcPr>
          <w:p w14:paraId="3EA8D2D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5.650</w:t>
            </w:r>
          </w:p>
        </w:tc>
        <w:tc>
          <w:tcPr>
            <w:tcW w:w="781" w:type="dxa"/>
            <w:tcBorders>
              <w:top w:val="nil"/>
              <w:left w:val="nil"/>
              <w:bottom w:val="nil"/>
              <w:right w:val="nil"/>
            </w:tcBorders>
            <w:shd w:val="clear" w:color="auto" w:fill="auto"/>
            <w:noWrap/>
            <w:vAlign w:val="center"/>
            <w:hideMark/>
          </w:tcPr>
          <w:p w14:paraId="6DAE21F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6.085</w:t>
            </w:r>
          </w:p>
        </w:tc>
        <w:tc>
          <w:tcPr>
            <w:tcW w:w="1349" w:type="dxa"/>
            <w:tcBorders>
              <w:top w:val="nil"/>
              <w:left w:val="nil"/>
              <w:bottom w:val="nil"/>
              <w:right w:val="nil"/>
            </w:tcBorders>
            <w:shd w:val="clear" w:color="auto" w:fill="auto"/>
            <w:noWrap/>
            <w:vAlign w:val="center"/>
            <w:hideMark/>
          </w:tcPr>
          <w:p w14:paraId="4C5A6EC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5.88(0.10)</w:t>
            </w:r>
          </w:p>
        </w:tc>
        <w:tc>
          <w:tcPr>
            <w:tcW w:w="781" w:type="dxa"/>
            <w:tcBorders>
              <w:top w:val="nil"/>
              <w:left w:val="nil"/>
              <w:bottom w:val="nil"/>
              <w:right w:val="nil"/>
            </w:tcBorders>
            <w:shd w:val="clear" w:color="auto" w:fill="auto"/>
            <w:noWrap/>
            <w:vAlign w:val="center"/>
            <w:hideMark/>
          </w:tcPr>
          <w:p w14:paraId="4458A4F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5.668</w:t>
            </w:r>
          </w:p>
        </w:tc>
        <w:tc>
          <w:tcPr>
            <w:tcW w:w="781" w:type="dxa"/>
            <w:tcBorders>
              <w:top w:val="nil"/>
              <w:left w:val="nil"/>
              <w:bottom w:val="nil"/>
              <w:right w:val="nil"/>
            </w:tcBorders>
            <w:shd w:val="clear" w:color="auto" w:fill="auto"/>
            <w:noWrap/>
            <w:vAlign w:val="center"/>
            <w:hideMark/>
          </w:tcPr>
          <w:p w14:paraId="17BDFF1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6.092</w:t>
            </w:r>
          </w:p>
        </w:tc>
      </w:tr>
      <w:tr w:rsidR="005404CD" w:rsidRPr="00D40C27" w14:paraId="7F1DFE0E" w14:textId="77777777" w:rsidTr="005404CD">
        <w:trPr>
          <w:trHeight w:val="274"/>
        </w:trPr>
        <w:tc>
          <w:tcPr>
            <w:tcW w:w="2204" w:type="dxa"/>
            <w:tcBorders>
              <w:top w:val="nil"/>
              <w:left w:val="nil"/>
              <w:bottom w:val="nil"/>
              <w:right w:val="nil"/>
            </w:tcBorders>
            <w:shd w:val="clear" w:color="auto" w:fill="auto"/>
            <w:noWrap/>
            <w:vAlign w:val="bottom"/>
            <w:hideMark/>
          </w:tcPr>
          <w:p w14:paraId="21ECDDF9"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p>
        </w:tc>
        <w:tc>
          <w:tcPr>
            <w:tcW w:w="959" w:type="dxa"/>
            <w:tcBorders>
              <w:top w:val="nil"/>
              <w:left w:val="nil"/>
              <w:bottom w:val="nil"/>
              <w:right w:val="nil"/>
            </w:tcBorders>
            <w:shd w:val="clear" w:color="auto" w:fill="auto"/>
            <w:noWrap/>
            <w:vAlign w:val="center"/>
            <w:hideMark/>
          </w:tcPr>
          <w:p w14:paraId="170C52A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color w:val="auto"/>
              </w:rPr>
            </w:pPr>
          </w:p>
        </w:tc>
        <w:tc>
          <w:tcPr>
            <w:tcW w:w="1523" w:type="dxa"/>
            <w:tcBorders>
              <w:top w:val="nil"/>
              <w:left w:val="nil"/>
              <w:bottom w:val="nil"/>
              <w:right w:val="nil"/>
            </w:tcBorders>
            <w:shd w:val="clear" w:color="auto" w:fill="auto"/>
            <w:noWrap/>
            <w:vAlign w:val="center"/>
            <w:hideMark/>
          </w:tcPr>
          <w:p w14:paraId="4ECAB4A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5181D73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7D2A43A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1349" w:type="dxa"/>
            <w:tcBorders>
              <w:top w:val="nil"/>
              <w:left w:val="nil"/>
              <w:bottom w:val="nil"/>
              <w:right w:val="nil"/>
            </w:tcBorders>
            <w:shd w:val="clear" w:color="auto" w:fill="auto"/>
            <w:noWrap/>
            <w:vAlign w:val="center"/>
            <w:hideMark/>
          </w:tcPr>
          <w:p w14:paraId="597336D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40C8F3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60DFA73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r>
      <w:tr w:rsidR="005404CD" w:rsidRPr="00D40C27" w14:paraId="744F8427" w14:textId="77777777" w:rsidTr="005404CD">
        <w:trPr>
          <w:trHeight w:val="435"/>
        </w:trPr>
        <w:tc>
          <w:tcPr>
            <w:tcW w:w="2204" w:type="dxa"/>
            <w:tcBorders>
              <w:top w:val="nil"/>
              <w:left w:val="nil"/>
              <w:bottom w:val="nil"/>
              <w:right w:val="nil"/>
            </w:tcBorders>
            <w:shd w:val="clear" w:color="auto" w:fill="auto"/>
            <w:noWrap/>
            <w:vAlign w:val="bottom"/>
            <w:hideMark/>
          </w:tcPr>
          <w:p w14:paraId="3CA8579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Work Competence</w:t>
            </w:r>
          </w:p>
        </w:tc>
        <w:tc>
          <w:tcPr>
            <w:tcW w:w="959" w:type="dxa"/>
            <w:tcBorders>
              <w:top w:val="nil"/>
              <w:left w:val="nil"/>
              <w:bottom w:val="nil"/>
              <w:right w:val="nil"/>
            </w:tcBorders>
            <w:shd w:val="clear" w:color="auto" w:fill="auto"/>
            <w:noWrap/>
            <w:vAlign w:val="center"/>
            <w:hideMark/>
          </w:tcPr>
          <w:p w14:paraId="213458E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523" w:type="dxa"/>
            <w:tcBorders>
              <w:top w:val="nil"/>
              <w:left w:val="nil"/>
              <w:bottom w:val="nil"/>
              <w:right w:val="nil"/>
            </w:tcBorders>
            <w:shd w:val="clear" w:color="auto" w:fill="auto"/>
            <w:noWrap/>
            <w:vAlign w:val="center"/>
            <w:hideMark/>
          </w:tcPr>
          <w:p w14:paraId="7042653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E32A329"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7AA392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1349" w:type="dxa"/>
            <w:tcBorders>
              <w:top w:val="nil"/>
              <w:left w:val="nil"/>
              <w:bottom w:val="nil"/>
              <w:right w:val="nil"/>
            </w:tcBorders>
            <w:shd w:val="clear" w:color="auto" w:fill="auto"/>
            <w:noWrap/>
            <w:vAlign w:val="center"/>
            <w:hideMark/>
          </w:tcPr>
          <w:p w14:paraId="18607906"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480F907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1825919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r>
      <w:tr w:rsidR="005404CD" w:rsidRPr="00D40C27" w14:paraId="6DFC0952" w14:textId="77777777" w:rsidTr="005404CD">
        <w:trPr>
          <w:trHeight w:val="274"/>
        </w:trPr>
        <w:tc>
          <w:tcPr>
            <w:tcW w:w="2204" w:type="dxa"/>
            <w:tcBorders>
              <w:top w:val="nil"/>
              <w:left w:val="nil"/>
              <w:bottom w:val="nil"/>
              <w:right w:val="nil"/>
            </w:tcBorders>
            <w:shd w:val="clear" w:color="auto" w:fill="auto"/>
            <w:noWrap/>
            <w:vAlign w:val="bottom"/>
            <w:hideMark/>
          </w:tcPr>
          <w:p w14:paraId="298DC9C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959" w:type="dxa"/>
            <w:tcBorders>
              <w:top w:val="nil"/>
              <w:left w:val="nil"/>
              <w:bottom w:val="nil"/>
              <w:right w:val="nil"/>
            </w:tcBorders>
            <w:shd w:val="clear" w:color="auto" w:fill="auto"/>
            <w:noWrap/>
            <w:vAlign w:val="center"/>
            <w:hideMark/>
          </w:tcPr>
          <w:p w14:paraId="3F818EB6"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Control</w:t>
            </w:r>
          </w:p>
        </w:tc>
        <w:tc>
          <w:tcPr>
            <w:tcW w:w="1523" w:type="dxa"/>
            <w:tcBorders>
              <w:top w:val="nil"/>
              <w:left w:val="nil"/>
              <w:bottom w:val="nil"/>
              <w:right w:val="nil"/>
            </w:tcBorders>
            <w:shd w:val="clear" w:color="auto" w:fill="auto"/>
            <w:noWrap/>
            <w:vAlign w:val="center"/>
            <w:hideMark/>
          </w:tcPr>
          <w:p w14:paraId="684CAC4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4.90(0.12)</w:t>
            </w:r>
          </w:p>
        </w:tc>
        <w:tc>
          <w:tcPr>
            <w:tcW w:w="781" w:type="dxa"/>
            <w:tcBorders>
              <w:top w:val="nil"/>
              <w:left w:val="nil"/>
              <w:bottom w:val="nil"/>
              <w:right w:val="nil"/>
            </w:tcBorders>
            <w:shd w:val="clear" w:color="auto" w:fill="auto"/>
            <w:noWrap/>
            <w:vAlign w:val="center"/>
            <w:hideMark/>
          </w:tcPr>
          <w:p w14:paraId="607A7A5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4.649</w:t>
            </w:r>
          </w:p>
        </w:tc>
        <w:tc>
          <w:tcPr>
            <w:tcW w:w="781" w:type="dxa"/>
            <w:tcBorders>
              <w:top w:val="nil"/>
              <w:left w:val="nil"/>
              <w:bottom w:val="nil"/>
              <w:right w:val="nil"/>
            </w:tcBorders>
            <w:shd w:val="clear" w:color="auto" w:fill="auto"/>
            <w:noWrap/>
            <w:vAlign w:val="center"/>
            <w:hideMark/>
          </w:tcPr>
          <w:p w14:paraId="55B4EF5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5.164</w:t>
            </w:r>
          </w:p>
        </w:tc>
        <w:tc>
          <w:tcPr>
            <w:tcW w:w="1349" w:type="dxa"/>
            <w:tcBorders>
              <w:top w:val="nil"/>
              <w:left w:val="nil"/>
              <w:bottom w:val="nil"/>
              <w:right w:val="nil"/>
            </w:tcBorders>
            <w:shd w:val="clear" w:color="auto" w:fill="auto"/>
            <w:noWrap/>
            <w:vAlign w:val="center"/>
            <w:hideMark/>
          </w:tcPr>
          <w:p w14:paraId="194EC73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4.91(0.11)</w:t>
            </w:r>
          </w:p>
        </w:tc>
        <w:tc>
          <w:tcPr>
            <w:tcW w:w="781" w:type="dxa"/>
            <w:tcBorders>
              <w:top w:val="nil"/>
              <w:left w:val="nil"/>
              <w:bottom w:val="nil"/>
              <w:right w:val="nil"/>
            </w:tcBorders>
            <w:shd w:val="clear" w:color="auto" w:fill="auto"/>
            <w:noWrap/>
            <w:vAlign w:val="center"/>
            <w:hideMark/>
          </w:tcPr>
          <w:p w14:paraId="7E3DE81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4.702</w:t>
            </w:r>
          </w:p>
        </w:tc>
        <w:tc>
          <w:tcPr>
            <w:tcW w:w="781" w:type="dxa"/>
            <w:tcBorders>
              <w:top w:val="nil"/>
              <w:left w:val="nil"/>
              <w:bottom w:val="nil"/>
              <w:right w:val="nil"/>
            </w:tcBorders>
            <w:shd w:val="clear" w:color="auto" w:fill="auto"/>
            <w:noWrap/>
            <w:vAlign w:val="center"/>
            <w:hideMark/>
          </w:tcPr>
          <w:p w14:paraId="27FE9DE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5.134</w:t>
            </w:r>
          </w:p>
        </w:tc>
      </w:tr>
      <w:tr w:rsidR="005404CD" w:rsidRPr="00D40C27" w14:paraId="5C71A47D" w14:textId="77777777" w:rsidTr="005404CD">
        <w:trPr>
          <w:trHeight w:val="435"/>
        </w:trPr>
        <w:tc>
          <w:tcPr>
            <w:tcW w:w="2204" w:type="dxa"/>
            <w:tcBorders>
              <w:top w:val="nil"/>
              <w:left w:val="nil"/>
              <w:bottom w:val="nil"/>
              <w:right w:val="nil"/>
            </w:tcBorders>
            <w:shd w:val="clear" w:color="auto" w:fill="auto"/>
            <w:noWrap/>
            <w:vAlign w:val="bottom"/>
            <w:hideMark/>
          </w:tcPr>
          <w:p w14:paraId="78FE724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p>
        </w:tc>
        <w:tc>
          <w:tcPr>
            <w:tcW w:w="959" w:type="dxa"/>
            <w:tcBorders>
              <w:top w:val="nil"/>
              <w:left w:val="nil"/>
              <w:bottom w:val="nil"/>
              <w:right w:val="nil"/>
            </w:tcBorders>
            <w:shd w:val="clear" w:color="auto" w:fill="auto"/>
            <w:noWrap/>
            <w:vAlign w:val="center"/>
            <w:hideMark/>
          </w:tcPr>
          <w:p w14:paraId="5473897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FD</w:t>
            </w:r>
          </w:p>
        </w:tc>
        <w:tc>
          <w:tcPr>
            <w:tcW w:w="1523" w:type="dxa"/>
            <w:tcBorders>
              <w:top w:val="nil"/>
              <w:left w:val="nil"/>
              <w:bottom w:val="nil"/>
              <w:right w:val="nil"/>
            </w:tcBorders>
            <w:shd w:val="clear" w:color="auto" w:fill="auto"/>
            <w:noWrap/>
            <w:vAlign w:val="center"/>
            <w:hideMark/>
          </w:tcPr>
          <w:p w14:paraId="6F6DEC4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5.23(0.11)</w:t>
            </w:r>
          </w:p>
        </w:tc>
        <w:tc>
          <w:tcPr>
            <w:tcW w:w="781" w:type="dxa"/>
            <w:tcBorders>
              <w:top w:val="nil"/>
              <w:left w:val="nil"/>
              <w:bottom w:val="nil"/>
              <w:right w:val="nil"/>
            </w:tcBorders>
            <w:shd w:val="clear" w:color="auto" w:fill="auto"/>
            <w:noWrap/>
            <w:vAlign w:val="center"/>
            <w:hideMark/>
          </w:tcPr>
          <w:p w14:paraId="670D58C5"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4.997</w:t>
            </w:r>
          </w:p>
        </w:tc>
        <w:tc>
          <w:tcPr>
            <w:tcW w:w="781" w:type="dxa"/>
            <w:tcBorders>
              <w:top w:val="nil"/>
              <w:left w:val="nil"/>
              <w:bottom w:val="nil"/>
              <w:right w:val="nil"/>
            </w:tcBorders>
            <w:shd w:val="clear" w:color="auto" w:fill="auto"/>
            <w:noWrap/>
            <w:vAlign w:val="center"/>
            <w:hideMark/>
          </w:tcPr>
          <w:p w14:paraId="061371C9"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5.464</w:t>
            </w:r>
          </w:p>
        </w:tc>
        <w:tc>
          <w:tcPr>
            <w:tcW w:w="1349" w:type="dxa"/>
            <w:tcBorders>
              <w:top w:val="nil"/>
              <w:left w:val="nil"/>
              <w:bottom w:val="nil"/>
              <w:right w:val="nil"/>
            </w:tcBorders>
            <w:shd w:val="clear" w:color="auto" w:fill="auto"/>
            <w:noWrap/>
            <w:vAlign w:val="center"/>
            <w:hideMark/>
          </w:tcPr>
          <w:p w14:paraId="3300D4E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5.26(0.10)</w:t>
            </w:r>
          </w:p>
        </w:tc>
        <w:tc>
          <w:tcPr>
            <w:tcW w:w="781" w:type="dxa"/>
            <w:tcBorders>
              <w:top w:val="nil"/>
              <w:left w:val="nil"/>
              <w:bottom w:val="nil"/>
              <w:right w:val="nil"/>
            </w:tcBorders>
            <w:shd w:val="clear" w:color="auto" w:fill="auto"/>
            <w:noWrap/>
            <w:vAlign w:val="center"/>
            <w:hideMark/>
          </w:tcPr>
          <w:p w14:paraId="41F58F0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5.056</w:t>
            </w:r>
          </w:p>
        </w:tc>
        <w:tc>
          <w:tcPr>
            <w:tcW w:w="781" w:type="dxa"/>
            <w:tcBorders>
              <w:top w:val="nil"/>
              <w:left w:val="nil"/>
              <w:bottom w:val="nil"/>
              <w:right w:val="nil"/>
            </w:tcBorders>
            <w:shd w:val="clear" w:color="auto" w:fill="auto"/>
            <w:noWrap/>
            <w:vAlign w:val="center"/>
            <w:hideMark/>
          </w:tcPr>
          <w:p w14:paraId="047D780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5.477</w:t>
            </w:r>
          </w:p>
        </w:tc>
      </w:tr>
      <w:tr w:rsidR="005404CD" w:rsidRPr="00D40C27" w14:paraId="7AA10AE1" w14:textId="77777777" w:rsidTr="005404CD">
        <w:trPr>
          <w:trHeight w:val="274"/>
        </w:trPr>
        <w:tc>
          <w:tcPr>
            <w:tcW w:w="2204" w:type="dxa"/>
            <w:tcBorders>
              <w:top w:val="nil"/>
              <w:left w:val="nil"/>
              <w:bottom w:val="nil"/>
              <w:right w:val="nil"/>
            </w:tcBorders>
            <w:shd w:val="clear" w:color="auto" w:fill="auto"/>
            <w:noWrap/>
            <w:vAlign w:val="bottom"/>
            <w:hideMark/>
          </w:tcPr>
          <w:p w14:paraId="0EC03F5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Social Potency</w:t>
            </w:r>
          </w:p>
        </w:tc>
        <w:tc>
          <w:tcPr>
            <w:tcW w:w="959" w:type="dxa"/>
            <w:tcBorders>
              <w:top w:val="nil"/>
              <w:left w:val="nil"/>
              <w:bottom w:val="nil"/>
              <w:right w:val="nil"/>
            </w:tcBorders>
            <w:shd w:val="clear" w:color="auto" w:fill="auto"/>
            <w:noWrap/>
            <w:vAlign w:val="center"/>
            <w:hideMark/>
          </w:tcPr>
          <w:p w14:paraId="004B47C6"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523" w:type="dxa"/>
            <w:tcBorders>
              <w:top w:val="nil"/>
              <w:left w:val="nil"/>
              <w:bottom w:val="nil"/>
              <w:right w:val="nil"/>
            </w:tcBorders>
            <w:shd w:val="clear" w:color="auto" w:fill="auto"/>
            <w:noWrap/>
            <w:vAlign w:val="center"/>
            <w:hideMark/>
          </w:tcPr>
          <w:p w14:paraId="630D35D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0CD875A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6726F83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1349" w:type="dxa"/>
            <w:tcBorders>
              <w:top w:val="nil"/>
              <w:left w:val="nil"/>
              <w:bottom w:val="nil"/>
              <w:right w:val="nil"/>
            </w:tcBorders>
            <w:shd w:val="clear" w:color="auto" w:fill="auto"/>
            <w:noWrap/>
            <w:vAlign w:val="center"/>
            <w:hideMark/>
          </w:tcPr>
          <w:p w14:paraId="5D0C25D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613E81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4BABAE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r>
      <w:tr w:rsidR="005404CD" w:rsidRPr="00D40C27" w14:paraId="0051F076" w14:textId="77777777" w:rsidTr="005404CD">
        <w:trPr>
          <w:trHeight w:val="435"/>
        </w:trPr>
        <w:tc>
          <w:tcPr>
            <w:tcW w:w="2204" w:type="dxa"/>
            <w:tcBorders>
              <w:top w:val="nil"/>
              <w:left w:val="nil"/>
              <w:bottom w:val="nil"/>
              <w:right w:val="nil"/>
            </w:tcBorders>
            <w:shd w:val="clear" w:color="auto" w:fill="auto"/>
            <w:noWrap/>
            <w:vAlign w:val="bottom"/>
            <w:hideMark/>
          </w:tcPr>
          <w:p w14:paraId="0F2B4736"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959" w:type="dxa"/>
            <w:tcBorders>
              <w:top w:val="nil"/>
              <w:left w:val="nil"/>
              <w:bottom w:val="nil"/>
              <w:right w:val="nil"/>
            </w:tcBorders>
            <w:shd w:val="clear" w:color="auto" w:fill="auto"/>
            <w:noWrap/>
            <w:vAlign w:val="center"/>
            <w:hideMark/>
          </w:tcPr>
          <w:p w14:paraId="0A57A4A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Control</w:t>
            </w:r>
          </w:p>
        </w:tc>
        <w:tc>
          <w:tcPr>
            <w:tcW w:w="1523" w:type="dxa"/>
            <w:tcBorders>
              <w:top w:val="nil"/>
              <w:left w:val="nil"/>
              <w:bottom w:val="nil"/>
              <w:right w:val="nil"/>
            </w:tcBorders>
            <w:shd w:val="clear" w:color="auto" w:fill="auto"/>
            <w:noWrap/>
            <w:vAlign w:val="center"/>
            <w:hideMark/>
          </w:tcPr>
          <w:p w14:paraId="5F538F4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4.7(0.14)</w:t>
            </w:r>
          </w:p>
        </w:tc>
        <w:tc>
          <w:tcPr>
            <w:tcW w:w="781" w:type="dxa"/>
            <w:tcBorders>
              <w:top w:val="nil"/>
              <w:left w:val="nil"/>
              <w:bottom w:val="nil"/>
              <w:right w:val="nil"/>
            </w:tcBorders>
            <w:shd w:val="clear" w:color="auto" w:fill="auto"/>
            <w:noWrap/>
            <w:vAlign w:val="center"/>
            <w:hideMark/>
          </w:tcPr>
          <w:p w14:paraId="23AD5C8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4.476</w:t>
            </w:r>
          </w:p>
        </w:tc>
        <w:tc>
          <w:tcPr>
            <w:tcW w:w="781" w:type="dxa"/>
            <w:tcBorders>
              <w:top w:val="nil"/>
              <w:left w:val="nil"/>
              <w:bottom w:val="nil"/>
              <w:right w:val="nil"/>
            </w:tcBorders>
            <w:shd w:val="clear" w:color="auto" w:fill="auto"/>
            <w:noWrap/>
            <w:vAlign w:val="center"/>
            <w:hideMark/>
          </w:tcPr>
          <w:p w14:paraId="4CC2B16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5.061</w:t>
            </w:r>
          </w:p>
        </w:tc>
        <w:tc>
          <w:tcPr>
            <w:tcW w:w="1349" w:type="dxa"/>
            <w:tcBorders>
              <w:top w:val="nil"/>
              <w:left w:val="nil"/>
              <w:bottom w:val="nil"/>
              <w:right w:val="nil"/>
            </w:tcBorders>
            <w:shd w:val="clear" w:color="auto" w:fill="auto"/>
            <w:noWrap/>
            <w:vAlign w:val="center"/>
            <w:hideMark/>
          </w:tcPr>
          <w:p w14:paraId="641CB5E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4.41(0.12)</w:t>
            </w:r>
          </w:p>
        </w:tc>
        <w:tc>
          <w:tcPr>
            <w:tcW w:w="781" w:type="dxa"/>
            <w:tcBorders>
              <w:top w:val="nil"/>
              <w:left w:val="nil"/>
              <w:bottom w:val="nil"/>
              <w:right w:val="nil"/>
            </w:tcBorders>
            <w:shd w:val="clear" w:color="auto" w:fill="auto"/>
            <w:noWrap/>
            <w:vAlign w:val="center"/>
            <w:hideMark/>
          </w:tcPr>
          <w:p w14:paraId="3C7A3D1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4.171</w:t>
            </w:r>
          </w:p>
        </w:tc>
        <w:tc>
          <w:tcPr>
            <w:tcW w:w="781" w:type="dxa"/>
            <w:tcBorders>
              <w:top w:val="nil"/>
              <w:left w:val="nil"/>
              <w:bottom w:val="nil"/>
              <w:right w:val="nil"/>
            </w:tcBorders>
            <w:shd w:val="clear" w:color="auto" w:fill="auto"/>
            <w:noWrap/>
            <w:vAlign w:val="center"/>
            <w:hideMark/>
          </w:tcPr>
          <w:p w14:paraId="3885CE8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4.661</w:t>
            </w:r>
          </w:p>
        </w:tc>
      </w:tr>
      <w:tr w:rsidR="005404CD" w:rsidRPr="00D40C27" w14:paraId="42359236" w14:textId="77777777" w:rsidTr="005404CD">
        <w:trPr>
          <w:trHeight w:val="274"/>
        </w:trPr>
        <w:tc>
          <w:tcPr>
            <w:tcW w:w="2204" w:type="dxa"/>
            <w:tcBorders>
              <w:top w:val="nil"/>
              <w:left w:val="nil"/>
              <w:bottom w:val="nil"/>
              <w:right w:val="nil"/>
            </w:tcBorders>
            <w:shd w:val="clear" w:color="auto" w:fill="auto"/>
            <w:noWrap/>
            <w:vAlign w:val="bottom"/>
            <w:hideMark/>
          </w:tcPr>
          <w:p w14:paraId="62828E4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p>
        </w:tc>
        <w:tc>
          <w:tcPr>
            <w:tcW w:w="959" w:type="dxa"/>
            <w:tcBorders>
              <w:top w:val="nil"/>
              <w:left w:val="nil"/>
              <w:bottom w:val="nil"/>
              <w:right w:val="nil"/>
            </w:tcBorders>
            <w:shd w:val="clear" w:color="auto" w:fill="auto"/>
            <w:noWrap/>
            <w:vAlign w:val="center"/>
            <w:hideMark/>
          </w:tcPr>
          <w:p w14:paraId="4599D2A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FD</w:t>
            </w:r>
          </w:p>
        </w:tc>
        <w:tc>
          <w:tcPr>
            <w:tcW w:w="1523" w:type="dxa"/>
            <w:tcBorders>
              <w:top w:val="nil"/>
              <w:left w:val="nil"/>
              <w:bottom w:val="nil"/>
              <w:right w:val="nil"/>
            </w:tcBorders>
            <w:shd w:val="clear" w:color="auto" w:fill="auto"/>
            <w:noWrap/>
            <w:vAlign w:val="center"/>
            <w:hideMark/>
          </w:tcPr>
          <w:p w14:paraId="3932244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4.70(0.13)</w:t>
            </w:r>
          </w:p>
        </w:tc>
        <w:tc>
          <w:tcPr>
            <w:tcW w:w="781" w:type="dxa"/>
            <w:tcBorders>
              <w:top w:val="nil"/>
              <w:left w:val="nil"/>
              <w:bottom w:val="nil"/>
              <w:right w:val="nil"/>
            </w:tcBorders>
            <w:shd w:val="clear" w:color="auto" w:fill="auto"/>
            <w:noWrap/>
            <w:vAlign w:val="center"/>
            <w:hideMark/>
          </w:tcPr>
          <w:p w14:paraId="53A5D38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4.434</w:t>
            </w:r>
          </w:p>
        </w:tc>
        <w:tc>
          <w:tcPr>
            <w:tcW w:w="781" w:type="dxa"/>
            <w:tcBorders>
              <w:top w:val="nil"/>
              <w:left w:val="nil"/>
              <w:bottom w:val="nil"/>
              <w:right w:val="nil"/>
            </w:tcBorders>
            <w:shd w:val="clear" w:color="auto" w:fill="auto"/>
            <w:noWrap/>
            <w:vAlign w:val="center"/>
            <w:hideMark/>
          </w:tcPr>
          <w:p w14:paraId="1BB12DA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4.965</w:t>
            </w:r>
          </w:p>
        </w:tc>
        <w:tc>
          <w:tcPr>
            <w:tcW w:w="1349" w:type="dxa"/>
            <w:tcBorders>
              <w:top w:val="nil"/>
              <w:left w:val="nil"/>
              <w:bottom w:val="nil"/>
              <w:right w:val="nil"/>
            </w:tcBorders>
            <w:shd w:val="clear" w:color="auto" w:fill="auto"/>
            <w:noWrap/>
            <w:vAlign w:val="center"/>
            <w:hideMark/>
          </w:tcPr>
          <w:p w14:paraId="77301A7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4.70(0.13)</w:t>
            </w:r>
          </w:p>
        </w:tc>
        <w:tc>
          <w:tcPr>
            <w:tcW w:w="781" w:type="dxa"/>
            <w:tcBorders>
              <w:top w:val="nil"/>
              <w:left w:val="nil"/>
              <w:bottom w:val="nil"/>
              <w:right w:val="nil"/>
            </w:tcBorders>
            <w:shd w:val="clear" w:color="auto" w:fill="auto"/>
            <w:noWrap/>
            <w:vAlign w:val="center"/>
            <w:hideMark/>
          </w:tcPr>
          <w:p w14:paraId="0B73D159"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4.477</w:t>
            </w:r>
          </w:p>
        </w:tc>
        <w:tc>
          <w:tcPr>
            <w:tcW w:w="781" w:type="dxa"/>
            <w:tcBorders>
              <w:top w:val="nil"/>
              <w:left w:val="nil"/>
              <w:bottom w:val="nil"/>
              <w:right w:val="nil"/>
            </w:tcBorders>
            <w:shd w:val="clear" w:color="auto" w:fill="auto"/>
            <w:noWrap/>
            <w:vAlign w:val="center"/>
            <w:hideMark/>
          </w:tcPr>
          <w:p w14:paraId="75330AE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4.955</w:t>
            </w:r>
          </w:p>
        </w:tc>
      </w:tr>
      <w:tr w:rsidR="005404CD" w:rsidRPr="00D40C27" w14:paraId="10804C43" w14:textId="77777777" w:rsidTr="005404CD">
        <w:trPr>
          <w:trHeight w:val="435"/>
        </w:trPr>
        <w:tc>
          <w:tcPr>
            <w:tcW w:w="2204" w:type="dxa"/>
            <w:tcBorders>
              <w:top w:val="nil"/>
              <w:left w:val="nil"/>
              <w:bottom w:val="nil"/>
              <w:right w:val="nil"/>
            </w:tcBorders>
            <w:shd w:val="clear" w:color="auto" w:fill="auto"/>
            <w:noWrap/>
            <w:vAlign w:val="bottom"/>
            <w:hideMark/>
          </w:tcPr>
          <w:p w14:paraId="1C37034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Emotional Strength</w:t>
            </w:r>
          </w:p>
        </w:tc>
        <w:tc>
          <w:tcPr>
            <w:tcW w:w="959" w:type="dxa"/>
            <w:tcBorders>
              <w:top w:val="nil"/>
              <w:left w:val="nil"/>
              <w:bottom w:val="nil"/>
              <w:right w:val="nil"/>
            </w:tcBorders>
            <w:shd w:val="clear" w:color="auto" w:fill="auto"/>
            <w:noWrap/>
            <w:vAlign w:val="center"/>
            <w:hideMark/>
          </w:tcPr>
          <w:p w14:paraId="05847BB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523" w:type="dxa"/>
            <w:tcBorders>
              <w:top w:val="nil"/>
              <w:left w:val="nil"/>
              <w:bottom w:val="nil"/>
              <w:right w:val="nil"/>
            </w:tcBorders>
            <w:shd w:val="clear" w:color="auto" w:fill="auto"/>
            <w:noWrap/>
            <w:vAlign w:val="center"/>
            <w:hideMark/>
          </w:tcPr>
          <w:p w14:paraId="468B615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6C2321F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1ADB2A9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1349" w:type="dxa"/>
            <w:tcBorders>
              <w:top w:val="nil"/>
              <w:left w:val="nil"/>
              <w:bottom w:val="nil"/>
              <w:right w:val="nil"/>
            </w:tcBorders>
            <w:shd w:val="clear" w:color="auto" w:fill="auto"/>
            <w:noWrap/>
            <w:vAlign w:val="center"/>
            <w:hideMark/>
          </w:tcPr>
          <w:p w14:paraId="64FDDAA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79BA969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063092E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r>
      <w:tr w:rsidR="005404CD" w:rsidRPr="00D40C27" w14:paraId="1DBC54C7" w14:textId="77777777" w:rsidTr="005404CD">
        <w:trPr>
          <w:trHeight w:val="274"/>
        </w:trPr>
        <w:tc>
          <w:tcPr>
            <w:tcW w:w="2204" w:type="dxa"/>
            <w:tcBorders>
              <w:top w:val="nil"/>
              <w:left w:val="nil"/>
              <w:bottom w:val="nil"/>
              <w:right w:val="nil"/>
            </w:tcBorders>
            <w:shd w:val="clear" w:color="auto" w:fill="auto"/>
            <w:noWrap/>
            <w:vAlign w:val="bottom"/>
            <w:hideMark/>
          </w:tcPr>
          <w:p w14:paraId="24FA5D7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959" w:type="dxa"/>
            <w:tcBorders>
              <w:top w:val="nil"/>
              <w:left w:val="nil"/>
              <w:bottom w:val="nil"/>
              <w:right w:val="nil"/>
            </w:tcBorders>
            <w:shd w:val="clear" w:color="auto" w:fill="auto"/>
            <w:noWrap/>
            <w:vAlign w:val="center"/>
            <w:hideMark/>
          </w:tcPr>
          <w:p w14:paraId="33E1524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Control</w:t>
            </w:r>
          </w:p>
        </w:tc>
        <w:tc>
          <w:tcPr>
            <w:tcW w:w="1523" w:type="dxa"/>
            <w:tcBorders>
              <w:top w:val="nil"/>
              <w:left w:val="nil"/>
              <w:bottom w:val="nil"/>
              <w:right w:val="nil"/>
            </w:tcBorders>
            <w:shd w:val="clear" w:color="auto" w:fill="auto"/>
            <w:noWrap/>
            <w:vAlign w:val="center"/>
            <w:hideMark/>
          </w:tcPr>
          <w:p w14:paraId="661DA39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4.05(0.21)</w:t>
            </w:r>
          </w:p>
        </w:tc>
        <w:tc>
          <w:tcPr>
            <w:tcW w:w="781" w:type="dxa"/>
            <w:tcBorders>
              <w:top w:val="nil"/>
              <w:left w:val="nil"/>
              <w:bottom w:val="nil"/>
              <w:right w:val="nil"/>
            </w:tcBorders>
            <w:shd w:val="clear" w:color="auto" w:fill="auto"/>
            <w:noWrap/>
            <w:vAlign w:val="center"/>
            <w:hideMark/>
          </w:tcPr>
          <w:p w14:paraId="1A1A9E9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3.633</w:t>
            </w:r>
          </w:p>
        </w:tc>
        <w:tc>
          <w:tcPr>
            <w:tcW w:w="781" w:type="dxa"/>
            <w:tcBorders>
              <w:top w:val="nil"/>
              <w:left w:val="nil"/>
              <w:bottom w:val="nil"/>
              <w:right w:val="nil"/>
            </w:tcBorders>
            <w:shd w:val="clear" w:color="auto" w:fill="auto"/>
            <w:noWrap/>
            <w:vAlign w:val="center"/>
            <w:hideMark/>
          </w:tcPr>
          <w:p w14:paraId="0A43F269"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4.485</w:t>
            </w:r>
          </w:p>
        </w:tc>
        <w:tc>
          <w:tcPr>
            <w:tcW w:w="1349" w:type="dxa"/>
            <w:tcBorders>
              <w:top w:val="nil"/>
              <w:left w:val="nil"/>
              <w:bottom w:val="nil"/>
              <w:right w:val="nil"/>
            </w:tcBorders>
            <w:shd w:val="clear" w:color="auto" w:fill="auto"/>
            <w:noWrap/>
            <w:vAlign w:val="center"/>
            <w:hideMark/>
          </w:tcPr>
          <w:p w14:paraId="6BB765E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4.15(0.17)</w:t>
            </w:r>
          </w:p>
        </w:tc>
        <w:tc>
          <w:tcPr>
            <w:tcW w:w="781" w:type="dxa"/>
            <w:tcBorders>
              <w:top w:val="nil"/>
              <w:left w:val="nil"/>
              <w:bottom w:val="nil"/>
              <w:right w:val="nil"/>
            </w:tcBorders>
            <w:shd w:val="clear" w:color="auto" w:fill="auto"/>
            <w:noWrap/>
            <w:vAlign w:val="center"/>
            <w:hideMark/>
          </w:tcPr>
          <w:p w14:paraId="75CD6539"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3.796</w:t>
            </w:r>
          </w:p>
        </w:tc>
        <w:tc>
          <w:tcPr>
            <w:tcW w:w="781" w:type="dxa"/>
            <w:tcBorders>
              <w:top w:val="nil"/>
              <w:left w:val="nil"/>
              <w:bottom w:val="nil"/>
              <w:right w:val="nil"/>
            </w:tcBorders>
            <w:shd w:val="clear" w:color="auto" w:fill="auto"/>
            <w:noWrap/>
            <w:vAlign w:val="center"/>
            <w:hideMark/>
          </w:tcPr>
          <w:p w14:paraId="63B123E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4.509</w:t>
            </w:r>
          </w:p>
        </w:tc>
      </w:tr>
      <w:tr w:rsidR="005404CD" w:rsidRPr="00D40C27" w14:paraId="413792EA" w14:textId="77777777" w:rsidTr="005404CD">
        <w:trPr>
          <w:trHeight w:val="435"/>
        </w:trPr>
        <w:tc>
          <w:tcPr>
            <w:tcW w:w="2204" w:type="dxa"/>
            <w:tcBorders>
              <w:top w:val="nil"/>
              <w:left w:val="nil"/>
              <w:bottom w:val="nil"/>
              <w:right w:val="nil"/>
            </w:tcBorders>
            <w:shd w:val="clear" w:color="auto" w:fill="auto"/>
            <w:noWrap/>
            <w:vAlign w:val="bottom"/>
            <w:hideMark/>
          </w:tcPr>
          <w:p w14:paraId="5D0D1EA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p>
        </w:tc>
        <w:tc>
          <w:tcPr>
            <w:tcW w:w="959" w:type="dxa"/>
            <w:tcBorders>
              <w:top w:val="nil"/>
              <w:left w:val="nil"/>
              <w:bottom w:val="nil"/>
              <w:right w:val="nil"/>
            </w:tcBorders>
            <w:shd w:val="clear" w:color="auto" w:fill="auto"/>
            <w:noWrap/>
            <w:vAlign w:val="center"/>
            <w:hideMark/>
          </w:tcPr>
          <w:p w14:paraId="5B5E982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FD</w:t>
            </w:r>
          </w:p>
        </w:tc>
        <w:tc>
          <w:tcPr>
            <w:tcW w:w="1523" w:type="dxa"/>
            <w:tcBorders>
              <w:top w:val="nil"/>
              <w:left w:val="nil"/>
              <w:bottom w:val="nil"/>
              <w:right w:val="nil"/>
            </w:tcBorders>
            <w:shd w:val="clear" w:color="auto" w:fill="auto"/>
            <w:noWrap/>
            <w:vAlign w:val="center"/>
            <w:hideMark/>
          </w:tcPr>
          <w:p w14:paraId="5700110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4.64(0.19)</w:t>
            </w:r>
          </w:p>
        </w:tc>
        <w:tc>
          <w:tcPr>
            <w:tcW w:w="781" w:type="dxa"/>
            <w:tcBorders>
              <w:top w:val="nil"/>
              <w:left w:val="nil"/>
              <w:bottom w:val="nil"/>
              <w:right w:val="nil"/>
            </w:tcBorders>
            <w:shd w:val="clear" w:color="auto" w:fill="auto"/>
            <w:noWrap/>
            <w:vAlign w:val="center"/>
            <w:hideMark/>
          </w:tcPr>
          <w:p w14:paraId="389ABD05"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4.254</w:t>
            </w:r>
          </w:p>
        </w:tc>
        <w:tc>
          <w:tcPr>
            <w:tcW w:w="781" w:type="dxa"/>
            <w:tcBorders>
              <w:top w:val="nil"/>
              <w:left w:val="nil"/>
              <w:bottom w:val="nil"/>
              <w:right w:val="nil"/>
            </w:tcBorders>
            <w:shd w:val="clear" w:color="auto" w:fill="auto"/>
            <w:noWrap/>
            <w:vAlign w:val="center"/>
            <w:hideMark/>
          </w:tcPr>
          <w:p w14:paraId="2352437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5.027</w:t>
            </w:r>
          </w:p>
        </w:tc>
        <w:tc>
          <w:tcPr>
            <w:tcW w:w="1349" w:type="dxa"/>
            <w:tcBorders>
              <w:top w:val="nil"/>
              <w:left w:val="nil"/>
              <w:bottom w:val="nil"/>
              <w:right w:val="nil"/>
            </w:tcBorders>
            <w:shd w:val="clear" w:color="auto" w:fill="auto"/>
            <w:noWrap/>
            <w:vAlign w:val="center"/>
            <w:hideMark/>
          </w:tcPr>
          <w:p w14:paraId="25F3974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3.93(0.17)</w:t>
            </w:r>
          </w:p>
        </w:tc>
        <w:tc>
          <w:tcPr>
            <w:tcW w:w="781" w:type="dxa"/>
            <w:tcBorders>
              <w:top w:val="nil"/>
              <w:left w:val="nil"/>
              <w:bottom w:val="nil"/>
              <w:right w:val="nil"/>
            </w:tcBorders>
            <w:shd w:val="clear" w:color="auto" w:fill="auto"/>
            <w:noWrap/>
            <w:vAlign w:val="center"/>
            <w:hideMark/>
          </w:tcPr>
          <w:p w14:paraId="0CFF7795"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3.584</w:t>
            </w:r>
          </w:p>
        </w:tc>
        <w:tc>
          <w:tcPr>
            <w:tcW w:w="781" w:type="dxa"/>
            <w:tcBorders>
              <w:top w:val="nil"/>
              <w:left w:val="nil"/>
              <w:bottom w:val="nil"/>
              <w:right w:val="nil"/>
            </w:tcBorders>
            <w:shd w:val="clear" w:color="auto" w:fill="auto"/>
            <w:noWrap/>
            <w:vAlign w:val="center"/>
            <w:hideMark/>
          </w:tcPr>
          <w:p w14:paraId="3F9B3B1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4.280</w:t>
            </w:r>
          </w:p>
        </w:tc>
      </w:tr>
      <w:tr w:rsidR="005404CD" w:rsidRPr="00D40C27" w14:paraId="5C83F8CC" w14:textId="77777777" w:rsidTr="005404CD">
        <w:trPr>
          <w:trHeight w:val="274"/>
        </w:trPr>
        <w:tc>
          <w:tcPr>
            <w:tcW w:w="2204" w:type="dxa"/>
            <w:tcBorders>
              <w:top w:val="nil"/>
              <w:left w:val="nil"/>
              <w:bottom w:val="nil"/>
              <w:right w:val="nil"/>
            </w:tcBorders>
            <w:shd w:val="clear" w:color="auto" w:fill="auto"/>
            <w:noWrap/>
            <w:vAlign w:val="bottom"/>
            <w:hideMark/>
          </w:tcPr>
          <w:p w14:paraId="0C0BEA8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p>
        </w:tc>
        <w:tc>
          <w:tcPr>
            <w:tcW w:w="959" w:type="dxa"/>
            <w:tcBorders>
              <w:top w:val="nil"/>
              <w:left w:val="nil"/>
              <w:bottom w:val="nil"/>
              <w:right w:val="nil"/>
            </w:tcBorders>
            <w:shd w:val="clear" w:color="auto" w:fill="auto"/>
            <w:noWrap/>
            <w:vAlign w:val="center"/>
            <w:hideMark/>
          </w:tcPr>
          <w:p w14:paraId="40304C5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color w:val="auto"/>
              </w:rPr>
            </w:pPr>
          </w:p>
        </w:tc>
        <w:tc>
          <w:tcPr>
            <w:tcW w:w="1523" w:type="dxa"/>
            <w:tcBorders>
              <w:top w:val="nil"/>
              <w:left w:val="nil"/>
              <w:bottom w:val="nil"/>
              <w:right w:val="nil"/>
            </w:tcBorders>
            <w:shd w:val="clear" w:color="auto" w:fill="auto"/>
            <w:noWrap/>
            <w:vAlign w:val="center"/>
            <w:hideMark/>
          </w:tcPr>
          <w:p w14:paraId="17EDEB5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1D6A4FD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128669F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1349" w:type="dxa"/>
            <w:tcBorders>
              <w:top w:val="nil"/>
              <w:left w:val="nil"/>
              <w:bottom w:val="nil"/>
              <w:right w:val="nil"/>
            </w:tcBorders>
            <w:shd w:val="clear" w:color="auto" w:fill="auto"/>
            <w:noWrap/>
            <w:vAlign w:val="center"/>
            <w:hideMark/>
          </w:tcPr>
          <w:p w14:paraId="499AECC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577BAC1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E8702D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r>
      <w:tr w:rsidR="005404CD" w:rsidRPr="00D40C27" w14:paraId="1572C623" w14:textId="77777777" w:rsidTr="005404CD">
        <w:trPr>
          <w:trHeight w:val="435"/>
        </w:trPr>
        <w:tc>
          <w:tcPr>
            <w:tcW w:w="2204" w:type="dxa"/>
            <w:tcBorders>
              <w:top w:val="nil"/>
              <w:left w:val="nil"/>
              <w:bottom w:val="nil"/>
              <w:right w:val="nil"/>
            </w:tcBorders>
            <w:shd w:val="clear" w:color="auto" w:fill="auto"/>
            <w:noWrap/>
            <w:vAlign w:val="bottom"/>
            <w:hideMark/>
          </w:tcPr>
          <w:p w14:paraId="4DEC810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Warmth</w:t>
            </w:r>
          </w:p>
        </w:tc>
        <w:tc>
          <w:tcPr>
            <w:tcW w:w="959" w:type="dxa"/>
            <w:tcBorders>
              <w:top w:val="nil"/>
              <w:left w:val="nil"/>
              <w:bottom w:val="nil"/>
              <w:right w:val="nil"/>
            </w:tcBorders>
            <w:shd w:val="clear" w:color="auto" w:fill="auto"/>
            <w:noWrap/>
            <w:vAlign w:val="center"/>
            <w:hideMark/>
          </w:tcPr>
          <w:p w14:paraId="051EB7F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523" w:type="dxa"/>
            <w:tcBorders>
              <w:top w:val="nil"/>
              <w:left w:val="nil"/>
              <w:bottom w:val="nil"/>
              <w:right w:val="nil"/>
            </w:tcBorders>
            <w:shd w:val="clear" w:color="auto" w:fill="auto"/>
            <w:noWrap/>
            <w:vAlign w:val="center"/>
            <w:hideMark/>
          </w:tcPr>
          <w:p w14:paraId="06856BE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478A6F7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24E1FDB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1349" w:type="dxa"/>
            <w:tcBorders>
              <w:top w:val="nil"/>
              <w:left w:val="nil"/>
              <w:bottom w:val="nil"/>
              <w:right w:val="nil"/>
            </w:tcBorders>
            <w:shd w:val="clear" w:color="auto" w:fill="auto"/>
            <w:noWrap/>
            <w:vAlign w:val="center"/>
            <w:hideMark/>
          </w:tcPr>
          <w:p w14:paraId="0CCE5F9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643714F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02BA55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r>
      <w:tr w:rsidR="005404CD" w:rsidRPr="00D40C27" w14:paraId="702A4087" w14:textId="77777777" w:rsidTr="005404CD">
        <w:trPr>
          <w:trHeight w:val="274"/>
        </w:trPr>
        <w:tc>
          <w:tcPr>
            <w:tcW w:w="2204" w:type="dxa"/>
            <w:tcBorders>
              <w:top w:val="nil"/>
              <w:left w:val="nil"/>
              <w:bottom w:val="nil"/>
              <w:right w:val="nil"/>
            </w:tcBorders>
            <w:shd w:val="clear" w:color="auto" w:fill="auto"/>
            <w:noWrap/>
            <w:vAlign w:val="bottom"/>
            <w:hideMark/>
          </w:tcPr>
          <w:p w14:paraId="6F27E3C9"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959" w:type="dxa"/>
            <w:tcBorders>
              <w:top w:val="nil"/>
              <w:left w:val="nil"/>
              <w:bottom w:val="nil"/>
              <w:right w:val="nil"/>
            </w:tcBorders>
            <w:shd w:val="clear" w:color="auto" w:fill="auto"/>
            <w:noWrap/>
            <w:vAlign w:val="center"/>
            <w:hideMark/>
          </w:tcPr>
          <w:p w14:paraId="685A834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Control</w:t>
            </w:r>
          </w:p>
        </w:tc>
        <w:tc>
          <w:tcPr>
            <w:tcW w:w="1523" w:type="dxa"/>
            <w:tcBorders>
              <w:top w:val="nil"/>
              <w:left w:val="nil"/>
              <w:bottom w:val="nil"/>
              <w:right w:val="nil"/>
            </w:tcBorders>
            <w:shd w:val="clear" w:color="auto" w:fill="auto"/>
            <w:noWrap/>
            <w:vAlign w:val="center"/>
            <w:hideMark/>
          </w:tcPr>
          <w:p w14:paraId="736A9B3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4.71(0.18)</w:t>
            </w:r>
          </w:p>
        </w:tc>
        <w:tc>
          <w:tcPr>
            <w:tcW w:w="781" w:type="dxa"/>
            <w:tcBorders>
              <w:top w:val="nil"/>
              <w:left w:val="nil"/>
              <w:bottom w:val="nil"/>
              <w:right w:val="nil"/>
            </w:tcBorders>
            <w:shd w:val="clear" w:color="auto" w:fill="auto"/>
            <w:noWrap/>
            <w:vAlign w:val="center"/>
            <w:hideMark/>
          </w:tcPr>
          <w:p w14:paraId="5BD2AE0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4.360</w:t>
            </w:r>
          </w:p>
        </w:tc>
        <w:tc>
          <w:tcPr>
            <w:tcW w:w="781" w:type="dxa"/>
            <w:tcBorders>
              <w:top w:val="nil"/>
              <w:left w:val="nil"/>
              <w:bottom w:val="nil"/>
              <w:right w:val="nil"/>
            </w:tcBorders>
            <w:shd w:val="clear" w:color="auto" w:fill="auto"/>
            <w:noWrap/>
            <w:vAlign w:val="center"/>
            <w:hideMark/>
          </w:tcPr>
          <w:p w14:paraId="3C6B435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5.078</w:t>
            </w:r>
          </w:p>
        </w:tc>
        <w:tc>
          <w:tcPr>
            <w:tcW w:w="1349" w:type="dxa"/>
            <w:tcBorders>
              <w:top w:val="nil"/>
              <w:left w:val="nil"/>
              <w:bottom w:val="nil"/>
              <w:right w:val="nil"/>
            </w:tcBorders>
            <w:shd w:val="clear" w:color="auto" w:fill="auto"/>
            <w:noWrap/>
            <w:vAlign w:val="center"/>
            <w:hideMark/>
          </w:tcPr>
          <w:p w14:paraId="7A036A05"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4.86(0.15)</w:t>
            </w:r>
          </w:p>
        </w:tc>
        <w:tc>
          <w:tcPr>
            <w:tcW w:w="781" w:type="dxa"/>
            <w:tcBorders>
              <w:top w:val="nil"/>
              <w:left w:val="nil"/>
              <w:bottom w:val="nil"/>
              <w:right w:val="nil"/>
            </w:tcBorders>
            <w:shd w:val="clear" w:color="auto" w:fill="auto"/>
            <w:noWrap/>
            <w:vAlign w:val="center"/>
            <w:hideMark/>
          </w:tcPr>
          <w:p w14:paraId="700746F6"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4.569</w:t>
            </w:r>
          </w:p>
        </w:tc>
        <w:tc>
          <w:tcPr>
            <w:tcW w:w="781" w:type="dxa"/>
            <w:tcBorders>
              <w:top w:val="nil"/>
              <w:left w:val="nil"/>
              <w:bottom w:val="nil"/>
              <w:right w:val="nil"/>
            </w:tcBorders>
            <w:shd w:val="clear" w:color="auto" w:fill="auto"/>
            <w:noWrap/>
            <w:vAlign w:val="center"/>
            <w:hideMark/>
          </w:tcPr>
          <w:p w14:paraId="623A430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5.170</w:t>
            </w:r>
          </w:p>
        </w:tc>
      </w:tr>
      <w:tr w:rsidR="005404CD" w:rsidRPr="00D40C27" w14:paraId="67F6097E" w14:textId="77777777" w:rsidTr="005404CD">
        <w:trPr>
          <w:trHeight w:val="435"/>
        </w:trPr>
        <w:tc>
          <w:tcPr>
            <w:tcW w:w="2204" w:type="dxa"/>
            <w:tcBorders>
              <w:top w:val="nil"/>
              <w:left w:val="nil"/>
              <w:bottom w:val="nil"/>
              <w:right w:val="nil"/>
            </w:tcBorders>
            <w:shd w:val="clear" w:color="auto" w:fill="auto"/>
            <w:noWrap/>
            <w:vAlign w:val="bottom"/>
            <w:hideMark/>
          </w:tcPr>
          <w:p w14:paraId="1FFA64D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p>
        </w:tc>
        <w:tc>
          <w:tcPr>
            <w:tcW w:w="959" w:type="dxa"/>
            <w:tcBorders>
              <w:top w:val="nil"/>
              <w:left w:val="nil"/>
              <w:bottom w:val="nil"/>
              <w:right w:val="nil"/>
            </w:tcBorders>
            <w:shd w:val="clear" w:color="auto" w:fill="auto"/>
            <w:noWrap/>
            <w:vAlign w:val="center"/>
            <w:hideMark/>
          </w:tcPr>
          <w:p w14:paraId="63FB783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FD</w:t>
            </w:r>
          </w:p>
        </w:tc>
        <w:tc>
          <w:tcPr>
            <w:tcW w:w="1523" w:type="dxa"/>
            <w:tcBorders>
              <w:top w:val="nil"/>
              <w:left w:val="nil"/>
              <w:bottom w:val="nil"/>
              <w:right w:val="nil"/>
            </w:tcBorders>
            <w:shd w:val="clear" w:color="auto" w:fill="auto"/>
            <w:noWrap/>
            <w:vAlign w:val="center"/>
            <w:hideMark/>
          </w:tcPr>
          <w:p w14:paraId="4140270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5.32(0.16)</w:t>
            </w:r>
          </w:p>
        </w:tc>
        <w:tc>
          <w:tcPr>
            <w:tcW w:w="781" w:type="dxa"/>
            <w:tcBorders>
              <w:top w:val="nil"/>
              <w:left w:val="nil"/>
              <w:bottom w:val="nil"/>
              <w:right w:val="nil"/>
            </w:tcBorders>
            <w:shd w:val="clear" w:color="auto" w:fill="auto"/>
            <w:noWrap/>
            <w:vAlign w:val="center"/>
            <w:hideMark/>
          </w:tcPr>
          <w:p w14:paraId="55262F3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5.025</w:t>
            </w:r>
          </w:p>
        </w:tc>
        <w:tc>
          <w:tcPr>
            <w:tcW w:w="781" w:type="dxa"/>
            <w:tcBorders>
              <w:top w:val="nil"/>
              <w:left w:val="nil"/>
              <w:bottom w:val="nil"/>
              <w:right w:val="nil"/>
            </w:tcBorders>
            <w:shd w:val="clear" w:color="auto" w:fill="auto"/>
            <w:noWrap/>
            <w:vAlign w:val="center"/>
            <w:hideMark/>
          </w:tcPr>
          <w:p w14:paraId="34EDBAC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5.676</w:t>
            </w:r>
          </w:p>
        </w:tc>
        <w:tc>
          <w:tcPr>
            <w:tcW w:w="1349" w:type="dxa"/>
            <w:tcBorders>
              <w:top w:val="nil"/>
              <w:left w:val="nil"/>
              <w:bottom w:val="nil"/>
              <w:right w:val="nil"/>
            </w:tcBorders>
            <w:shd w:val="clear" w:color="auto" w:fill="auto"/>
            <w:noWrap/>
            <w:vAlign w:val="center"/>
            <w:hideMark/>
          </w:tcPr>
          <w:p w14:paraId="1F242D4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5.14(0.15)</w:t>
            </w:r>
          </w:p>
        </w:tc>
        <w:tc>
          <w:tcPr>
            <w:tcW w:w="781" w:type="dxa"/>
            <w:tcBorders>
              <w:top w:val="nil"/>
              <w:left w:val="nil"/>
              <w:bottom w:val="nil"/>
              <w:right w:val="nil"/>
            </w:tcBorders>
            <w:shd w:val="clear" w:color="auto" w:fill="auto"/>
            <w:noWrap/>
            <w:vAlign w:val="center"/>
            <w:hideMark/>
          </w:tcPr>
          <w:p w14:paraId="49EAD33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4.854</w:t>
            </w:r>
          </w:p>
        </w:tc>
        <w:tc>
          <w:tcPr>
            <w:tcW w:w="781" w:type="dxa"/>
            <w:tcBorders>
              <w:top w:val="nil"/>
              <w:left w:val="nil"/>
              <w:bottom w:val="nil"/>
              <w:right w:val="nil"/>
            </w:tcBorders>
            <w:shd w:val="clear" w:color="auto" w:fill="auto"/>
            <w:noWrap/>
            <w:vAlign w:val="center"/>
            <w:hideMark/>
          </w:tcPr>
          <w:p w14:paraId="50B5C29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5.440</w:t>
            </w:r>
          </w:p>
        </w:tc>
      </w:tr>
      <w:tr w:rsidR="005404CD" w:rsidRPr="00D40C27" w14:paraId="0E074748" w14:textId="77777777" w:rsidTr="005404CD">
        <w:trPr>
          <w:trHeight w:val="274"/>
        </w:trPr>
        <w:tc>
          <w:tcPr>
            <w:tcW w:w="2204" w:type="dxa"/>
            <w:tcBorders>
              <w:top w:val="nil"/>
              <w:left w:val="nil"/>
              <w:bottom w:val="nil"/>
              <w:right w:val="nil"/>
            </w:tcBorders>
            <w:shd w:val="clear" w:color="auto" w:fill="auto"/>
            <w:noWrap/>
            <w:vAlign w:val="bottom"/>
            <w:hideMark/>
          </w:tcPr>
          <w:p w14:paraId="64D7184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 xml:space="preserve">Attractiveness </w:t>
            </w:r>
          </w:p>
        </w:tc>
        <w:tc>
          <w:tcPr>
            <w:tcW w:w="959" w:type="dxa"/>
            <w:tcBorders>
              <w:top w:val="nil"/>
              <w:left w:val="nil"/>
              <w:bottom w:val="nil"/>
              <w:right w:val="nil"/>
            </w:tcBorders>
            <w:shd w:val="clear" w:color="auto" w:fill="auto"/>
            <w:noWrap/>
            <w:vAlign w:val="center"/>
            <w:hideMark/>
          </w:tcPr>
          <w:p w14:paraId="2ACBAFD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523" w:type="dxa"/>
            <w:tcBorders>
              <w:top w:val="nil"/>
              <w:left w:val="nil"/>
              <w:bottom w:val="nil"/>
              <w:right w:val="nil"/>
            </w:tcBorders>
            <w:shd w:val="clear" w:color="auto" w:fill="auto"/>
            <w:noWrap/>
            <w:vAlign w:val="center"/>
            <w:hideMark/>
          </w:tcPr>
          <w:p w14:paraId="6325A69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674E6B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DC4D27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1349" w:type="dxa"/>
            <w:tcBorders>
              <w:top w:val="nil"/>
              <w:left w:val="nil"/>
              <w:bottom w:val="nil"/>
              <w:right w:val="nil"/>
            </w:tcBorders>
            <w:shd w:val="clear" w:color="auto" w:fill="auto"/>
            <w:noWrap/>
            <w:vAlign w:val="center"/>
            <w:hideMark/>
          </w:tcPr>
          <w:p w14:paraId="42CB68CA"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107FD86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139D20F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r>
      <w:tr w:rsidR="005404CD" w:rsidRPr="00D40C27" w14:paraId="09F084D9" w14:textId="77777777" w:rsidTr="005404CD">
        <w:trPr>
          <w:trHeight w:val="435"/>
        </w:trPr>
        <w:tc>
          <w:tcPr>
            <w:tcW w:w="2204" w:type="dxa"/>
            <w:tcBorders>
              <w:top w:val="nil"/>
              <w:left w:val="nil"/>
              <w:bottom w:val="nil"/>
              <w:right w:val="nil"/>
            </w:tcBorders>
            <w:shd w:val="clear" w:color="auto" w:fill="auto"/>
            <w:noWrap/>
            <w:vAlign w:val="bottom"/>
            <w:hideMark/>
          </w:tcPr>
          <w:p w14:paraId="48463F9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959" w:type="dxa"/>
            <w:tcBorders>
              <w:top w:val="nil"/>
              <w:left w:val="nil"/>
              <w:bottom w:val="nil"/>
              <w:right w:val="nil"/>
            </w:tcBorders>
            <w:shd w:val="clear" w:color="auto" w:fill="auto"/>
            <w:noWrap/>
            <w:vAlign w:val="center"/>
            <w:hideMark/>
          </w:tcPr>
          <w:p w14:paraId="4A01702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Control</w:t>
            </w:r>
          </w:p>
        </w:tc>
        <w:tc>
          <w:tcPr>
            <w:tcW w:w="1523" w:type="dxa"/>
            <w:tcBorders>
              <w:top w:val="nil"/>
              <w:left w:val="nil"/>
              <w:bottom w:val="nil"/>
              <w:right w:val="nil"/>
            </w:tcBorders>
            <w:shd w:val="clear" w:color="auto" w:fill="auto"/>
            <w:noWrap/>
            <w:vAlign w:val="center"/>
            <w:hideMark/>
          </w:tcPr>
          <w:p w14:paraId="3439214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5.16(0.27)</w:t>
            </w:r>
          </w:p>
        </w:tc>
        <w:tc>
          <w:tcPr>
            <w:tcW w:w="781" w:type="dxa"/>
            <w:tcBorders>
              <w:top w:val="nil"/>
              <w:left w:val="nil"/>
              <w:bottom w:val="nil"/>
              <w:right w:val="nil"/>
            </w:tcBorders>
            <w:shd w:val="clear" w:color="auto" w:fill="auto"/>
            <w:noWrap/>
            <w:vAlign w:val="center"/>
            <w:hideMark/>
          </w:tcPr>
          <w:p w14:paraId="0EBF4E3C"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4.616</w:t>
            </w:r>
          </w:p>
        </w:tc>
        <w:tc>
          <w:tcPr>
            <w:tcW w:w="781" w:type="dxa"/>
            <w:tcBorders>
              <w:top w:val="nil"/>
              <w:left w:val="nil"/>
              <w:bottom w:val="nil"/>
              <w:right w:val="nil"/>
            </w:tcBorders>
            <w:shd w:val="clear" w:color="auto" w:fill="auto"/>
            <w:noWrap/>
            <w:vAlign w:val="center"/>
            <w:hideMark/>
          </w:tcPr>
          <w:p w14:paraId="5C28FD4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5.705</w:t>
            </w:r>
          </w:p>
        </w:tc>
        <w:tc>
          <w:tcPr>
            <w:tcW w:w="1349" w:type="dxa"/>
            <w:tcBorders>
              <w:top w:val="nil"/>
              <w:left w:val="nil"/>
              <w:bottom w:val="nil"/>
              <w:right w:val="nil"/>
            </w:tcBorders>
            <w:shd w:val="clear" w:color="auto" w:fill="auto"/>
            <w:noWrap/>
            <w:vAlign w:val="center"/>
            <w:hideMark/>
          </w:tcPr>
          <w:p w14:paraId="2B8A8B4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5.17(0.22)</w:t>
            </w:r>
          </w:p>
        </w:tc>
        <w:tc>
          <w:tcPr>
            <w:tcW w:w="781" w:type="dxa"/>
            <w:tcBorders>
              <w:top w:val="nil"/>
              <w:left w:val="nil"/>
              <w:bottom w:val="nil"/>
              <w:right w:val="nil"/>
            </w:tcBorders>
            <w:shd w:val="clear" w:color="auto" w:fill="auto"/>
            <w:noWrap/>
            <w:vAlign w:val="center"/>
            <w:hideMark/>
          </w:tcPr>
          <w:p w14:paraId="7D0EED6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4.721</w:t>
            </w:r>
          </w:p>
        </w:tc>
        <w:tc>
          <w:tcPr>
            <w:tcW w:w="781" w:type="dxa"/>
            <w:tcBorders>
              <w:top w:val="nil"/>
              <w:left w:val="nil"/>
              <w:bottom w:val="nil"/>
              <w:right w:val="nil"/>
            </w:tcBorders>
            <w:shd w:val="clear" w:color="auto" w:fill="auto"/>
            <w:noWrap/>
            <w:vAlign w:val="center"/>
            <w:hideMark/>
          </w:tcPr>
          <w:p w14:paraId="40B5650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5.633</w:t>
            </w:r>
          </w:p>
        </w:tc>
      </w:tr>
      <w:tr w:rsidR="005404CD" w:rsidRPr="00D40C27" w14:paraId="7570758E" w14:textId="77777777" w:rsidTr="005404CD">
        <w:trPr>
          <w:trHeight w:val="274"/>
        </w:trPr>
        <w:tc>
          <w:tcPr>
            <w:tcW w:w="2204" w:type="dxa"/>
            <w:tcBorders>
              <w:top w:val="nil"/>
              <w:left w:val="nil"/>
              <w:bottom w:val="nil"/>
              <w:right w:val="nil"/>
            </w:tcBorders>
            <w:shd w:val="clear" w:color="auto" w:fill="auto"/>
            <w:noWrap/>
            <w:vAlign w:val="bottom"/>
            <w:hideMark/>
          </w:tcPr>
          <w:p w14:paraId="6B25361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p>
        </w:tc>
        <w:tc>
          <w:tcPr>
            <w:tcW w:w="959" w:type="dxa"/>
            <w:tcBorders>
              <w:top w:val="nil"/>
              <w:left w:val="nil"/>
              <w:bottom w:val="nil"/>
              <w:right w:val="nil"/>
            </w:tcBorders>
            <w:shd w:val="clear" w:color="auto" w:fill="auto"/>
            <w:noWrap/>
            <w:vAlign w:val="center"/>
            <w:hideMark/>
          </w:tcPr>
          <w:p w14:paraId="0D9A336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FD</w:t>
            </w:r>
          </w:p>
        </w:tc>
        <w:tc>
          <w:tcPr>
            <w:tcW w:w="1523" w:type="dxa"/>
            <w:tcBorders>
              <w:top w:val="nil"/>
              <w:left w:val="nil"/>
              <w:bottom w:val="nil"/>
              <w:right w:val="nil"/>
            </w:tcBorders>
            <w:shd w:val="clear" w:color="auto" w:fill="auto"/>
            <w:noWrap/>
            <w:vAlign w:val="center"/>
            <w:hideMark/>
          </w:tcPr>
          <w:p w14:paraId="6FB3D9A6"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3.57(0.25)</w:t>
            </w:r>
          </w:p>
        </w:tc>
        <w:tc>
          <w:tcPr>
            <w:tcW w:w="781" w:type="dxa"/>
            <w:tcBorders>
              <w:top w:val="nil"/>
              <w:left w:val="nil"/>
              <w:bottom w:val="nil"/>
              <w:right w:val="nil"/>
            </w:tcBorders>
            <w:shd w:val="clear" w:color="auto" w:fill="auto"/>
            <w:noWrap/>
            <w:vAlign w:val="center"/>
            <w:hideMark/>
          </w:tcPr>
          <w:p w14:paraId="61B1BB9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3.084</w:t>
            </w:r>
          </w:p>
        </w:tc>
        <w:tc>
          <w:tcPr>
            <w:tcW w:w="781" w:type="dxa"/>
            <w:tcBorders>
              <w:top w:val="nil"/>
              <w:left w:val="nil"/>
              <w:bottom w:val="nil"/>
              <w:right w:val="nil"/>
            </w:tcBorders>
            <w:shd w:val="clear" w:color="auto" w:fill="auto"/>
            <w:noWrap/>
            <w:vAlign w:val="center"/>
            <w:hideMark/>
          </w:tcPr>
          <w:p w14:paraId="7A75E36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4.073</w:t>
            </w:r>
          </w:p>
        </w:tc>
        <w:tc>
          <w:tcPr>
            <w:tcW w:w="1349" w:type="dxa"/>
            <w:tcBorders>
              <w:top w:val="nil"/>
              <w:left w:val="nil"/>
              <w:bottom w:val="nil"/>
              <w:right w:val="nil"/>
            </w:tcBorders>
            <w:shd w:val="clear" w:color="auto" w:fill="auto"/>
            <w:noWrap/>
            <w:vAlign w:val="center"/>
            <w:hideMark/>
          </w:tcPr>
          <w:p w14:paraId="17A28B1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3.78(0.22)</w:t>
            </w:r>
          </w:p>
        </w:tc>
        <w:tc>
          <w:tcPr>
            <w:tcW w:w="781" w:type="dxa"/>
            <w:tcBorders>
              <w:top w:val="nil"/>
              <w:left w:val="nil"/>
              <w:bottom w:val="nil"/>
              <w:right w:val="nil"/>
            </w:tcBorders>
            <w:shd w:val="clear" w:color="auto" w:fill="auto"/>
            <w:noWrap/>
            <w:vAlign w:val="center"/>
            <w:hideMark/>
          </w:tcPr>
          <w:p w14:paraId="51BEB7B6"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3.335</w:t>
            </w:r>
          </w:p>
        </w:tc>
        <w:tc>
          <w:tcPr>
            <w:tcW w:w="781" w:type="dxa"/>
            <w:tcBorders>
              <w:top w:val="nil"/>
              <w:left w:val="nil"/>
              <w:bottom w:val="nil"/>
              <w:right w:val="nil"/>
            </w:tcBorders>
            <w:shd w:val="clear" w:color="auto" w:fill="auto"/>
            <w:noWrap/>
            <w:vAlign w:val="center"/>
            <w:hideMark/>
          </w:tcPr>
          <w:p w14:paraId="1C9AB077"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4.225</w:t>
            </w:r>
          </w:p>
        </w:tc>
      </w:tr>
      <w:tr w:rsidR="005404CD" w:rsidRPr="00D40C27" w14:paraId="78829FFA" w14:textId="77777777" w:rsidTr="005404CD">
        <w:trPr>
          <w:trHeight w:val="435"/>
        </w:trPr>
        <w:tc>
          <w:tcPr>
            <w:tcW w:w="2204" w:type="dxa"/>
            <w:tcBorders>
              <w:top w:val="nil"/>
              <w:left w:val="nil"/>
              <w:bottom w:val="nil"/>
              <w:right w:val="nil"/>
            </w:tcBorders>
            <w:shd w:val="clear" w:color="auto" w:fill="auto"/>
            <w:noWrap/>
            <w:vAlign w:val="bottom"/>
            <w:hideMark/>
          </w:tcPr>
          <w:p w14:paraId="765ACED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r w:rsidRPr="00D40C27">
              <w:rPr>
                <w:rFonts w:eastAsia="Times New Roman"/>
              </w:rPr>
              <w:t>Memory recall</w:t>
            </w:r>
          </w:p>
        </w:tc>
        <w:tc>
          <w:tcPr>
            <w:tcW w:w="959" w:type="dxa"/>
            <w:tcBorders>
              <w:top w:val="nil"/>
              <w:left w:val="nil"/>
              <w:bottom w:val="nil"/>
              <w:right w:val="nil"/>
            </w:tcBorders>
            <w:shd w:val="clear" w:color="auto" w:fill="auto"/>
            <w:noWrap/>
            <w:vAlign w:val="center"/>
            <w:hideMark/>
          </w:tcPr>
          <w:p w14:paraId="14BE9495"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eastAsia="Times New Roman"/>
              </w:rPr>
            </w:pPr>
          </w:p>
        </w:tc>
        <w:tc>
          <w:tcPr>
            <w:tcW w:w="1523" w:type="dxa"/>
            <w:tcBorders>
              <w:top w:val="nil"/>
              <w:left w:val="nil"/>
              <w:bottom w:val="nil"/>
              <w:right w:val="nil"/>
            </w:tcBorders>
            <w:shd w:val="clear" w:color="auto" w:fill="auto"/>
            <w:noWrap/>
            <w:vAlign w:val="center"/>
            <w:hideMark/>
          </w:tcPr>
          <w:p w14:paraId="6E56D6B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147737D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3CA6108B"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1349" w:type="dxa"/>
            <w:tcBorders>
              <w:top w:val="nil"/>
              <w:left w:val="nil"/>
              <w:bottom w:val="nil"/>
              <w:right w:val="nil"/>
            </w:tcBorders>
            <w:shd w:val="clear" w:color="auto" w:fill="auto"/>
            <w:noWrap/>
            <w:vAlign w:val="center"/>
            <w:hideMark/>
          </w:tcPr>
          <w:p w14:paraId="49D56B6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1B853BA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781" w:type="dxa"/>
            <w:tcBorders>
              <w:top w:val="nil"/>
              <w:left w:val="nil"/>
              <w:bottom w:val="nil"/>
              <w:right w:val="nil"/>
            </w:tcBorders>
            <w:shd w:val="clear" w:color="auto" w:fill="auto"/>
            <w:noWrap/>
            <w:vAlign w:val="center"/>
            <w:hideMark/>
          </w:tcPr>
          <w:p w14:paraId="614D960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r>
      <w:tr w:rsidR="005404CD" w:rsidRPr="00D40C27" w14:paraId="5721E48B" w14:textId="77777777" w:rsidTr="005404CD">
        <w:trPr>
          <w:trHeight w:val="274"/>
        </w:trPr>
        <w:tc>
          <w:tcPr>
            <w:tcW w:w="2204" w:type="dxa"/>
            <w:tcBorders>
              <w:top w:val="nil"/>
              <w:left w:val="nil"/>
              <w:bottom w:val="nil"/>
              <w:right w:val="nil"/>
            </w:tcBorders>
            <w:shd w:val="clear" w:color="auto" w:fill="auto"/>
            <w:noWrap/>
            <w:vAlign w:val="bottom"/>
            <w:hideMark/>
          </w:tcPr>
          <w:p w14:paraId="4640348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color w:val="auto"/>
              </w:rPr>
            </w:pPr>
          </w:p>
        </w:tc>
        <w:tc>
          <w:tcPr>
            <w:tcW w:w="959" w:type="dxa"/>
            <w:tcBorders>
              <w:top w:val="nil"/>
              <w:left w:val="nil"/>
              <w:bottom w:val="nil"/>
              <w:right w:val="nil"/>
            </w:tcBorders>
            <w:shd w:val="clear" w:color="auto" w:fill="auto"/>
            <w:noWrap/>
            <w:vAlign w:val="center"/>
            <w:hideMark/>
          </w:tcPr>
          <w:p w14:paraId="282CF37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Control</w:t>
            </w:r>
          </w:p>
        </w:tc>
        <w:tc>
          <w:tcPr>
            <w:tcW w:w="1523" w:type="dxa"/>
            <w:tcBorders>
              <w:top w:val="nil"/>
              <w:left w:val="nil"/>
              <w:bottom w:val="nil"/>
              <w:right w:val="nil"/>
            </w:tcBorders>
            <w:shd w:val="clear" w:color="auto" w:fill="auto"/>
            <w:noWrap/>
            <w:vAlign w:val="center"/>
            <w:hideMark/>
          </w:tcPr>
          <w:p w14:paraId="5F84174E"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2.99(0.31)</w:t>
            </w:r>
          </w:p>
        </w:tc>
        <w:tc>
          <w:tcPr>
            <w:tcW w:w="781" w:type="dxa"/>
            <w:tcBorders>
              <w:top w:val="nil"/>
              <w:left w:val="nil"/>
              <w:bottom w:val="nil"/>
              <w:right w:val="nil"/>
            </w:tcBorders>
            <w:shd w:val="clear" w:color="auto" w:fill="auto"/>
            <w:noWrap/>
            <w:vAlign w:val="center"/>
            <w:hideMark/>
          </w:tcPr>
          <w:p w14:paraId="697F02B2"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2.358</w:t>
            </w:r>
          </w:p>
        </w:tc>
        <w:tc>
          <w:tcPr>
            <w:tcW w:w="781" w:type="dxa"/>
            <w:tcBorders>
              <w:top w:val="nil"/>
              <w:left w:val="nil"/>
              <w:bottom w:val="nil"/>
              <w:right w:val="nil"/>
            </w:tcBorders>
            <w:shd w:val="clear" w:color="auto" w:fill="auto"/>
            <w:noWrap/>
            <w:vAlign w:val="center"/>
            <w:hideMark/>
          </w:tcPr>
          <w:p w14:paraId="48974E1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3.632</w:t>
            </w:r>
          </w:p>
        </w:tc>
        <w:tc>
          <w:tcPr>
            <w:tcW w:w="1349" w:type="dxa"/>
            <w:tcBorders>
              <w:top w:val="nil"/>
              <w:left w:val="nil"/>
              <w:bottom w:val="nil"/>
              <w:right w:val="nil"/>
            </w:tcBorders>
            <w:shd w:val="clear" w:color="auto" w:fill="auto"/>
            <w:noWrap/>
            <w:vAlign w:val="center"/>
            <w:hideMark/>
          </w:tcPr>
          <w:p w14:paraId="6F9AAF20"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3.00(0.26)</w:t>
            </w:r>
          </w:p>
        </w:tc>
        <w:tc>
          <w:tcPr>
            <w:tcW w:w="781" w:type="dxa"/>
            <w:tcBorders>
              <w:top w:val="nil"/>
              <w:left w:val="nil"/>
              <w:bottom w:val="nil"/>
              <w:right w:val="nil"/>
            </w:tcBorders>
            <w:shd w:val="clear" w:color="auto" w:fill="auto"/>
            <w:noWrap/>
            <w:vAlign w:val="center"/>
            <w:hideMark/>
          </w:tcPr>
          <w:p w14:paraId="1C3D4D5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2.473</w:t>
            </w:r>
          </w:p>
        </w:tc>
        <w:tc>
          <w:tcPr>
            <w:tcW w:w="781" w:type="dxa"/>
            <w:tcBorders>
              <w:top w:val="nil"/>
              <w:left w:val="nil"/>
              <w:bottom w:val="nil"/>
              <w:right w:val="nil"/>
            </w:tcBorders>
            <w:shd w:val="clear" w:color="auto" w:fill="auto"/>
            <w:noWrap/>
            <w:vAlign w:val="center"/>
            <w:hideMark/>
          </w:tcPr>
          <w:p w14:paraId="76CDFAF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3.539</w:t>
            </w:r>
          </w:p>
        </w:tc>
      </w:tr>
      <w:tr w:rsidR="005404CD" w:rsidRPr="00D40C27" w14:paraId="203784F6" w14:textId="77777777" w:rsidTr="005404CD">
        <w:trPr>
          <w:trHeight w:val="435"/>
        </w:trPr>
        <w:tc>
          <w:tcPr>
            <w:tcW w:w="2204" w:type="dxa"/>
            <w:tcBorders>
              <w:top w:val="nil"/>
              <w:left w:val="nil"/>
              <w:bottom w:val="single" w:sz="4" w:space="0" w:color="auto"/>
              <w:right w:val="nil"/>
            </w:tcBorders>
            <w:shd w:val="clear" w:color="auto" w:fill="auto"/>
            <w:noWrap/>
            <w:vAlign w:val="bottom"/>
            <w:hideMark/>
          </w:tcPr>
          <w:p w14:paraId="4A498A6D"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D40C27">
              <w:rPr>
                <w:rFonts w:ascii="Calibri" w:eastAsia="Times New Roman" w:hAnsi="Calibri" w:cs="Calibri"/>
              </w:rPr>
              <w:t> </w:t>
            </w:r>
          </w:p>
        </w:tc>
        <w:tc>
          <w:tcPr>
            <w:tcW w:w="959" w:type="dxa"/>
            <w:tcBorders>
              <w:top w:val="nil"/>
              <w:left w:val="nil"/>
              <w:bottom w:val="single" w:sz="4" w:space="0" w:color="auto"/>
              <w:right w:val="nil"/>
            </w:tcBorders>
            <w:shd w:val="clear" w:color="auto" w:fill="auto"/>
            <w:noWrap/>
            <w:vAlign w:val="center"/>
            <w:hideMark/>
          </w:tcPr>
          <w:p w14:paraId="025060F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FD</w:t>
            </w:r>
          </w:p>
        </w:tc>
        <w:tc>
          <w:tcPr>
            <w:tcW w:w="1523" w:type="dxa"/>
            <w:tcBorders>
              <w:top w:val="nil"/>
              <w:left w:val="nil"/>
              <w:bottom w:val="single" w:sz="4" w:space="0" w:color="auto"/>
              <w:right w:val="nil"/>
            </w:tcBorders>
            <w:shd w:val="clear" w:color="auto" w:fill="auto"/>
            <w:noWrap/>
            <w:vAlign w:val="center"/>
            <w:hideMark/>
          </w:tcPr>
          <w:p w14:paraId="60A40C96"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3.76(0.29)</w:t>
            </w:r>
          </w:p>
        </w:tc>
        <w:tc>
          <w:tcPr>
            <w:tcW w:w="781" w:type="dxa"/>
            <w:tcBorders>
              <w:top w:val="nil"/>
              <w:left w:val="nil"/>
              <w:bottom w:val="single" w:sz="4" w:space="0" w:color="auto"/>
              <w:right w:val="nil"/>
            </w:tcBorders>
            <w:shd w:val="clear" w:color="auto" w:fill="auto"/>
            <w:noWrap/>
            <w:vAlign w:val="center"/>
            <w:hideMark/>
          </w:tcPr>
          <w:p w14:paraId="1083CD2F"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3.190</w:t>
            </w:r>
          </w:p>
        </w:tc>
        <w:tc>
          <w:tcPr>
            <w:tcW w:w="781" w:type="dxa"/>
            <w:tcBorders>
              <w:top w:val="nil"/>
              <w:left w:val="nil"/>
              <w:bottom w:val="single" w:sz="4" w:space="0" w:color="auto"/>
              <w:right w:val="nil"/>
            </w:tcBorders>
            <w:shd w:val="clear" w:color="auto" w:fill="auto"/>
            <w:noWrap/>
            <w:vAlign w:val="center"/>
            <w:hideMark/>
          </w:tcPr>
          <w:p w14:paraId="2B6343C4"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4.345</w:t>
            </w:r>
          </w:p>
        </w:tc>
        <w:tc>
          <w:tcPr>
            <w:tcW w:w="1349" w:type="dxa"/>
            <w:tcBorders>
              <w:top w:val="nil"/>
              <w:left w:val="nil"/>
              <w:bottom w:val="single" w:sz="4" w:space="0" w:color="auto"/>
              <w:right w:val="nil"/>
            </w:tcBorders>
            <w:shd w:val="clear" w:color="auto" w:fill="auto"/>
            <w:noWrap/>
            <w:vAlign w:val="center"/>
            <w:hideMark/>
          </w:tcPr>
          <w:p w14:paraId="1A2B78D1"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3.37(0.26)</w:t>
            </w:r>
          </w:p>
        </w:tc>
        <w:tc>
          <w:tcPr>
            <w:tcW w:w="781" w:type="dxa"/>
            <w:tcBorders>
              <w:top w:val="nil"/>
              <w:left w:val="nil"/>
              <w:bottom w:val="single" w:sz="4" w:space="0" w:color="auto"/>
              <w:right w:val="nil"/>
            </w:tcBorders>
            <w:shd w:val="clear" w:color="auto" w:fill="auto"/>
            <w:noWrap/>
            <w:vAlign w:val="center"/>
            <w:hideMark/>
          </w:tcPr>
          <w:p w14:paraId="10C6AFC3"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2.856</w:t>
            </w:r>
          </w:p>
        </w:tc>
        <w:tc>
          <w:tcPr>
            <w:tcW w:w="781" w:type="dxa"/>
            <w:tcBorders>
              <w:top w:val="nil"/>
              <w:left w:val="nil"/>
              <w:bottom w:val="single" w:sz="4" w:space="0" w:color="auto"/>
              <w:right w:val="nil"/>
            </w:tcBorders>
            <w:shd w:val="clear" w:color="auto" w:fill="auto"/>
            <w:noWrap/>
            <w:vAlign w:val="center"/>
            <w:hideMark/>
          </w:tcPr>
          <w:p w14:paraId="31518A68" w14:textId="77777777" w:rsidR="005404CD" w:rsidRPr="00D40C27" w:rsidRDefault="005404CD" w:rsidP="005404CD">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eastAsia="Times New Roman"/>
                <w:color w:val="auto"/>
              </w:rPr>
            </w:pPr>
            <w:r w:rsidRPr="00D40C27">
              <w:rPr>
                <w:rFonts w:eastAsia="Times New Roman"/>
                <w:color w:val="auto"/>
              </w:rPr>
              <w:t>3.896</w:t>
            </w:r>
          </w:p>
        </w:tc>
      </w:tr>
    </w:tbl>
    <w:p w14:paraId="0CF4884B" w14:textId="77777777" w:rsidR="008471FC" w:rsidRPr="008471FC" w:rsidRDefault="005404CD" w:rsidP="008471FC">
      <w:pPr>
        <w:pStyle w:val="Tables"/>
        <w:spacing w:after="0" w:line="240" w:lineRule="auto"/>
        <w:rPr>
          <w:lang w:eastAsia="en-US"/>
        </w:rPr>
      </w:pPr>
      <w:r>
        <w:rPr>
          <w:lang w:eastAsia="en-US"/>
        </w:rPr>
        <w:t xml:space="preserve"> </w:t>
      </w:r>
      <w:r w:rsidR="008471FC">
        <w:rPr>
          <w:lang w:eastAsia="en-US"/>
        </w:rPr>
        <w:t>Table 5</w:t>
      </w:r>
      <w:r w:rsidR="008471FC" w:rsidRPr="00D40C27">
        <w:rPr>
          <w:lang w:eastAsia="en-US"/>
        </w:rPr>
        <w:t>.</w:t>
      </w:r>
      <w:r w:rsidR="008471FC">
        <w:rPr>
          <w:lang w:eastAsia="en-US"/>
        </w:rPr>
        <w:t>2.</w:t>
      </w:r>
      <w:r w:rsidR="008471FC" w:rsidRPr="00D40C27">
        <w:rPr>
          <w:lang w:eastAsia="en-US"/>
        </w:rPr>
        <w:t xml:space="preserve"> Estimated means for IC and targets</w:t>
      </w:r>
      <w:bookmarkEnd w:id="122"/>
    </w:p>
    <w:p w14:paraId="1C1D5E32"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spacing w:after="0"/>
        <w:ind w:firstLine="0"/>
        <w:rPr>
          <w:rFonts w:eastAsia="Cambria"/>
          <w:color w:val="auto"/>
          <w:lang w:eastAsia="en-US"/>
        </w:rPr>
      </w:pPr>
    </w:p>
    <w:p w14:paraId="2DB35971" w14:textId="2C3C68D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spacing w:after="0"/>
        <w:ind w:firstLine="0"/>
        <w:rPr>
          <w:rFonts w:eastAsia="Cambria"/>
          <w:color w:val="auto"/>
          <w:lang w:eastAsia="en-US"/>
        </w:rPr>
      </w:pPr>
      <w:r w:rsidRPr="000215FF">
        <w:rPr>
          <w:rFonts w:eastAsia="Cambria"/>
          <w:color w:val="auto"/>
          <w:lang w:eastAsia="en-US"/>
        </w:rPr>
        <w:t>Bonferroni post-hoc test showed that the mock FD profile was rated as warmer (</w:t>
      </w:r>
      <w:r w:rsidRPr="000215FF">
        <w:rPr>
          <w:rFonts w:eastAsia="Cambria"/>
          <w:i/>
          <w:iCs/>
          <w:color w:val="auto"/>
          <w:lang w:eastAsia="en-US"/>
        </w:rPr>
        <w:t>p</w:t>
      </w:r>
      <w:r w:rsidRPr="000215FF">
        <w:rPr>
          <w:rFonts w:eastAsia="Cambria"/>
          <w:color w:val="auto"/>
          <w:lang w:eastAsia="en-US"/>
        </w:rPr>
        <w:t xml:space="preserve"> = 0.006), with more work competence (</w:t>
      </w:r>
      <w:r w:rsidRPr="000215FF">
        <w:rPr>
          <w:rFonts w:eastAsia="Cambria"/>
          <w:i/>
          <w:iCs/>
          <w:color w:val="auto"/>
          <w:lang w:eastAsia="en-US"/>
        </w:rPr>
        <w:t>p</w:t>
      </w:r>
      <w:r w:rsidRPr="000215FF">
        <w:rPr>
          <w:rFonts w:eastAsia="Cambria"/>
          <w:color w:val="auto"/>
          <w:lang w:eastAsia="en-US"/>
        </w:rPr>
        <w:t xml:space="preserve"> = 0.005) but less attractive (</w:t>
      </w:r>
      <w:r w:rsidRPr="000215FF">
        <w:rPr>
          <w:rFonts w:eastAsia="Cambria"/>
          <w:i/>
          <w:iCs/>
          <w:color w:val="auto"/>
          <w:lang w:eastAsia="en-US"/>
        </w:rPr>
        <w:t>p</w:t>
      </w:r>
      <w:r w:rsidRPr="000215FF">
        <w:rPr>
          <w:rFonts w:eastAsia="Cambria"/>
          <w:color w:val="auto"/>
          <w:lang w:eastAsia="en-US"/>
        </w:rPr>
        <w:t xml:space="preserve"> &lt;0.001) than the </w:t>
      </w:r>
      <w:r w:rsidRPr="000215FF">
        <w:rPr>
          <w:rFonts w:eastAsia="Cambria"/>
          <w:color w:val="auto"/>
          <w:lang w:eastAsia="en-US"/>
        </w:rPr>
        <w:lastRenderedPageBreak/>
        <w:t>control mock applicant without FD. Memory recall approached significant levels (</w:t>
      </w:r>
      <w:r w:rsidRPr="000215FF">
        <w:rPr>
          <w:rFonts w:eastAsia="Cambria"/>
          <w:i/>
          <w:iCs/>
          <w:color w:val="auto"/>
          <w:lang w:eastAsia="en-US"/>
        </w:rPr>
        <w:t>p</w:t>
      </w:r>
      <w:r w:rsidRPr="000215FF">
        <w:rPr>
          <w:rFonts w:eastAsia="Cambria"/>
          <w:color w:val="auto"/>
          <w:lang w:eastAsia="en-US"/>
        </w:rPr>
        <w:t xml:space="preserve"> = 0.045)</w:t>
      </w:r>
      <w:r w:rsidR="00C45376">
        <w:rPr>
          <w:rFonts w:eastAsia="Cambria"/>
          <w:color w:val="auto"/>
          <w:lang w:eastAsia="en-US"/>
        </w:rPr>
        <w:t>,</w:t>
      </w:r>
      <w:r w:rsidRPr="000215FF">
        <w:rPr>
          <w:rFonts w:eastAsia="Cambria"/>
          <w:color w:val="auto"/>
          <w:lang w:eastAsia="en-US"/>
        </w:rPr>
        <w:t xml:space="preserve"> with participants recalling more details for the mock FD applicant compared to the control applicant. See figure </w:t>
      </w:r>
      <w:r w:rsidR="005404CD">
        <w:rPr>
          <w:rFonts w:eastAsia="Cambria"/>
          <w:color w:val="auto"/>
          <w:lang w:eastAsia="en-US"/>
        </w:rPr>
        <w:t>5.4</w:t>
      </w:r>
      <w:r w:rsidRPr="000215FF">
        <w:rPr>
          <w:rFonts w:eastAsia="Cambria"/>
          <w:color w:val="auto"/>
          <w:lang w:eastAsia="en-US"/>
        </w:rPr>
        <w:t xml:space="preserve"> for interaction.</w:t>
      </w:r>
    </w:p>
    <w:p w14:paraId="547AFD25"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spacing w:after="0"/>
        <w:ind w:firstLine="0"/>
        <w:rPr>
          <w:rFonts w:eastAsia="Cambria"/>
          <w:color w:val="auto"/>
          <w:lang w:eastAsia="en-US"/>
        </w:rPr>
      </w:pPr>
    </w:p>
    <w:p w14:paraId="0D4E5E05" w14:textId="77777777" w:rsidR="00A427E8" w:rsidRPr="00D40C27" w:rsidRDefault="009E095F" w:rsidP="009E095F">
      <w:pPr>
        <w:pStyle w:val="Figures"/>
        <w:rPr>
          <w:lang w:eastAsia="en-US"/>
        </w:rPr>
      </w:pPr>
      <w:bookmarkStart w:id="123" w:name="_Toc12024859"/>
      <w:r>
        <w:rPr>
          <w:lang w:eastAsia="en-US"/>
        </w:rPr>
        <w:t>Figure 5.4</w:t>
      </w:r>
      <w:r w:rsidR="00A427E8" w:rsidRPr="00D40C27">
        <w:rPr>
          <w:lang w:eastAsia="en-US"/>
        </w:rPr>
        <w:t>. Interaction target x IC for emotional strength</w:t>
      </w:r>
      <w:bookmarkEnd w:id="123"/>
    </w:p>
    <w:p w14:paraId="127996AC" w14:textId="6D7A5DEE" w:rsidR="00A427E8" w:rsidRPr="000215FF" w:rsidRDefault="00D02823" w:rsidP="009E0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firstLine="0"/>
        <w:rPr>
          <w:rFonts w:ascii="Times New Roman" w:eastAsia="Cambria" w:hAnsi="Times New Roman" w:cs="Times New Roman"/>
          <w:color w:val="auto"/>
          <w:sz w:val="24"/>
          <w:szCs w:val="24"/>
          <w:lang w:eastAsia="en-US"/>
        </w:rPr>
      </w:pPr>
      <w:r>
        <w:rPr>
          <w:rFonts w:ascii="Times New Roman" w:eastAsia="Cambria" w:hAnsi="Times New Roman" w:cs="Times New Roman"/>
          <w:noProof/>
          <w:color w:val="auto"/>
          <w:sz w:val="24"/>
          <w:szCs w:val="24"/>
          <w:lang w:val="es-CO" w:eastAsia="es-CO"/>
        </w:rPr>
        <w:drawing>
          <wp:inline distT="0" distB="0" distL="0" distR="0" wp14:anchorId="6B12FD8B" wp14:editId="1F647F75">
            <wp:extent cx="5244465" cy="3615690"/>
            <wp:effectExtent l="0" t="0" r="0" b="0"/>
            <wp:docPr id="1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4465" cy="3615690"/>
                    </a:xfrm>
                    <a:prstGeom prst="rect">
                      <a:avLst/>
                    </a:prstGeom>
                    <a:noFill/>
                    <a:ln>
                      <a:noFill/>
                    </a:ln>
                  </pic:spPr>
                </pic:pic>
              </a:graphicData>
            </a:graphic>
          </wp:inline>
        </w:drawing>
      </w:r>
    </w:p>
    <w:p w14:paraId="5D960871" w14:textId="77777777" w:rsidR="00A427E8" w:rsidRPr="00D40C27" w:rsidRDefault="00A427E8" w:rsidP="007A3FE4">
      <w:pPr>
        <w:pStyle w:val="Heading2"/>
      </w:pPr>
      <w:bookmarkStart w:id="124" w:name="_Toc12024679"/>
      <w:r w:rsidRPr="00D40C27">
        <w:t>Discussion</w:t>
      </w:r>
      <w:bookmarkEnd w:id="124"/>
    </w:p>
    <w:p w14:paraId="5FCECD96"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ind w:firstLine="0"/>
        <w:rPr>
          <w:rFonts w:eastAsia="Cambria"/>
          <w:color w:val="auto"/>
          <w:lang w:eastAsia="en-US"/>
        </w:rPr>
      </w:pPr>
      <w:r w:rsidRPr="000215FF">
        <w:rPr>
          <w:rFonts w:eastAsia="Cambria"/>
          <w:color w:val="auto"/>
          <w:lang w:eastAsia="en-US"/>
        </w:rPr>
        <w:t xml:space="preserve">This study aimed to pilot test whether an anti-stigma strategy of education and IC could reduce intentions to avoid FD and improve evaluations of a FD mock application. It was hypothesised that participants reading information about FD and imagining a positive interaction with an individual with FD would report </w:t>
      </w:r>
      <w:r w:rsidR="00B32D9C">
        <w:rPr>
          <w:rFonts w:eastAsia="Cambria"/>
          <w:color w:val="auto"/>
          <w:lang w:eastAsia="en-US"/>
        </w:rPr>
        <w:t>fewer</w:t>
      </w:r>
      <w:r w:rsidRPr="000215FF">
        <w:rPr>
          <w:rFonts w:eastAsia="Cambria"/>
          <w:color w:val="auto"/>
          <w:lang w:eastAsia="en-US"/>
        </w:rPr>
        <w:t xml:space="preserve"> intentions to avoid FD, better memory recall and more positive evaluations of a mock applicant with FD. It was also hypothesised that the mock applicant with FD would receive significantly more negative evaluations and memory recall than the control mock application.  </w:t>
      </w:r>
    </w:p>
    <w:p w14:paraId="1BB1DAF8" w14:textId="248EB814"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Contrary to our hypothesis, the anti-stigma strategy did not have an effect on intentions to avoid FD compared to the control strategy displaying a neutral message; thus</w:t>
      </w:r>
      <w:r w:rsidR="000960CE">
        <w:rPr>
          <w:rFonts w:eastAsia="Cambria"/>
          <w:color w:val="auto"/>
          <w:lang w:eastAsia="en-US"/>
        </w:rPr>
        <w:t>,</w:t>
      </w:r>
      <w:r w:rsidRPr="000215FF">
        <w:rPr>
          <w:rFonts w:eastAsia="Cambria"/>
          <w:color w:val="auto"/>
          <w:lang w:eastAsia="en-US"/>
        </w:rPr>
        <w:t xml:space="preserve"> failing to replicate the findings reported in Study 2. Perhaps the difference in demographic characteristics between the (mostly) student sample used in Study 2, compared to the non-student sample reported in this study, influenced these mixed findings. In the literature, contrasting results between student and non-student samples have been reported in the study of prejudice </w:t>
      </w:r>
      <w:r w:rsidRPr="000215FF">
        <w:rPr>
          <w:rFonts w:eastAsia="Cambria"/>
          <w:noProof/>
          <w:color w:val="auto"/>
          <w:lang w:eastAsia="en-US"/>
        </w:rPr>
        <w:t>(Dasgupta &amp; Hunsinger, 2008; Peterson, 2001)</w:t>
      </w:r>
      <w:r w:rsidRPr="000215FF">
        <w:rPr>
          <w:rFonts w:eastAsia="Cambria"/>
          <w:color w:val="auto"/>
          <w:lang w:eastAsia="en-US"/>
        </w:rPr>
        <w:t xml:space="preserve">. </w:t>
      </w:r>
      <w:r w:rsidR="00AE6452">
        <w:rPr>
          <w:rFonts w:eastAsia="Cambria"/>
          <w:color w:val="auto"/>
          <w:lang w:eastAsia="en-US"/>
        </w:rPr>
        <w:t>It is possible that</w:t>
      </w:r>
      <w:r w:rsidR="00AE6452" w:rsidRPr="000215FF">
        <w:rPr>
          <w:rFonts w:eastAsia="Cambria"/>
          <w:color w:val="auto"/>
          <w:lang w:eastAsia="en-US"/>
        </w:rPr>
        <w:t xml:space="preserve"> </w:t>
      </w:r>
      <w:r w:rsidRPr="000215FF">
        <w:rPr>
          <w:rFonts w:eastAsia="Cambria"/>
          <w:color w:val="auto"/>
          <w:lang w:eastAsia="en-US"/>
        </w:rPr>
        <w:t xml:space="preserve">because participants of this study were more mature and </w:t>
      </w:r>
      <w:r w:rsidRPr="000215FF">
        <w:rPr>
          <w:rFonts w:eastAsia="Cambria"/>
          <w:color w:val="auto"/>
          <w:lang w:eastAsia="en-US"/>
        </w:rPr>
        <w:lastRenderedPageBreak/>
        <w:t xml:space="preserve">experienced than those in Study 2, avoidance intentions remained unchanged in this study. Nevertheless, IC has resulted in decreased stigma in samples with similar demographic characteristics </w:t>
      </w:r>
      <w:r w:rsidRPr="000215FF">
        <w:rPr>
          <w:rFonts w:eastAsia="Cambria"/>
          <w:noProof/>
          <w:color w:val="auto"/>
          <w:lang w:eastAsia="en-US"/>
        </w:rPr>
        <w:t>(e.g.</w:t>
      </w:r>
      <w:r w:rsidR="008471FC">
        <w:rPr>
          <w:rFonts w:eastAsia="Cambria"/>
          <w:noProof/>
          <w:color w:val="auto"/>
          <w:lang w:eastAsia="en-US"/>
        </w:rPr>
        <w:t>,</w:t>
      </w:r>
      <w:r w:rsidRPr="000215FF">
        <w:rPr>
          <w:rFonts w:eastAsia="Cambria"/>
          <w:noProof/>
          <w:color w:val="auto"/>
          <w:lang w:eastAsia="en-US"/>
        </w:rPr>
        <w:t xml:space="preserve"> disabilities; Carvalho</w:t>
      </w:r>
      <w:r w:rsidRPr="000215FF">
        <w:rPr>
          <w:rFonts w:ascii="Cambria Math" w:eastAsia="Cambria" w:hAnsi="Cambria Math" w:cs="Cambria Math"/>
          <w:noProof/>
          <w:color w:val="auto"/>
          <w:lang w:eastAsia="en-US"/>
        </w:rPr>
        <w:t>‐</w:t>
      </w:r>
      <w:r w:rsidRPr="000215FF">
        <w:rPr>
          <w:rFonts w:eastAsia="Cambria"/>
          <w:noProof/>
          <w:color w:val="auto"/>
          <w:lang w:eastAsia="en-US"/>
        </w:rPr>
        <w:t>Freitas &amp; Stathi, 2017)</w:t>
      </w:r>
      <w:r w:rsidRPr="000215FF">
        <w:rPr>
          <w:rFonts w:eastAsia="Cambria"/>
          <w:color w:val="auto"/>
          <w:lang w:eastAsia="en-US"/>
        </w:rPr>
        <w:t xml:space="preserve">, therefore it is unclear whether the discrepancies can be explained solely by demographic differences.  </w:t>
      </w:r>
    </w:p>
    <w:p w14:paraId="112A3004" w14:textId="77777777"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Another reason behind these non-significant results may be the length of time employed by participants imagining the interaction with an individual with FD. Although this study followed the methodology used in experiments using IC </w:t>
      </w:r>
      <w:r w:rsidRPr="000215FF">
        <w:rPr>
          <w:rFonts w:eastAsia="Cambria"/>
          <w:noProof/>
          <w:color w:val="auto"/>
          <w:lang w:eastAsia="en-US"/>
        </w:rPr>
        <w:t>(Crisp &amp; Turner, 2009)</w:t>
      </w:r>
      <w:r w:rsidRPr="000215FF">
        <w:rPr>
          <w:rFonts w:eastAsia="Cambria"/>
          <w:color w:val="auto"/>
          <w:lang w:eastAsia="en-US"/>
        </w:rPr>
        <w:t xml:space="preserve">, instructions given to participants did not include a specific amount of time for the imagination task and the timer that impeded participants to continue to the next page was set at 60 seconds. This could have had implications on the elaboration of the imagined interaction that participants had and subsequently in the lack of effectiveness found in this study </w:t>
      </w:r>
      <w:r w:rsidRPr="000215FF">
        <w:rPr>
          <w:rFonts w:eastAsia="Cambria"/>
          <w:noProof/>
          <w:color w:val="auto"/>
          <w:lang w:eastAsia="en-US"/>
        </w:rPr>
        <w:t>(Husnu &amp; Crisp, 2010)</w:t>
      </w:r>
      <w:r w:rsidRPr="000215FF">
        <w:rPr>
          <w:rFonts w:eastAsia="Cambria"/>
          <w:color w:val="auto"/>
          <w:lang w:eastAsia="en-US"/>
        </w:rPr>
        <w:t>. It is possible that longer imaginal exposure (e.g.</w:t>
      </w:r>
      <w:r w:rsidR="008471FC">
        <w:rPr>
          <w:rFonts w:eastAsia="Cambria"/>
          <w:color w:val="auto"/>
          <w:lang w:eastAsia="en-US"/>
        </w:rPr>
        <w:t>,</w:t>
      </w:r>
      <w:r w:rsidRPr="000215FF">
        <w:rPr>
          <w:rFonts w:eastAsia="Cambria"/>
          <w:color w:val="auto"/>
          <w:lang w:eastAsia="en-US"/>
        </w:rPr>
        <w:t xml:space="preserve"> 5 minutes), such as that used by </w:t>
      </w:r>
      <w:r w:rsidRPr="000215FF">
        <w:rPr>
          <w:rFonts w:eastAsia="Cambria"/>
          <w:noProof/>
          <w:color w:val="auto"/>
          <w:lang w:eastAsia="en-US"/>
        </w:rPr>
        <w:t>Turner, Crisp, and Lambert (2007)</w:t>
      </w:r>
      <w:r w:rsidRPr="000215FF">
        <w:rPr>
          <w:rFonts w:eastAsia="Cambria"/>
          <w:color w:val="auto"/>
          <w:lang w:eastAsia="en-US"/>
        </w:rPr>
        <w:t xml:space="preserve">, would yield more stigma reduction, particularly in a sample of </w:t>
      </w:r>
      <w:r w:rsidR="00B32D9C">
        <w:rPr>
          <w:rFonts w:eastAsia="Cambria"/>
          <w:color w:val="auto"/>
          <w:lang w:eastAsia="en-US"/>
        </w:rPr>
        <w:t xml:space="preserve">a </w:t>
      </w:r>
      <w:r w:rsidRPr="000215FF">
        <w:rPr>
          <w:rFonts w:eastAsia="Cambria"/>
          <w:color w:val="auto"/>
          <w:lang w:eastAsia="en-US"/>
        </w:rPr>
        <w:t>non-student sample.</w:t>
      </w:r>
    </w:p>
    <w:p w14:paraId="1A80CDB7" w14:textId="22205F4E"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While there is a growing body of evidence towards the effectiveness of IC </w:t>
      </w:r>
      <w:r w:rsidRPr="000215FF">
        <w:rPr>
          <w:rFonts w:eastAsia="Cambria"/>
          <w:noProof/>
          <w:color w:val="auto"/>
          <w:lang w:eastAsia="en-US"/>
        </w:rPr>
        <w:t>(Miles &amp; Crisp, 2013; Stathi et al., 2014)</w:t>
      </w:r>
      <w:r w:rsidRPr="000215FF">
        <w:rPr>
          <w:rFonts w:eastAsia="Cambria"/>
          <w:color w:val="auto"/>
          <w:lang w:eastAsia="en-US"/>
        </w:rPr>
        <w:t>, a handful of studies have reported non-significant findings (e.g.</w:t>
      </w:r>
      <w:r w:rsidR="007435B4">
        <w:rPr>
          <w:rFonts w:eastAsia="Cambria"/>
          <w:noProof/>
          <w:color w:val="auto"/>
          <w:lang w:eastAsia="en-US"/>
        </w:rPr>
        <w:t xml:space="preserve">, </w:t>
      </w:r>
      <w:r w:rsidRPr="000215FF">
        <w:rPr>
          <w:rFonts w:eastAsia="Cambria"/>
          <w:noProof/>
          <w:color w:val="auto"/>
          <w:lang w:eastAsia="en-US"/>
        </w:rPr>
        <w:t>Dermody, Jones, &amp; Cumming, 2013; West &amp; Greenland, 2016)</w:t>
      </w:r>
      <w:r w:rsidRPr="000215FF">
        <w:rPr>
          <w:rFonts w:eastAsia="Cambria"/>
          <w:color w:val="auto"/>
          <w:lang w:eastAsia="en-US"/>
        </w:rPr>
        <w:t>. Because scientific literature is commonly biased towards the publication of statistically significant results and rejection of non-significant findings (publication bias</w:t>
      </w:r>
      <w:r w:rsidR="006F0795">
        <w:rPr>
          <w:rFonts w:eastAsia="Cambria"/>
          <w:color w:val="auto"/>
          <w:lang w:eastAsia="en-US"/>
        </w:rPr>
        <w:t xml:space="preserve">; </w:t>
      </w:r>
      <w:r w:rsidRPr="000215FF">
        <w:rPr>
          <w:rFonts w:eastAsia="Cambria"/>
          <w:noProof/>
          <w:color w:val="auto"/>
          <w:lang w:eastAsia="en-US"/>
        </w:rPr>
        <w:t>Scargle, 1999)</w:t>
      </w:r>
      <w:r w:rsidRPr="000215FF">
        <w:rPr>
          <w:rFonts w:eastAsia="Cambria"/>
          <w:color w:val="auto"/>
          <w:lang w:eastAsia="en-US"/>
        </w:rPr>
        <w:t xml:space="preserve">, it is hard to estimate whether IC is as effective as the published literature portraits. Although this is an unavoidable issue found across scientific fields, a future direction to test the IC hypothesis may be to analyse unpublished material reporting the outcome of IC strategies such as </w:t>
      </w:r>
      <w:r w:rsidR="00AE6452" w:rsidRPr="000215FF">
        <w:rPr>
          <w:rFonts w:eastAsia="Cambria"/>
          <w:color w:val="auto"/>
          <w:lang w:eastAsia="en-US"/>
        </w:rPr>
        <w:t>thes</w:t>
      </w:r>
      <w:r w:rsidR="00AE6452">
        <w:rPr>
          <w:rFonts w:eastAsia="Cambria"/>
          <w:color w:val="auto"/>
          <w:lang w:eastAsia="en-US"/>
        </w:rPr>
        <w:t>i</w:t>
      </w:r>
      <w:r w:rsidR="00AE6452" w:rsidRPr="000215FF">
        <w:rPr>
          <w:rFonts w:eastAsia="Cambria"/>
          <w:color w:val="auto"/>
          <w:lang w:eastAsia="en-US"/>
        </w:rPr>
        <w:t>s</w:t>
      </w:r>
      <w:r w:rsidRPr="000215FF">
        <w:rPr>
          <w:rFonts w:eastAsia="Cambria"/>
          <w:color w:val="auto"/>
          <w:lang w:eastAsia="en-US"/>
        </w:rPr>
        <w:t xml:space="preserve">, dissertations and research reports </w:t>
      </w:r>
      <w:r w:rsidRPr="000215FF">
        <w:rPr>
          <w:rFonts w:eastAsia="Cambria"/>
          <w:noProof/>
          <w:color w:val="auto"/>
          <w:lang w:eastAsia="en-US"/>
        </w:rPr>
        <w:t>(Ioannidis, 2005; Moonesinghe, Khoury, &amp; Janssens, 2007)</w:t>
      </w:r>
    </w:p>
    <w:p w14:paraId="458C7635" w14:textId="2FC9DE38" w:rsidR="00BA6379" w:rsidRDefault="00AE6452"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Pr>
          <w:rFonts w:eastAsia="Cambria"/>
          <w:color w:val="auto"/>
          <w:lang w:eastAsia="en-US"/>
        </w:rPr>
        <w:t>T</w:t>
      </w:r>
      <w:r w:rsidR="00BA6379">
        <w:rPr>
          <w:rFonts w:eastAsia="Cambria"/>
          <w:color w:val="auto"/>
          <w:lang w:eastAsia="en-US"/>
        </w:rPr>
        <w:t>here was no significant difference in ratings of social potency between mock CVs with or without FD. T</w:t>
      </w:r>
      <w:r>
        <w:rPr>
          <w:rFonts w:eastAsia="Cambria"/>
          <w:color w:val="auto"/>
          <w:lang w:eastAsia="en-US"/>
        </w:rPr>
        <w:t>his was an interesting result because</w:t>
      </w:r>
      <w:r w:rsidR="00BA6379">
        <w:rPr>
          <w:rFonts w:eastAsia="Cambria"/>
          <w:color w:val="auto"/>
          <w:lang w:eastAsia="en-US"/>
        </w:rPr>
        <w:t xml:space="preserve"> this is a common stereotype attributed to people with FD. For instance, p</w:t>
      </w:r>
      <w:r>
        <w:rPr>
          <w:rFonts w:eastAsia="Cambria"/>
          <w:color w:val="auto"/>
          <w:lang w:eastAsia="en-US"/>
        </w:rPr>
        <w:t>revious studies</w:t>
      </w:r>
      <w:r w:rsidR="00BA6379">
        <w:rPr>
          <w:rFonts w:eastAsia="Cambria"/>
          <w:color w:val="auto"/>
          <w:lang w:eastAsia="en-US"/>
        </w:rPr>
        <w:t xml:space="preserve"> have reported</w:t>
      </w:r>
      <w:r>
        <w:rPr>
          <w:rFonts w:eastAsia="Cambria"/>
          <w:color w:val="auto"/>
          <w:lang w:eastAsia="en-US"/>
        </w:rPr>
        <w:t xml:space="preserve"> </w:t>
      </w:r>
      <w:r w:rsidR="00BA6379">
        <w:rPr>
          <w:rFonts w:eastAsia="Cambria"/>
          <w:color w:val="auto"/>
          <w:lang w:eastAsia="en-US"/>
        </w:rPr>
        <w:t>lower</w:t>
      </w:r>
      <w:r>
        <w:rPr>
          <w:rFonts w:eastAsia="Cambria"/>
          <w:color w:val="auto"/>
          <w:lang w:eastAsia="en-US"/>
        </w:rPr>
        <w:t xml:space="preserve"> ratings </w:t>
      </w:r>
      <w:r w:rsidR="00BA6379">
        <w:rPr>
          <w:rFonts w:eastAsia="Cambria"/>
          <w:color w:val="auto"/>
          <w:lang w:eastAsia="en-US"/>
        </w:rPr>
        <w:t xml:space="preserve">of social potency towards individuals with FD, compared to individuals without FD </w:t>
      </w:r>
      <w:r w:rsidR="00280BE8">
        <w:rPr>
          <w:rFonts w:eastAsia="Cambria"/>
          <w:color w:val="auto"/>
          <w:lang w:eastAsia="en-US"/>
        </w:rPr>
        <w:t xml:space="preserve"> </w:t>
      </w:r>
      <w:r w:rsidR="00BA6379">
        <w:rPr>
          <w:rFonts w:eastAsia="Cambria"/>
          <w:color w:val="auto"/>
          <w:lang w:eastAsia="en-US"/>
        </w:rPr>
        <w:fldChar w:fldCharType="begin" w:fldLock="1"/>
      </w:r>
      <w:r w:rsidR="00BA6379">
        <w:rPr>
          <w:rFonts w:eastAsia="Cambria"/>
          <w:color w:val="auto"/>
          <w:lang w:eastAsia="en-US"/>
        </w:rPr>
        <w:instrText>ADDIN CSL_CITATION {"citationItems":[{"id":"ITEM-1","itemData":{"DOI":"10.1080/01973533.2012.674420","ISSN":"0197-3533","author":[{"dropping-particle":"","family":"Stone","given":"Anna","non-dropping-particle":"","parse-names":false,"suffix":""},{"dropping-particle":"","family":"Wright","given":"Toby","non-dropping-particle":"","parse-names":false,"suffix":""}],"container-title":"Basic and Applied Social Psychology","id":"ITEM-1","issue":"3","issued":{"date-parts":[["2012","5","1"]]},"page":"212-225","title":"Evaluations of People Depicted With Facial Disfigurement Compared to Those With Mobility Impairment","type":"article-journal","volume":"34"},"uris":["http://www.mendeley.com/documents/?uuid=a30a922c-5d0e-40cb-8dbf-69c1b088a603"]}],"mendeley":{"formattedCitation":"(Stone &amp; Wright, 2012)","plainTextFormattedCitation":"(Stone &amp; Wright, 2012)"},"properties":{"noteIndex":0},"schema":"https://github.com/citation-style-language/schema/raw/master/csl-citation.json"}</w:instrText>
      </w:r>
      <w:r w:rsidR="00BA6379">
        <w:rPr>
          <w:rFonts w:eastAsia="Cambria"/>
          <w:color w:val="auto"/>
          <w:lang w:eastAsia="en-US"/>
        </w:rPr>
        <w:fldChar w:fldCharType="separate"/>
      </w:r>
      <w:r w:rsidR="00BA6379" w:rsidRPr="00BA6379">
        <w:rPr>
          <w:rFonts w:eastAsia="Cambria"/>
          <w:noProof/>
          <w:color w:val="auto"/>
          <w:lang w:eastAsia="en-US"/>
        </w:rPr>
        <w:t>(Stone &amp; Wright, 2012)</w:t>
      </w:r>
      <w:r w:rsidR="00BA6379">
        <w:rPr>
          <w:rFonts w:eastAsia="Cambria"/>
          <w:color w:val="auto"/>
          <w:lang w:eastAsia="en-US"/>
        </w:rPr>
        <w:fldChar w:fldCharType="end"/>
      </w:r>
      <w:r>
        <w:rPr>
          <w:rFonts w:eastAsia="Cambria"/>
          <w:color w:val="auto"/>
          <w:lang w:eastAsia="en-US"/>
        </w:rPr>
        <w:t>.</w:t>
      </w:r>
      <w:r w:rsidR="00280BE8">
        <w:rPr>
          <w:rFonts w:eastAsia="Cambria"/>
          <w:color w:val="auto"/>
          <w:lang w:eastAsia="en-US"/>
        </w:rPr>
        <w:t xml:space="preserve"> </w:t>
      </w:r>
      <w:r w:rsidR="00BA6379">
        <w:rPr>
          <w:rFonts w:eastAsia="Cambria"/>
          <w:color w:val="auto"/>
          <w:lang w:eastAsia="en-US"/>
        </w:rPr>
        <w:t>Because</w:t>
      </w:r>
      <w:r w:rsidR="00280BE8">
        <w:rPr>
          <w:rFonts w:eastAsia="Cambria"/>
          <w:color w:val="auto"/>
          <w:lang w:eastAsia="en-US"/>
        </w:rPr>
        <w:t xml:space="preserve"> many forms of FD affect facial expression (e.g., facial paralysis)</w:t>
      </w:r>
      <w:r w:rsidR="00BA6379">
        <w:rPr>
          <w:rFonts w:eastAsia="Cambria"/>
          <w:color w:val="auto"/>
          <w:lang w:eastAsia="en-US"/>
        </w:rPr>
        <w:t>,</w:t>
      </w:r>
      <w:r w:rsidR="00280BE8">
        <w:rPr>
          <w:rFonts w:eastAsia="Cambria"/>
          <w:color w:val="auto"/>
          <w:lang w:eastAsia="en-US"/>
        </w:rPr>
        <w:t xml:space="preserve"> </w:t>
      </w:r>
      <w:r w:rsidR="00BA6379">
        <w:rPr>
          <w:rFonts w:eastAsia="Cambria"/>
          <w:color w:val="auto"/>
          <w:lang w:eastAsia="en-US"/>
        </w:rPr>
        <w:t>it is likely that observers misjudge</w:t>
      </w:r>
      <w:r w:rsidR="00280BE8">
        <w:rPr>
          <w:rFonts w:eastAsia="Cambria"/>
          <w:color w:val="auto"/>
          <w:lang w:eastAsia="en-US"/>
        </w:rPr>
        <w:t xml:space="preserve"> individuals</w:t>
      </w:r>
      <w:r w:rsidR="00BA6379">
        <w:rPr>
          <w:rFonts w:eastAsia="Cambria"/>
          <w:color w:val="auto"/>
          <w:lang w:eastAsia="en-US"/>
        </w:rPr>
        <w:t xml:space="preserve"> with FD</w:t>
      </w:r>
      <w:r w:rsidR="00280BE8">
        <w:rPr>
          <w:rFonts w:eastAsia="Cambria"/>
          <w:color w:val="auto"/>
          <w:lang w:eastAsia="en-US"/>
        </w:rPr>
        <w:t xml:space="preserve"> as more introverted and </w:t>
      </w:r>
      <w:r w:rsidR="00BA6379">
        <w:rPr>
          <w:rFonts w:eastAsia="Cambria"/>
          <w:color w:val="auto"/>
          <w:lang w:eastAsia="en-US"/>
        </w:rPr>
        <w:t>less sociable</w:t>
      </w:r>
      <w:r w:rsidR="00280BE8">
        <w:rPr>
          <w:rFonts w:eastAsia="Cambria"/>
          <w:color w:val="auto"/>
          <w:lang w:eastAsia="en-US"/>
        </w:rPr>
        <w:t xml:space="preserve"> </w:t>
      </w:r>
      <w:r w:rsidR="00280BE8">
        <w:rPr>
          <w:rFonts w:eastAsia="Cambria"/>
          <w:color w:val="auto"/>
          <w:lang w:eastAsia="en-US"/>
        </w:rPr>
        <w:fldChar w:fldCharType="begin" w:fldLock="1"/>
      </w:r>
      <w:r w:rsidR="00BA6379">
        <w:rPr>
          <w:rFonts w:eastAsia="Cambria"/>
          <w:color w:val="auto"/>
          <w:lang w:eastAsia="en-US"/>
        </w:rPr>
        <w:instrText>ADDIN CSL_CITATION {"citationItems":[{"id":"ITEM-1","itemData":{"author":[{"dropping-particle":"","family":"Bogart","given":"Kathleen R","non-dropping-particle":"","parse-names":false,"suffix":""},{"dropping-particle":"","family":"Cole","given":"Jonathan","non-dropping-particle":"","parse-names":false,"suffix":""},{"dropping-particle":"","family":"Briegel","given":"Wolfgang","non-dropping-particle":"","parse-names":false,"suffix":""}],"id":"ITEM-1","issued":{"date-parts":[["2014"]]},"title":"On the Consequences of living without facial expression","type":"article-journal"},"uris":["http://www.mendeley.com/documents/?uuid=8642fd54-9a1d-454d-9939-2d1118f5e80f"]}],"mendeley":{"formattedCitation":"(Bogart, Cole, &amp; Briegel, 2014)","plainTextFormattedCitation":"(Bogart, Cole, &amp; Briegel, 2014)","previouslyFormattedCitation":"(Bogart, Cole, &amp; Briegel, 2014)"},"properties":{"noteIndex":0},"schema":"https://github.com/citation-style-language/schema/raw/master/csl-citation.json"}</w:instrText>
      </w:r>
      <w:r w:rsidR="00280BE8">
        <w:rPr>
          <w:rFonts w:eastAsia="Cambria"/>
          <w:color w:val="auto"/>
          <w:lang w:eastAsia="en-US"/>
        </w:rPr>
        <w:fldChar w:fldCharType="separate"/>
      </w:r>
      <w:r w:rsidR="00280BE8" w:rsidRPr="00280BE8">
        <w:rPr>
          <w:rFonts w:eastAsia="Cambria"/>
          <w:noProof/>
          <w:color w:val="auto"/>
          <w:lang w:eastAsia="en-US"/>
        </w:rPr>
        <w:t>(Bogart, Cole, &amp; Briegel, 2014)</w:t>
      </w:r>
      <w:r w:rsidR="00280BE8">
        <w:rPr>
          <w:rFonts w:eastAsia="Cambria"/>
          <w:color w:val="auto"/>
          <w:lang w:eastAsia="en-US"/>
        </w:rPr>
        <w:fldChar w:fldCharType="end"/>
      </w:r>
      <w:r w:rsidR="00280BE8">
        <w:rPr>
          <w:rFonts w:eastAsia="Cambria"/>
          <w:color w:val="auto"/>
          <w:lang w:eastAsia="en-US"/>
        </w:rPr>
        <w:t>.</w:t>
      </w:r>
      <w:r>
        <w:rPr>
          <w:rFonts w:eastAsia="Cambria"/>
          <w:color w:val="auto"/>
          <w:lang w:eastAsia="en-US"/>
        </w:rPr>
        <w:t xml:space="preserve"> </w:t>
      </w:r>
    </w:p>
    <w:p w14:paraId="5A60AB2A" w14:textId="454B7FF3" w:rsidR="00A427E8" w:rsidRPr="000215FF" w:rsidRDefault="00BA6379"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Participants allocated to the mock </w:t>
      </w:r>
      <w:r>
        <w:rPr>
          <w:rFonts w:eastAsia="Cambria"/>
          <w:color w:val="auto"/>
          <w:lang w:eastAsia="en-US"/>
        </w:rPr>
        <w:t>CV of someone</w:t>
      </w:r>
      <w:r w:rsidRPr="000215FF">
        <w:rPr>
          <w:rFonts w:eastAsia="Cambria"/>
          <w:color w:val="auto"/>
          <w:lang w:eastAsia="en-US"/>
        </w:rPr>
        <w:t xml:space="preserve"> with FD rated the applicant as significantly warmer (items on friendliness and trustworthiness), higher work competence but less attractiveness, compared to participants evaluating an applicant without FD. </w:t>
      </w:r>
      <w:r w:rsidR="00A427E8" w:rsidRPr="000215FF">
        <w:rPr>
          <w:rFonts w:eastAsia="Cambria"/>
          <w:color w:val="auto"/>
          <w:lang w:eastAsia="en-US"/>
        </w:rPr>
        <w:t xml:space="preserve">These results resemblance findings from self-reported measures in </w:t>
      </w:r>
      <w:r w:rsidR="00A427E8" w:rsidRPr="000215FF">
        <w:rPr>
          <w:rFonts w:eastAsia="Cambria"/>
          <w:noProof/>
          <w:color w:val="auto"/>
          <w:lang w:eastAsia="en-US"/>
        </w:rPr>
        <w:lastRenderedPageBreak/>
        <w:t>Blascovich et al</w:t>
      </w:r>
      <w:r w:rsidR="00AF776D">
        <w:rPr>
          <w:rFonts w:eastAsia="Cambria"/>
          <w:noProof/>
          <w:color w:val="auto"/>
          <w:lang w:eastAsia="en-US"/>
        </w:rPr>
        <w:t>.</w:t>
      </w:r>
      <w:r w:rsidR="00A427E8" w:rsidRPr="000215FF">
        <w:rPr>
          <w:rFonts w:eastAsia="Cambria"/>
          <w:noProof/>
          <w:color w:val="auto"/>
          <w:lang w:eastAsia="en-US"/>
        </w:rPr>
        <w:t xml:space="preserve"> (2001)</w:t>
      </w:r>
      <w:r w:rsidR="00A427E8" w:rsidRPr="000215FF">
        <w:rPr>
          <w:rFonts w:eastAsia="Cambria"/>
          <w:color w:val="auto"/>
          <w:lang w:eastAsia="en-US"/>
        </w:rPr>
        <w:t>, whereby participants allocated to perform a task with a FD partner reported more positively ratings of their partners’ performance than did participants allocated to interact with a control confederate without FD. These results may in part reflect paternalistic stereotypes attributed to typically disadvantaged groups (e.g.</w:t>
      </w:r>
      <w:r w:rsidR="008471FC">
        <w:rPr>
          <w:rFonts w:eastAsia="Cambria"/>
          <w:color w:val="auto"/>
          <w:lang w:eastAsia="en-US"/>
        </w:rPr>
        <w:t>,</w:t>
      </w:r>
      <w:r w:rsidR="00A427E8" w:rsidRPr="000215FF">
        <w:rPr>
          <w:rFonts w:eastAsia="Cambria"/>
          <w:color w:val="auto"/>
          <w:lang w:eastAsia="en-US"/>
        </w:rPr>
        <w:t xml:space="preserve"> the aging adults, the blind) who are perceived as non-threatening and higher in warmth. However, in this study participants also evaluated the FD applicant as higher in work competence, which does not correspond to the typical paternalistic stereotypes found in other stigmatised groups </w:t>
      </w:r>
      <w:r w:rsidR="00A427E8" w:rsidRPr="000215FF">
        <w:rPr>
          <w:rFonts w:eastAsia="Cambria"/>
          <w:noProof/>
          <w:color w:val="auto"/>
          <w:lang w:eastAsia="en-US"/>
        </w:rPr>
        <w:t>(Fiske et al., 2002; Glick &amp; Fiske, 2001)</w:t>
      </w:r>
      <w:r w:rsidR="00A427E8" w:rsidRPr="000215FF">
        <w:rPr>
          <w:rFonts w:eastAsia="Cambria"/>
          <w:color w:val="auto"/>
          <w:lang w:eastAsia="en-US"/>
        </w:rPr>
        <w:t xml:space="preserve">. </w:t>
      </w:r>
    </w:p>
    <w:p w14:paraId="50080897" w14:textId="1CD680DC" w:rsidR="00BA6379"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 xml:space="preserve">Compared to the control imagery task, imagining a positive interaction with an individual with FD </w:t>
      </w:r>
      <w:r w:rsidR="00AE6452">
        <w:rPr>
          <w:rFonts w:eastAsia="Cambria"/>
          <w:color w:val="auto"/>
          <w:lang w:eastAsia="en-US"/>
        </w:rPr>
        <w:t>did not have an effect on</w:t>
      </w:r>
      <w:r w:rsidRPr="000215FF">
        <w:rPr>
          <w:rFonts w:eastAsia="Cambria"/>
          <w:color w:val="auto"/>
          <w:lang w:eastAsia="en-US"/>
        </w:rPr>
        <w:t xml:space="preserve"> ratings of work competence, social capacity, warmth, attractiveness, </w:t>
      </w:r>
      <w:r w:rsidR="00AE6452">
        <w:rPr>
          <w:rFonts w:eastAsia="Cambria"/>
          <w:color w:val="auto"/>
          <w:lang w:eastAsia="en-US"/>
        </w:rPr>
        <w:t xml:space="preserve">emotional strength or </w:t>
      </w:r>
      <w:r w:rsidRPr="000215FF">
        <w:rPr>
          <w:rFonts w:eastAsia="Cambria"/>
          <w:color w:val="auto"/>
          <w:lang w:eastAsia="en-US"/>
        </w:rPr>
        <w:t>memory recall of a mock applicant with FD</w:t>
      </w:r>
      <w:r w:rsidR="00BA6379">
        <w:rPr>
          <w:rFonts w:eastAsia="Cambria"/>
          <w:color w:val="auto"/>
          <w:lang w:eastAsia="en-US"/>
        </w:rPr>
        <w:t xml:space="preserve">. </w:t>
      </w:r>
      <w:r w:rsidRPr="000215FF">
        <w:rPr>
          <w:rFonts w:eastAsia="Cambria"/>
          <w:color w:val="auto"/>
          <w:lang w:eastAsia="en-US"/>
        </w:rPr>
        <w:t>While these findings do not provide conclusive support for the effectiveness of IC strategies in reducing intentions to avoid FD, it is possible that it could be useful in other manifestations of stigma (e.g.</w:t>
      </w:r>
      <w:r w:rsidR="008471FC">
        <w:rPr>
          <w:rFonts w:eastAsia="Cambria"/>
          <w:color w:val="auto"/>
          <w:lang w:eastAsia="en-US"/>
        </w:rPr>
        <w:t>,</w:t>
      </w:r>
      <w:r w:rsidRPr="000215FF">
        <w:rPr>
          <w:rFonts w:eastAsia="Cambria"/>
          <w:color w:val="auto"/>
          <w:lang w:eastAsia="en-US"/>
        </w:rPr>
        <w:t xml:space="preserve"> social distance, implicit negative attitudes). Indeed, a significant body of literature support</w:t>
      </w:r>
      <w:r w:rsidR="00B32D9C">
        <w:rPr>
          <w:rFonts w:eastAsia="Cambria"/>
          <w:color w:val="auto"/>
          <w:lang w:eastAsia="en-US"/>
        </w:rPr>
        <w:t>s</w:t>
      </w:r>
      <w:r w:rsidRPr="000215FF">
        <w:rPr>
          <w:rFonts w:eastAsia="Cambria"/>
          <w:color w:val="auto"/>
          <w:lang w:eastAsia="en-US"/>
        </w:rPr>
        <w:t xml:space="preserve"> IC as a useful tool to reduce stigma towards several disadvantaged groups. </w:t>
      </w:r>
    </w:p>
    <w:p w14:paraId="313B09AB" w14:textId="4DB34089" w:rsidR="00A427E8" w:rsidRPr="000215FF" w:rsidRDefault="00A427E8" w:rsidP="00A427E8">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This</w:t>
      </w:r>
      <w:r w:rsidR="00BA6379">
        <w:rPr>
          <w:rFonts w:eastAsia="Cambria"/>
          <w:color w:val="auto"/>
          <w:lang w:eastAsia="en-US"/>
        </w:rPr>
        <w:t xml:space="preserve"> study used</w:t>
      </w:r>
      <w:r w:rsidRPr="000215FF">
        <w:rPr>
          <w:rFonts w:eastAsia="Cambria"/>
          <w:color w:val="auto"/>
          <w:lang w:eastAsia="en-US"/>
        </w:rPr>
        <w:t xml:space="preserve"> anti-stigma </w:t>
      </w:r>
      <w:r w:rsidR="00BA6379">
        <w:rPr>
          <w:rFonts w:eastAsia="Cambria"/>
          <w:color w:val="auto"/>
          <w:lang w:eastAsia="en-US"/>
        </w:rPr>
        <w:t>strategies based on</w:t>
      </w:r>
      <w:r w:rsidRPr="000215FF">
        <w:rPr>
          <w:rFonts w:eastAsia="Cambria"/>
          <w:color w:val="auto"/>
          <w:lang w:eastAsia="en-US"/>
        </w:rPr>
        <w:t xml:space="preserve"> education and </w:t>
      </w:r>
      <w:r w:rsidR="00BA6379">
        <w:rPr>
          <w:rFonts w:eastAsia="Cambria"/>
          <w:color w:val="auto"/>
          <w:lang w:eastAsia="en-US"/>
        </w:rPr>
        <w:t>imagined contact</w:t>
      </w:r>
      <w:r w:rsidRPr="000215FF">
        <w:rPr>
          <w:rFonts w:eastAsia="Cambria"/>
          <w:color w:val="auto"/>
          <w:lang w:eastAsia="en-US"/>
        </w:rPr>
        <w:t xml:space="preserve">, </w:t>
      </w:r>
      <w:r w:rsidR="00BA6379">
        <w:rPr>
          <w:rFonts w:eastAsia="Cambria"/>
          <w:color w:val="auto"/>
          <w:lang w:eastAsia="en-US"/>
        </w:rPr>
        <w:t>however the experiment was</w:t>
      </w:r>
      <w:r w:rsidRPr="000215FF">
        <w:rPr>
          <w:rFonts w:eastAsia="Cambria"/>
          <w:color w:val="auto"/>
          <w:lang w:eastAsia="en-US"/>
        </w:rPr>
        <w:t xml:space="preserve"> completed in one brief session. Perhaps a greater number of sessions or more interactive awareness material would yield lower avoidance intentions. The profile and mock applicants evaluated by participants were both white females. Future studies would benefit from testing different types of applicants (e.g</w:t>
      </w:r>
      <w:r w:rsidR="008471FC">
        <w:rPr>
          <w:rFonts w:eastAsia="Cambria"/>
          <w:color w:val="auto"/>
          <w:lang w:eastAsia="en-US"/>
        </w:rPr>
        <w:t>.,</w:t>
      </w:r>
      <w:r w:rsidRPr="000215FF">
        <w:rPr>
          <w:rFonts w:eastAsia="Cambria"/>
          <w:color w:val="auto"/>
          <w:lang w:eastAsia="en-US"/>
        </w:rPr>
        <w:t xml:space="preserve"> FD against other stigmatised groups</w:t>
      </w:r>
      <w:r w:rsidR="006F0795">
        <w:rPr>
          <w:rFonts w:eastAsia="Cambria"/>
          <w:color w:val="auto"/>
          <w:lang w:eastAsia="en-US"/>
        </w:rPr>
        <w:t xml:space="preserve">; </w:t>
      </w:r>
      <w:r w:rsidRPr="000215FF">
        <w:rPr>
          <w:rFonts w:eastAsia="Cambria"/>
          <w:noProof/>
          <w:color w:val="auto"/>
          <w:lang w:eastAsia="en-US"/>
        </w:rPr>
        <w:t>Stone &amp; Wright, 2012)</w:t>
      </w:r>
      <w:r w:rsidRPr="000215FF">
        <w:rPr>
          <w:rFonts w:eastAsia="Cambria"/>
          <w:color w:val="auto"/>
          <w:lang w:eastAsia="en-US"/>
        </w:rPr>
        <w:t xml:space="preserve"> and developing measures of </w:t>
      </w:r>
      <w:r w:rsidR="00B32D9C">
        <w:rPr>
          <w:rFonts w:eastAsia="Cambria"/>
          <w:color w:val="auto"/>
          <w:lang w:eastAsia="en-US"/>
        </w:rPr>
        <w:t xml:space="preserve">the </w:t>
      </w:r>
      <w:r w:rsidRPr="000215FF">
        <w:rPr>
          <w:rFonts w:eastAsia="Cambria"/>
          <w:color w:val="auto"/>
          <w:lang w:eastAsia="en-US"/>
        </w:rPr>
        <w:t>stigma that approximate to evaluations conducted in recruitment settings. Although the methodology and sample size of this pilot study was similar to studies testing imagined contact found in the literature (e.g.,</w:t>
      </w:r>
      <w:r w:rsidRPr="000215FF">
        <w:rPr>
          <w:rFonts w:eastAsia="Cambria"/>
          <w:noProof/>
          <w:color w:val="FFFFFF"/>
          <w:lang w:eastAsia="en-US"/>
        </w:rPr>
        <w:t>(</w:t>
      </w:r>
      <w:r w:rsidRPr="000215FF">
        <w:rPr>
          <w:rFonts w:eastAsia="Cambria"/>
          <w:noProof/>
          <w:color w:val="auto"/>
          <w:lang w:eastAsia="en-US"/>
        </w:rPr>
        <w:t>Stathi &amp; Crisp, 2009; R. Turner et al., 2007)</w:t>
      </w:r>
      <w:r w:rsidRPr="000215FF">
        <w:rPr>
          <w:rFonts w:eastAsia="Cambria"/>
          <w:color w:val="auto"/>
          <w:lang w:eastAsia="en-US"/>
        </w:rPr>
        <w:t xml:space="preserve">, results were not conclusive about the effectiveness of IC on stigma towards FD. Further research is required to clarify the effect of IC and education anti-stigma strategies on observer’s evaluation of people with FD, particularly in samples of participants likely to participate in real life recruitment decisions. </w:t>
      </w:r>
    </w:p>
    <w:p w14:paraId="22883063" w14:textId="417FA3FD" w:rsidR="0084591A" w:rsidRPr="000215FF" w:rsidRDefault="00A427E8" w:rsidP="004D2DCA">
      <w:pPr>
        <w:pBdr>
          <w:top w:val="none" w:sz="0" w:space="0" w:color="auto"/>
          <w:left w:val="none" w:sz="0" w:space="0" w:color="auto"/>
          <w:bottom w:val="none" w:sz="0" w:space="0" w:color="auto"/>
          <w:right w:val="none" w:sz="0" w:space="0" w:color="auto"/>
          <w:between w:val="none" w:sz="0" w:space="0" w:color="auto"/>
        </w:pBdr>
        <w:rPr>
          <w:rFonts w:eastAsia="Cambria"/>
          <w:color w:val="auto"/>
          <w:lang w:eastAsia="en-US"/>
        </w:rPr>
      </w:pPr>
      <w:r w:rsidRPr="000215FF">
        <w:rPr>
          <w:rFonts w:eastAsia="Cambria"/>
          <w:color w:val="auto"/>
          <w:lang w:eastAsia="en-US"/>
        </w:rPr>
        <w:t>While IC and education have been shown to be effective tools for prejudice and stigma reduction, the present findings were not conclusive in finding an effect in levels of stigma towards FD. However, the present results showed that, as it is the case of other disadvantaged groups (e.g., people with disabilities)</w:t>
      </w:r>
      <w:r w:rsidR="001124D4">
        <w:rPr>
          <w:rFonts w:eastAsia="Cambria"/>
          <w:color w:val="auto"/>
          <w:lang w:eastAsia="en-US"/>
        </w:rPr>
        <w:t>,</w:t>
      </w:r>
      <w:r w:rsidRPr="000215FF">
        <w:rPr>
          <w:rFonts w:eastAsia="Cambria"/>
          <w:color w:val="auto"/>
          <w:lang w:eastAsia="en-US"/>
        </w:rPr>
        <w:t xml:space="preserve"> people with FD </w:t>
      </w:r>
      <w:r w:rsidR="001124D4">
        <w:rPr>
          <w:rFonts w:eastAsia="Cambria"/>
          <w:color w:val="auto"/>
          <w:lang w:eastAsia="en-US"/>
        </w:rPr>
        <w:t>may be</w:t>
      </w:r>
      <w:r w:rsidR="001124D4" w:rsidRPr="000215FF">
        <w:rPr>
          <w:rFonts w:eastAsia="Cambria"/>
          <w:color w:val="auto"/>
          <w:lang w:eastAsia="en-US"/>
        </w:rPr>
        <w:t xml:space="preserve"> </w:t>
      </w:r>
      <w:r w:rsidRPr="000215FF">
        <w:rPr>
          <w:rFonts w:eastAsia="Cambria"/>
          <w:color w:val="auto"/>
          <w:lang w:eastAsia="en-US"/>
        </w:rPr>
        <w:t xml:space="preserve">subjected to paternalistic stereotypes, whereby negative attributions of competence are compensated by higher ratings of target’s warmth. </w:t>
      </w:r>
      <w:r w:rsidR="001124D4">
        <w:rPr>
          <w:rFonts w:eastAsia="Cambria"/>
          <w:color w:val="auto"/>
          <w:lang w:eastAsia="en-US"/>
        </w:rPr>
        <w:t>H</w:t>
      </w:r>
      <w:r w:rsidRPr="000215FF">
        <w:rPr>
          <w:rFonts w:eastAsia="Cambria"/>
          <w:color w:val="auto"/>
          <w:lang w:eastAsia="en-US"/>
        </w:rPr>
        <w:t>owever, due to underpower</w:t>
      </w:r>
      <w:r w:rsidR="00B32D9C">
        <w:rPr>
          <w:rFonts w:eastAsia="Cambria"/>
          <w:color w:val="auto"/>
          <w:lang w:eastAsia="en-US"/>
        </w:rPr>
        <w:t>ing</w:t>
      </w:r>
      <w:r w:rsidRPr="000215FF">
        <w:rPr>
          <w:rFonts w:eastAsia="Cambria"/>
          <w:color w:val="auto"/>
          <w:lang w:eastAsia="en-US"/>
        </w:rPr>
        <w:t xml:space="preserve"> </w:t>
      </w:r>
      <w:r w:rsidRPr="000215FF">
        <w:rPr>
          <w:rFonts w:eastAsia="Cambria"/>
          <w:color w:val="auto"/>
          <w:lang w:eastAsia="en-US"/>
        </w:rPr>
        <w:lastRenderedPageBreak/>
        <w:t xml:space="preserve">issues in this study, further research is needed to evaluate the impact of traditionally effective strategies in </w:t>
      </w:r>
      <w:r w:rsidR="00B32D9C">
        <w:rPr>
          <w:rFonts w:eastAsia="Cambria"/>
          <w:color w:val="auto"/>
          <w:lang w:eastAsia="en-US"/>
        </w:rPr>
        <w:t xml:space="preserve">the </w:t>
      </w:r>
      <w:r w:rsidRPr="000215FF">
        <w:rPr>
          <w:rFonts w:eastAsia="Cambria"/>
          <w:color w:val="auto"/>
          <w:lang w:eastAsia="en-US"/>
        </w:rPr>
        <w:t>evalua</w:t>
      </w:r>
      <w:r w:rsidR="009E095F" w:rsidRPr="000215FF">
        <w:rPr>
          <w:rFonts w:eastAsia="Cambria"/>
          <w:color w:val="auto"/>
          <w:lang w:eastAsia="en-US"/>
        </w:rPr>
        <w:t>tion of job applicants with FD.</w:t>
      </w:r>
    </w:p>
    <w:p w14:paraId="5DB4FE16" w14:textId="77777777" w:rsidR="0099272D" w:rsidRPr="00125F07" w:rsidRDefault="009E095F" w:rsidP="00A02454">
      <w:pPr>
        <w:pStyle w:val="Heading1"/>
      </w:pPr>
      <w:bookmarkStart w:id="125" w:name="_Toc12024681"/>
      <w:r>
        <w:t>Chapter 6. General</w:t>
      </w:r>
      <w:r w:rsidR="00AD6D4C" w:rsidRPr="00125F07">
        <w:t xml:space="preserve"> Discussion</w:t>
      </w:r>
      <w:bookmarkEnd w:id="125"/>
    </w:p>
    <w:p w14:paraId="03846DB5" w14:textId="556DA39C" w:rsidR="009E095F" w:rsidRPr="00A4047B" w:rsidRDefault="009E095F" w:rsidP="000960CE">
      <w:pPr>
        <w:spacing w:before="100" w:beforeAutospacing="1"/>
        <w:ind w:firstLine="0"/>
      </w:pPr>
      <w:r w:rsidRPr="00A4047B">
        <w:t xml:space="preserve">The studies within this thesis aimed to further understand </w:t>
      </w:r>
      <w:r w:rsidR="00B32D9C">
        <w:t xml:space="preserve">the </w:t>
      </w:r>
      <w:r w:rsidRPr="00A4047B">
        <w:t>dual process of stigma towards FD (Study 1 and systematic review) and to test the effectiveness of anti-stigma interventions</w:t>
      </w:r>
      <w:r>
        <w:t>,</w:t>
      </w:r>
      <w:r w:rsidRPr="00A4047B">
        <w:t xml:space="preserve"> </w:t>
      </w:r>
      <w:r>
        <w:t xml:space="preserve">involving IC and </w:t>
      </w:r>
      <w:r w:rsidRPr="00A4047B">
        <w:t>education in awareness</w:t>
      </w:r>
      <w:r>
        <w:t>,</w:t>
      </w:r>
      <w:r w:rsidRPr="00A4047B">
        <w:t xml:space="preserve"> on responses towards FD</w:t>
      </w:r>
      <w:r>
        <w:t xml:space="preserve">. </w:t>
      </w:r>
      <w:r w:rsidRPr="00A4047B">
        <w:t xml:space="preserve"> </w:t>
      </w:r>
      <w:r>
        <w:t>T</w:t>
      </w:r>
      <w:r w:rsidRPr="00A4047B">
        <w:t>he effect of these strategies was tested in samples of students (Study 2), and pilot-tested in a sample of employee</w:t>
      </w:r>
      <w:r>
        <w:t>s</w:t>
      </w:r>
      <w:r w:rsidRPr="00A4047B">
        <w:t xml:space="preserve"> with recruitment duties (Study 3). The hypotheses associated with each study were tested quantitative</w:t>
      </w:r>
      <w:r>
        <w:t>ly</w:t>
      </w:r>
      <w:r w:rsidRPr="00A4047B">
        <w:t xml:space="preserve"> </w:t>
      </w:r>
      <w:r>
        <w:t xml:space="preserve">using both correlational and experimental </w:t>
      </w:r>
      <w:r w:rsidRPr="00A4047B">
        <w:t xml:space="preserve">designs. The objective of the present chapter is to present an overall discussion of how all the findings that resulted from this thesis contribute towards the literature addressing stigma reduction strategies and stigmatisation processes towards FD. Thus, this chapter specific aims will cover: (i) a summary of the findings reported in previous chapters; (ii) theoretical implications of these findings </w:t>
      </w:r>
      <w:r>
        <w:t>for</w:t>
      </w:r>
      <w:r w:rsidRPr="00A4047B">
        <w:t xml:space="preserve"> stigma and stigma-reduction</w:t>
      </w:r>
      <w:r>
        <w:t xml:space="preserve"> </w:t>
      </w:r>
      <w:r w:rsidR="000267C1">
        <w:t>research</w:t>
      </w:r>
      <w:r w:rsidRPr="00A4047B">
        <w:t xml:space="preserve">; (iii) the implications that these findings may have on policy and practice; (iv) a consideration of the strengths and limitations of these studies; and (v) </w:t>
      </w:r>
      <w:r>
        <w:t xml:space="preserve">a </w:t>
      </w:r>
      <w:r w:rsidRPr="00A4047B">
        <w:t>discuss</w:t>
      </w:r>
      <w:r>
        <w:t>ion of</w:t>
      </w:r>
      <w:r w:rsidRPr="00A4047B">
        <w:t xml:space="preserve"> future research directions.</w:t>
      </w:r>
    </w:p>
    <w:p w14:paraId="0A7178D2" w14:textId="5939647F" w:rsidR="009E095F" w:rsidRPr="00A4047B" w:rsidRDefault="009E095F" w:rsidP="009E095F">
      <w:pPr>
        <w:spacing w:before="100" w:beforeAutospacing="1"/>
      </w:pPr>
      <w:r w:rsidRPr="00A4047B">
        <w:t xml:space="preserve">Chapter two presented the results of a systematic review covering the period 1980-2018. Fifty-one articles reporting findings of 57 studies </w:t>
      </w:r>
      <w:r w:rsidR="009309FE">
        <w:t xml:space="preserve">(N = </w:t>
      </w:r>
      <w:r w:rsidRPr="00A4047B">
        <w:t>14,</w:t>
      </w:r>
      <w:r w:rsidR="000267C1">
        <w:t>767</w:t>
      </w:r>
      <w:r w:rsidR="009309FE">
        <w:t>)</w:t>
      </w:r>
      <w:r w:rsidR="00232F75">
        <w:rPr>
          <w:rStyle w:val="FootnoteReference"/>
        </w:rPr>
        <w:footnoteReference w:id="3"/>
      </w:r>
      <w:r w:rsidR="00232F75">
        <w:t xml:space="preserve">, </w:t>
      </w:r>
      <w:r w:rsidRPr="00A4047B">
        <w:t xml:space="preserve">were included in the review. In line with survey reports and studies of perceived stigma </w:t>
      </w:r>
      <w:r w:rsidRPr="00A4047B">
        <w:rPr>
          <w:noProof/>
        </w:rPr>
        <w:t>(Alex Clarke, Thompson, Jenkinson, Rumsey, &amp; Newell, 2013; Clarke, 1999; Hodge, 2017; Kent &amp; Al</w:t>
      </w:r>
      <w:r w:rsidRPr="00A4047B">
        <w:rPr>
          <w:rFonts w:ascii="Cambria Math" w:hAnsi="Cambria Math" w:cs="Cambria Math"/>
          <w:noProof/>
        </w:rPr>
        <w:t>‐</w:t>
      </w:r>
      <w:r w:rsidRPr="00A4047B">
        <w:rPr>
          <w:noProof/>
        </w:rPr>
        <w:t>Abadie, 1996; Kent &amp; Thompson, 2002; Rumsey &amp; Harcourt, 2004; A. Thompson &amp; Kent, 2001; A. R. Thompson &amp; Broom, 2009)</w:t>
      </w:r>
      <w:r w:rsidRPr="00A4047B">
        <w:t xml:space="preserve"> </w:t>
      </w:r>
      <w:r>
        <w:t xml:space="preserve">the </w:t>
      </w:r>
      <w:r w:rsidRPr="00A4047B">
        <w:t xml:space="preserve">literature supports that observers respond differently to FD </w:t>
      </w:r>
      <w:r w:rsidRPr="00A4047B">
        <w:rPr>
          <w:noProof/>
        </w:rPr>
        <w:t>(Jacob, Morisky, &amp; Nsubuga, 2012; Kurzban &amp; Leary, 2001; Park, Schaller, &amp; Crandall, 2007; Stone &amp; Potton, 2014)</w:t>
      </w:r>
      <w:r w:rsidRPr="00A4047B">
        <w:t xml:space="preserve">. Stigma towards FD may in part </w:t>
      </w:r>
      <w:r>
        <w:t>be explained by</w:t>
      </w:r>
      <w:r w:rsidRPr="00A4047B">
        <w:t xml:space="preserve"> protective mechanisms of disease avoidance, which </w:t>
      </w:r>
      <w:r>
        <w:t>are</w:t>
      </w:r>
      <w:r w:rsidRPr="00A4047B">
        <w:t xml:space="preserve"> evident in the display of emotions like disgust</w:t>
      </w:r>
      <w:r>
        <w:t xml:space="preserve"> </w:t>
      </w:r>
      <w:r w:rsidRPr="00A4047B">
        <w:rPr>
          <w:noProof/>
        </w:rPr>
        <w:t>(Ryan, Oaten, Stevenson, &amp; Case, 2012; Shanmugarajah, Gaind, Clarke, &amp; Butler, 2012; Stone &amp; Potton, 2017)</w:t>
      </w:r>
      <w:r w:rsidRPr="00A4047B">
        <w:t xml:space="preserve"> and threat </w:t>
      </w:r>
      <w:r w:rsidRPr="00A4047B">
        <w:rPr>
          <w:noProof/>
        </w:rPr>
        <w:t>(Blascovich, Mendes, Hunter, Lickel, &amp; Kowai-Bell, 2001; Green-Armytage, Simonds, John, &amp; Woodger, 2019; Newell, 1999)</w:t>
      </w:r>
      <w:r w:rsidRPr="00A4047B">
        <w:t xml:space="preserve">. Furthermore, sociocultural influences also shape humans’ responses to FD </w:t>
      </w:r>
      <w:r w:rsidRPr="00A4047B">
        <w:rPr>
          <w:noProof/>
        </w:rPr>
        <w:t>(Stone &amp; Potton, 2014)</w:t>
      </w:r>
      <w:r w:rsidRPr="00A4047B">
        <w:t xml:space="preserve">. Stigma towards FD may follow theoretical approaches that have identified two distinctive systems underlying </w:t>
      </w:r>
      <w:r w:rsidRPr="00A4047B">
        <w:lastRenderedPageBreak/>
        <w:t xml:space="preserve">stigmatisation towards visibly different individuals </w:t>
      </w:r>
      <w:r w:rsidRPr="00A4047B">
        <w:rPr>
          <w:noProof/>
        </w:rPr>
        <w:t>(Pryor, Reeder, Yeadon, &amp; Hesson-McLnnis, 2004)</w:t>
      </w:r>
      <w:r w:rsidRPr="00A4047B">
        <w:t xml:space="preserve">. </w:t>
      </w:r>
    </w:p>
    <w:p w14:paraId="316BF788" w14:textId="5544EB58" w:rsidR="00F961AA" w:rsidRDefault="009E095F" w:rsidP="009E095F">
      <w:pPr>
        <w:spacing w:before="100" w:beforeAutospacing="1"/>
      </w:pPr>
      <w:r w:rsidRPr="00A4047B">
        <w:t xml:space="preserve">On the basis of this systematic analysis of the literature, </w:t>
      </w:r>
      <w:r>
        <w:t>S</w:t>
      </w:r>
      <w:r w:rsidRPr="00A4047B">
        <w:t>tudy 1 was designed to test individual differences associated with implicit and explicit attitudes towards FD; particularly appearance related cognitions, disgust sensitivity</w:t>
      </w:r>
      <w:r w:rsidR="00B32D9C">
        <w:t>,</w:t>
      </w:r>
      <w:r w:rsidRPr="00A4047B">
        <w:t xml:space="preserve"> and motivations to respond without prejudice. Findings from this study showed a significant association between negative implicit attitudes and high</w:t>
      </w:r>
      <w:r w:rsidR="009309FE">
        <w:t>er</w:t>
      </w:r>
      <w:r w:rsidRPr="00A4047B">
        <w:t xml:space="preserve"> levels of contamination disgust sensitivity. High internal and low external motivations to respond without prejudice were also associated with </w:t>
      </w:r>
      <w:r w:rsidR="00D42940">
        <w:t>more favourable</w:t>
      </w:r>
      <w:r w:rsidRPr="00A4047B">
        <w:t xml:space="preserve"> implicit attitudes towards FD </w:t>
      </w:r>
      <w:r w:rsidRPr="00A4047B">
        <w:rPr>
          <w:noProof/>
        </w:rPr>
        <w:t>(Plant &amp; Devine, 1998)</w:t>
      </w:r>
      <w:r w:rsidRPr="00A4047B">
        <w:t>. Explicit ratings of FD were weakly correlated with positive implicit attitudes</w:t>
      </w:r>
      <w:r w:rsidR="00D42940">
        <w:t>, however this association was lost after correcting for multiple testing</w:t>
      </w:r>
      <w:r w:rsidRPr="00A4047B">
        <w:t xml:space="preserve"> </w:t>
      </w:r>
      <w:r w:rsidRPr="00A4047B">
        <w:rPr>
          <w:noProof/>
        </w:rPr>
        <w:t>(Hofmann, Gawronski, Gschwendner, Le, &amp; Schmitt, 2005)</w:t>
      </w:r>
      <w:r w:rsidRPr="00A4047B">
        <w:t xml:space="preserve">. Males displayed significantly more negative attitudes towards FD than did females. Conversely, females displayed significantly greater disgust sensitivity and appearance related concerns </w:t>
      </w:r>
      <w:r w:rsidRPr="00A4047B">
        <w:rPr>
          <w:noProof/>
        </w:rPr>
        <w:t>(Lieberman, Tybur, &amp; Latner, 2012; Oaten, Stevenson, &amp; Case, 2009; Olatunji, Haidt, McKay, &amp; David, 2008; Rohrmann, Hopp, &amp; Quirin, 2008)</w:t>
      </w:r>
      <w:r w:rsidRPr="00A4047B">
        <w:t xml:space="preserve">. </w:t>
      </w:r>
    </w:p>
    <w:p w14:paraId="0B1399D2" w14:textId="7284BFEA" w:rsidR="009C7456" w:rsidRDefault="009E095F" w:rsidP="009E095F">
      <w:pPr>
        <w:spacing w:before="100" w:beforeAutospacing="1"/>
      </w:pPr>
      <w:r w:rsidRPr="00A4047B">
        <w:t xml:space="preserve">Findings </w:t>
      </w:r>
      <w:r w:rsidR="00D42940">
        <w:t>suggest</w:t>
      </w:r>
      <w:r w:rsidR="00F961AA">
        <w:t xml:space="preserve"> the existence of</w:t>
      </w:r>
      <w:r w:rsidR="00D42940">
        <w:t xml:space="preserve"> gender</w:t>
      </w:r>
      <w:r w:rsidRPr="00A4047B">
        <w:t xml:space="preserve"> differences </w:t>
      </w:r>
      <w:r w:rsidR="00D42940">
        <w:t>regarding</w:t>
      </w:r>
      <w:r w:rsidRPr="00A4047B">
        <w:t xml:space="preserve"> stigmatisation towards FD</w:t>
      </w:r>
      <w:r w:rsidR="00D42940">
        <w:t>. Furthermore stigmatisation</w:t>
      </w:r>
      <w:r w:rsidRPr="00A4047B">
        <w:t xml:space="preserve"> </w:t>
      </w:r>
      <w:r w:rsidR="00D42940">
        <w:t xml:space="preserve">responses are </w:t>
      </w:r>
      <w:r w:rsidRPr="00A4047B">
        <w:t>associated with innate (disgust sensitivity)</w:t>
      </w:r>
      <w:r w:rsidR="00D42940">
        <w:t>,</w:t>
      </w:r>
      <w:r w:rsidRPr="00A4047B">
        <w:t xml:space="preserve"> sociocultural </w:t>
      </w:r>
      <w:r w:rsidRPr="00A4047B">
        <w:rPr>
          <w:noProof/>
        </w:rPr>
        <w:t xml:space="preserve">(e.g., </w:t>
      </w:r>
      <w:r w:rsidR="00D42940">
        <w:rPr>
          <w:noProof/>
        </w:rPr>
        <w:t>social desirability,</w:t>
      </w:r>
      <w:r w:rsidR="00F961AA">
        <w:rPr>
          <w:noProof/>
        </w:rPr>
        <w:t xml:space="preserve"> also </w:t>
      </w:r>
      <w:r w:rsidR="00D42940">
        <w:rPr>
          <w:noProof/>
        </w:rPr>
        <w:t xml:space="preserve">found in </w:t>
      </w:r>
      <w:r w:rsidRPr="00A4047B">
        <w:rPr>
          <w:noProof/>
        </w:rPr>
        <w:t>stigma towards psychiatric conditions; Michaels &amp; Corrigan, 2013)</w:t>
      </w:r>
      <w:r w:rsidRPr="00A4047B">
        <w:t xml:space="preserve"> and  appearance</w:t>
      </w:r>
      <w:r w:rsidR="00F961AA">
        <w:t>-related cognitions</w:t>
      </w:r>
      <w:r w:rsidRPr="00A4047B">
        <w:t xml:space="preserve"> (e.g., obesity; </w:t>
      </w:r>
      <w:r w:rsidRPr="00A4047B">
        <w:rPr>
          <w:noProof/>
        </w:rPr>
        <w:t>O’Brien et al., 2013)</w:t>
      </w:r>
      <w:r w:rsidRPr="00A4047B">
        <w:t xml:space="preserve">. </w:t>
      </w:r>
      <w:r w:rsidR="00F961AA">
        <w:t xml:space="preserve">What </w:t>
      </w:r>
      <w:r w:rsidR="009C7456">
        <w:t>people consider to be</w:t>
      </w:r>
      <w:r w:rsidR="00F961AA">
        <w:t xml:space="preserve"> attractive </w:t>
      </w:r>
      <w:r w:rsidR="009C7456">
        <w:t xml:space="preserve">or unattractive </w:t>
      </w:r>
      <w:r w:rsidR="00F961AA">
        <w:t xml:space="preserve">is </w:t>
      </w:r>
      <w:r w:rsidR="009C7456">
        <w:t xml:space="preserve">shaped </w:t>
      </w:r>
      <w:r w:rsidR="00F961AA">
        <w:t>and maintained by sociocultural forces that have traditionally influenced our perception of beauty</w:t>
      </w:r>
      <w:r w:rsidR="009C7456">
        <w:t xml:space="preserve"> in others and in ourselves</w:t>
      </w:r>
      <w:r w:rsidR="00F961AA">
        <w:t xml:space="preserve">. </w:t>
      </w:r>
      <w:r w:rsidR="009C7456">
        <w:t>However, in</w:t>
      </w:r>
      <w:r w:rsidR="00F961AA">
        <w:t xml:space="preserve"> conceptualising beauty, one most also conceptualise what is not. </w:t>
      </w:r>
      <w:r w:rsidR="009C7456">
        <w:t xml:space="preserve">Therefore, beauty and ugliness are not concepts that can be fully understood separately. </w:t>
      </w:r>
    </w:p>
    <w:p w14:paraId="3E34CF61" w14:textId="5BF8EEDA" w:rsidR="009E095F" w:rsidRDefault="009C7456" w:rsidP="009E095F">
      <w:pPr>
        <w:spacing w:before="100" w:beforeAutospacing="1"/>
      </w:pPr>
      <w:r>
        <w:t xml:space="preserve">People with FD has traditionally been associated with attributes and stereotypes that influence the way others behave towards them. </w:t>
      </w:r>
      <w:r w:rsidR="006C09FE">
        <w:t xml:space="preserve">It </w:t>
      </w:r>
      <w:r>
        <w:t>is likely that some components of that behaviour are rooted in innate responses, aimed at maximising the chances of survival and reproduction in the species.</w:t>
      </w:r>
      <w:r w:rsidR="006C09FE">
        <w:t xml:space="preserve"> Perhaps these protection mechanisms were particularly useful in human societies that lacked today’s medical advances. However, modern human society have the means to comprehend stigmatisation towards FD and implement strategies that aid inclusion of people that have a different appearance. After all, it is not uncommon for modern humans to change within a few generations what is culturally appreciated as beautiful. For example, transgressive changes aimed to break the severe </w:t>
      </w:r>
      <w:r w:rsidR="00A560E9">
        <w:t>‘</w:t>
      </w:r>
      <w:r w:rsidR="006C09FE">
        <w:t>beautiful-ugliness</w:t>
      </w:r>
      <w:r w:rsidR="00A560E9">
        <w:t>’</w:t>
      </w:r>
      <w:r w:rsidR="006C09FE">
        <w:t xml:space="preserve"> dichotomy have occurred in the world of art</w:t>
      </w:r>
      <w:r w:rsidR="00A560E9">
        <w:t xml:space="preserve">. From the early perfectionist paintings of </w:t>
      </w:r>
      <w:r w:rsidR="00A560E9">
        <w:lastRenderedPageBreak/>
        <w:t>the renaissance, to the contemporary pieces of art of the XXI century, it has been possible to observe significant change in what was considered beautiful subjects, techniques,</w:t>
      </w:r>
      <w:r w:rsidR="006C09FE">
        <w:t xml:space="preserve"> materials</w:t>
      </w:r>
      <w:r w:rsidR="00A560E9">
        <w:t xml:space="preserve"> and</w:t>
      </w:r>
      <w:r w:rsidR="006C09FE">
        <w:t xml:space="preserve"> forms.</w:t>
      </w:r>
      <w:r w:rsidR="00A560E9">
        <w:t xml:space="preserve"> This is also happening in relation to the perception that we have of others. In post-modern society, the limit of concepts related with appearance is constantly being challenged for example, ideal body shape and gender. Although humans have a degree of understanding about what is</w:t>
      </w:r>
      <w:r w:rsidR="000B695D">
        <w:t xml:space="preserve"> stigma towards different others,</w:t>
      </w:r>
      <w:r w:rsidR="00A560E9">
        <w:t xml:space="preserve"> </w:t>
      </w:r>
      <w:r w:rsidR="000B695D">
        <w:t>further research efforts are needed to continue to evolve into a more inclusive society.</w:t>
      </w:r>
      <w:r w:rsidR="00A560E9">
        <w:t xml:space="preserve"> </w:t>
      </w:r>
    </w:p>
    <w:p w14:paraId="0B0493D5" w14:textId="77777777" w:rsidR="009E095F" w:rsidRPr="00A4047B" w:rsidRDefault="009E095F" w:rsidP="009E095F">
      <w:pPr>
        <w:spacing w:before="100" w:beforeAutospacing="1"/>
      </w:pPr>
      <w:r w:rsidRPr="00A4047B">
        <w:t xml:space="preserve">Studies targeting interventions to reduce public stigma towards FD were particularly absent in the literature. Only one study was found to test the effect of educational strategies on extraversion ratings of people with facial paralysis. Findings from </w:t>
      </w:r>
      <w:r w:rsidRPr="00A4047B">
        <w:rPr>
          <w:noProof/>
        </w:rPr>
        <w:t>Bogart and Tickle-Degnen (2015)</w:t>
      </w:r>
      <w:r w:rsidRPr="00A4047B">
        <w:t xml:space="preserve">, support the effectiveness of strategies previously tested on stigma towards other disadvantaged groups </w:t>
      </w:r>
      <w:r w:rsidRPr="00A4047B">
        <w:rPr>
          <w:noProof/>
        </w:rPr>
        <w:t>(e.g., education on stigma towards psychiatric conditions; Corrigan, Morris, Michaels, Rafacz, &amp; Rüsch, 2012)</w:t>
      </w:r>
      <w:r w:rsidRPr="00A4047B">
        <w:t xml:space="preserve">. There is a strong body of literature on effective strategies to reduce devaluation towards others that could provide </w:t>
      </w:r>
      <w:r w:rsidR="00B32D9C">
        <w:t xml:space="preserve">a </w:t>
      </w:r>
      <w:r w:rsidRPr="00A4047B">
        <w:t xml:space="preserve">methodological and theoretical background to substantiate future studies of stigma reduction towards FD </w:t>
      </w:r>
      <w:r w:rsidRPr="00A4047B">
        <w:rPr>
          <w:noProof/>
        </w:rPr>
        <w:t>(Lemmer &amp; Wagner, 2015; Miles &amp; Crisp, 2014)</w:t>
      </w:r>
      <w:r w:rsidRPr="00A4047B">
        <w:t>. Study 2 and 3 attempted to contribute to repairing this gap in the literature.</w:t>
      </w:r>
    </w:p>
    <w:p w14:paraId="4FD41388" w14:textId="77777777" w:rsidR="000B695D" w:rsidRDefault="009E095F" w:rsidP="009E095F">
      <w:pPr>
        <w:spacing w:before="100" w:beforeAutospacing="1"/>
      </w:pPr>
      <w:r w:rsidRPr="00A4047B">
        <w:t>Study two used a 3x2 experimental design to test the effect of awareness (video-clip or written message) and IC on intergroup anxiety levels and intentions to avoid FD. Results showed a significant effect of educational awareness and imagined contact strategies in reducing intentions to avoid FD</w:t>
      </w:r>
      <w:r>
        <w:t>.</w:t>
      </w:r>
      <w:r w:rsidRPr="00A4047B">
        <w:t xml:space="preserve"> </w:t>
      </w:r>
      <w:r>
        <w:t>T</w:t>
      </w:r>
      <w:r w:rsidRPr="00A4047B">
        <w:t xml:space="preserve">here was also an interaction effect between written awareness messages and the imagined contact condition. Conversely, results indicated a non-significant effect of either awareness or IC on intergroup anxiety and intended avoidance. Findings support a degree of effectiveness of education (awareness messages) and contact-based strategies (Imagined contact) in reducing stigma towards FD. </w:t>
      </w:r>
    </w:p>
    <w:p w14:paraId="49A812D1" w14:textId="69C35B55" w:rsidR="009E095F" w:rsidRPr="00A4047B" w:rsidRDefault="000B695D" w:rsidP="009E095F">
      <w:pPr>
        <w:spacing w:before="100" w:beforeAutospacing="1"/>
      </w:pPr>
      <w:r>
        <w:t>Study 1 and 2 utilised a sample of university students, mostly composed by young adults. However, p</w:t>
      </w:r>
      <w:r w:rsidR="009E095F" w:rsidRPr="00A4047B">
        <w:t>ractical implications of these findings may be appropriately introduced in settings w</w:t>
      </w:r>
      <w:r w:rsidR="009E095F">
        <w:t>h</w:t>
      </w:r>
      <w:r w:rsidR="009E095F" w:rsidRPr="00A4047B">
        <w:t xml:space="preserve">ere individuals with FD are particularly hindered, such as education </w:t>
      </w:r>
      <w:r w:rsidR="009E095F" w:rsidRPr="00A4047B">
        <w:rPr>
          <w:noProof/>
        </w:rPr>
        <w:t>(Seehra, Newton, &amp; DiBiase, 2011)</w:t>
      </w:r>
      <w:r w:rsidR="009E095F" w:rsidRPr="00A4047B">
        <w:t xml:space="preserve"> and recruitment settings </w:t>
      </w:r>
      <w:r w:rsidR="009E095F" w:rsidRPr="00A4047B">
        <w:rPr>
          <w:noProof/>
        </w:rPr>
        <w:t>(Madera &amp; Hebl, 2012; Madera, 2016; Stevenage &amp; McKay, 1999)</w:t>
      </w:r>
      <w:r w:rsidR="009E095F" w:rsidRPr="00A4047B">
        <w:t>. Henceforth, Study 3 aimed to pilot-test these strategies (awareness and IC) within a specific sample of British employees with recruitment duties.</w:t>
      </w:r>
    </w:p>
    <w:p w14:paraId="4FE6BDDB" w14:textId="4A212FEE" w:rsidR="009E095F" w:rsidRPr="00A4047B" w:rsidRDefault="009E095F" w:rsidP="009E095F">
      <w:pPr>
        <w:spacing w:before="100" w:beforeAutospacing="1"/>
      </w:pPr>
      <w:r w:rsidRPr="00A4047B">
        <w:lastRenderedPageBreak/>
        <w:t>Using a 2x</w:t>
      </w:r>
      <w:r w:rsidR="000B695D">
        <w:t>2</w:t>
      </w:r>
      <w:r w:rsidRPr="00A4047B">
        <w:t xml:space="preserve"> </w:t>
      </w:r>
      <w:r w:rsidR="000B695D">
        <w:t>experimental</w:t>
      </w:r>
      <w:r w:rsidR="000B695D" w:rsidRPr="00A4047B">
        <w:t xml:space="preserve"> </w:t>
      </w:r>
      <w:r w:rsidRPr="00A4047B">
        <w:t xml:space="preserve">design, </w:t>
      </w:r>
      <w:r>
        <w:t>S</w:t>
      </w:r>
      <w:r w:rsidRPr="00A4047B">
        <w:t xml:space="preserve">tudy </w:t>
      </w:r>
      <w:r>
        <w:t>3</w:t>
      </w:r>
      <w:r w:rsidRPr="00A4047B">
        <w:t xml:space="preserve"> tested an anti-stigma condition with awareness and IC elements (</w:t>
      </w:r>
      <w:r w:rsidR="000B695D">
        <w:t>IC vs control</w:t>
      </w:r>
      <w:r w:rsidRPr="00A4047B">
        <w:t>) on intentions to avoid FD, and evaluations</w:t>
      </w:r>
      <w:r w:rsidR="000B695D">
        <w:t xml:space="preserve"> of</w:t>
      </w:r>
      <w:r w:rsidRPr="00A4047B">
        <w:t xml:space="preserve"> of an applicant with FD (compared to an applicant without FD). Results failed to replicate the effect of awareness and IC on intentions to avoid FD in this sample. A non-significant effect was also found in relation to evaluations of work competence, social potency,</w:t>
      </w:r>
      <w:r w:rsidR="000B695D">
        <w:t xml:space="preserve"> emotional strength,</w:t>
      </w:r>
      <w:r w:rsidRPr="00A4047B">
        <w:t xml:space="preserve"> warmth, attractiveness or memory recall. It was found that compared to the neutral condition</w:t>
      </w:r>
      <w:r w:rsidR="000B695D">
        <w:t xml:space="preserve">. </w:t>
      </w:r>
      <w:r w:rsidRPr="00A4047B">
        <w:t>A significant effect of CV applicant was found</w:t>
      </w:r>
      <w:r w:rsidR="00EF70DD">
        <w:t>,</w:t>
      </w:r>
      <w:r w:rsidRPr="00A4047B">
        <w:t xml:space="preserve"> with those</w:t>
      </w:r>
      <w:r w:rsidR="00EF70DD">
        <w:t xml:space="preserve"> allocated to the mock</w:t>
      </w:r>
      <w:r w:rsidRPr="00A4047B">
        <w:t xml:space="preserve"> applicant with FD </w:t>
      </w:r>
      <w:r w:rsidR="00EF70DD">
        <w:t>reporting significantly</w:t>
      </w:r>
      <w:r w:rsidRPr="00A4047B">
        <w:t xml:space="preserve"> higher </w:t>
      </w:r>
      <w:r w:rsidR="00EF70DD">
        <w:t xml:space="preserve">ratings of </w:t>
      </w:r>
      <w:r w:rsidRPr="00A4047B">
        <w:t>work competence</w:t>
      </w:r>
      <w:r w:rsidR="00EF70DD">
        <w:t xml:space="preserve"> and</w:t>
      </w:r>
      <w:r w:rsidRPr="00A4047B">
        <w:t xml:space="preserve"> warmth, although less attractive than those allocated to a control applicant without FD.</w:t>
      </w:r>
      <w:r w:rsidR="00EF70DD">
        <w:t xml:space="preserve"> This may be associated with social desirability effects, as the majority of participants that had recruitment duties identified severe FD as a protected form of disability</w:t>
      </w:r>
      <w:r w:rsidRPr="00A4047B">
        <w:t xml:space="preserve">. </w:t>
      </w:r>
    </w:p>
    <w:p w14:paraId="620E63E8" w14:textId="77777777" w:rsidR="009E095F" w:rsidRPr="00A4047B" w:rsidRDefault="009E095F" w:rsidP="009E095F">
      <w:pPr>
        <w:spacing w:before="100" w:beforeAutospacing="1"/>
      </w:pPr>
      <w:r w:rsidRPr="00A4047B">
        <w:t>In this thesis, two distinctive aims were covered</w:t>
      </w:r>
      <w:r>
        <w:t>: (1)</w:t>
      </w:r>
      <w:r w:rsidRPr="00A4047B">
        <w:t xml:space="preserve"> understanding the individual differences under the light of the scientific rationale of stigma towards stigmatised groups (</w:t>
      </w:r>
      <w:r>
        <w:t>s</w:t>
      </w:r>
      <w:r w:rsidRPr="00A4047B">
        <w:t xml:space="preserve">ystematic review and Study 1); and </w:t>
      </w:r>
      <w:r>
        <w:t xml:space="preserve">(2) </w:t>
      </w:r>
      <w:r w:rsidRPr="00A4047B">
        <w:t>testing whether stigma may be reduced, using education and contact-based strategies in students and non-student samples (Study 2 and Study 3). However, it is possible to find an intersection point across the studies that compose this thesis.</w:t>
      </w:r>
    </w:p>
    <w:p w14:paraId="5D1BA3F4" w14:textId="77777777" w:rsidR="009E095F" w:rsidRPr="00A4047B" w:rsidRDefault="009E095F" w:rsidP="009E095F">
      <w:pPr>
        <w:spacing w:before="100" w:beforeAutospacing="1"/>
        <w:rPr>
          <w:b/>
          <w:bCs/>
        </w:rPr>
      </w:pPr>
      <w:r w:rsidRPr="00A4047B">
        <w:rPr>
          <w:b/>
          <w:bCs/>
        </w:rPr>
        <w:t xml:space="preserve">Implications for research and theory </w:t>
      </w:r>
    </w:p>
    <w:p w14:paraId="086DBE55" w14:textId="24505D78" w:rsidR="009E095F" w:rsidRPr="00A4047B" w:rsidRDefault="009E095F" w:rsidP="009E095F">
      <w:pPr>
        <w:spacing w:before="100" w:beforeAutospacing="1"/>
        <w:ind w:firstLine="0"/>
      </w:pPr>
      <w:r w:rsidRPr="00A4047B">
        <w:t>Literature addressing stigma towards FD has increased in number and quality over the last two decades, however, over a third of the studies were conducted with samples of individuals from highly industrialised countries (e.g., USA, UK, Australia</w:t>
      </w:r>
      <w:r w:rsidR="006F0795">
        <w:t xml:space="preserve">; </w:t>
      </w:r>
      <w:r w:rsidRPr="00A4047B">
        <w:rPr>
          <w:noProof/>
        </w:rPr>
        <w:t>Ackerman et al., 2009; Roberts, Wiskin, &amp; Roalfe, 2008; Timms, 2013)</w:t>
      </w:r>
      <w:r w:rsidRPr="00A4047B">
        <w:t xml:space="preserve">. Of those few studies in LMIC </w:t>
      </w:r>
      <w:r w:rsidRPr="00A4047B">
        <w:rPr>
          <w:noProof/>
        </w:rPr>
        <w:t>(Bodunde et al., 2016; Bull &amp; David, 1986a; Owotade et al., 2014)</w:t>
      </w:r>
      <w:r w:rsidRPr="00A4047B">
        <w:t>, it was suggested that stigma towards FD was based on misconceptions about</w:t>
      </w:r>
      <w:r>
        <w:t xml:space="preserve"> factors</w:t>
      </w:r>
      <w:r w:rsidRPr="00A4047B">
        <w:t xml:space="preserve"> that affect facial appearance and little knowledge about the available medical and psychological means to </w:t>
      </w:r>
      <w:r>
        <w:t>manage</w:t>
      </w:r>
      <w:r w:rsidRPr="00A4047B">
        <w:t xml:space="preserve"> facial difference. Furthermore, it appears that people from or with non-western background</w:t>
      </w:r>
      <w:r>
        <w:t>s</w:t>
      </w:r>
      <w:r w:rsidRPr="00A4047B">
        <w:t xml:space="preserve"> </w:t>
      </w:r>
      <w:r w:rsidR="00EF70DD">
        <w:t xml:space="preserve">heavily </w:t>
      </w:r>
      <w:r w:rsidRPr="00A4047B">
        <w:t xml:space="preserve">rely on religious and cultural beliefs to understand </w:t>
      </w:r>
      <w:r w:rsidR="00EF70DD">
        <w:t xml:space="preserve">and respond towards </w:t>
      </w:r>
      <w:r w:rsidRPr="00A4047B">
        <w:t>FD (e.g., FD as punishment, God or destiny;</w:t>
      </w:r>
      <w:r w:rsidRPr="00A4047B">
        <w:rPr>
          <w:noProof/>
        </w:rPr>
        <w:t xml:space="preserve"> Hughes et al., 2009; Thompson &amp; Kent, 2001)</w:t>
      </w:r>
      <w:r w:rsidRPr="00A4047B">
        <w:t>. Nevertheless, public stigma towards FD in non-western populations has only been investigated in African and East Asian backgrounds, with cross-sectional or qualitative designs and small sample sizes, which is unlikely to be representative of the phenomenon of stigma endured by individuals with FD in these areas of the world. Social processes like stigma are framed within sociocultural contexts that influence devaluating treatment or preference towards others (e.g., leprosy</w:t>
      </w:r>
      <w:r w:rsidR="006F0795">
        <w:t xml:space="preserve">; </w:t>
      </w:r>
      <w:r w:rsidRPr="00A4047B">
        <w:rPr>
          <w:noProof/>
        </w:rPr>
        <w:t>Floyd-Richard &amp; Gurung, 2000)</w:t>
      </w:r>
      <w:r w:rsidRPr="00A4047B">
        <w:t>. The study</w:t>
      </w:r>
      <w:r>
        <w:t xml:space="preserve"> of</w:t>
      </w:r>
      <w:r w:rsidRPr="00A4047B">
        <w:t xml:space="preserve"> stigma cannot be complete </w:t>
      </w:r>
      <w:r w:rsidRPr="00A4047B">
        <w:lastRenderedPageBreak/>
        <w:t>without appropriate sociocultural comparisons that may reveal how non-western populations respond towards typically devaluated others.</w:t>
      </w:r>
    </w:p>
    <w:p w14:paraId="752B6B90" w14:textId="387000E1" w:rsidR="009E095F" w:rsidRPr="00A4047B" w:rsidRDefault="009E095F" w:rsidP="009E095F">
      <w:pPr>
        <w:spacing w:before="100" w:beforeAutospacing="1"/>
      </w:pPr>
      <w:r w:rsidRPr="00A4047B">
        <w:t xml:space="preserve">In the last two decades, research addressing stigma towards FD has increasingly utilised evolutionary and dual-process model to serve as theoretical frameworks in the study stigmatisation towards FD </w:t>
      </w:r>
      <w:r w:rsidRPr="00A4047B">
        <w:rPr>
          <w:noProof/>
        </w:rPr>
        <w:t>(Kouznetsova, Stevenson, Oaten, &amp; Case, 2012; Madera, 2016; Ryan et al., 2012; Stone &amp; Potton, 2017; Stone &amp; Wright, 2012)</w:t>
      </w:r>
      <w:r w:rsidRPr="00A4047B">
        <w:t xml:space="preserve"> as well as towards other populations that are recipients of stigma (HIV/AIDS</w:t>
      </w:r>
      <w:r w:rsidR="006F0795">
        <w:t xml:space="preserve">; </w:t>
      </w:r>
      <w:r w:rsidRPr="00A4047B">
        <w:rPr>
          <w:noProof/>
        </w:rPr>
        <w:t>Pryor et al., 2004)</w:t>
      </w:r>
      <w:r w:rsidRPr="00A4047B">
        <w:t xml:space="preserve">. Results from Study 2 support </w:t>
      </w:r>
      <w:r>
        <w:t xml:space="preserve">the view </w:t>
      </w:r>
      <w:r w:rsidRPr="00A4047B">
        <w:t xml:space="preserve">that stigma may be embedded in innate functions of disease avoidance, as manifested in associations between high levels of disgust sensitivity to contamination cues and implicit preferences for faces without FD. </w:t>
      </w:r>
      <w:r w:rsidR="00172D52">
        <w:t>However,</w:t>
      </w:r>
      <w:r w:rsidRPr="00A4047B">
        <w:t xml:space="preserve"> disgust sensitivity (</w:t>
      </w:r>
      <w:r w:rsidR="00172D52">
        <w:t xml:space="preserve">core, </w:t>
      </w:r>
      <w:r w:rsidRPr="00A4047B">
        <w:t xml:space="preserve">animal reminder and contamination) were </w:t>
      </w:r>
      <w:r w:rsidR="00172D52">
        <w:t>not</w:t>
      </w:r>
      <w:r w:rsidR="00172D52" w:rsidRPr="00A4047B">
        <w:t xml:space="preserve"> </w:t>
      </w:r>
      <w:r w:rsidRPr="00A4047B">
        <w:t xml:space="preserve">significantly correlated with intentions </w:t>
      </w:r>
      <w:r w:rsidR="00EF70DD">
        <w:t xml:space="preserve">to avoid FD </w:t>
      </w:r>
      <w:r w:rsidRPr="00A4047B">
        <w:t>in Study 2</w:t>
      </w:r>
      <w:r w:rsidR="00172D52">
        <w:t>.</w:t>
      </w:r>
    </w:p>
    <w:p w14:paraId="1DCA655B" w14:textId="77777777" w:rsidR="009E095F" w:rsidRPr="00A4047B" w:rsidRDefault="009E095F" w:rsidP="009E095F">
      <w:pPr>
        <w:spacing w:before="100" w:beforeAutospacing="1"/>
      </w:pPr>
      <w:r w:rsidRPr="00A4047B">
        <w:t xml:space="preserve">Disgust is a universal emotion that likely serves purposes of protection against potential contamination </w:t>
      </w:r>
      <w:r w:rsidRPr="00A4047B">
        <w:rPr>
          <w:noProof/>
        </w:rPr>
        <w:t>(Curtis &amp; Biran, 2001; Val, Robert, &amp; Tamer, 2004)</w:t>
      </w:r>
      <w:r w:rsidRPr="00A4047B">
        <w:t xml:space="preserve">, but it has also been implicated in human morality </w:t>
      </w:r>
      <w:r w:rsidRPr="00A4047B">
        <w:rPr>
          <w:noProof/>
        </w:rPr>
        <w:t>(Landy &amp; Goodwin, 2015)</w:t>
      </w:r>
      <w:r w:rsidRPr="00A4047B">
        <w:t xml:space="preserve"> and processes of partner selection </w:t>
      </w:r>
      <w:r w:rsidRPr="00A4047B">
        <w:rPr>
          <w:noProof/>
        </w:rPr>
        <w:t>(Chapman &amp; Anderson, 2012)</w:t>
      </w:r>
      <w:r w:rsidRPr="00A4047B">
        <w:t xml:space="preserve">. There is a growing body of literature supporting the implication of proneness to disgust and stigmatising responses towards others </w:t>
      </w:r>
      <w:r w:rsidRPr="00A4047B">
        <w:rPr>
          <w:noProof/>
        </w:rPr>
        <w:t>(Hodson &amp; Costello, 2007; Inbar, Pizarro, Knobe, &amp; Bloom, 2009; Tapias, Glaser, Keltner, Vasquez, &amp; Wickens, 2007)</w:t>
      </w:r>
      <w:r w:rsidRPr="00A4047B">
        <w:t xml:space="preserve">. Given that disgust is a universal emotion, future research on stigma towards FD would benefit from </w:t>
      </w:r>
      <w:r>
        <w:t xml:space="preserve">examining </w:t>
      </w:r>
      <w:r w:rsidRPr="00A4047B">
        <w:t>the influence of disgust sensitivity in stigmatising responses cross-culturally</w:t>
      </w:r>
      <w:r>
        <w:t>.</w:t>
      </w:r>
      <w:r w:rsidRPr="00A4047B">
        <w:t xml:space="preserve"> </w:t>
      </w:r>
      <w:r>
        <w:t>F</w:t>
      </w:r>
      <w:r w:rsidRPr="00A4047B">
        <w:t xml:space="preserve">or instance, exploring </w:t>
      </w:r>
      <w:r w:rsidR="00B32D9C">
        <w:t xml:space="preserve">the </w:t>
      </w:r>
      <w:r w:rsidRPr="00A4047B">
        <w:t xml:space="preserve">said relationship in settings with </w:t>
      </w:r>
      <w:r w:rsidR="00B32D9C">
        <w:t xml:space="preserve">a </w:t>
      </w:r>
      <w:r w:rsidRPr="00A4047B">
        <w:t xml:space="preserve">greater threat of parasitic contaminations, such as subtropical regions of the world </w:t>
      </w:r>
      <w:r w:rsidRPr="00A4047B">
        <w:rPr>
          <w:noProof/>
        </w:rPr>
        <w:t>(Curtis &amp; Biran, 2001)</w:t>
      </w:r>
      <w:r w:rsidRPr="00A4047B">
        <w:t xml:space="preserve">. </w:t>
      </w:r>
    </w:p>
    <w:p w14:paraId="789F1937" w14:textId="77777777" w:rsidR="009E095F" w:rsidRPr="00A4047B" w:rsidRDefault="009E095F" w:rsidP="009E095F">
      <w:pPr>
        <w:spacing w:before="100" w:beforeAutospacing="1"/>
      </w:pPr>
      <w:r w:rsidRPr="00A4047B">
        <w:t xml:space="preserve">Human evolutionary past does not completely determine stigmatising response. While certain protective functions have been linked with stigmatisation, it is hypothesised that distinctive reflective (conscious) systems and societal demands also influence responses of stigma </w:t>
      </w:r>
      <w:r w:rsidRPr="00A4047B">
        <w:rPr>
          <w:noProof/>
        </w:rPr>
        <w:t>(Pryor et al., 2004; Reeder &amp; Pryor, 2008)</w:t>
      </w:r>
      <w:r w:rsidRPr="00A4047B">
        <w:t>. Consistent with this rationale, Study 1 and 2 showed that motivations to respond without prejudice, as well as self and cultural perception of appearance-related stimuli, were significantly correlated with stigmatising responses; therefore, supporting</w:t>
      </w:r>
      <w:r>
        <w:t xml:space="preserve"> the hypotheses </w:t>
      </w:r>
      <w:r w:rsidRPr="00A4047B">
        <w:t xml:space="preserve">that stigma towards FD may operate as dual-system that comprises both innate and psychosocial processes. </w:t>
      </w:r>
    </w:p>
    <w:p w14:paraId="0A9745ED" w14:textId="77777777" w:rsidR="009E095F" w:rsidRPr="00A4047B" w:rsidRDefault="009E095F" w:rsidP="009E095F">
      <w:pPr>
        <w:spacing w:before="100" w:beforeAutospacing="1"/>
      </w:pPr>
      <w:r w:rsidRPr="00A4047B">
        <w:t xml:space="preserve">This complexity in terms of reactions is particularly clear in the study of attitudes. Traditionally, attitudes were thought to be an individual’s disposition based on </w:t>
      </w:r>
      <w:r w:rsidRPr="00A4047B">
        <w:lastRenderedPageBreak/>
        <w:t xml:space="preserve">the available information towards a social object given subject. However, measuring attitudes via self-report measures do not seem to capture the whole picture of what attitudes involve </w:t>
      </w:r>
      <w:r w:rsidRPr="00A4047B">
        <w:rPr>
          <w:noProof/>
        </w:rPr>
        <w:t>(Hofmann et al., 2005)</w:t>
      </w:r>
      <w:r w:rsidRPr="00A4047B">
        <w:t xml:space="preserve">. Recent literature has pointed at the importance of unconscious or implicit cognitive functions underlying social behaviour; indirect measures of attitudes, such as reaction times, have been used in the study of stigma and prejudice, complementing the understanding of this phenomenon </w:t>
      </w:r>
      <w:r w:rsidRPr="00A4047B">
        <w:fldChar w:fldCharType="begin" w:fldLock="1"/>
      </w:r>
      <w:r w:rsidRPr="00A4047B">
        <w:instrText xml:space="preserve"> CSL_CITATION { "citationItems" : [ { "id" : "ITEM-1", "itemData" : { "author" : [ { "dropping-particle" : "", "family" : "Greenwald", "given" : "AG", "non-dropping-particle" : "", "parse-names" : false, "suffix" : "" } ], "container-title" : "Journal of personality  \u2026", "id" : "ITEM-1", "issued" : { "date-parts" : [ [ "1998" ] ] }, "title" : "Measuring individual differences in implicit cognition: the implicit association test.", "type" : "article-journal" }, "uris" : [ "http://www.mendeley.com/documents/?uuid=d777bafc-200c-4dc2-a397-c0b7a205260b" ] } ], "mendeley" : { "formattedCitation" : "(Greenwald, 1998)", "plainTextFormattedCitation" : "(Greenwald, 1998)", "previouslyFormattedCitation" : "(Greenwald, 1998)" }, "properties" : { "noteIndex" : 0 }, "schema" : "https://github.com/citation-style-language/schema/raw/master/csl-citation.json" }</w:instrText>
      </w:r>
      <w:r w:rsidRPr="00A4047B">
        <w:fldChar w:fldCharType="separate"/>
      </w:r>
      <w:r w:rsidRPr="00A4047B">
        <w:rPr>
          <w:noProof/>
        </w:rPr>
        <w:t>(Greenwald, 1998; Azar, 2008)</w:t>
      </w:r>
      <w:r w:rsidRPr="00A4047B">
        <w:fldChar w:fldCharType="end"/>
      </w:r>
      <w:r w:rsidRPr="00A4047B">
        <w:t xml:space="preserve">. </w:t>
      </w:r>
    </w:p>
    <w:p w14:paraId="68623AC9" w14:textId="77777777" w:rsidR="009E095F" w:rsidRPr="00A4047B" w:rsidRDefault="009E095F" w:rsidP="009E095F">
      <w:pPr>
        <w:spacing w:before="100" w:beforeAutospacing="1"/>
      </w:pPr>
      <w:r w:rsidRPr="00A4047B">
        <w:t>Historically, FD ha</w:t>
      </w:r>
      <w:r w:rsidR="00B32D9C">
        <w:t>s</w:t>
      </w:r>
      <w:r w:rsidRPr="00A4047B">
        <w:t xml:space="preserve"> traditionally being depicted with negative models and connotations in media and advertising (e.g., evilness</w:t>
      </w:r>
      <w:r>
        <w:t xml:space="preserve">: </w:t>
      </w:r>
      <w:r w:rsidRPr="00A4047B">
        <w:t>Freddy krugger;</w:t>
      </w:r>
      <w:r>
        <w:t xml:space="preserve"> </w:t>
      </w:r>
      <w:r w:rsidRPr="00A4047B">
        <w:rPr>
          <w:noProof/>
        </w:rPr>
        <w:t>Wardle, Boyce, &amp; Barron, 2009)</w:t>
      </w:r>
      <w:r w:rsidRPr="00A4047B">
        <w:t xml:space="preserve">. For instance, </w:t>
      </w:r>
      <w:r w:rsidRPr="00A4047B">
        <w:rPr>
          <w:noProof/>
        </w:rPr>
        <w:t>Pausch et al</w:t>
      </w:r>
      <w:r w:rsidR="00AF776D">
        <w:rPr>
          <w:noProof/>
        </w:rPr>
        <w:t>.</w:t>
      </w:r>
      <w:r w:rsidRPr="00A4047B">
        <w:rPr>
          <w:noProof/>
        </w:rPr>
        <w:t xml:space="preserve"> (2012)</w:t>
      </w:r>
      <w:r w:rsidRPr="00A4047B">
        <w:t xml:space="preserve"> </w:t>
      </w:r>
      <w:r>
        <w:t>reported</w:t>
      </w:r>
      <w:r w:rsidRPr="00A4047B">
        <w:t xml:space="preserve"> that German participants commonly used animal related adjectives that, within the Germanic folklore, are used to label individuals with cleft lip palate (e.g., </w:t>
      </w:r>
      <w:r w:rsidR="008471FC" w:rsidRPr="00A4047B">
        <w:t>harelip</w:t>
      </w:r>
      <w:r w:rsidRPr="00A4047B">
        <w:t xml:space="preserve"> or wolf-throat). In this thesis, it was found that even within the scientific literature, FD is often depicted with words that may have negative connotations, such as ‘abnormality’ ‘deformity’ and ‘deviation’ (see Review Chapter). The language used to describe facial difference may serve to ameliorate or reinforce </w:t>
      </w:r>
      <w:r w:rsidR="00B32D9C">
        <w:t xml:space="preserve">the </w:t>
      </w:r>
      <w:r w:rsidRPr="00A4047B">
        <w:t>devaluation of individuals with FD</w:t>
      </w:r>
      <w:r>
        <w:t>.</w:t>
      </w:r>
      <w:r w:rsidRPr="00A4047B">
        <w:t xml:space="preserve"> </w:t>
      </w:r>
      <w:r>
        <w:t>I</w:t>
      </w:r>
      <w:r w:rsidRPr="00A4047B">
        <w:t>ndeed</w:t>
      </w:r>
      <w:r w:rsidR="000960CE">
        <w:t>,</w:t>
      </w:r>
      <w:r w:rsidRPr="00A4047B">
        <w:t xml:space="preserve"> charities like Changing Faces advocate for the use of neutral terms to address FD, particularly in the media (media recommendations, Changing Faces). Academic publications may also contribute towards the use of more inclusive depictions of FD </w:t>
      </w:r>
      <w:r w:rsidRPr="00A4047B">
        <w:rPr>
          <w:noProof/>
        </w:rPr>
        <w:t>(Young, Norman, &amp; Humphreys, 2008)</w:t>
      </w:r>
      <w:r w:rsidRPr="00A4047B">
        <w:t xml:space="preserve">. </w:t>
      </w:r>
    </w:p>
    <w:p w14:paraId="1B7618DF" w14:textId="77777777" w:rsidR="009E095F" w:rsidRPr="00A4047B" w:rsidRDefault="009E095F" w:rsidP="009E095F">
      <w:pPr>
        <w:spacing w:before="100" w:beforeAutospacing="1"/>
      </w:pPr>
      <w:r>
        <w:t>Across the</w:t>
      </w:r>
      <w:r w:rsidRPr="00A4047B">
        <w:t xml:space="preserve"> theoretical and experimental chapters</w:t>
      </w:r>
      <w:r>
        <w:t xml:space="preserve"> that make up this thesis</w:t>
      </w:r>
      <w:r w:rsidRPr="00A4047B">
        <w:t xml:space="preserve">, there seems to be overwhelming evidence towards significant devaluation towards individuals with FD </w:t>
      </w:r>
      <w:r w:rsidRPr="00A4047B">
        <w:rPr>
          <w:noProof/>
        </w:rPr>
        <w:t>(e.g., Bull &amp; David, 1986a; Franks &amp; Goodrick-</w:t>
      </w:r>
      <w:r w:rsidR="00B32D9C">
        <w:rPr>
          <w:noProof/>
        </w:rPr>
        <w:t>M</w:t>
      </w:r>
      <w:r w:rsidRPr="00A4047B">
        <w:rPr>
          <w:noProof/>
        </w:rPr>
        <w:t>eech, 1997; Hughes et al., 2009; Kleck &amp; Strenta, 1985; Rankin &amp; Borah, 2003; Rinnerthaler et al., 2006)</w:t>
      </w:r>
      <w:r w:rsidRPr="00A4047B">
        <w:t>.  The literature comprising devaluating responses towards FD have utilised broadly manifestations of stigma in terms of beliefs and knowledge, attitudes, cognitive and emotional responses</w:t>
      </w:r>
      <w:r w:rsidR="00B32D9C">
        <w:t>,</w:t>
      </w:r>
      <w:r w:rsidRPr="00A4047B">
        <w:t xml:space="preserve"> and overt stigma.</w:t>
      </w:r>
    </w:p>
    <w:p w14:paraId="1CA4F36A" w14:textId="3BDE7AA6" w:rsidR="009E095F" w:rsidRPr="00A4047B" w:rsidRDefault="009E095F" w:rsidP="009E095F">
      <w:pPr>
        <w:spacing w:before="100" w:beforeAutospacing="1"/>
      </w:pPr>
      <w:r w:rsidRPr="00A4047B">
        <w:t xml:space="preserve">Individuals with FD are systematically rated by observers as less attractive, across congenital (e.g., cranial and cervical dystonia </w:t>
      </w:r>
      <w:r w:rsidRPr="00A4047B">
        <w:rPr>
          <w:noProof/>
        </w:rPr>
        <w:t>(Roberts &amp; Gierasch, 2013)</w:t>
      </w:r>
      <w:r w:rsidRPr="00A4047B">
        <w:t xml:space="preserve">, acquired </w:t>
      </w:r>
      <w:r w:rsidRPr="00A4047B">
        <w:rPr>
          <w:noProof/>
        </w:rPr>
        <w:t>(e.g., burns; Franks &amp; Goodrick-meech, 1997)</w:t>
      </w:r>
      <w:r w:rsidRPr="00A4047B">
        <w:t>, and dermatological aetiologies of FD (</w:t>
      </w:r>
      <w:r w:rsidR="008471FC">
        <w:t>e.g.,</w:t>
      </w:r>
      <w:r w:rsidR="00B32D9C">
        <w:t xml:space="preserve"> </w:t>
      </w:r>
      <w:r w:rsidRPr="00A4047B">
        <w:t>acne or psoriasis;</w:t>
      </w:r>
      <w:r>
        <w:t xml:space="preserve"> </w:t>
      </w:r>
      <w:r w:rsidRPr="00A4047B">
        <w:rPr>
          <w:noProof/>
        </w:rPr>
        <w:t>Green-Armytage et al., 2019; Timms, 2013)</w:t>
      </w:r>
      <w:r w:rsidRPr="00A4047B">
        <w:t xml:space="preserve">. Lower attractiveness ratings towards FD compared to non-visibly different targets, were supported by findings from Study 3, whereby a mock applicant with FD was rated as significantly more unattractive than a mock applicant without FD. </w:t>
      </w:r>
    </w:p>
    <w:p w14:paraId="7F1AD929" w14:textId="4DEDD06F" w:rsidR="009E095F" w:rsidRPr="00A4047B" w:rsidRDefault="009E095F" w:rsidP="009E095F">
      <w:pPr>
        <w:spacing w:before="100" w:beforeAutospacing="1"/>
      </w:pPr>
      <w:r w:rsidRPr="00A4047B">
        <w:lastRenderedPageBreak/>
        <w:t xml:space="preserve">Other </w:t>
      </w:r>
      <w:r w:rsidR="00172D52">
        <w:t xml:space="preserve">stereotypical personality traits </w:t>
      </w:r>
      <w:r w:rsidRPr="00A4047B">
        <w:t xml:space="preserve">attributed </w:t>
      </w:r>
      <w:r w:rsidR="00172D52">
        <w:t xml:space="preserve">to FD </w:t>
      </w:r>
      <w:r w:rsidRPr="00A4047B">
        <w:t xml:space="preserve">are related </w:t>
      </w:r>
      <w:r w:rsidR="00B32D9C">
        <w:t>to</w:t>
      </w:r>
      <w:r w:rsidRPr="00A4047B">
        <w:t xml:space="preserve"> lower social capacity </w:t>
      </w:r>
      <w:r w:rsidRPr="00A4047B">
        <w:rPr>
          <w:noProof/>
        </w:rPr>
        <w:t>(Rinnerthaler, Mueller, Weichbold, Wenning, &amp; Poewe, 2006; Stone &amp; Wright, 2012)</w:t>
      </w:r>
      <w:r w:rsidRPr="00A4047B">
        <w:t xml:space="preserve"> poorer competence </w:t>
      </w:r>
      <w:r w:rsidRPr="00A4047B">
        <w:rPr>
          <w:noProof/>
        </w:rPr>
        <w:t>(Hughes et al., 2009; Madera &amp; Hebl, 2012; S M Mojon-Azzi et al., 2008; Rankin &amp; Borah, 2003)</w:t>
      </w:r>
      <w:r w:rsidRPr="00A4047B">
        <w:t xml:space="preserve"> and even mistrust </w:t>
      </w:r>
      <w:r w:rsidRPr="00A4047B">
        <w:rPr>
          <w:noProof/>
        </w:rPr>
        <w:t>(Halioua et al., 2011; Jamrozik, Oraa Ali, Sarwer, &amp; Chatterjee, 2017; Rankin &amp; Borah, 2003; Rinnerthaler et al., 2006)</w:t>
      </w:r>
      <w:r w:rsidRPr="00A4047B">
        <w:t xml:space="preserve">. However, not all studies support this differential treatment towards FD and some report neutral and positive explicit evaluations of FD. For instance, results from Study 1, 2 and 3 showed overall positive or neutral explicit evaluations towards FD.  On the other hand, it appears that </w:t>
      </w:r>
      <w:r>
        <w:t>fewer</w:t>
      </w:r>
      <w:r w:rsidRPr="00A4047B">
        <w:t xml:space="preserve"> face value measures were more consistently negative, as shown in the literature and supported by findings from an IAT in Study 1 </w:t>
      </w:r>
      <w:r w:rsidRPr="00A4047B">
        <w:rPr>
          <w:noProof/>
        </w:rPr>
        <w:t>(Blascovich et al., 2001; Grandfield, Thompson, &amp; Turpin, 2005)</w:t>
      </w:r>
      <w:r w:rsidRPr="00A4047B">
        <w:t xml:space="preserve">. Responses towards FD are not unanimously negative in the literature, nor in this thesis. </w:t>
      </w:r>
    </w:p>
    <w:p w14:paraId="4409E7D0" w14:textId="37621814" w:rsidR="009E095F" w:rsidRPr="00A4047B" w:rsidRDefault="009E095F" w:rsidP="009E095F">
      <w:pPr>
        <w:spacing w:before="100" w:beforeAutospacing="1"/>
      </w:pPr>
      <w:r w:rsidRPr="00A4047B">
        <w:t xml:space="preserve">Comparatively, there were fewer studies in the literature about overt </w:t>
      </w:r>
      <w:r w:rsidR="00172D52">
        <w:t>avoidance</w:t>
      </w:r>
      <w:r w:rsidR="00172D52" w:rsidRPr="00A4047B">
        <w:t xml:space="preserve"> </w:t>
      </w:r>
      <w:r w:rsidRPr="00A4047B">
        <w:t xml:space="preserve">of FD than studies addressing emotional, cognitive or attitudinal responses, which reflects the need to develop and utilise measures of manifested stigma. For example, two decades ago, studies using observational methods in naturalistic settings showed that people place greater distance between themselves and a person with FD </w:t>
      </w:r>
      <w:r w:rsidRPr="00A4047B">
        <w:rPr>
          <w:noProof/>
        </w:rPr>
        <w:t>(Bull &amp; David, 1986b; Houston &amp; Bull, 1994; Rumsey, Bull, &amp; Gahagan, 1982)</w:t>
      </w:r>
      <w:r w:rsidRPr="00A4047B">
        <w:t xml:space="preserve">. Conversely, a replication of this study in 2013, did not find any significant differences in proxemic behaviour towards FD, compared to targets without FD </w:t>
      </w:r>
      <w:r w:rsidRPr="00A4047B">
        <w:rPr>
          <w:noProof/>
        </w:rPr>
        <w:t>(Roberts &amp; Gierasch, 2013)</w:t>
      </w:r>
      <w:r w:rsidRPr="00A4047B">
        <w:t xml:space="preserve">. It is worth mentioning that it was only in the last two decades that the UK and other countries included FD within protective inclusion efforts targeting typically disadvantaged population (e.g., 2010 disability act in the UK). It is plausible that there has been a change over the past decades regarding responses towards visibly different individuals in western contexts. Conversely, it has been suggested that </w:t>
      </w:r>
      <w:r>
        <w:t xml:space="preserve">the nature of </w:t>
      </w:r>
      <w:r w:rsidRPr="00A4047B">
        <w:t>attitudes towards disabilities ha</w:t>
      </w:r>
      <w:r w:rsidR="00B32D9C">
        <w:t>s</w:t>
      </w:r>
      <w:r w:rsidRPr="00A4047B">
        <w:t xml:space="preserve"> shifted in modern times </w:t>
      </w:r>
      <w:r w:rsidRPr="00A4047B">
        <w:rPr>
          <w:noProof/>
        </w:rPr>
        <w:t>(Akrami, Ekehammar, Claesson, &amp; Sonnander, 2006)</w:t>
      </w:r>
      <w:r w:rsidRPr="00A4047B">
        <w:t xml:space="preserve">; while traditional manifestations of stigma used to be overt and blatant </w:t>
      </w:r>
      <w:r w:rsidRPr="00A4047B">
        <w:rPr>
          <w:noProof/>
        </w:rPr>
        <w:t>(e.g., Rumsey, Bull, &amp; Gahagan, 1982)</w:t>
      </w:r>
      <w:r w:rsidRPr="00A4047B">
        <w:t>, modern responses towards stigmatised individuals are covert and subtle (e.g.,</w:t>
      </w:r>
      <w:r w:rsidRPr="00A4047B">
        <w:rPr>
          <w:noProof/>
        </w:rPr>
        <w:t xml:space="preserve"> Roberts &amp; Gierasch, 2013; Stone &amp; Potton, 2014)</w:t>
      </w:r>
      <w:r w:rsidRPr="00A4047B">
        <w:t>.</w:t>
      </w:r>
    </w:p>
    <w:p w14:paraId="4B0F0262" w14:textId="4942845E" w:rsidR="009E095F" w:rsidRPr="00A4047B" w:rsidRDefault="009E095F" w:rsidP="009E095F">
      <w:pPr>
        <w:spacing w:before="100" w:beforeAutospacing="1"/>
      </w:pPr>
      <w:r w:rsidRPr="00A4047B">
        <w:t xml:space="preserve">Another implication of this thesis’ findings is related to the study of anti-stigma strategies. In terms of efforts to reduce public stigma and discrimination, commonly used interventions used are education and contact </w:t>
      </w:r>
      <w:r w:rsidRPr="00A4047B">
        <w:fldChar w:fldCharType="begin" w:fldLock="1"/>
      </w:r>
      <w:r w:rsidRPr="00A4047B">
        <w:instrText xml:space="preserve"> CSL_CITATION { "citationItems" : [ { "id" : "ITEM-1", "itemData" : { "ISSN" : "0003066X", "abstract" : "Advocacy, government, and public-service groups rely on a variety of strategies to diminish the impact of stigma on persons with severe mental illness. These strategies include protest, education, and promoting contact between the general public and persons with these disorders. The authors argue that social psychological research on ethnic minority and other group stereotypes should be considered when implementing these strategies. Such research indicates that (a) attempts to suppress stereotypes through protest can result in a rebound effect; (b) education programs may be limited because many stereotypes are resilient to change; and (c) contact is enhanced by a variety of factors, including equal status, cooperative interaction, and institutional support. Future directions for research and practice to reduce stigma toward persons with severe mental illness are discussed.", "author" : [ { "dropping-particle" : "", "family" : "Corrigan", "given" : "Patrick W.", "non-dropping-particle" : "", "parse-names" : false, "suffix" : "" }, { "dropping-particle" : "", "family" : "Penn", "given" : "David L.", "non-dropping-particle" : "", "parse-names" : false, "suffix" : "" } ], "container-title" : "American Psychologist", "id" : "ITEM-1", "issue" : "9", "issued" : { "date-parts" : [ [ "1999" ] ] }, "page" : "765-776", "title" : "Lessons from social psychology on discrediting psychiatric stigma", "type" : "article-journal", "volume" : "54" }, "uris" : [ "http://www.mendeley.com/documents/?uuid=354fb3b9-afa4-4c6b-a2b9-26e4ba9eb5e7" ] }, { "id" : "ITEM-2", "itemData" : { "author" : [ { "dropping-particle" : "", "family" : "Heijnders", "given" : "M", "non-dropping-particle" : "", "parse-names" : false, "suffix" : "" }, { "dropping-particle" : "Van Der", "family" : "Meij", "given" : "S", "non-dropping-particle" : "", "parse-names" : false, "suffix" : "" } ], "container-title" : "Psychology, health &amp; medicine", "id" : "ITEM-2", "issued" : { "date-parts" : [ [ "2006" ] ] }, "title" : "The fight against stigma: an overview of stigma-reduction strategies and interventions", "type" : "article-journal" }, "uris" : [ "http://www.mendeley.com/documents/?uuid=7f5fd24a-60dd-4c27-ae73-5aec5a9e721c" ] } ], "mendeley" : { "formattedCitation" : "(Corrigan &amp; Penn, 1999; Heijnders &amp; Meij, 2006)", "plainTextFormattedCitation" : "(Corrigan &amp; Penn, 1999; Heijnders &amp; Meij, 2006)", "previouslyFormattedCitation" : "(Corrigan &amp; Penn, 1999; Heijnders &amp; Meij, 2006)" }, "properties" : { "noteIndex" : 0 }, "schema" : "https://github.com/citation-style-language/schema/raw/master/csl-citation.json" }</w:instrText>
      </w:r>
      <w:r w:rsidRPr="00A4047B">
        <w:fldChar w:fldCharType="separate"/>
      </w:r>
      <w:r w:rsidRPr="00A4047B">
        <w:rPr>
          <w:noProof/>
        </w:rPr>
        <w:t>(Corrigan &amp; Penn, 1999; Heijnders &amp; Meij, 2006)</w:t>
      </w:r>
      <w:r w:rsidRPr="00A4047B">
        <w:fldChar w:fldCharType="end"/>
      </w:r>
      <w:r w:rsidRPr="00A4047B">
        <w:t xml:space="preserve">. Education strategies have traditionally been used to challenge myths, stereotypes, and misconceptions with facts and knowledge </w:t>
      </w:r>
      <w:r w:rsidRPr="00A4047B">
        <w:rPr>
          <w:noProof/>
        </w:rPr>
        <w:t>(Corrigan, Watson, Warpinski, &amp; Gracia, 2004; Seroalo, Du Plessis, Koen, &amp; Koen, 2014)</w:t>
      </w:r>
      <w:r w:rsidRPr="00A4047B">
        <w:t>. The literature on the effectiveness of educational programs is mixed, although findings from meta-</w:t>
      </w:r>
      <w:r w:rsidRPr="00A4047B">
        <w:lastRenderedPageBreak/>
        <w:t xml:space="preserve">analytical studies have reported small to medium effect sizes associated with stigma reduction of education strategies </w:t>
      </w:r>
      <w:r w:rsidRPr="00A4047B">
        <w:fldChar w:fldCharType="begin" w:fldLock="1"/>
      </w:r>
      <w:r w:rsidRPr="00A4047B">
        <w:instrText xml:space="preserve"> CSL_CITATION { "citationItems" : [ { "id" : "ITEM-1", "itemData" : { "DOI" : "10.1176/appi.ps.201100459", "ISSN" : "1557-9700", "PMID" : "22855130", "abstract" : "OBJECTIVE: The purpose of this article was to comprehensively review published literature about strategies to reduce self-stigma among people with mental illness. Recommendations and implications for research also are discussed.\n\nMETHODS: The electronic databases of Ovid, PubMed, and PsycINFO were searched for peer-reviewed articles published between January 2000 and August 2011 by using the key words \u201cself-stigma,\u201d \u201cinternalized stigma,\u201d \u201cperceived stigma,\u201d and \u201cstigma intervention.\u201d The search was further narrowed to studies that described a detailed intervention and that used self-stigma as a primary or secondary outcome, tested the intervention among individuals with a psychiatric illness, and analyzed data quantitatively with acceptable statistical tools.\n\nRESULTS: Fourteen articles met inclusion criteria, and eight reported significant improvement in self-stigma outcomes. Participants predominantly had schizophrenia and related disorders or depression. Six self-stigma reduction strategies were identified. Psychoeducation was the most frequently tested intervention. Self-stigma definitions, measurements, and conceptual frameworks varied considerably across these studies. Several studies lacked a theoretical framework for their intervention. Six different scales were used to measure self-stigma.\n\nCONCLUSIONS: Two prominent approaches for self-stigma reduction emerged from our review: one, interventions that attempt to alter the stigmatizing beliefs and attitudes of the individual; and two, interventions that enhance skills for coping with self-stigma through improvements in self-esteem, empowerment, and help-seeking behavior. The second approach seems to have gained traction among stigma experts. Targeting high-risk groups to preempt self-stigma appears to be a promising area for future research.", "author" : [ { "dropping-particle" : "", "family" : "Mittal", "given" : "Dinesh", "non-dropping-particle" : "", "parse-names" : false, "suffix" : "" }, { "dropping-particle" : "", "family" : "Sullivan", "given" : "Greer", "non-dropping-particle" : "", "parse-names" : false, "suffix" : "" }, { "dropping-particle" : "", "family" : "Chekuri", "given" : "Lakshminarayana", "non-dropping-particle" : "", "parse-names" : false, "suffix" : "" }, { "dropping-particle" : "", "family" : "Allee", "given" : "Elise", "non-dropping-particle" : "", "parse-names" : false, "suffix" : "" }, { "dropping-particle" : "", "family" : "Corrigan", "given" : "Patrick W", "non-dropping-particle" : "", "parse-names" : false, "suffix" : "" } ], "container-title" : "Psychiatric services (Washington, D.C.)", "id" : "ITEM-1", "issue" : "10", "issued" : { "date-parts" : [ [ "2012", "10" ] ] }, "page" : "974-81", "title" : "Empirical Studies of Self-Stigma Reduction Strategies: A Critical Review of the Literature.", "type" : "article-journal", "volume" : "63" }, "uris" : [ "http://www.mendeley.com/documents/?uuid=372ecce7-7801-4c88-9abc-e8327904571a" ] } ], "mendeley" : { "formattedCitation" : "(Mittal, Sullivan, Chekuri, Allee, &amp; Corrigan, 2012)", "plainTextFormattedCitation" : "(Mittal, Sullivan, Chekuri, Allee, &amp; Corrigan, 2012)", "previouslyFormattedCitation" : "(Mittal, Sullivan, Chekuri, Allee, &amp; Corrigan, 2012)" }, "properties" : { "noteIndex" : 0 }, "schema" : "https://github.com/citation-style-language/schema/raw/master/csl-citation.json" }</w:instrText>
      </w:r>
      <w:r w:rsidRPr="00A4047B">
        <w:fldChar w:fldCharType="separate"/>
      </w:r>
      <w:r w:rsidRPr="00A4047B">
        <w:rPr>
          <w:noProof/>
        </w:rPr>
        <w:t>(Mittal, Sullivan, Chekuri, Allee, &amp; Corrigan, 2012)</w:t>
      </w:r>
      <w:r w:rsidRPr="00A4047B">
        <w:fldChar w:fldCharType="end"/>
      </w:r>
      <w:r w:rsidRPr="00A4047B">
        <w:t xml:space="preserve">. On the other hand, contact and contact-based strategies have also reported stigma reduction, with a larger effect than education </w:t>
      </w:r>
      <w:r w:rsidRPr="00A4047B">
        <w:rPr>
          <w:noProof/>
        </w:rPr>
        <w:t>(Griffiths, Carron</w:t>
      </w:r>
      <w:r w:rsidRPr="00A4047B">
        <w:rPr>
          <w:rFonts w:ascii="Cambria Math" w:hAnsi="Cambria Math" w:cs="Cambria Math"/>
          <w:noProof/>
        </w:rPr>
        <w:t>‐</w:t>
      </w:r>
      <w:r w:rsidRPr="00A4047B">
        <w:rPr>
          <w:noProof/>
        </w:rPr>
        <w:t>Arthur, Parsons, &amp; Reid, 2014)</w:t>
      </w:r>
      <w:r w:rsidRPr="00A4047B">
        <w:t xml:space="preserve">. Studies 2 showed a degree of support towards commonly used anti-stigma strategies in reducing stigma towards FD. Moreover, it is possible that education (awareness) and IC are more effective in students rather than non-student populations </w:t>
      </w:r>
      <w:r w:rsidRPr="00A4047B">
        <w:rPr>
          <w:noProof/>
        </w:rPr>
        <w:t>(Dasgupta &amp; Hunsinger, 2008)</w:t>
      </w:r>
      <w:r w:rsidRPr="00A4047B">
        <w:t>.</w:t>
      </w:r>
    </w:p>
    <w:p w14:paraId="19DB520E" w14:textId="77777777" w:rsidR="009E095F" w:rsidRPr="00692840" w:rsidRDefault="009E095F" w:rsidP="007A3FE4">
      <w:pPr>
        <w:pStyle w:val="Heading2"/>
      </w:pPr>
      <w:bookmarkStart w:id="126" w:name="_Toc12024682"/>
      <w:r w:rsidRPr="00692840">
        <w:t>Implications for practice</w:t>
      </w:r>
      <w:bookmarkEnd w:id="126"/>
    </w:p>
    <w:p w14:paraId="0DE79E82" w14:textId="0F9C18AA" w:rsidR="009E095F" w:rsidRPr="00A4047B" w:rsidRDefault="009E095F" w:rsidP="000960CE">
      <w:pPr>
        <w:spacing w:before="100" w:beforeAutospacing="1"/>
        <w:ind w:firstLine="0"/>
      </w:pPr>
      <w:r w:rsidRPr="00A4047B">
        <w:t>According to Thompson, methods to reduce the detrimental effects of stigma towards individuals with FD have been framed</w:t>
      </w:r>
      <w:r w:rsidR="008D13C7">
        <w:t xml:space="preserve"> on</w:t>
      </w:r>
      <w:r w:rsidRPr="00A4047B">
        <w:t xml:space="preserve"> medical (corrective surgery; </w:t>
      </w:r>
      <w:r w:rsidRPr="00A4047B">
        <w:rPr>
          <w:noProof/>
        </w:rPr>
        <w:t>Van Schijndel, Litschel, Maal, Berg, &amp; Tasman, 2015)</w:t>
      </w:r>
      <w:r w:rsidRPr="00A4047B">
        <w:t xml:space="preserve">, individual (training in social skills, CBT; </w:t>
      </w:r>
      <w:r w:rsidRPr="00A4047B">
        <w:rPr>
          <w:noProof/>
        </w:rPr>
        <w:t>Alex Clarke, Thompson, Jenkinson, Rumsey, &amp; Newell, 2014; Robinson, Rumsey, &amp; Partridge, 1996)</w:t>
      </w:r>
      <w:r w:rsidRPr="00A4047B">
        <w:t xml:space="preserve"> and societal (anti-stigma strategies; </w:t>
      </w:r>
      <w:r w:rsidRPr="00A4047B">
        <w:rPr>
          <w:noProof/>
        </w:rPr>
        <w:t>Bogart &amp; Tickle-Degnen, 2015)</w:t>
      </w:r>
      <w:r w:rsidRPr="00A4047B">
        <w:t xml:space="preserve"> perspectives on the phenomenon of stigma.</w:t>
      </w:r>
    </w:p>
    <w:p w14:paraId="09B89648" w14:textId="5D8AFE95" w:rsidR="009E095F" w:rsidRPr="00A4047B" w:rsidRDefault="009E095F" w:rsidP="009E095F">
      <w:pPr>
        <w:spacing w:before="100" w:beforeAutospacing="1"/>
      </w:pPr>
      <w:r w:rsidRPr="00A4047B">
        <w:t>FD is particularly hard to conceal and the disabling consequences of disfigurement in people’s lives are comparable to those experienced by people living</w:t>
      </w:r>
      <w:r w:rsidR="00B32D9C">
        <w:t xml:space="preserve"> in</w:t>
      </w:r>
      <w:r w:rsidRPr="00A4047B">
        <w:t xml:space="preserve"> chronic medical conditions and physical disabilities </w:t>
      </w:r>
      <w:r w:rsidRPr="00A4047B">
        <w:rPr>
          <w:noProof/>
        </w:rPr>
        <w:t>(Stone &amp; Wright, 2012)</w:t>
      </w:r>
      <w:r w:rsidRPr="00A4047B">
        <w:t xml:space="preserve">. According to the medical perspective, an alternative way to reduce stigma could be by surgically correcting atypical features into more accepted forms of appearance. Indeed, studies using eye-tracking studies suggest that observers’ ratings of facial features are not significantly different between control faces and faces after corrected procedures </w:t>
      </w:r>
      <w:r w:rsidRPr="00A4047B">
        <w:rPr>
          <w:noProof/>
        </w:rPr>
        <w:t>(Meyer-Marcotty &amp; Stellzig-Eisenhauer, 2009)</w:t>
      </w:r>
      <w:r>
        <w:t xml:space="preserve">. </w:t>
      </w:r>
      <w:r w:rsidRPr="00A4047B">
        <w:t xml:space="preserve">Furthermore, it appears that forms of disfigurement covering the central triangle of the face and large areas of the face are perceived by observers as </w:t>
      </w:r>
      <w:r w:rsidR="008D13C7">
        <w:t xml:space="preserve">in </w:t>
      </w:r>
      <w:r w:rsidRPr="00A4047B">
        <w:t xml:space="preserve">significantly greater need of correction, compared to small peripheral FDs </w:t>
      </w:r>
      <w:r w:rsidRPr="00A4047B">
        <w:rPr>
          <w:noProof/>
        </w:rPr>
        <w:t>(Van Schijndel et al., 2015; van Schijndel, Tasman, &amp; Litschel, 2015)</w:t>
      </w:r>
      <w:r w:rsidRPr="00A4047B">
        <w:t xml:space="preserve">. Nonetheless, access to surgery may be costly and in overcrowded public systems, </w:t>
      </w:r>
      <w:r>
        <w:t xml:space="preserve">individuals’ requests for </w:t>
      </w:r>
      <w:r w:rsidRPr="00A4047B">
        <w:t>corrective surger</w:t>
      </w:r>
      <w:r w:rsidR="008D13C7">
        <w:t>ies</w:t>
      </w:r>
      <w:r w:rsidRPr="00A4047B">
        <w:t xml:space="preserve"> can be rejected</w:t>
      </w:r>
      <w:r w:rsidR="008D13C7">
        <w:t>,</w:t>
      </w:r>
      <w:r w:rsidR="008D13C7" w:rsidRPr="00A4047B">
        <w:t xml:space="preserve"> </w:t>
      </w:r>
      <w:r w:rsidR="008D13C7">
        <w:t>and</w:t>
      </w:r>
      <w:r w:rsidRPr="00A4047B">
        <w:t xml:space="preserve"> sometimes </w:t>
      </w:r>
      <w:r>
        <w:t>dismissed as</w:t>
      </w:r>
      <w:r w:rsidRPr="00A4047B">
        <w:t xml:space="preserve"> purely cosmetic </w:t>
      </w:r>
      <w:r w:rsidRPr="00A4047B">
        <w:rPr>
          <w:noProof/>
        </w:rPr>
        <w:t>(Hodge, 2017)</w:t>
      </w:r>
      <w:r w:rsidRPr="00A4047B">
        <w:t xml:space="preserve">. It is hoped that this thesis helps </w:t>
      </w:r>
      <w:r>
        <w:t xml:space="preserve">demonstrate the </w:t>
      </w:r>
      <w:r w:rsidRPr="00A4047B">
        <w:t xml:space="preserve">theoretical and empirical evidence required to facilitate access to early surgical procedures, </w:t>
      </w:r>
      <w:r>
        <w:t>when requested by an individual with FD</w:t>
      </w:r>
      <w:r w:rsidRPr="00A4047B">
        <w:t xml:space="preserve">. </w:t>
      </w:r>
    </w:p>
    <w:p w14:paraId="0969EC5A" w14:textId="43DB4569" w:rsidR="009E095F" w:rsidRPr="00A4047B" w:rsidRDefault="009E095F" w:rsidP="009E095F">
      <w:pPr>
        <w:spacing w:before="100" w:beforeAutospacing="1"/>
      </w:pPr>
      <w:r w:rsidRPr="00A4047B">
        <w:t>Disgust sensitivity has been shown to be a factor underlying processes of stigma towards FD and enacted stigma</w:t>
      </w:r>
      <w:r>
        <w:t xml:space="preserve">, </w:t>
      </w:r>
      <w:r w:rsidR="008D13C7">
        <w:t xml:space="preserve">for example, </w:t>
      </w:r>
      <w:r w:rsidRPr="00A4047B">
        <w:t xml:space="preserve">people with FD </w:t>
      </w:r>
      <w:r>
        <w:t>report</w:t>
      </w:r>
      <w:r w:rsidRPr="00A4047B">
        <w:t xml:space="preserve"> expression</w:t>
      </w:r>
      <w:r>
        <w:t>s</w:t>
      </w:r>
      <w:r w:rsidRPr="00A4047B">
        <w:t xml:space="preserve"> of disgust from others </w:t>
      </w:r>
      <w:r w:rsidRPr="00A4047B">
        <w:rPr>
          <w:noProof/>
        </w:rPr>
        <w:t>(Anderson &amp; Clarke, 2017)</w:t>
      </w:r>
      <w:r w:rsidRPr="00A4047B">
        <w:t xml:space="preserve">. Not surprisingly, people with FD </w:t>
      </w:r>
      <w:r>
        <w:t>experience</w:t>
      </w:r>
      <w:r w:rsidRPr="00A4047B">
        <w:t xml:space="preserve"> feelings of shame and embarrassment </w:t>
      </w:r>
      <w:r w:rsidRPr="00A4047B">
        <w:rPr>
          <w:noProof/>
        </w:rPr>
        <w:t>( Kent &amp; Thompson, 2002)</w:t>
      </w:r>
      <w:r w:rsidRPr="00A4047B">
        <w:t xml:space="preserve">. </w:t>
      </w:r>
      <w:r w:rsidRPr="00A4047B">
        <w:lastRenderedPageBreak/>
        <w:t>While shame and body image in disfigurement has received some attention, less is known about the potential role of self-disgust in adjustment processes to disfigurement. Future research directions in the study of self-stigma may benefit from testing the influence of disgust sensitivity in psychological adjustment to disfigurement</w:t>
      </w:r>
      <w:r w:rsidR="008D13C7">
        <w:t>,</w:t>
      </w:r>
      <w:r w:rsidRPr="00A4047B">
        <w:t xml:space="preserve"> and the potential clinical implications that this may have </w:t>
      </w:r>
      <w:r>
        <w:t xml:space="preserve">on psychosocial wellbeing </w:t>
      </w:r>
      <w:r w:rsidRPr="00A4047B">
        <w:rPr>
          <w:noProof/>
        </w:rPr>
        <w:t>(Ille et al., 2014)</w:t>
      </w:r>
      <w:r w:rsidRPr="00A4047B">
        <w:t>.</w:t>
      </w:r>
    </w:p>
    <w:p w14:paraId="3F9CE1E8" w14:textId="1DA33E87" w:rsidR="009E095F" w:rsidRPr="00A4047B" w:rsidRDefault="009E095F" w:rsidP="009E095F">
      <w:pPr>
        <w:spacing w:before="100" w:beforeAutospacing="1"/>
      </w:pPr>
      <w:r w:rsidRPr="00A4047B">
        <w:t>Stud</w:t>
      </w:r>
      <w:r>
        <w:t>ies</w:t>
      </w:r>
      <w:r w:rsidRPr="00A4047B">
        <w:t xml:space="preserve"> 2 showed that some anti-stigma elements may help reduce stigma towards FD. </w:t>
      </w:r>
      <w:r>
        <w:t>Nevertheless,</w:t>
      </w:r>
      <w:r w:rsidRPr="00A4047B">
        <w:t xml:space="preserve"> further testing of anti-stigma strategies is needed to sustain </w:t>
      </w:r>
      <w:r w:rsidR="00B32D9C">
        <w:t xml:space="preserve">the </w:t>
      </w:r>
      <w:r w:rsidRPr="00A4047B">
        <w:t>effectiveness of education and contact-based strategies in the case of FD</w:t>
      </w:r>
      <w:r>
        <w:t>;</w:t>
      </w:r>
      <w:r w:rsidRPr="00A4047B">
        <w:t xml:space="preserve"> it is likely that inclusion efforts are enriched by the introduction of anti-stigma strategies, particularly with specific populations of service providers (e.g., health staff, education, recruitment) that are likely to encounter opportunities to interact with and evaluate FD </w:t>
      </w:r>
      <w:r w:rsidRPr="00A4047B">
        <w:rPr>
          <w:noProof/>
        </w:rPr>
        <w:t>(Hong, Koo, &amp; Koo, 2008)</w:t>
      </w:r>
      <w:r w:rsidRPr="00A4047B">
        <w:t xml:space="preserve">. Education and contact-based strategies such as imagined contact, are cost effective and easy to implement (e.g., online) and thus it may help maximise stigma reduction efforts within more elaborated awareness and anti-stigma training packages (e.g., for nurses and health staff, recruiters; </w:t>
      </w:r>
      <w:r w:rsidRPr="00A4047B">
        <w:rPr>
          <w:noProof/>
        </w:rPr>
        <w:t>Carvalho</w:t>
      </w:r>
      <w:r w:rsidRPr="00A4047B">
        <w:rPr>
          <w:rFonts w:ascii="Cambria Math" w:hAnsi="Cambria Math" w:cs="Cambria Math"/>
          <w:noProof/>
        </w:rPr>
        <w:t>‐</w:t>
      </w:r>
      <w:r w:rsidRPr="00A4047B">
        <w:rPr>
          <w:noProof/>
        </w:rPr>
        <w:t>Freitas &amp; Stathi, 2017)</w:t>
      </w:r>
      <w:r w:rsidRPr="00A4047B">
        <w:t xml:space="preserve">.  </w:t>
      </w:r>
    </w:p>
    <w:p w14:paraId="00935761" w14:textId="77777777" w:rsidR="009E095F" w:rsidRPr="00A4047B" w:rsidRDefault="009E095F" w:rsidP="009E095F">
      <w:pPr>
        <w:spacing w:before="100" w:beforeAutospacing="1"/>
      </w:pPr>
      <w:r w:rsidRPr="00A4047B">
        <w:t xml:space="preserve">Obtaining protective rights has been without a doubt a major achievement in the struggle for facial equality in the UK. It is hard to estimate the impact that the inclusion of FD within the disability act may have had on stigma towards FD. In Study 3 over 70% of employees with recruitment duties identified severe FD as </w:t>
      </w:r>
      <w:r w:rsidR="00B32D9C">
        <w:t xml:space="preserve">a </w:t>
      </w:r>
      <w:r w:rsidRPr="00A4047B">
        <w:t xml:space="preserve">protected type of disability covered in the disability act 2010, suggesting that it is relatively well known that severe FD is a protected category with special rights within the UK.  This thesis is hoped to support the introduction of further forms of public policy that can offer individuals with FD more equal treatment within society. For instance, by encouraging the portray of counter-stereotypical models of individuals with FD in media and advertising </w:t>
      </w:r>
      <w:r w:rsidRPr="00A4047B">
        <w:rPr>
          <w:noProof/>
        </w:rPr>
        <w:t>(Wardle &amp; Boyce, 2009)</w:t>
      </w:r>
      <w:r w:rsidRPr="00A4047B">
        <w:t xml:space="preserve">. </w:t>
      </w:r>
    </w:p>
    <w:p w14:paraId="2F8BCC67" w14:textId="77777777" w:rsidR="009E095F" w:rsidRPr="009A6488" w:rsidRDefault="009E095F" w:rsidP="007A3FE4">
      <w:pPr>
        <w:pStyle w:val="Heading2"/>
      </w:pPr>
      <w:bookmarkStart w:id="127" w:name="_Toc12024683"/>
      <w:r w:rsidRPr="009A6488">
        <w:t>Strengths</w:t>
      </w:r>
      <w:r w:rsidR="000960CE">
        <w:t xml:space="preserve"> and </w:t>
      </w:r>
      <w:r w:rsidRPr="009A6488">
        <w:t>limitations</w:t>
      </w:r>
      <w:r>
        <w:t xml:space="preserve"> </w:t>
      </w:r>
      <w:bookmarkEnd w:id="127"/>
    </w:p>
    <w:p w14:paraId="212D4CAF" w14:textId="77777777" w:rsidR="009E095F" w:rsidRPr="00A4047B" w:rsidRDefault="009E095F" w:rsidP="000960CE">
      <w:pPr>
        <w:spacing w:before="100" w:beforeAutospacing="1"/>
        <w:ind w:firstLine="0"/>
      </w:pPr>
      <w:r>
        <w:t xml:space="preserve">The specific limitations of each experimental study have been individually discussed in each associated chapter. The present chapter aimed to cover </w:t>
      </w:r>
      <w:r w:rsidR="00B32D9C">
        <w:t>the</w:t>
      </w:r>
      <w:r>
        <w:t xml:space="preserve"> strengths and limitations of this thesis within a broader scope across studies.</w:t>
      </w:r>
    </w:p>
    <w:p w14:paraId="61E39C91" w14:textId="6939B77F" w:rsidR="00B32D9C" w:rsidRDefault="009E095F" w:rsidP="009E095F">
      <w:pPr>
        <w:spacing w:before="100" w:beforeAutospacing="1"/>
      </w:pPr>
      <w:r>
        <w:t>Firstly, this thesis addresses an important gap in the literature, particularly in relation to the literature of public-stigma reduction towards FD. A major strength of this thesis was the experimental testing of anti-stigma strategies in both student and non-</w:t>
      </w:r>
      <w:r>
        <w:lastRenderedPageBreak/>
        <w:t>student populations.  Interestingly, b</w:t>
      </w:r>
      <w:r w:rsidRPr="004C58B0">
        <w:t>y failing to replicate the effects of awareness and IC found in Study 2 in a non-student sample, this study 3 stretches the need for further research in with more naturalistic samples (Study 2 in Madera &amp; Hebl, 2012).</w:t>
      </w:r>
      <w:r>
        <w:t xml:space="preserve"> </w:t>
      </w:r>
      <w:r w:rsidRPr="004C58B0">
        <w:t xml:space="preserve"> As seen in Study 1 and in the review chapter, stigma likely underpinned by individual differences (disgust sensitivity, gender; Ryan et al., 2012; Shanmugarajah et al., 2012; Stone &amp; Potton, 2014) which may in part explain these contrasting results. Furthermore, </w:t>
      </w:r>
      <w:r w:rsidR="008D13C7">
        <w:t>s</w:t>
      </w:r>
      <w:r w:rsidRPr="004C58B0">
        <w:t>tudy 3 was designed as a pilot test</w:t>
      </w:r>
      <w:r w:rsidR="008D13C7">
        <w:t>,</w:t>
      </w:r>
      <w:r w:rsidRPr="004C58B0">
        <w:t xml:space="preserve"> and as such</w:t>
      </w:r>
      <w:r w:rsidR="008D13C7">
        <w:t>, it</w:t>
      </w:r>
      <w:r w:rsidRPr="004C58B0">
        <w:t xml:space="preserve"> may lack the sufficient power to capture the effect of the experimental anti-stigma conditions on responses towards FD.</w:t>
      </w:r>
      <w:r>
        <w:t xml:space="preserve">  </w:t>
      </w:r>
    </w:p>
    <w:p w14:paraId="73FA57B4" w14:textId="3328A8DF" w:rsidR="009E095F" w:rsidRDefault="009E095F" w:rsidP="009E095F">
      <w:pPr>
        <w:spacing w:before="100" w:beforeAutospacing="1"/>
      </w:pPr>
      <w:r>
        <w:t>The studies within this thesis were conducted with UK participants and ethnicity data was particularly homogeneous, with over 80% of participants reporting having white ethnicity across studies. While this is broadly representative of the UK population, the generalisability beyond UK participants and high-income countries is limited. Further research should seek to adapt and replicate the studies within this thesis with populations from L</w:t>
      </w:r>
      <w:r w:rsidR="008D13C7">
        <w:t>M</w:t>
      </w:r>
      <w:r>
        <w:t xml:space="preserve">IC as well as collectivist cultures, where it is expected that differences may emerge.   </w:t>
      </w:r>
    </w:p>
    <w:p w14:paraId="660381A2" w14:textId="77777777" w:rsidR="009E095F" w:rsidRPr="003853E3" w:rsidRDefault="009E095F" w:rsidP="007A3FE4">
      <w:pPr>
        <w:pStyle w:val="Heading2"/>
      </w:pPr>
      <w:bookmarkStart w:id="128" w:name="_Toc12024684"/>
      <w:r w:rsidRPr="003853E3">
        <w:t>Conclusions and future directions</w:t>
      </w:r>
      <w:bookmarkEnd w:id="128"/>
    </w:p>
    <w:p w14:paraId="2F911DC3" w14:textId="77777777" w:rsidR="009E095F" w:rsidRDefault="009E095F" w:rsidP="000960CE">
      <w:pPr>
        <w:ind w:firstLine="0"/>
      </w:pPr>
      <w:bookmarkStart w:id="129" w:name="_Hlk12019001"/>
      <w:r>
        <w:t>It is hoped that findings from this thesis had contribute towards the literature and understanding how people respond to FD and in providing evidence-based support towards possible ways to decrease devaluating attitudes towards different appearance. However, as it is the case of the research practice, findings also generated further questions and pathways for future studies addressing stigma towards FD.</w:t>
      </w:r>
    </w:p>
    <w:p w14:paraId="6D2F899E" w14:textId="77777777" w:rsidR="009E095F" w:rsidRDefault="009E095F" w:rsidP="009E095F">
      <w:r>
        <w:t xml:space="preserve">Findings suggest that responses towards FD follow </w:t>
      </w:r>
      <w:r w:rsidR="00B32D9C">
        <w:t xml:space="preserve">the </w:t>
      </w:r>
      <w:r>
        <w:t xml:space="preserve">theoretical rationale of </w:t>
      </w:r>
      <w:r w:rsidR="00B32D9C">
        <w:t xml:space="preserve">the </w:t>
      </w:r>
      <w:r>
        <w:t xml:space="preserve">dual process of stigma. However, testing this hypothesis would benefit from </w:t>
      </w:r>
      <w:r w:rsidR="00B32D9C">
        <w:t xml:space="preserve">the </w:t>
      </w:r>
      <w:r>
        <w:t xml:space="preserve">inclusion of non-western samples in order to further investigate the relationship between different sociocultural norms and outlooks of beauty in stigma towards FD. Furthermore, the study of disgust-stigma relationship and disease avoidance hypothesis would be particularly enriched by cross-cultural comparisons that include samples from contexts with </w:t>
      </w:r>
      <w:r w:rsidR="00B32D9C">
        <w:t xml:space="preserve">a </w:t>
      </w:r>
      <w:r>
        <w:t xml:space="preserve">higher prevalence of pathogens and pathogen-related disfigurement. </w:t>
      </w:r>
    </w:p>
    <w:bookmarkEnd w:id="129"/>
    <w:p w14:paraId="53BF730D" w14:textId="39E33AA5" w:rsidR="00744EC4" w:rsidRDefault="00744EC4" w:rsidP="00744EC4">
      <w:r>
        <w:t>While there seem to be clear individual differences affecting stigma responses (e.g.</w:t>
      </w:r>
      <w:r w:rsidR="008D13C7">
        <w:t>,</w:t>
      </w:r>
      <w:r>
        <w:t xml:space="preserve"> gender, disgust sensitivity), stigma may be decreased with the use of education and contact-based strategies. Findings suggest that anti-stigma efforts tested in other forms of stigma may also have a significant effect on stigma towards FD </w:t>
      </w:r>
      <w:r>
        <w:fldChar w:fldCharType="begin" w:fldLock="1"/>
      </w:r>
      <w:r w:rsidR="00B32D9C">
        <w:instrText>ADDIN CSL_CITATION {"citationItems":[{"id":"ITEM-1","itemData":{"DOI":"10.1016/j.pec.2014.09.010","ISSN":"0738-3991","abstract":"OBJECTIVE: Healthcare providers and lay people alike tend to form inaccurate first impressions of people with facial movement disorders such as facial paralysis (FP) because of the natural tendency to base impressions on the face. This study tested the effectiveness of the first interpersonal sensitivity training for FP. METHODS: Undergraduate participants were randomly assigned to one of two training conditions or an untrained control. Education raised awareness about FP symptoms and experiences and instructed participants to form their impressions based on cues from the body and voice rather than the face. Education+feedback added feedback about the correctness of participants’ judgments. Subsequently, participants watched 30 s video clips of people with FP and rated their extraversion. RESULTS: Participants’ bias and accuracy in the two training conditions did not significantly differ, but they were significantly less biased than controls. Training did not improve the more challenging task of accurately detecting individual differences in extraversion. CONCLUSION: Educating people improves bias, but not accuracy, of impressions of people with FP. PRACTICE IMPLICATIONS: Information from the education condition could be delivered in a pamphlet to those likely to interact with this population such as healthcare providers and educators.","author":[{"dropping-particle":"","family":"Bogart","given":"Kathleen R","non-dropping-particle":"","parse-names":false,"suffix":""},{"dropping-particle":"","family":"Tickle-Degnen","given":"Linda","non-dropping-particle":"","parse-names":false,"suffix":""}],"container-title":"Patient education and counseling","id":"ITEM-1","issue":"2","issued":{"date-parts":[["2015","2","6"]]},"page":"251-256","title":"Looking beyond the face: A training to improve perceivers’ impressions of people with facial paralysis","type":"article-journal","volume":"98"},"uris":["http://www.mendeley.com/documents/?uuid=7e9f28fc-93c6-4f33-9826-2a0539fad229"]}],"mendeley":{"formattedCitation":"(Bogart &amp; Tickle-Degnen, 2015)","plainTextFormattedCitation":"(Bogart &amp; Tickle-Degnen, 2015)","previouslyFormattedCitation":"(Bogart &amp; Tickle-Degnen, 2015)"},"properties":{"noteIndex":0},"schema":"https://github.com/citation-style-language/schema/raw/master/csl-citation.json"}</w:instrText>
      </w:r>
      <w:r>
        <w:fldChar w:fldCharType="separate"/>
      </w:r>
      <w:r w:rsidRPr="00F2547B">
        <w:rPr>
          <w:noProof/>
        </w:rPr>
        <w:t>(Bogart &amp; Tickle-Degnen, 2015)</w:t>
      </w:r>
      <w:r>
        <w:fldChar w:fldCharType="end"/>
      </w:r>
      <w:r>
        <w:t xml:space="preserve">. Research efforts should continue to explore and test anti-stigma </w:t>
      </w:r>
      <w:r>
        <w:lastRenderedPageBreak/>
        <w:t>strategies in order to clarify underlying factors present in stigma and stigma reduction, particularly with psychological outcomes that are less prone to self-presentation effects and attempting to capture behavioural manifestations of stigma.</w:t>
      </w:r>
    </w:p>
    <w:p w14:paraId="72AD8EEA" w14:textId="77777777" w:rsidR="00467135" w:rsidRPr="00125F07" w:rsidRDefault="00744EC4" w:rsidP="00744EC4">
      <w:pPr>
        <w:ind w:firstLine="0"/>
      </w:pPr>
      <w:r>
        <w:t xml:space="preserve">Congruently with </w:t>
      </w:r>
      <w:r w:rsidRPr="00744EC4">
        <w:t>Phelan, Link, and Dovidio (2008)</w:t>
      </w:r>
      <w:r>
        <w:t>, findings from this thesis support that fields of prejudice and stigma have commonalities that may be useful for the design and test anti-stigma strategies, particularly in populations that are more likely to influence the inclusion of people with visible differences, such as educators, health care staff and recruitment personnel.</w:t>
      </w:r>
    </w:p>
    <w:p w14:paraId="07509502" w14:textId="5CA6AE62" w:rsidR="00467135" w:rsidRDefault="00467135" w:rsidP="003D019F">
      <w:pPr>
        <w:ind w:firstLine="0"/>
      </w:pPr>
    </w:p>
    <w:p w14:paraId="017CCDFB" w14:textId="77777777" w:rsidR="006C623E" w:rsidRDefault="006C623E" w:rsidP="003D019F">
      <w:pPr>
        <w:ind w:firstLine="0"/>
      </w:pPr>
    </w:p>
    <w:p w14:paraId="397113B7" w14:textId="77777777" w:rsidR="002A2C99" w:rsidRDefault="002A2C99" w:rsidP="003D019F">
      <w:pPr>
        <w:ind w:firstLine="0"/>
      </w:pPr>
    </w:p>
    <w:p w14:paraId="420E30D7" w14:textId="77777777" w:rsidR="002A2C99" w:rsidRDefault="002A2C99" w:rsidP="003D019F">
      <w:pPr>
        <w:ind w:firstLine="0"/>
      </w:pPr>
    </w:p>
    <w:p w14:paraId="35748E62" w14:textId="77777777" w:rsidR="00570A59" w:rsidRDefault="00570A59" w:rsidP="003D019F">
      <w:pPr>
        <w:ind w:firstLine="0"/>
      </w:pPr>
    </w:p>
    <w:p w14:paraId="53871D1E" w14:textId="77777777" w:rsidR="00570A59" w:rsidRDefault="00570A59" w:rsidP="003D019F">
      <w:pPr>
        <w:ind w:firstLine="0"/>
      </w:pPr>
    </w:p>
    <w:p w14:paraId="0174E7BC" w14:textId="77777777" w:rsidR="00570A59" w:rsidRDefault="00570A59" w:rsidP="003D019F">
      <w:pPr>
        <w:ind w:firstLine="0"/>
      </w:pPr>
    </w:p>
    <w:p w14:paraId="7CEAD6FC" w14:textId="77777777" w:rsidR="00570A59" w:rsidRDefault="00570A59" w:rsidP="003D019F">
      <w:pPr>
        <w:ind w:firstLine="0"/>
      </w:pPr>
    </w:p>
    <w:p w14:paraId="58466A85" w14:textId="2BF6CAA3" w:rsidR="00570A59" w:rsidRDefault="00570A59" w:rsidP="003D019F">
      <w:pPr>
        <w:ind w:firstLine="0"/>
      </w:pPr>
    </w:p>
    <w:p w14:paraId="35C88863" w14:textId="692513A5" w:rsidR="006C623E" w:rsidRDefault="006C623E" w:rsidP="003D019F">
      <w:pPr>
        <w:ind w:firstLine="0"/>
      </w:pPr>
    </w:p>
    <w:p w14:paraId="4E6F82A6" w14:textId="26F3EEC0" w:rsidR="006C623E" w:rsidRDefault="006C623E" w:rsidP="003D019F">
      <w:pPr>
        <w:ind w:firstLine="0"/>
      </w:pPr>
    </w:p>
    <w:p w14:paraId="771B0A6C" w14:textId="636BC6CC" w:rsidR="006C623E" w:rsidRDefault="006C623E" w:rsidP="003D019F">
      <w:pPr>
        <w:ind w:firstLine="0"/>
      </w:pPr>
    </w:p>
    <w:p w14:paraId="38B659CD" w14:textId="469FD135" w:rsidR="006C623E" w:rsidRDefault="006C623E" w:rsidP="003D019F">
      <w:pPr>
        <w:ind w:firstLine="0"/>
      </w:pPr>
    </w:p>
    <w:p w14:paraId="7C29BFE2" w14:textId="68B334F0" w:rsidR="006C623E" w:rsidRDefault="006C623E" w:rsidP="003D019F">
      <w:pPr>
        <w:ind w:firstLine="0"/>
      </w:pPr>
    </w:p>
    <w:p w14:paraId="3E02D47F" w14:textId="0D9EE8E7" w:rsidR="006C623E" w:rsidRDefault="006C623E" w:rsidP="003D019F">
      <w:pPr>
        <w:ind w:firstLine="0"/>
      </w:pPr>
    </w:p>
    <w:p w14:paraId="24599473" w14:textId="1BA0D1E7" w:rsidR="006C623E" w:rsidRDefault="006C623E" w:rsidP="003D019F">
      <w:pPr>
        <w:ind w:firstLine="0"/>
      </w:pPr>
    </w:p>
    <w:p w14:paraId="03A14165" w14:textId="5C567530" w:rsidR="006C623E" w:rsidRDefault="006C623E" w:rsidP="003D019F">
      <w:pPr>
        <w:ind w:firstLine="0"/>
      </w:pPr>
    </w:p>
    <w:p w14:paraId="7BDAA6CC" w14:textId="0E3DE3B0" w:rsidR="006C623E" w:rsidRDefault="006C623E" w:rsidP="003D019F">
      <w:pPr>
        <w:ind w:firstLine="0"/>
      </w:pPr>
    </w:p>
    <w:p w14:paraId="775488E9" w14:textId="011558C5" w:rsidR="006C623E" w:rsidRDefault="006C623E" w:rsidP="003D019F">
      <w:pPr>
        <w:ind w:firstLine="0"/>
      </w:pPr>
    </w:p>
    <w:p w14:paraId="2AFB3670" w14:textId="02643B5D" w:rsidR="006C623E" w:rsidRDefault="006C623E" w:rsidP="003D019F">
      <w:pPr>
        <w:ind w:firstLine="0"/>
      </w:pPr>
    </w:p>
    <w:p w14:paraId="5A460123" w14:textId="77777777" w:rsidR="006C623E" w:rsidRDefault="006C623E" w:rsidP="003D019F">
      <w:pPr>
        <w:ind w:firstLine="0"/>
      </w:pPr>
    </w:p>
    <w:p w14:paraId="47AB869D" w14:textId="77777777" w:rsidR="00570A59" w:rsidRDefault="00570A59" w:rsidP="003D019F">
      <w:pPr>
        <w:ind w:firstLine="0"/>
      </w:pPr>
    </w:p>
    <w:p w14:paraId="1A5803F0" w14:textId="77777777" w:rsidR="00A965E4" w:rsidRPr="00807608" w:rsidRDefault="00A965E4" w:rsidP="00A965E4">
      <w:pPr>
        <w:pStyle w:val="Heading1"/>
        <w:rPr>
          <w:color w:val="auto"/>
        </w:rPr>
      </w:pPr>
      <w:bookmarkStart w:id="130" w:name="_Toc12024685"/>
      <w:r w:rsidRPr="00807608">
        <w:rPr>
          <w:color w:val="auto"/>
        </w:rPr>
        <w:t>References</w:t>
      </w:r>
      <w:bookmarkEnd w:id="130"/>
    </w:p>
    <w:p w14:paraId="65A0A0B5" w14:textId="77777777" w:rsidR="006C623E" w:rsidRDefault="006C623E" w:rsidP="006C623E">
      <w:pPr>
        <w:widowControl w:val="0"/>
        <w:ind w:left="480" w:hanging="480"/>
      </w:pPr>
      <w:r>
        <w:t xml:space="preserve">Ablett, K., &amp; Thompson, A. R. (2016). Parental, child, and adolescent experience of chronic skin conditions: A meta-ethnography and review of the qualitative literature. </w:t>
      </w:r>
      <w:r>
        <w:rPr>
          <w:i/>
        </w:rPr>
        <w:t>Body Image</w:t>
      </w:r>
      <w:r>
        <w:t xml:space="preserve">, </w:t>
      </w:r>
      <w:r>
        <w:rPr>
          <w:i/>
        </w:rPr>
        <w:t>19</w:t>
      </w:r>
      <w:r>
        <w:t>, 175–185.</w:t>
      </w:r>
    </w:p>
    <w:p w14:paraId="5E423085" w14:textId="77777777" w:rsidR="006C623E" w:rsidRDefault="006C623E" w:rsidP="006C623E">
      <w:pPr>
        <w:widowControl w:val="0"/>
        <w:ind w:left="480" w:hanging="480"/>
      </w:pPr>
      <w:r>
        <w:t xml:space="preserve">Ackerman, J. M., Becker, D. V., Mortensen, C. R., Sasaki, T., Neuberg, S. L., &amp; Kenrick, D. T. (2009). A pox on the mind: Disjunction of attention and memory in the processing of physical disfigurement. </w:t>
      </w:r>
      <w:r>
        <w:rPr>
          <w:i/>
        </w:rPr>
        <w:t>Journal of Experimental Social Psychology</w:t>
      </w:r>
      <w:r>
        <w:t xml:space="preserve">, </w:t>
      </w:r>
      <w:r>
        <w:rPr>
          <w:i/>
        </w:rPr>
        <w:t>45</w:t>
      </w:r>
      <w:r>
        <w:t>(3), 478–485. https://doi.org/10.1016/j.jesp.2008.12.008</w:t>
      </w:r>
    </w:p>
    <w:p w14:paraId="2C4C4652" w14:textId="77777777" w:rsidR="006C623E" w:rsidRDefault="006C623E" w:rsidP="006C623E">
      <w:pPr>
        <w:widowControl w:val="0"/>
        <w:ind w:left="480" w:hanging="480"/>
      </w:pPr>
      <w:r>
        <w:t xml:space="preserve">Adhikari, B., Kaehler, N., Chapman, R. S., Raut, S., &amp; Roche, P. (2014). Factors affecting perceived stigma in leprosy affected persons in western Nepal. </w:t>
      </w:r>
      <w:r>
        <w:rPr>
          <w:i/>
        </w:rPr>
        <w:t>PLoS Neglected Tropical Diseases</w:t>
      </w:r>
      <w:r>
        <w:t xml:space="preserve">, </w:t>
      </w:r>
      <w:r>
        <w:rPr>
          <w:i/>
        </w:rPr>
        <w:t>8</w:t>
      </w:r>
      <w:r>
        <w:t>, e2940. https://doi.org/10.1371/journal.pntd.0002940</w:t>
      </w:r>
    </w:p>
    <w:p w14:paraId="05326FC4" w14:textId="77777777" w:rsidR="006C623E" w:rsidRDefault="006C623E" w:rsidP="006C623E">
      <w:pPr>
        <w:widowControl w:val="0"/>
        <w:ind w:left="480" w:hanging="480"/>
      </w:pPr>
      <w:r>
        <w:t xml:space="preserve">Akrami, N., Ekehammar, B., Claesson, M., &amp; Sonnander, K. (2006). Classical and modern prejudice: attitudes toward people with intellectual disabilities. </w:t>
      </w:r>
      <w:r>
        <w:rPr>
          <w:i/>
        </w:rPr>
        <w:t>Research in Developmental Disabilities</w:t>
      </w:r>
      <w:r>
        <w:t xml:space="preserve">, </w:t>
      </w:r>
      <w:r>
        <w:rPr>
          <w:i/>
        </w:rPr>
        <w:t>27</w:t>
      </w:r>
      <w:r>
        <w:t>, 605–617. https://doi.org/10.1016/j.ridd.2005.07.003</w:t>
      </w:r>
    </w:p>
    <w:p w14:paraId="7AF6599D" w14:textId="77777777" w:rsidR="006C623E" w:rsidRDefault="006C623E" w:rsidP="006C623E">
      <w:pPr>
        <w:widowControl w:val="0"/>
        <w:ind w:left="480" w:hanging="480"/>
      </w:pPr>
      <w:r>
        <w:t>Allport, G. W. (1954). nature of prejudice.</w:t>
      </w:r>
    </w:p>
    <w:p w14:paraId="57D8CAB4" w14:textId="77777777" w:rsidR="006C623E" w:rsidRDefault="006C623E" w:rsidP="006C623E">
      <w:pPr>
        <w:widowControl w:val="0"/>
        <w:ind w:left="480" w:hanging="480"/>
      </w:pPr>
      <w:r>
        <w:t>Allport, G. W., Clark, K., &amp; Pettigrew, T. (1954). The nature of prejudice.</w:t>
      </w:r>
    </w:p>
    <w:p w14:paraId="32E5402C" w14:textId="77777777" w:rsidR="006C623E" w:rsidRDefault="006C623E" w:rsidP="006C623E">
      <w:pPr>
        <w:widowControl w:val="0"/>
        <w:ind w:left="480" w:hanging="480"/>
      </w:pPr>
      <w:r>
        <w:t>Alonso, J., Buron, A., Bruffaerts, R., He, Y., Posada</w:t>
      </w:r>
      <w:r>
        <w:rPr>
          <w:rFonts w:ascii="Cambria Math" w:eastAsia="Cambria Math" w:hAnsi="Cambria Math" w:cs="Cambria Math"/>
        </w:rPr>
        <w:t>‐</w:t>
      </w:r>
      <w:r>
        <w:t xml:space="preserve">Villa, J., Lepine, J., … Tachimori, H. (2008). Association of perceived stigma and mood and anxiety disorders: results from the World Mental Health Surveys. </w:t>
      </w:r>
      <w:r>
        <w:rPr>
          <w:i/>
        </w:rPr>
        <w:t>Acta Psychiatrica Scandinavica</w:t>
      </w:r>
      <w:r>
        <w:t xml:space="preserve">, </w:t>
      </w:r>
      <w:r>
        <w:rPr>
          <w:i/>
        </w:rPr>
        <w:t>118</w:t>
      </w:r>
      <w:r>
        <w:t>, 305–314.</w:t>
      </w:r>
    </w:p>
    <w:p w14:paraId="1FDB973A" w14:textId="77777777" w:rsidR="006C623E" w:rsidRDefault="006C623E" w:rsidP="006C623E">
      <w:pPr>
        <w:widowControl w:val="0"/>
        <w:ind w:left="480" w:hanging="480"/>
      </w:pPr>
      <w:r>
        <w:t xml:space="preserve">Anderson, S., &amp; Clarke, V. (2017). Disgust, shame and the psychosocial impact of skin picking: Evidence from an online support forum. </w:t>
      </w:r>
      <w:r>
        <w:rPr>
          <w:i/>
        </w:rPr>
        <w:t>Journal of Health Psychology</w:t>
      </w:r>
      <w:r>
        <w:t>, 1359105317700254.</w:t>
      </w:r>
    </w:p>
    <w:p w14:paraId="46454B3C" w14:textId="77777777" w:rsidR="006C623E" w:rsidRDefault="006C623E" w:rsidP="006C623E">
      <w:pPr>
        <w:widowControl w:val="0"/>
        <w:ind w:left="480" w:hanging="480"/>
      </w:pPr>
      <w:r>
        <w:t xml:space="preserve">Angermeyer, M. C., Matschinger, H., &amp; Corrigan, P. W. (2004). Familiarity with mental illness and social distance from people with schizophrenia and major depression: testing a model using data from a representative population survey. </w:t>
      </w:r>
      <w:r>
        <w:rPr>
          <w:i/>
        </w:rPr>
        <w:t>Schizophrenia Research</w:t>
      </w:r>
      <w:r>
        <w:t xml:space="preserve">, </w:t>
      </w:r>
      <w:r>
        <w:rPr>
          <w:i/>
        </w:rPr>
        <w:t>69</w:t>
      </w:r>
      <w:r>
        <w:t>, 175–182. https://doi.org/10.1016/S0920-9964(03)00186-5</w:t>
      </w:r>
    </w:p>
    <w:p w14:paraId="6B641B5B" w14:textId="77777777" w:rsidR="006C623E" w:rsidRDefault="006C623E" w:rsidP="006C623E">
      <w:pPr>
        <w:widowControl w:val="0"/>
        <w:ind w:left="480" w:hanging="480"/>
      </w:pPr>
      <w:r>
        <w:t xml:space="preserve">Armstrong, M. L., Roberts, A. E., Owen, D. C., &amp; Koch, J. R. (2004). Contemporary college students and body piercing. </w:t>
      </w:r>
      <w:r>
        <w:rPr>
          <w:i/>
        </w:rPr>
        <w:t>Journal of Adolescent Health</w:t>
      </w:r>
      <w:r>
        <w:t xml:space="preserve">, </w:t>
      </w:r>
      <w:r>
        <w:rPr>
          <w:i/>
        </w:rPr>
        <w:t>35</w:t>
      </w:r>
      <w:r>
        <w:t xml:space="preserve">, 58–61. </w:t>
      </w:r>
      <w:r>
        <w:lastRenderedPageBreak/>
        <w:t>https://doi.org/https://doi.org/10.1016/j.jadohealth.2003.08.012</w:t>
      </w:r>
    </w:p>
    <w:p w14:paraId="7A7A54BC" w14:textId="77777777" w:rsidR="006C623E" w:rsidRDefault="006C623E" w:rsidP="006C623E">
      <w:pPr>
        <w:widowControl w:val="0"/>
        <w:ind w:left="480" w:hanging="480"/>
      </w:pPr>
      <w:r>
        <w:t xml:space="preserve">Armstrong, T., Olatunji, B. O., Sarawgi, S., &amp; Simmons, C. (2010). Orienting and maintenance of gaze in contamination fear: Biases for disgust and fear cues. </w:t>
      </w:r>
      <w:r>
        <w:rPr>
          <w:i/>
        </w:rPr>
        <w:t>Behaviour Research and Therapy</w:t>
      </w:r>
      <w:r>
        <w:t xml:space="preserve">, </w:t>
      </w:r>
      <w:r>
        <w:rPr>
          <w:i/>
        </w:rPr>
        <w:t>48</w:t>
      </w:r>
      <w:r>
        <w:t>, 402–408. https://doi.org/10.1016/j.brat.2010.01.002</w:t>
      </w:r>
    </w:p>
    <w:p w14:paraId="4211B90B"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Augoustinos, M., &amp; Every, D. (2007). The language of “race” and prejudice: A discourse of denial, reason, and liberal-practical politics. In </w:t>
      </w:r>
      <w:r w:rsidRPr="000F7776">
        <w:rPr>
          <w:i/>
          <w:iCs/>
          <w:noProof/>
          <w:szCs w:val="24"/>
        </w:rPr>
        <w:t>Journal of Language and Social Psychology</w:t>
      </w:r>
      <w:r w:rsidRPr="000F7776">
        <w:rPr>
          <w:noProof/>
          <w:szCs w:val="24"/>
        </w:rPr>
        <w:t>. https://doi.org/10.1177/0261927X07300075</w:t>
      </w:r>
    </w:p>
    <w:p w14:paraId="3CF4A181"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Azar, B. (2008). IAT: Fad or fabulous. </w:t>
      </w:r>
      <w:r w:rsidRPr="000F7776">
        <w:rPr>
          <w:i/>
          <w:iCs/>
          <w:noProof/>
          <w:szCs w:val="24"/>
        </w:rPr>
        <w:t>Monitor on Psychology</w:t>
      </w:r>
      <w:r w:rsidRPr="000F7776">
        <w:rPr>
          <w:noProof/>
          <w:szCs w:val="24"/>
        </w:rPr>
        <w:t xml:space="preserve">, </w:t>
      </w:r>
      <w:r w:rsidRPr="000F7776">
        <w:rPr>
          <w:i/>
          <w:iCs/>
          <w:noProof/>
          <w:szCs w:val="24"/>
        </w:rPr>
        <w:t>39</w:t>
      </w:r>
      <w:r w:rsidRPr="000F7776">
        <w:rPr>
          <w:noProof/>
          <w:szCs w:val="24"/>
        </w:rPr>
        <w:t>(7), 44.</w:t>
      </w:r>
    </w:p>
    <w:p w14:paraId="0FE4A8C9" w14:textId="77777777" w:rsidR="006C623E" w:rsidRDefault="006C623E" w:rsidP="006C623E">
      <w:pPr>
        <w:widowControl w:val="0"/>
        <w:ind w:left="480" w:hanging="480"/>
      </w:pPr>
      <w:r>
        <w:t xml:space="preserve">Babatunde, O., &amp; Oyeronke, A. (2010). Scarification practice and scar complications among the Nigerian Yorubas. </w:t>
      </w:r>
      <w:r>
        <w:rPr>
          <w:i/>
        </w:rPr>
        <w:t>Indian Journal of Dermatology, Venereology and Leprology</w:t>
      </w:r>
      <w:r>
        <w:t xml:space="preserve">, </w:t>
      </w:r>
      <w:r>
        <w:rPr>
          <w:i/>
        </w:rPr>
        <w:t>76</w:t>
      </w:r>
      <w:r>
        <w:t>, 571.</w:t>
      </w:r>
    </w:p>
    <w:p w14:paraId="522BCF1B" w14:textId="77777777" w:rsidR="006C623E" w:rsidRDefault="006C623E" w:rsidP="006C623E">
      <w:pPr>
        <w:widowControl w:val="0"/>
        <w:ind w:left="480" w:hanging="480"/>
      </w:pPr>
      <w:r>
        <w:t xml:space="preserve">Bartoş, S. E., Berger, I., &amp; Hegarty, P. (2014). Interventions to reduce sexual prejudice: A study-space analysis and meta-analytic review. </w:t>
      </w:r>
      <w:r>
        <w:rPr>
          <w:i/>
        </w:rPr>
        <w:t>The Journal of Sex Research</w:t>
      </w:r>
      <w:r>
        <w:t xml:space="preserve">, </w:t>
      </w:r>
      <w:r>
        <w:rPr>
          <w:i/>
        </w:rPr>
        <w:t>51</w:t>
      </w:r>
      <w:r>
        <w:t>, 363–382.</w:t>
      </w:r>
    </w:p>
    <w:p w14:paraId="75B51F77" w14:textId="77777777" w:rsidR="006C623E" w:rsidRDefault="006C623E" w:rsidP="006C623E">
      <w:pPr>
        <w:widowControl w:val="0"/>
        <w:ind w:left="480" w:hanging="480"/>
      </w:pPr>
      <w:r>
        <w:t xml:space="preserve">Bathje, G., &amp; Pryor, J. (2011). The relationships of public and self-stigma to seeking mental health services. </w:t>
      </w:r>
      <w:r>
        <w:rPr>
          <w:i/>
        </w:rPr>
        <w:t>Journal of Mental Health Counseling</w:t>
      </w:r>
      <w:r>
        <w:t xml:space="preserve">, </w:t>
      </w:r>
      <w:r>
        <w:rPr>
          <w:i/>
        </w:rPr>
        <w:t>33</w:t>
      </w:r>
      <w:r>
        <w:t>, 161–176.</w:t>
      </w:r>
    </w:p>
    <w:p w14:paraId="4084FE35"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Batson, C. D., Chang, J., Orr, R., &amp; Rowland, J. (2002). Empathy, attitudes, and action: Can feeling for a member of a stigmatized group motivate one to help the group? </w:t>
      </w:r>
      <w:r w:rsidRPr="000F7776">
        <w:rPr>
          <w:i/>
          <w:iCs/>
          <w:noProof/>
          <w:szCs w:val="24"/>
        </w:rPr>
        <w:t>Personality and Social Psychology Bulletin</w:t>
      </w:r>
      <w:r w:rsidRPr="000F7776">
        <w:rPr>
          <w:noProof/>
          <w:szCs w:val="24"/>
        </w:rPr>
        <w:t xml:space="preserve">, </w:t>
      </w:r>
      <w:r w:rsidRPr="000F7776">
        <w:rPr>
          <w:i/>
          <w:iCs/>
          <w:noProof/>
          <w:szCs w:val="24"/>
        </w:rPr>
        <w:t>28</w:t>
      </w:r>
      <w:r w:rsidRPr="000F7776">
        <w:rPr>
          <w:noProof/>
          <w:szCs w:val="24"/>
        </w:rPr>
        <w:t>(12), 1656–1666.</w:t>
      </w:r>
    </w:p>
    <w:p w14:paraId="49191956" w14:textId="77777777" w:rsidR="006C623E" w:rsidRDefault="006C623E" w:rsidP="006C623E">
      <w:pPr>
        <w:widowControl w:val="0"/>
        <w:ind w:left="480" w:hanging="480"/>
      </w:pPr>
      <w:r>
        <w:t>Bazopoulou</w:t>
      </w:r>
      <w:r>
        <w:rPr>
          <w:rFonts w:ascii="Cambria Math" w:hAnsi="Cambria Math" w:cs="Cambria Math"/>
        </w:rPr>
        <w:t>‐</w:t>
      </w:r>
      <w:r>
        <w:t xml:space="preserve">Kyrkanidou, E. (1997). What makes Hephaestus lame? </w:t>
      </w:r>
      <w:r>
        <w:rPr>
          <w:i/>
        </w:rPr>
        <w:t>American Journal of Medical Genetics</w:t>
      </w:r>
      <w:r>
        <w:t xml:space="preserve">, </w:t>
      </w:r>
      <w:r>
        <w:rPr>
          <w:i/>
        </w:rPr>
        <w:t>72</w:t>
      </w:r>
      <w:r>
        <w:t>(2), 144–155.</w:t>
      </w:r>
    </w:p>
    <w:p w14:paraId="62EDC92A" w14:textId="77777777" w:rsidR="006C623E" w:rsidRDefault="006C623E" w:rsidP="006C623E">
      <w:pPr>
        <w:widowControl w:val="0"/>
        <w:ind w:left="480" w:hanging="480"/>
      </w:pPr>
      <w:r>
        <w:t xml:space="preserve">Bessell, A., &amp; Moss, T. P. (2007). Evaluating the effectiveness of psychosocial interventions for individuals with visible differences: A systematic review of the empirical literature. </w:t>
      </w:r>
      <w:r>
        <w:rPr>
          <w:i/>
        </w:rPr>
        <w:t>Body Image</w:t>
      </w:r>
      <w:r>
        <w:t xml:space="preserve">, </w:t>
      </w:r>
      <w:r>
        <w:rPr>
          <w:i/>
        </w:rPr>
        <w:t>4</w:t>
      </w:r>
      <w:r>
        <w:t>, 227–238. https://doi.org/https://doi.org/10.1016/j.bodyim.2007.04.005</w:t>
      </w:r>
    </w:p>
    <w:p w14:paraId="574B30B0" w14:textId="77777777" w:rsidR="006C623E" w:rsidRDefault="006C623E" w:rsidP="006C623E">
      <w:pPr>
        <w:widowControl w:val="0"/>
        <w:ind w:left="480" w:hanging="480"/>
      </w:pPr>
      <w:r>
        <w:t>Bigler, R. S., &amp; Hughes, J. M. (2010). Reasons for skepticism about the efficacy of simulated social contact interventions.</w:t>
      </w:r>
    </w:p>
    <w:p w14:paraId="7A97C75F" w14:textId="77777777" w:rsidR="006C623E" w:rsidRDefault="006C623E" w:rsidP="006C623E">
      <w:pPr>
        <w:widowControl w:val="0"/>
        <w:ind w:left="480" w:hanging="480"/>
      </w:pPr>
      <w:r>
        <w:t xml:space="preserve">Birtel, M. D., &amp; Crisp, R. J. (2012a). Imagining intergroup contact is more cognitively difficult for people higher in intergroup anxiety but this does not detract from its effectiveness. </w:t>
      </w:r>
      <w:r>
        <w:rPr>
          <w:i/>
        </w:rPr>
        <w:t>Group Processes &amp; Intergroup Relations</w:t>
      </w:r>
      <w:r>
        <w:t xml:space="preserve">, </w:t>
      </w:r>
      <w:r>
        <w:rPr>
          <w:i/>
        </w:rPr>
        <w:t>15</w:t>
      </w:r>
      <w:r>
        <w:t>, 744–761.</w:t>
      </w:r>
    </w:p>
    <w:p w14:paraId="2BC875E2" w14:textId="77777777" w:rsidR="006C623E" w:rsidRDefault="006C623E" w:rsidP="006C623E">
      <w:pPr>
        <w:widowControl w:val="0"/>
        <w:ind w:left="480" w:hanging="480"/>
      </w:pPr>
      <w:r>
        <w:t xml:space="preserve">Birtel, M. D., &amp; Crisp, R. J. (2012b). “Treating” Prejudice: An Exposure-Therapy Approach to Reducing Negative Reactions Toward Stigmatized Groups. </w:t>
      </w:r>
      <w:r>
        <w:rPr>
          <w:i/>
        </w:rPr>
        <w:lastRenderedPageBreak/>
        <w:t>Psychological Science</w:t>
      </w:r>
      <w:r>
        <w:t xml:space="preserve">, </w:t>
      </w:r>
      <w:r>
        <w:rPr>
          <w:i/>
        </w:rPr>
        <w:t>23</w:t>
      </w:r>
      <w:r>
        <w:t>, 1379–1386. https://doi.org/10.1177/0956797612443838</w:t>
      </w:r>
    </w:p>
    <w:p w14:paraId="445F2802" w14:textId="77777777" w:rsidR="006C623E" w:rsidRDefault="006C623E" w:rsidP="006C623E">
      <w:pPr>
        <w:widowControl w:val="0"/>
        <w:ind w:left="480" w:hanging="480"/>
      </w:pPr>
      <w:r>
        <w:t xml:space="preserve">Blanton, H., &amp; Jaccard, J. (2006). Arbitrary metrics in psychology. </w:t>
      </w:r>
      <w:r>
        <w:rPr>
          <w:i/>
        </w:rPr>
        <w:t>American Psychologist</w:t>
      </w:r>
      <w:r>
        <w:t xml:space="preserve">, </w:t>
      </w:r>
      <w:r>
        <w:rPr>
          <w:i/>
        </w:rPr>
        <w:t>61</w:t>
      </w:r>
      <w:r>
        <w:t>, 27.</w:t>
      </w:r>
    </w:p>
    <w:p w14:paraId="118EA474" w14:textId="77777777" w:rsidR="006C623E" w:rsidRDefault="006C623E" w:rsidP="006C623E">
      <w:pPr>
        <w:widowControl w:val="0"/>
        <w:ind w:left="480" w:hanging="480"/>
      </w:pPr>
      <w:r>
        <w:t xml:space="preserve">Blanton, H., Jaccard, J., Gonzales, P. M., &amp; Christie, C. (2006). Decoding the implicit association test: Implications for criterion prediction. </w:t>
      </w:r>
      <w:r>
        <w:rPr>
          <w:i/>
        </w:rPr>
        <w:t>Journal of Experimental Social Psychology</w:t>
      </w:r>
      <w:r>
        <w:t xml:space="preserve">, </w:t>
      </w:r>
      <w:r>
        <w:rPr>
          <w:i/>
        </w:rPr>
        <w:t>42</w:t>
      </w:r>
      <w:r>
        <w:t>, 192–212.</w:t>
      </w:r>
    </w:p>
    <w:p w14:paraId="2847B3CF" w14:textId="77777777" w:rsidR="006C623E" w:rsidRDefault="006C623E" w:rsidP="006C623E">
      <w:pPr>
        <w:widowControl w:val="0"/>
        <w:ind w:left="480" w:hanging="480"/>
      </w:pPr>
      <w:r>
        <w:t xml:space="preserve">Blascovich, J., Mendes, W. B., Hunter, S. B., Lickel, B., &amp; Kowai-Bell, N. (2001). Perceiver threat in social interactions with stigmatized others. </w:t>
      </w:r>
      <w:r>
        <w:rPr>
          <w:i/>
        </w:rPr>
        <w:t>Journal of Personality and Social Psychology</w:t>
      </w:r>
      <w:r>
        <w:t xml:space="preserve">, </w:t>
      </w:r>
      <w:r>
        <w:rPr>
          <w:i/>
        </w:rPr>
        <w:t>80</w:t>
      </w:r>
      <w:r>
        <w:t>, 253.</w:t>
      </w:r>
    </w:p>
    <w:p w14:paraId="61C9D27B" w14:textId="77777777" w:rsidR="006C623E" w:rsidRDefault="006C623E" w:rsidP="006C623E">
      <w:pPr>
        <w:widowControl w:val="0"/>
        <w:ind w:left="480" w:hanging="480"/>
      </w:pPr>
      <w:r>
        <w:t xml:space="preserve">Bodunde, O., Runsewe-Abiodun, T., Alabi, A., Adetunji, J., Olowonyo, M., &amp; Adefuye, B. (2016). Awareness and Perception of Strabismus Among the Youths And Women of Child-Bearing Age in a Local Government in South Western Nigeria: A Qualitative Study. </w:t>
      </w:r>
      <w:r>
        <w:rPr>
          <w:i/>
        </w:rPr>
        <w:t>International Quarterly of Community Health Education</w:t>
      </w:r>
      <w:r>
        <w:t>. https://doi.org/10.1177/0272684X16660025</w:t>
      </w:r>
    </w:p>
    <w:p w14:paraId="169CA110" w14:textId="77777777" w:rsidR="006C623E" w:rsidRDefault="006C623E" w:rsidP="006C623E">
      <w:pPr>
        <w:widowControl w:val="0"/>
        <w:ind w:left="480" w:hanging="480"/>
      </w:pPr>
      <w:r>
        <w:t xml:space="preserve">Bogart, K. R., &amp; Tickle-Degnen, L. (2015). Looking beyond the face: A training to improve perceivers’ impressions of people with facial paralysis. </w:t>
      </w:r>
      <w:r>
        <w:rPr>
          <w:i/>
        </w:rPr>
        <w:t>Patient Education and Counseling</w:t>
      </w:r>
      <w:r>
        <w:t xml:space="preserve">, </w:t>
      </w:r>
      <w:r>
        <w:rPr>
          <w:i/>
        </w:rPr>
        <w:t>98</w:t>
      </w:r>
      <w:r>
        <w:t>, 251–256. https://doi.org/10.1016/j.pec.2014.09.010</w:t>
      </w:r>
    </w:p>
    <w:p w14:paraId="11DB9744" w14:textId="77777777" w:rsidR="006C623E" w:rsidRDefault="006C623E" w:rsidP="006C623E">
      <w:pPr>
        <w:widowControl w:val="0"/>
        <w:ind w:left="480" w:hanging="480"/>
      </w:pPr>
      <w:r>
        <w:t>Bogart, K. R., Cole, J., &amp; Briegel, W. (2014). On the Consequences of living without facial expression.</w:t>
      </w:r>
    </w:p>
    <w:p w14:paraId="3046C4E0" w14:textId="77777777" w:rsidR="006C623E" w:rsidRDefault="006C623E" w:rsidP="006C623E">
      <w:pPr>
        <w:widowControl w:val="0"/>
        <w:ind w:left="480" w:hanging="480"/>
      </w:pPr>
      <w:r>
        <w:t xml:space="preserve">Bogart, K., Tickle-Degnen, L., &amp; Ambady, N. (2014). Communicating without the Face: Holistic Perception of Emotions of People with Facial Paralysis. </w:t>
      </w:r>
      <w:r>
        <w:rPr>
          <w:i/>
        </w:rPr>
        <w:t>Basic and Applied Social Psychology</w:t>
      </w:r>
      <w:r>
        <w:t xml:space="preserve">, </w:t>
      </w:r>
      <w:r>
        <w:rPr>
          <w:i/>
        </w:rPr>
        <w:t>36</w:t>
      </w:r>
      <w:r>
        <w:t>, 309–320. https://doi.org/10.1080/01973533.2014.917973</w:t>
      </w:r>
    </w:p>
    <w:p w14:paraId="25FB8F8E" w14:textId="77777777" w:rsidR="006C623E" w:rsidRDefault="006C623E" w:rsidP="006C623E">
      <w:pPr>
        <w:widowControl w:val="0"/>
        <w:ind w:left="480" w:hanging="480"/>
      </w:pPr>
      <w:r>
        <w:t xml:space="preserve">Brendl, C. M., Markman, A. B., &amp; Messner, C. (2001). How do indirect measures of evaluation work? Evaluating the inference of prejudice in the Implicit Association Test. </w:t>
      </w:r>
      <w:r>
        <w:rPr>
          <w:i/>
        </w:rPr>
        <w:t>Journal of Personality and Social Psychology</w:t>
      </w:r>
      <w:r>
        <w:t xml:space="preserve">, </w:t>
      </w:r>
      <w:r>
        <w:rPr>
          <w:i/>
        </w:rPr>
        <w:t>81</w:t>
      </w:r>
      <w:r>
        <w:t>(5), 760–773.</w:t>
      </w:r>
    </w:p>
    <w:p w14:paraId="3EBF0DAF" w14:textId="77777777" w:rsidR="006C623E" w:rsidRDefault="006C623E" w:rsidP="006C623E">
      <w:pPr>
        <w:widowControl w:val="0"/>
        <w:ind w:left="480" w:hanging="480"/>
      </w:pPr>
      <w:r>
        <w:t xml:space="preserve">Bull, R., &amp; Brooking, J. (1985). Does marriage influence whether a facially disfigured person is considered physically unattractive? </w:t>
      </w:r>
      <w:r>
        <w:rPr>
          <w:i/>
        </w:rPr>
        <w:t>The Journal of Psychology</w:t>
      </w:r>
      <w:r>
        <w:t xml:space="preserve">, </w:t>
      </w:r>
      <w:r>
        <w:rPr>
          <w:i/>
        </w:rPr>
        <w:t>119</w:t>
      </w:r>
      <w:r>
        <w:t>, 163–167.</w:t>
      </w:r>
    </w:p>
    <w:p w14:paraId="427CB6E9" w14:textId="77777777" w:rsidR="006C623E" w:rsidRDefault="006C623E" w:rsidP="006C623E">
      <w:pPr>
        <w:widowControl w:val="0"/>
        <w:ind w:left="480" w:hanging="480"/>
      </w:pPr>
      <w:r>
        <w:t xml:space="preserve">Bull, R., &amp; David, I. (1986a). The stigmatizing effect of facial disfigurement: Nigerian and English nurses’ and office workers’ ratings of normal and scarred faces. </w:t>
      </w:r>
      <w:r>
        <w:rPr>
          <w:i/>
        </w:rPr>
        <w:t>Journal of Cross-Cultural Psychology</w:t>
      </w:r>
      <w:r>
        <w:t xml:space="preserve">, </w:t>
      </w:r>
      <w:r>
        <w:rPr>
          <w:i/>
        </w:rPr>
        <w:t>17</w:t>
      </w:r>
      <w:r>
        <w:t>, 99–108.</w:t>
      </w:r>
    </w:p>
    <w:p w14:paraId="4581D54C" w14:textId="77777777" w:rsidR="006C623E" w:rsidRDefault="006C623E" w:rsidP="006C623E">
      <w:pPr>
        <w:widowControl w:val="0"/>
        <w:ind w:left="480" w:hanging="480"/>
      </w:pPr>
      <w:r>
        <w:t xml:space="preserve">Bull, R., &amp; David, I. (1986b). The Stigmatizing Effect of Facial Disfigurement. </w:t>
      </w:r>
      <w:r>
        <w:rPr>
          <w:i/>
        </w:rPr>
        <w:t xml:space="preserve">Journal of </w:t>
      </w:r>
      <w:r>
        <w:rPr>
          <w:i/>
        </w:rPr>
        <w:lastRenderedPageBreak/>
        <w:t>Cross-Cultural Psychology</w:t>
      </w:r>
      <w:r>
        <w:t xml:space="preserve">, </w:t>
      </w:r>
      <w:r>
        <w:rPr>
          <w:i/>
        </w:rPr>
        <w:t>17</w:t>
      </w:r>
      <w:r>
        <w:t>, 99–108. https://doi.org/10.1177/0022002186017001007</w:t>
      </w:r>
    </w:p>
    <w:p w14:paraId="20E0977B" w14:textId="77777777" w:rsidR="006C623E" w:rsidRDefault="006C623E" w:rsidP="006C623E">
      <w:pPr>
        <w:widowControl w:val="0"/>
        <w:ind w:left="480" w:hanging="480"/>
      </w:pPr>
      <w:r>
        <w:t xml:space="preserve">Burriss, R. P., Rowland, H. M., &amp; Little, A. C. (2009). Facial scarring enhances men’s attractiveness for short-term relationships. </w:t>
      </w:r>
      <w:r>
        <w:rPr>
          <w:i/>
        </w:rPr>
        <w:t>Personality and Individual Differences</w:t>
      </w:r>
      <w:r>
        <w:t xml:space="preserve">, </w:t>
      </w:r>
      <w:r>
        <w:rPr>
          <w:i/>
        </w:rPr>
        <w:t>46</w:t>
      </w:r>
      <w:r>
        <w:t>, 213–217.</w:t>
      </w:r>
    </w:p>
    <w:p w14:paraId="63201F7A" w14:textId="77777777" w:rsidR="006C623E" w:rsidRDefault="006C623E" w:rsidP="006C623E">
      <w:pPr>
        <w:widowControl w:val="0"/>
        <w:ind w:left="480" w:hanging="480"/>
      </w:pPr>
      <w:bookmarkStart w:id="131" w:name="_30j0zll" w:colFirst="0" w:colLast="0"/>
      <w:bookmarkEnd w:id="131"/>
      <w:r>
        <w:t xml:space="preserve">Bzdok, D., Langner, R., Caspers, S., Kurth, F., Habel, U., Zilles, K., … Eickhoff, S. B. (2011). ALE meta-analysis on facial judgments of trustworthiness and attractiveness. </w:t>
      </w:r>
      <w:r>
        <w:rPr>
          <w:i/>
        </w:rPr>
        <w:t>Brain Structure and Function</w:t>
      </w:r>
      <w:r>
        <w:t xml:space="preserve">, </w:t>
      </w:r>
      <w:r>
        <w:rPr>
          <w:i/>
        </w:rPr>
        <w:t>215</w:t>
      </w:r>
      <w:r>
        <w:t>, 209–223.</w:t>
      </w:r>
    </w:p>
    <w:p w14:paraId="62646455" w14:textId="77777777" w:rsidR="006C623E" w:rsidRDefault="006C623E" w:rsidP="006C623E">
      <w:pPr>
        <w:widowControl w:val="0"/>
        <w:ind w:left="480" w:hanging="480"/>
      </w:pPr>
      <w:r>
        <w:t xml:space="preserve">Cacciapaglia, H. M., Beauchamp, K. L., &amp; Howells, G. N. (2004). Visibility of Disability: Effect on Willingness to Interact. </w:t>
      </w:r>
      <w:r>
        <w:rPr>
          <w:i/>
        </w:rPr>
        <w:t>Rehabilitation Psychology</w:t>
      </w:r>
      <w:r>
        <w:t xml:space="preserve">, </w:t>
      </w:r>
      <w:r>
        <w:rPr>
          <w:i/>
        </w:rPr>
        <w:t>49</w:t>
      </w:r>
      <w:r>
        <w:t>, 180.</w:t>
      </w:r>
    </w:p>
    <w:p w14:paraId="406A08FD"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Calogero, R., Davis, W., &amp; Thompson, J. (2004). The Sociocultural Attitudes Toward Appearance Questionnaire (SATAQ-3): Reliability and normative comparisons of eating disordered patients. </w:t>
      </w:r>
      <w:r w:rsidRPr="000F7776">
        <w:rPr>
          <w:i/>
          <w:iCs/>
          <w:noProof/>
          <w:szCs w:val="24"/>
        </w:rPr>
        <w:t>Body Image</w:t>
      </w:r>
      <w:r w:rsidRPr="000F7776">
        <w:rPr>
          <w:noProof/>
          <w:szCs w:val="24"/>
        </w:rPr>
        <w:t>. http://www.sciencedirect.com/science/article/pii/S1740144504000300</w:t>
      </w:r>
    </w:p>
    <w:p w14:paraId="3EE7B245" w14:textId="77777777" w:rsidR="006C623E" w:rsidRPr="008636E5" w:rsidRDefault="006C623E" w:rsidP="006C623E">
      <w:pPr>
        <w:widowControl w:val="0"/>
        <w:ind w:left="480" w:hanging="480"/>
        <w:rPr>
          <w:lang w:val="es-CO"/>
        </w:rPr>
      </w:pPr>
      <w:r>
        <w:t xml:space="preserve">Cameron, L., Rutland, A., &amp; Turner, R. (2011). “Changing attitudes with a little imagination”: Imagined contact effects on young children’s intergroup bias. </w:t>
      </w:r>
      <w:r w:rsidRPr="008636E5">
        <w:rPr>
          <w:i/>
          <w:lang w:val="es-CO"/>
        </w:rPr>
        <w:t>Anales de Psicología/</w:t>
      </w:r>
      <w:r w:rsidRPr="008636E5">
        <w:rPr>
          <w:lang w:val="es-CO"/>
        </w:rPr>
        <w:t>. Retrieved from http://revistas.um.es/analesps/article/view/135311</w:t>
      </w:r>
    </w:p>
    <w:p w14:paraId="59AECB2B" w14:textId="77777777" w:rsidR="006C623E" w:rsidRDefault="006C623E" w:rsidP="006C623E">
      <w:pPr>
        <w:widowControl w:val="0"/>
        <w:ind w:left="480" w:hanging="480"/>
      </w:pPr>
      <w:r>
        <w:t>Carvalho</w:t>
      </w:r>
      <w:r>
        <w:rPr>
          <w:rFonts w:ascii="Cambria Math" w:eastAsia="Cambria Math" w:hAnsi="Cambria Math" w:cs="Cambria Math"/>
        </w:rPr>
        <w:t>‐</w:t>
      </w:r>
      <w:r>
        <w:t xml:space="preserve">Freitas, M. N. de, &amp; Stathi, S. (2017). Reducing workplace bias toward people with disabilities with the use of imagined contact. </w:t>
      </w:r>
      <w:r>
        <w:rPr>
          <w:i/>
        </w:rPr>
        <w:t>Journal of Applied Social Psychology</w:t>
      </w:r>
      <w:r>
        <w:t xml:space="preserve">, </w:t>
      </w:r>
      <w:r>
        <w:rPr>
          <w:i/>
        </w:rPr>
        <w:t>47</w:t>
      </w:r>
      <w:r>
        <w:t>, 256–266.</w:t>
      </w:r>
    </w:p>
    <w:p w14:paraId="21B5231D" w14:textId="77777777" w:rsidR="006C623E" w:rsidRDefault="006C623E" w:rsidP="006C623E">
      <w:pPr>
        <w:spacing w:after="0" w:line="480" w:lineRule="auto"/>
        <w:ind w:left="720" w:hanging="720"/>
      </w:pPr>
      <w:r>
        <w:t xml:space="preserve">Changing Faces (2017). </w:t>
      </w:r>
      <w:r>
        <w:rPr>
          <w:i/>
        </w:rPr>
        <w:t>Disfigurement in the UK</w:t>
      </w:r>
      <w:r>
        <w:t xml:space="preserve">. Retrieved from https://www.changingfaces.org.uk/wp-content/uploads/2017/05/DITUK.pdf </w:t>
      </w:r>
    </w:p>
    <w:p w14:paraId="3D10D7FE" w14:textId="77777777" w:rsidR="006C623E" w:rsidRDefault="006C623E" w:rsidP="006C623E">
      <w:pPr>
        <w:widowControl w:val="0"/>
        <w:ind w:left="480" w:hanging="480"/>
      </w:pPr>
      <w:r>
        <w:t xml:space="preserve">Chapman, H. A., &amp; Anderson, A. K. (2012). Understanding disgust. </w:t>
      </w:r>
      <w:r>
        <w:rPr>
          <w:i/>
        </w:rPr>
        <w:t>Annals of the New York Academy of Sciences</w:t>
      </w:r>
      <w:r>
        <w:t xml:space="preserve">, </w:t>
      </w:r>
      <w:r>
        <w:rPr>
          <w:i/>
        </w:rPr>
        <w:t>1251</w:t>
      </w:r>
      <w:r>
        <w:t>, 62–76. https://doi.org/10.1111/j.1749-6632.2011.06369.x</w:t>
      </w:r>
    </w:p>
    <w:p w14:paraId="4A3AF78D" w14:textId="77777777" w:rsidR="006C623E" w:rsidRDefault="006C623E" w:rsidP="006C623E">
      <w:pPr>
        <w:spacing w:after="0" w:line="480" w:lineRule="auto"/>
        <w:ind w:left="720" w:hanging="720"/>
        <w:rPr>
          <w:i/>
        </w:rPr>
      </w:pPr>
      <w:r>
        <w:rPr>
          <w:i/>
        </w:rPr>
        <w:t>Chatterjee, Anjan. (2014). The aesthetic brain: how we evolved to desire beauty and enjoy art. New York, NY ; Oxford :Oxford University Press.</w:t>
      </w:r>
    </w:p>
    <w:p w14:paraId="5337B29D" w14:textId="77777777" w:rsidR="006C623E" w:rsidRDefault="006C623E" w:rsidP="006C623E">
      <w:pPr>
        <w:widowControl w:val="0"/>
        <w:ind w:left="480" w:hanging="480"/>
      </w:pPr>
      <w:r>
        <w:t xml:space="preserve">Chaudoir, S. R., Earnshaw, V. A., &amp; Andel, S. (2013). “Discredited” versus “discreditable”: understanding how shared and unique stigma mechanisms affect psychological and physical health disparities. </w:t>
      </w:r>
      <w:r>
        <w:rPr>
          <w:i/>
        </w:rPr>
        <w:t>Basic and Applied Social Psychology</w:t>
      </w:r>
      <w:r>
        <w:t xml:space="preserve">, </w:t>
      </w:r>
      <w:r>
        <w:rPr>
          <w:i/>
        </w:rPr>
        <w:t>35</w:t>
      </w:r>
      <w:r>
        <w:t>, 75–87.</w:t>
      </w:r>
    </w:p>
    <w:p w14:paraId="1ACC1B70" w14:textId="77777777" w:rsidR="006C623E" w:rsidRDefault="006C623E" w:rsidP="006C623E">
      <w:pPr>
        <w:widowControl w:val="0"/>
        <w:ind w:left="480" w:hanging="480"/>
      </w:pPr>
      <w:r>
        <w:t xml:space="preserve">Clair, M., &amp; Denis, J. S. (2015). Racism, sociology of. </w:t>
      </w:r>
      <w:r>
        <w:rPr>
          <w:i/>
        </w:rPr>
        <w:t>International Encyclopedia of the Social &amp; Behavioral Sciences</w:t>
      </w:r>
      <w:r>
        <w:t>, 857–863.</w:t>
      </w:r>
    </w:p>
    <w:p w14:paraId="23454878" w14:textId="77777777" w:rsidR="006C623E" w:rsidRDefault="006C623E" w:rsidP="006C623E">
      <w:pPr>
        <w:widowControl w:val="0"/>
        <w:ind w:left="480" w:hanging="480"/>
      </w:pPr>
      <w:r>
        <w:lastRenderedPageBreak/>
        <w:t xml:space="preserve">Clarke, A. (1999). Psychosocial aspects of facial disfigurement: problems, management and the role of a lay-led organization. </w:t>
      </w:r>
      <w:r>
        <w:rPr>
          <w:i/>
        </w:rPr>
        <w:t>Psychology, Health &amp; Medicine</w:t>
      </w:r>
      <w:r>
        <w:t xml:space="preserve">, </w:t>
      </w:r>
      <w:r>
        <w:rPr>
          <w:i/>
        </w:rPr>
        <w:t>4</w:t>
      </w:r>
      <w:r>
        <w:t>, 127–142.</w:t>
      </w:r>
    </w:p>
    <w:p w14:paraId="33F9E096" w14:textId="77777777" w:rsidR="006C623E" w:rsidRDefault="006C623E" w:rsidP="006C623E">
      <w:pPr>
        <w:widowControl w:val="0"/>
        <w:ind w:left="480" w:hanging="480"/>
      </w:pPr>
      <w:r>
        <w:t xml:space="preserve">Clarke, Alex, &amp; Cooper, C. (2001). Psychosocial rehabilitation after disfiguring injury or disease: investigating the training needs of specialist nurses. </w:t>
      </w:r>
      <w:r>
        <w:rPr>
          <w:i/>
        </w:rPr>
        <w:t>Journal of Advanced Nursing</w:t>
      </w:r>
      <w:r>
        <w:t xml:space="preserve">, </w:t>
      </w:r>
      <w:r>
        <w:rPr>
          <w:i/>
        </w:rPr>
        <w:t>34</w:t>
      </w:r>
      <w:r>
        <w:t>, 18–26.</w:t>
      </w:r>
    </w:p>
    <w:p w14:paraId="1429AECA" w14:textId="77777777" w:rsidR="006C623E" w:rsidRDefault="006C623E" w:rsidP="006C623E">
      <w:pPr>
        <w:widowControl w:val="0"/>
        <w:ind w:left="480" w:hanging="480"/>
      </w:pPr>
      <w:r>
        <w:t xml:space="preserve">Clarke, Alex, Thompson, A. R., Jenkinson, E., Rumsey, N., &amp; Newell, R. (2013). </w:t>
      </w:r>
      <w:r>
        <w:rPr>
          <w:i/>
        </w:rPr>
        <w:t>CBT for Appearance Anxiety: Psychosocial Interventions for Anxiety due to Visible Difference</w:t>
      </w:r>
      <w:r>
        <w:t>. Wiley. Retrieved from https://books.google.com/books?id=VVrSAQAAQBAJ&amp;pgis=1</w:t>
      </w:r>
    </w:p>
    <w:p w14:paraId="1E233C20" w14:textId="77777777" w:rsidR="006C623E" w:rsidRDefault="006C623E" w:rsidP="006C623E">
      <w:pPr>
        <w:widowControl w:val="0"/>
        <w:ind w:left="480" w:hanging="480"/>
      </w:pPr>
      <w:r>
        <w:t xml:space="preserve">Clarke, Alex, Thompson, A. R., Jenkinson, E., Rumsey, N., &amp; Newell, R. (2014). </w:t>
      </w:r>
      <w:r>
        <w:rPr>
          <w:i/>
        </w:rPr>
        <w:t>CBT for appearance anxiety: Psychosocial interventions for anxiety due to visible difference</w:t>
      </w:r>
      <w:r>
        <w:t xml:space="preserve">. </w:t>
      </w:r>
      <w:r>
        <w:rPr>
          <w:i/>
        </w:rPr>
        <w:t>CBT for appearance anxiety: Psychosocial interventions for anxiety due to visible difference.xvii, 300 pp</w:t>
      </w:r>
      <w:r>
        <w:t>. Retrieved from http://ovidsp.ovid.com/ovidweb.cgi?T=JS&amp;CSC=Y&amp;NEWS=N&amp;PAGE=fulltext&amp;D=psyc11&amp;AN=2013-42992-000; http://dc8qa4cy3n.search.serialssolutions.com/?url_ver=Z39.88-2004&amp;rft_val_fmt=info:ofi/fmt:kev:mtx:journal&amp;rfr_id=info:sid/Ovid:psyc11&amp;rft.genre=article&amp;rft_id</w:t>
      </w:r>
    </w:p>
    <w:p w14:paraId="48C648B4" w14:textId="77777777" w:rsidR="006C623E" w:rsidRDefault="006C623E" w:rsidP="006C623E">
      <w:pPr>
        <w:widowControl w:val="0"/>
        <w:ind w:left="480" w:hanging="480"/>
      </w:pPr>
      <w:r>
        <w:t>Clement, S., Lassman, F., Barley, E., Evans</w:t>
      </w:r>
      <w:r>
        <w:rPr>
          <w:rFonts w:ascii="Cambria Math" w:eastAsia="Cambria Math" w:hAnsi="Cambria Math" w:cs="Cambria Math"/>
        </w:rPr>
        <w:t>‐</w:t>
      </w:r>
      <w:r>
        <w:t>Lacko, S., Williams, P., Yamaguchi, S., … Thornicroft, G. (2013). Mass media interventions for reducing mental health</w:t>
      </w:r>
      <w:r>
        <w:rPr>
          <w:rFonts w:ascii="Cambria Math" w:eastAsia="Cambria Math" w:hAnsi="Cambria Math" w:cs="Cambria Math"/>
        </w:rPr>
        <w:t>‐</w:t>
      </w:r>
      <w:r>
        <w:t xml:space="preserve">related stigma. </w:t>
      </w:r>
      <w:r>
        <w:rPr>
          <w:i/>
        </w:rPr>
        <w:t>Cochrane Database of Systematic Reviews</w:t>
      </w:r>
      <w:r>
        <w:t>.</w:t>
      </w:r>
    </w:p>
    <w:p w14:paraId="79DFFA41" w14:textId="77777777" w:rsidR="006C623E" w:rsidRDefault="006C623E" w:rsidP="006C623E">
      <w:pPr>
        <w:widowControl w:val="0"/>
        <w:ind w:left="480" w:hanging="480"/>
      </w:pPr>
      <w:r w:rsidRPr="004D2DCA">
        <w:t xml:space="preserve">Cline, T., Proto, A., Raval, P., &amp; Di Paolo, T. (1998). </w:t>
      </w:r>
      <w:r>
        <w:t xml:space="preserve">The Effects of Brief Exposure and of Classroom Teaching on Attitudes Children Express towards Facial Disfigurement in Peers. </w:t>
      </w:r>
      <w:r>
        <w:rPr>
          <w:i/>
        </w:rPr>
        <w:t>Educational Research</w:t>
      </w:r>
      <w:r>
        <w:t xml:space="preserve">, </w:t>
      </w:r>
      <w:r>
        <w:rPr>
          <w:i/>
        </w:rPr>
        <w:t>40</w:t>
      </w:r>
      <w:r>
        <w:t>, 55–68.</w:t>
      </w:r>
    </w:p>
    <w:p w14:paraId="209079CA" w14:textId="77777777" w:rsidR="006C623E" w:rsidRDefault="006C623E" w:rsidP="006C623E">
      <w:pPr>
        <w:widowControl w:val="0"/>
        <w:ind w:left="480" w:hanging="480"/>
      </w:pPr>
      <w:r w:rsidRPr="004D2DCA">
        <w:t xml:space="preserve">Coneo, A. M. C., Thompson, A. R., &amp; Lavda, A. (2017). </w:t>
      </w:r>
      <w:r>
        <w:t xml:space="preserve">The influence of optimism, social support and anxiety on aggression in a sample of dermatology patients: an analysis of cross-sectional data. </w:t>
      </w:r>
      <w:r>
        <w:rPr>
          <w:i/>
        </w:rPr>
        <w:t>British Journal of Dermatology</w:t>
      </w:r>
      <w:r>
        <w:t xml:space="preserve">, </w:t>
      </w:r>
      <w:r>
        <w:rPr>
          <w:i/>
        </w:rPr>
        <w:t>176</w:t>
      </w:r>
      <w:r>
        <w:t>, 1187–1194. https://doi.org/10.1111/bjd.15115</w:t>
      </w:r>
    </w:p>
    <w:p w14:paraId="619CFCB1"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Cook, T. M., &amp; Wang, J. (2010). Descriptive epidemiology of stigma against depression in a general population sample in Alberta. </w:t>
      </w:r>
      <w:r w:rsidRPr="000F7776">
        <w:rPr>
          <w:i/>
          <w:iCs/>
          <w:noProof/>
          <w:szCs w:val="24"/>
        </w:rPr>
        <w:t>BMC Psychiatry</w:t>
      </w:r>
      <w:r w:rsidRPr="000F7776">
        <w:rPr>
          <w:noProof/>
          <w:szCs w:val="24"/>
        </w:rPr>
        <w:t xml:space="preserve">, </w:t>
      </w:r>
      <w:r w:rsidRPr="000F7776">
        <w:rPr>
          <w:i/>
          <w:iCs/>
          <w:noProof/>
          <w:szCs w:val="24"/>
        </w:rPr>
        <w:t>10</w:t>
      </w:r>
      <w:r w:rsidRPr="000F7776">
        <w:rPr>
          <w:noProof/>
          <w:szCs w:val="24"/>
        </w:rPr>
        <w:t>, 29. https://doi.org/10.1186/1471-244X-10-29</w:t>
      </w:r>
    </w:p>
    <w:p w14:paraId="5E9708FC" w14:textId="77777777" w:rsidR="006C623E" w:rsidRDefault="006C623E" w:rsidP="006C623E">
      <w:pPr>
        <w:widowControl w:val="0"/>
        <w:ind w:left="480" w:hanging="480"/>
      </w:pPr>
      <w:r>
        <w:t xml:space="preserve">Corrigan, P. W. (2000). Mental Health Stigma as Social Attribution: Implications for Research Methods and Attitude Change. </w:t>
      </w:r>
      <w:r>
        <w:rPr>
          <w:i/>
        </w:rPr>
        <w:t>Clinical Psychology: Science and Practice</w:t>
      </w:r>
      <w:r>
        <w:t xml:space="preserve">, </w:t>
      </w:r>
      <w:r>
        <w:rPr>
          <w:i/>
        </w:rPr>
        <w:t>7</w:t>
      </w:r>
      <w:r>
        <w:t xml:space="preserve">, 48–67. Retrieved from </w:t>
      </w:r>
      <w:r>
        <w:lastRenderedPageBreak/>
        <w:t>http://www.scopus.com/inward/record.url?eid=2-s2.0-0002576015&amp;partnerID=tZOtx3y1</w:t>
      </w:r>
    </w:p>
    <w:p w14:paraId="6340A0F5" w14:textId="77777777" w:rsidR="006C623E" w:rsidRDefault="006C623E" w:rsidP="006C623E">
      <w:pPr>
        <w:widowControl w:val="0"/>
        <w:ind w:left="480" w:hanging="480"/>
      </w:pPr>
      <w:r w:rsidRPr="005621E2">
        <w:rPr>
          <w:lang w:val="es-CO"/>
        </w:rPr>
        <w:t xml:space="preserve">Corrigan, P. W., &amp; Penn, D. L. (1999). </w:t>
      </w:r>
      <w:r>
        <w:t xml:space="preserve">Lessons from social psychology on discrediting psychiatric stigma. </w:t>
      </w:r>
      <w:r>
        <w:rPr>
          <w:i/>
        </w:rPr>
        <w:t>American Psychologist</w:t>
      </w:r>
      <w:r>
        <w:t xml:space="preserve">, </w:t>
      </w:r>
      <w:r>
        <w:rPr>
          <w:i/>
        </w:rPr>
        <w:t>54</w:t>
      </w:r>
      <w:r>
        <w:t>(9), 765–776. Retrieved from http://www.scopus.com/inward/record.url?eid=2-s2.0-0033195052&amp;partnerID=tZOtx3y1</w:t>
      </w:r>
    </w:p>
    <w:p w14:paraId="416BC90C" w14:textId="77777777" w:rsidR="006C623E" w:rsidRDefault="006C623E" w:rsidP="006C623E">
      <w:pPr>
        <w:widowControl w:val="0"/>
        <w:ind w:left="480" w:hanging="480"/>
      </w:pPr>
      <w:r w:rsidRPr="005621E2">
        <w:rPr>
          <w:lang w:val="es-CO"/>
        </w:rPr>
        <w:t xml:space="preserve">Corrigan, P. W., &amp; Shapiro, J. R. (2010). </w:t>
      </w:r>
      <w:r>
        <w:t xml:space="preserve">Measuring the impact of programs that challenge the public stigma of mental illness. </w:t>
      </w:r>
      <w:r>
        <w:rPr>
          <w:i/>
        </w:rPr>
        <w:t>Clinical Psychology Review</w:t>
      </w:r>
      <w:r>
        <w:t xml:space="preserve">, </w:t>
      </w:r>
      <w:r>
        <w:rPr>
          <w:i/>
        </w:rPr>
        <w:t>30</w:t>
      </w:r>
      <w:r>
        <w:t>, 907–922. https://doi.org/10.1016/j.cpr.2010.06.004</w:t>
      </w:r>
    </w:p>
    <w:p w14:paraId="5F0C965E" w14:textId="77777777" w:rsidR="006C623E" w:rsidRDefault="006C623E" w:rsidP="006C623E">
      <w:pPr>
        <w:widowControl w:val="0"/>
        <w:ind w:left="480" w:hanging="480"/>
      </w:pPr>
      <w:r>
        <w:t xml:space="preserve">Corrigan, P. W., Bink, A. B., Fokuo, J. K., &amp; Schmidt, A. (2015). The public stigma of mental illness means a difference between you and me. </w:t>
      </w:r>
      <w:r>
        <w:rPr>
          <w:i/>
        </w:rPr>
        <w:t>Psychiatry Research</w:t>
      </w:r>
      <w:r>
        <w:t xml:space="preserve">, </w:t>
      </w:r>
      <w:r>
        <w:rPr>
          <w:i/>
        </w:rPr>
        <w:t>226</w:t>
      </w:r>
      <w:r>
        <w:t>, 186–191. https://doi.org/10.1016/j.psychres.2014.12.047</w:t>
      </w:r>
    </w:p>
    <w:p w14:paraId="00F17928" w14:textId="77777777" w:rsidR="006C623E" w:rsidRDefault="006C623E" w:rsidP="006C623E">
      <w:pPr>
        <w:widowControl w:val="0"/>
        <w:ind w:left="480" w:hanging="480"/>
      </w:pPr>
      <w:r>
        <w:t xml:space="preserve">Corrigan, P. W., Morris, S. B., Michaels, P. J., Rafacz, J. D., &amp; Rüsch, N. (2012). Challenging the public stigma of mental illness: a meta-analysis of outcome studies. </w:t>
      </w:r>
      <w:r>
        <w:rPr>
          <w:i/>
        </w:rPr>
        <w:t>Psychiatric Services</w:t>
      </w:r>
      <w:r>
        <w:t xml:space="preserve">, </w:t>
      </w:r>
      <w:r>
        <w:rPr>
          <w:i/>
        </w:rPr>
        <w:t>63</w:t>
      </w:r>
      <w:r>
        <w:t>, 963–973.</w:t>
      </w:r>
    </w:p>
    <w:p w14:paraId="4AC1A150" w14:textId="77777777" w:rsidR="006C623E" w:rsidRDefault="006C623E" w:rsidP="006C623E">
      <w:pPr>
        <w:widowControl w:val="0"/>
        <w:ind w:left="480" w:hanging="480"/>
      </w:pPr>
      <w:r>
        <w:t xml:space="preserve">Corrigan, P. W., River, L. P., Lundin, R. K., Penn, D. L., Uphoff-Wasowski, K., Campion, J., … Goldstein, H. (2001). Three strategies for changing attributions about severe mental illness. </w:t>
      </w:r>
      <w:r>
        <w:rPr>
          <w:i/>
        </w:rPr>
        <w:t>Schizophrenia Bulletin</w:t>
      </w:r>
      <w:r>
        <w:t xml:space="preserve">, </w:t>
      </w:r>
      <w:r>
        <w:rPr>
          <w:i/>
        </w:rPr>
        <w:t>27</w:t>
      </w:r>
      <w:r>
        <w:t>, 187–195.</w:t>
      </w:r>
    </w:p>
    <w:p w14:paraId="0156533C" w14:textId="77777777" w:rsidR="006C623E" w:rsidRDefault="006C623E" w:rsidP="006C623E">
      <w:pPr>
        <w:widowControl w:val="0"/>
        <w:ind w:left="480" w:hanging="480"/>
      </w:pPr>
      <w:r>
        <w:t xml:space="preserve">Corrigan, P. W., Watson, A. C., Warpinski, A. C., &amp; Gracia, G. (2004). Implications of Educating the Public on Mental Illness, Violence, and Stigma. </w:t>
      </w:r>
      <w:r>
        <w:rPr>
          <w:i/>
        </w:rPr>
        <w:t>Psychiatric Services</w:t>
      </w:r>
      <w:r>
        <w:t xml:space="preserve">, </w:t>
      </w:r>
      <w:r>
        <w:rPr>
          <w:i/>
        </w:rPr>
        <w:t>55</w:t>
      </w:r>
      <w:r>
        <w:t>, 577–580. https://doi.org/10.1176/appi.ps.55.5.577</w:t>
      </w:r>
    </w:p>
    <w:p w14:paraId="67C3C337" w14:textId="77777777" w:rsidR="006C623E" w:rsidRDefault="006C623E" w:rsidP="006C623E">
      <w:pPr>
        <w:widowControl w:val="0"/>
        <w:ind w:left="480" w:hanging="480"/>
      </w:pPr>
      <w:r>
        <w:t xml:space="preserve">Cosmides, L., &amp; Tooby, J. (1994). Better than Rational: Evolutionary Psychology and the Invisible Hand. </w:t>
      </w:r>
      <w:r>
        <w:rPr>
          <w:i/>
        </w:rPr>
        <w:t>The American Economic Review</w:t>
      </w:r>
      <w:r>
        <w:t xml:space="preserve">, </w:t>
      </w:r>
      <w:r>
        <w:rPr>
          <w:i/>
        </w:rPr>
        <w:t>84</w:t>
      </w:r>
      <w:r>
        <w:t>, 327–332. Retrieved from http://www.jstor.org/stable/2117853</w:t>
      </w:r>
    </w:p>
    <w:p w14:paraId="5C250B71" w14:textId="77777777" w:rsidR="006C623E" w:rsidRDefault="006C623E" w:rsidP="006C623E">
      <w:pPr>
        <w:widowControl w:val="0"/>
        <w:ind w:left="480" w:hanging="480"/>
      </w:pPr>
      <w:r>
        <w:t xml:space="preserve">Cosmides, L., &amp; Tooby, J. (2010). Origins of domain specificity: The evolution of functional organization. </w:t>
      </w:r>
      <w:r>
        <w:rPr>
          <w:i/>
        </w:rPr>
        <w:t>Mapping the Mind</w:t>
      </w:r>
      <w:r>
        <w:t>, 85–116. https://doi.org/10.1017/cbo9780511752902.005</w:t>
      </w:r>
    </w:p>
    <w:p w14:paraId="1434DA07" w14:textId="77777777" w:rsidR="006C623E" w:rsidRDefault="006C623E" w:rsidP="006C623E">
      <w:pPr>
        <w:widowControl w:val="0"/>
        <w:ind w:left="480" w:hanging="480"/>
      </w:pPr>
      <w:r>
        <w:t xml:space="preserve">Crandall, C. S., Eshleman, A., &amp; O’Brien, L. (2002). Social norms and the expression and suppression of prejudice: The struggle for internalization. </w:t>
      </w:r>
      <w:r>
        <w:rPr>
          <w:i/>
        </w:rPr>
        <w:t>Journal of Personality and Social Psychology</w:t>
      </w:r>
      <w:r>
        <w:t xml:space="preserve">, </w:t>
      </w:r>
      <w:r>
        <w:rPr>
          <w:i/>
        </w:rPr>
        <w:t>82</w:t>
      </w:r>
      <w:r>
        <w:t>, 359–377. https://doi.org/10.1037//0022-3514.82.3.359</w:t>
      </w:r>
    </w:p>
    <w:p w14:paraId="4A9CE834" w14:textId="77777777" w:rsidR="006C623E" w:rsidRDefault="006C623E" w:rsidP="006C623E">
      <w:pPr>
        <w:widowControl w:val="0"/>
        <w:ind w:left="480" w:hanging="480"/>
      </w:pPr>
      <w:r>
        <w:t>Crawford, A. M. (1996). Stigma Associated With AIDS: A Meta</w:t>
      </w:r>
      <w:r>
        <w:rPr>
          <w:rFonts w:ascii="Cambria Math" w:eastAsia="Cambria Math" w:hAnsi="Cambria Math" w:cs="Cambria Math"/>
        </w:rPr>
        <w:t>‐</w:t>
      </w:r>
      <w:r>
        <w:t xml:space="preserve">Analysis 1. </w:t>
      </w:r>
      <w:r>
        <w:rPr>
          <w:i/>
        </w:rPr>
        <w:t>Journal of Applied Social Psychology</w:t>
      </w:r>
      <w:r>
        <w:t xml:space="preserve">, </w:t>
      </w:r>
      <w:r>
        <w:rPr>
          <w:i/>
        </w:rPr>
        <w:t>26</w:t>
      </w:r>
      <w:r>
        <w:t>, 398–416.</w:t>
      </w:r>
    </w:p>
    <w:p w14:paraId="0084EC6F" w14:textId="77777777" w:rsidR="006C623E" w:rsidRDefault="006C623E" w:rsidP="006C623E">
      <w:pPr>
        <w:widowControl w:val="0"/>
        <w:ind w:left="480" w:hanging="480"/>
      </w:pPr>
      <w:r>
        <w:lastRenderedPageBreak/>
        <w:t xml:space="preserve">Crisp, R. J., &amp; Turner, R. N. (2009). Can imagined interactions produce positive perceptions?: Reducing prejudice through simulated social contact. </w:t>
      </w:r>
      <w:r>
        <w:rPr>
          <w:i/>
        </w:rPr>
        <w:t>American Psychologist</w:t>
      </w:r>
      <w:r>
        <w:t xml:space="preserve">, </w:t>
      </w:r>
      <w:r>
        <w:rPr>
          <w:i/>
        </w:rPr>
        <w:t>64</w:t>
      </w:r>
      <w:r>
        <w:t>, 231.</w:t>
      </w:r>
    </w:p>
    <w:p w14:paraId="066F1420" w14:textId="77777777" w:rsidR="006C623E" w:rsidRDefault="006C623E" w:rsidP="006C623E">
      <w:pPr>
        <w:widowControl w:val="0"/>
        <w:ind w:left="480" w:hanging="480"/>
      </w:pPr>
      <w:r>
        <w:t xml:space="preserve">Crisp, R., &amp; Turner, R. (2009). Can imagined interactions produce positive perceptions?: Reducing prejudice through simulated social contact. </w:t>
      </w:r>
      <w:r>
        <w:rPr>
          <w:i/>
        </w:rPr>
        <w:t>American Psychologist</w:t>
      </w:r>
      <w:r>
        <w:t>. Retrieved from http://psycnet.apa.org/journals/amp/64/4/231/</w:t>
      </w:r>
    </w:p>
    <w:p w14:paraId="6E63D322"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Crisp, R., Stathi, S., &amp; Turner, R. (2009). Imagined intergroup contact: Theory, paradigm and practice. </w:t>
      </w:r>
      <w:r w:rsidRPr="000F7776">
        <w:rPr>
          <w:i/>
          <w:iCs/>
          <w:noProof/>
          <w:szCs w:val="24"/>
        </w:rPr>
        <w:t>Social and Personality</w:t>
      </w:r>
      <w:r w:rsidRPr="000F7776">
        <w:rPr>
          <w:noProof/>
          <w:szCs w:val="24"/>
        </w:rPr>
        <w:t>. http://onlinelibrary.wiley.com/doi/10.1111/j.1751-9004.2008.00155.x/full</w:t>
      </w:r>
    </w:p>
    <w:p w14:paraId="06A7BDF1" w14:textId="77777777" w:rsidR="006C623E" w:rsidRDefault="006C623E" w:rsidP="006C623E">
      <w:pPr>
        <w:widowControl w:val="0"/>
        <w:ind w:left="480" w:hanging="480"/>
      </w:pPr>
      <w:r>
        <w:t xml:space="preserve">Crocker, J., &amp; Major, B. (1994). Reactions to stigma: The moderating role of justifications. In </w:t>
      </w:r>
      <w:r>
        <w:rPr>
          <w:i/>
        </w:rPr>
        <w:t>The psychology of prejudice: The Ontario symposium</w:t>
      </w:r>
      <w:r>
        <w:t xml:space="preserve"> (Vol. 7, pp. 289–314).</w:t>
      </w:r>
    </w:p>
    <w:p w14:paraId="6C2E8111" w14:textId="77777777" w:rsidR="006C623E" w:rsidRDefault="006C623E" w:rsidP="006C623E">
      <w:pPr>
        <w:widowControl w:val="0"/>
        <w:ind w:left="480" w:hanging="480"/>
      </w:pPr>
      <w:r>
        <w:t xml:space="preserve">Crocker, J., &amp; Major, B. (2004). The Self-Protective Properties of Stigma: Evolution of a Modern Classic. </w:t>
      </w:r>
      <w:r>
        <w:rPr>
          <w:i/>
        </w:rPr>
        <w:t>Psychological Inquiry</w:t>
      </w:r>
      <w:r>
        <w:t xml:space="preserve">, </w:t>
      </w:r>
      <w:r>
        <w:rPr>
          <w:i/>
        </w:rPr>
        <w:t>14</w:t>
      </w:r>
      <w:r>
        <w:t>, 232–237. https://doi.org/10.1207/s15327965pli1403&amp;4_9</w:t>
      </w:r>
    </w:p>
    <w:p w14:paraId="4F1A640F" w14:textId="77777777" w:rsidR="006C623E" w:rsidRDefault="006C623E" w:rsidP="006C623E">
      <w:pPr>
        <w:widowControl w:val="0"/>
        <w:ind w:left="480" w:hanging="480"/>
      </w:pPr>
      <w:r>
        <w:t xml:space="preserve">Cuddy, A. J. C., &amp; Fiske, S. T. (2002). Doddering but dear: Process, content, and function in stereotyping of older persons. </w:t>
      </w:r>
      <w:r>
        <w:rPr>
          <w:i/>
        </w:rPr>
        <w:t>Ageism: Stereotyping and Prejudice against Older Persons</w:t>
      </w:r>
      <w:r>
        <w:t xml:space="preserve">, </w:t>
      </w:r>
      <w:r>
        <w:rPr>
          <w:i/>
        </w:rPr>
        <w:t>3</w:t>
      </w:r>
      <w:r>
        <w:t>, 26.</w:t>
      </w:r>
    </w:p>
    <w:p w14:paraId="427D6918" w14:textId="77777777" w:rsidR="006C623E" w:rsidRDefault="006C623E" w:rsidP="006C623E">
      <w:pPr>
        <w:widowControl w:val="0"/>
        <w:ind w:left="480" w:hanging="480"/>
      </w:pPr>
      <w:r>
        <w:t xml:space="preserve">Curtis, V., &amp; Biran, A. (2001). Dirt, disgust, and disease: Is hygiene in our genes? </w:t>
      </w:r>
      <w:r>
        <w:rPr>
          <w:i/>
        </w:rPr>
        <w:t>Perspectives in Biology and Medicine</w:t>
      </w:r>
      <w:r>
        <w:t xml:space="preserve">, </w:t>
      </w:r>
      <w:r>
        <w:rPr>
          <w:i/>
        </w:rPr>
        <w:t>44</w:t>
      </w:r>
      <w:r>
        <w:t>, 17–31.</w:t>
      </w:r>
    </w:p>
    <w:p w14:paraId="603588CC" w14:textId="77777777" w:rsidR="006C623E" w:rsidRDefault="006C623E" w:rsidP="006C623E">
      <w:pPr>
        <w:widowControl w:val="0"/>
        <w:ind w:left="480" w:hanging="480"/>
      </w:pPr>
      <w:r>
        <w:t xml:space="preserve">Darwin, C. (1859). The Origins of Species. </w:t>
      </w:r>
      <w:r>
        <w:rPr>
          <w:i/>
        </w:rPr>
        <w:t>London: Murray</w:t>
      </w:r>
      <w:r>
        <w:t>. https://doi.org/10.1126/science.146.3640.51-b</w:t>
      </w:r>
    </w:p>
    <w:p w14:paraId="00CDD41A" w14:textId="77777777" w:rsidR="006C623E" w:rsidRDefault="006C623E" w:rsidP="006C623E">
      <w:pPr>
        <w:widowControl w:val="0"/>
        <w:ind w:left="480" w:hanging="480"/>
      </w:pPr>
      <w:r>
        <w:t xml:space="preserve">Darwin, C. (1890). </w:t>
      </w:r>
      <w:r>
        <w:rPr>
          <w:i/>
        </w:rPr>
        <w:t>The Expression of the Emotions in Man and Animals</w:t>
      </w:r>
      <w:r>
        <w:t xml:space="preserve">. </w:t>
      </w:r>
      <w:r>
        <w:rPr>
          <w:i/>
        </w:rPr>
        <w:t>Cambridge Library Collection - Darwin, Evolution and Genetics</w:t>
      </w:r>
      <w:r>
        <w:t xml:space="preserve"> (2 OP-18). Cambridge: Cambridge University Press. https://doi.org/DOI: 10.1017/CBO9780511694110</w:t>
      </w:r>
    </w:p>
    <w:p w14:paraId="734EA2B0" w14:textId="77777777" w:rsidR="006C623E" w:rsidRDefault="006C623E" w:rsidP="006C623E">
      <w:pPr>
        <w:widowControl w:val="0"/>
        <w:ind w:left="480" w:hanging="480"/>
      </w:pPr>
      <w:r>
        <w:t xml:space="preserve">Dasgupta, N., &amp; Hunsinger, M. (2008). The Opposite of a Great Truth Is Also True: When Do Student Samples Help Versus Hurt the Scientific Study of Prejudice? </w:t>
      </w:r>
      <w:r>
        <w:rPr>
          <w:i/>
        </w:rPr>
        <w:t>Psychological Inquiry</w:t>
      </w:r>
      <w:r>
        <w:t xml:space="preserve">, </w:t>
      </w:r>
      <w:r>
        <w:rPr>
          <w:i/>
        </w:rPr>
        <w:t>19</w:t>
      </w:r>
      <w:r>
        <w:t>, 90–98. https://doi.org/10.1080/10478400802049860</w:t>
      </w:r>
    </w:p>
    <w:p w14:paraId="2AC43173" w14:textId="77777777" w:rsidR="006C623E" w:rsidRDefault="006C623E" w:rsidP="006C623E">
      <w:pPr>
        <w:widowControl w:val="0"/>
        <w:ind w:left="480" w:hanging="480"/>
      </w:pPr>
      <w:r>
        <w:t xml:space="preserve">Davies, G., Ellis, H., &amp; Shepherd, J. (1977). Cue saliency in faces as assessed by the ‘Photofit’technique. </w:t>
      </w:r>
      <w:r>
        <w:rPr>
          <w:i/>
        </w:rPr>
        <w:t>Perception</w:t>
      </w:r>
      <w:r>
        <w:t xml:space="preserve">, </w:t>
      </w:r>
      <w:r>
        <w:rPr>
          <w:i/>
        </w:rPr>
        <w:t>6</w:t>
      </w:r>
      <w:r>
        <w:t>, 263–269.</w:t>
      </w:r>
    </w:p>
    <w:p w14:paraId="43A9E35E" w14:textId="77777777" w:rsidR="006C623E" w:rsidRDefault="006C623E" w:rsidP="006C623E">
      <w:pPr>
        <w:widowControl w:val="0"/>
        <w:ind w:left="480" w:hanging="480"/>
      </w:pPr>
      <w:r>
        <w:t xml:space="preserve">DeBruine, L. M., Jones, B. C., Tybur, J. M., Lieberman, D., &amp; Griskevicius, V. (2010). Women’s preferences for masculinity in male faces are predicted by pathogen disgust, but not by moral or sexual disgust. </w:t>
      </w:r>
      <w:r>
        <w:rPr>
          <w:i/>
        </w:rPr>
        <w:t>Evolution and Human Behavior</w:t>
      </w:r>
      <w:r>
        <w:t xml:space="preserve">, </w:t>
      </w:r>
      <w:r>
        <w:rPr>
          <w:i/>
        </w:rPr>
        <w:t>31</w:t>
      </w:r>
      <w:r>
        <w:t xml:space="preserve">, </w:t>
      </w:r>
      <w:r>
        <w:lastRenderedPageBreak/>
        <w:t>69–74.</w:t>
      </w:r>
    </w:p>
    <w:p w14:paraId="678457C6" w14:textId="77777777" w:rsidR="006C623E" w:rsidRDefault="006C623E" w:rsidP="006C623E">
      <w:pPr>
        <w:widowControl w:val="0"/>
        <w:ind w:left="480" w:hanging="480"/>
      </w:pPr>
      <w:r>
        <w:t xml:space="preserve">Deris, S. (2013). Examining the Hephaestus Myth through a Disability Studies Perspective. </w:t>
      </w:r>
      <w:r>
        <w:rPr>
          <w:i/>
        </w:rPr>
        <w:t>Prandium: The Journal of Historical Studies at U of T Mississauga</w:t>
      </w:r>
      <w:r>
        <w:t xml:space="preserve">, </w:t>
      </w:r>
      <w:r>
        <w:rPr>
          <w:i/>
        </w:rPr>
        <w:t>2</w:t>
      </w:r>
      <w:r>
        <w:t>(1).</w:t>
      </w:r>
    </w:p>
    <w:p w14:paraId="5B2843D5" w14:textId="77777777" w:rsidR="006C623E" w:rsidRDefault="006C623E" w:rsidP="006C623E">
      <w:pPr>
        <w:widowControl w:val="0"/>
        <w:ind w:left="480" w:hanging="480"/>
      </w:pPr>
      <w:r w:rsidRPr="005621E2">
        <w:rPr>
          <w:lang w:val="es-CO"/>
        </w:rPr>
        <w:t xml:space="preserve">Dermody, N., Jones, M. K., &amp; Cumming, S. R. (2013). </w:t>
      </w:r>
      <w:r>
        <w:t xml:space="preserve">The failure of imagined contact in reducing explicit and implicit out-group prejudice toward male homosexuals. </w:t>
      </w:r>
      <w:r>
        <w:rPr>
          <w:i/>
        </w:rPr>
        <w:t>Current Psychology</w:t>
      </w:r>
      <w:r>
        <w:t xml:space="preserve">, </w:t>
      </w:r>
      <w:r>
        <w:rPr>
          <w:i/>
        </w:rPr>
        <w:t>32</w:t>
      </w:r>
      <w:r>
        <w:t>, 261–274.</w:t>
      </w:r>
    </w:p>
    <w:p w14:paraId="32BF3AB7" w14:textId="77777777" w:rsidR="006C623E" w:rsidRDefault="006C623E" w:rsidP="006C623E">
      <w:pPr>
        <w:widowControl w:val="0"/>
        <w:ind w:left="480" w:hanging="480"/>
      </w:pPr>
      <w:r>
        <w:t xml:space="preserve">Devine, P. G., Plant, E. A., Amodio, D. M., Harmon-Jones, E., &amp; Vance, S. L. (2002). The regulation of explicit and implicit race bias: The role of motivations to respond without prejudice. </w:t>
      </w:r>
      <w:r>
        <w:rPr>
          <w:i/>
        </w:rPr>
        <w:t>Journal of Personality and Social Psychology</w:t>
      </w:r>
      <w:r>
        <w:t xml:space="preserve">, </w:t>
      </w:r>
      <w:r>
        <w:rPr>
          <w:i/>
        </w:rPr>
        <w:t>82</w:t>
      </w:r>
      <w:r>
        <w:t>(5), 835.</w:t>
      </w:r>
    </w:p>
    <w:p w14:paraId="6D3C4D61" w14:textId="77777777" w:rsidR="006C623E" w:rsidRDefault="006C623E" w:rsidP="006C623E">
      <w:pPr>
        <w:widowControl w:val="0"/>
        <w:ind w:left="480" w:hanging="480"/>
      </w:pPr>
      <w:r>
        <w:t xml:space="preserve">Dictionary, O. E. (2007). Art, N. </w:t>
      </w:r>
      <w:r>
        <w:rPr>
          <w:i/>
        </w:rPr>
        <w:t>English</w:t>
      </w:r>
      <w:r>
        <w:t>.</w:t>
      </w:r>
    </w:p>
    <w:p w14:paraId="3D716658" w14:textId="77777777" w:rsidR="006C623E" w:rsidRDefault="006C623E" w:rsidP="006C623E">
      <w:pPr>
        <w:widowControl w:val="0"/>
        <w:ind w:left="480" w:hanging="480"/>
      </w:pPr>
      <w:r w:rsidRPr="005621E2">
        <w:rPr>
          <w:lang w:val="es-CO"/>
        </w:rPr>
        <w:t xml:space="preserve">Diener, E., Sandvik, E., &amp; Larsen, R. J. (1985). </w:t>
      </w:r>
      <w:r>
        <w:t xml:space="preserve">Age and sex effects for emotional intensity. </w:t>
      </w:r>
      <w:r>
        <w:rPr>
          <w:i/>
        </w:rPr>
        <w:t>Developmental Psychology</w:t>
      </w:r>
      <w:r>
        <w:t xml:space="preserve">, </w:t>
      </w:r>
      <w:r>
        <w:rPr>
          <w:i/>
        </w:rPr>
        <w:t>21</w:t>
      </w:r>
      <w:r>
        <w:t>, 542.</w:t>
      </w:r>
    </w:p>
    <w:p w14:paraId="42700B38" w14:textId="77777777" w:rsidR="006C623E" w:rsidRDefault="006C623E" w:rsidP="006C623E">
      <w:pPr>
        <w:widowControl w:val="0"/>
        <w:ind w:left="480" w:hanging="480"/>
      </w:pPr>
      <w:r>
        <w:t xml:space="preserve">Dijk, T. A. van. (1989). Mediating racism. The role of the media in the reproduction of racism. </w:t>
      </w:r>
      <w:r>
        <w:rPr>
          <w:i/>
        </w:rPr>
        <w:t>Language, Power and Ideology. Studies in Political Discourse</w:t>
      </w:r>
      <w:r>
        <w:t>, (Hammar 1985), 199–226.</w:t>
      </w:r>
    </w:p>
    <w:p w14:paraId="5F6B4799" w14:textId="77777777" w:rsidR="006C623E" w:rsidRDefault="006C623E" w:rsidP="006C623E">
      <w:pPr>
        <w:widowControl w:val="0"/>
        <w:ind w:left="480" w:hanging="480"/>
      </w:pPr>
      <w:r>
        <w:t xml:space="preserve">Dijker, A. J., Tacken, M. A., &amp; Borne, B. (2000). Context effects of facial appearance on attitudes toward mentally handicapped persons. </w:t>
      </w:r>
      <w:r>
        <w:rPr>
          <w:i/>
        </w:rPr>
        <w:t>British Journal of Social Psychology</w:t>
      </w:r>
      <w:r>
        <w:t xml:space="preserve">, </w:t>
      </w:r>
      <w:r>
        <w:rPr>
          <w:i/>
        </w:rPr>
        <w:t>39</w:t>
      </w:r>
      <w:r>
        <w:t>, 413–427.</w:t>
      </w:r>
    </w:p>
    <w:p w14:paraId="31A693C5" w14:textId="77777777" w:rsidR="006C623E" w:rsidRDefault="006C623E" w:rsidP="006C623E">
      <w:pPr>
        <w:widowControl w:val="0"/>
        <w:ind w:left="480" w:hanging="480"/>
      </w:pPr>
      <w:r>
        <w:t xml:space="preserve">Dinas, E. (2013). Opening “Openness to Change” Political Events and the Increased Sensitivity of Young Adults. </w:t>
      </w:r>
      <w:r>
        <w:rPr>
          <w:i/>
        </w:rPr>
        <w:t>Political Research Quarterly</w:t>
      </w:r>
      <w:r>
        <w:t xml:space="preserve">, </w:t>
      </w:r>
      <w:r>
        <w:rPr>
          <w:i/>
        </w:rPr>
        <w:t>66</w:t>
      </w:r>
      <w:r>
        <w:t>, 868–882.</w:t>
      </w:r>
    </w:p>
    <w:p w14:paraId="5E7FC894" w14:textId="77777777" w:rsidR="006C623E" w:rsidRDefault="006C623E" w:rsidP="006C623E">
      <w:pPr>
        <w:widowControl w:val="0"/>
        <w:ind w:left="480" w:hanging="480"/>
      </w:pPr>
      <w:r>
        <w:t xml:space="preserve">Dovidio, J. F., Gaertner, S. L., &amp; Kawakami, K. (2003). Intergroup Contact: The Past, Present, and the Future. </w:t>
      </w:r>
      <w:r>
        <w:rPr>
          <w:i/>
        </w:rPr>
        <w:t>Group Processes &amp; Intergroup Relations</w:t>
      </w:r>
      <w:r>
        <w:t xml:space="preserve">, </w:t>
      </w:r>
      <w:r>
        <w:rPr>
          <w:i/>
        </w:rPr>
        <w:t>6</w:t>
      </w:r>
      <w:r>
        <w:t>, 5–21. https://doi.org/10.1177/1368430203006001009</w:t>
      </w:r>
    </w:p>
    <w:p w14:paraId="673EB1B3" w14:textId="77777777" w:rsidR="006C623E" w:rsidRDefault="006C623E" w:rsidP="006C623E">
      <w:pPr>
        <w:widowControl w:val="0"/>
        <w:ind w:left="480" w:hanging="480"/>
      </w:pPr>
      <w:r>
        <w:t xml:space="preserve">Dovidio, J. F., Glick, P., &amp; Rudman, L. A. (2008). </w:t>
      </w:r>
      <w:r>
        <w:rPr>
          <w:i/>
        </w:rPr>
        <w:t>On the nature of prejudice: Fifty years after Allport</w:t>
      </w:r>
      <w:r>
        <w:t>. John Wiley &amp; Sons.</w:t>
      </w:r>
    </w:p>
    <w:p w14:paraId="6B341B5B" w14:textId="77777777" w:rsidR="006C623E" w:rsidRDefault="006C623E" w:rsidP="006C623E">
      <w:pPr>
        <w:widowControl w:val="0"/>
        <w:ind w:left="480" w:hanging="480"/>
      </w:pPr>
      <w:r>
        <w:t>Dovidio, J. F., Major, B., &amp; Crocker, J. (2000). Stigma: Introduction and overview.</w:t>
      </w:r>
    </w:p>
    <w:p w14:paraId="490A7183" w14:textId="77777777" w:rsidR="006C623E" w:rsidRDefault="006C623E" w:rsidP="006C623E">
      <w:pPr>
        <w:widowControl w:val="0"/>
        <w:ind w:left="480" w:hanging="480"/>
      </w:pPr>
      <w:r>
        <w:t xml:space="preserve">Druschel, B. A., &amp; Sherman, M. F. (1999). Disgust sensitivity as a function of the Big Five and gender. </w:t>
      </w:r>
      <w:r>
        <w:rPr>
          <w:i/>
        </w:rPr>
        <w:t>Personality and Individual Differences</w:t>
      </w:r>
      <w:r>
        <w:t xml:space="preserve">, </w:t>
      </w:r>
      <w:r>
        <w:rPr>
          <w:i/>
        </w:rPr>
        <w:t>26</w:t>
      </w:r>
      <w:r>
        <w:t>, 739–748.</w:t>
      </w:r>
    </w:p>
    <w:p w14:paraId="30B18762" w14:textId="77777777" w:rsidR="006C623E" w:rsidRDefault="006C623E" w:rsidP="006C623E">
      <w:pPr>
        <w:widowControl w:val="0"/>
        <w:ind w:left="480" w:hanging="480"/>
      </w:pPr>
      <w:r>
        <w:t xml:space="preserve">Duggan, S. J., &amp; McCreary, D. R. (2004). Body Image, Eating Disorders, and the Drive for Muscularity in Gay and Heterosexual Men. </w:t>
      </w:r>
      <w:r>
        <w:rPr>
          <w:i/>
        </w:rPr>
        <w:t>Journal of Homosexuality</w:t>
      </w:r>
      <w:r>
        <w:t xml:space="preserve">, </w:t>
      </w:r>
      <w:r>
        <w:rPr>
          <w:i/>
        </w:rPr>
        <w:t>47</w:t>
      </w:r>
      <w:r>
        <w:t>, 45–58. https://doi.org/10.1300/J082v47n03_03</w:t>
      </w:r>
    </w:p>
    <w:p w14:paraId="25A37772" w14:textId="77777777" w:rsidR="006C623E" w:rsidRDefault="006C623E" w:rsidP="006C623E">
      <w:pPr>
        <w:widowControl w:val="0"/>
        <w:ind w:left="480" w:hanging="480"/>
      </w:pPr>
      <w:r>
        <w:lastRenderedPageBreak/>
        <w:t xml:space="preserve">Dunaev, J. L., Brochu, P. M., &amp; Markey, C. H. (2018). Imagine that! The effect of counterstereotypic imagined intergroup contact on weight bias. </w:t>
      </w:r>
      <w:r>
        <w:rPr>
          <w:i/>
        </w:rPr>
        <w:t>Health Psychology</w:t>
      </w:r>
      <w:r>
        <w:t xml:space="preserve">, </w:t>
      </w:r>
      <w:r>
        <w:rPr>
          <w:i/>
        </w:rPr>
        <w:t>37</w:t>
      </w:r>
      <w:r>
        <w:t>, 81.</w:t>
      </w:r>
    </w:p>
    <w:p w14:paraId="0B2A16C6" w14:textId="77777777" w:rsidR="006C623E" w:rsidRDefault="006C623E" w:rsidP="006C623E">
      <w:pPr>
        <w:widowControl w:val="0"/>
        <w:ind w:left="480" w:hanging="480"/>
      </w:pPr>
      <w:r>
        <w:t xml:space="preserve">Eagly, A., &amp; Ashmore, R. (1991). What is beautiful is good, but: A meta-analytic review of research on the physical attractiveness stereotype. </w:t>
      </w:r>
      <w:r>
        <w:rPr>
          <w:i/>
        </w:rPr>
        <w:t>Psychological  …</w:t>
      </w:r>
      <w:r>
        <w:t>. Retrieved from http://psycnet.apa.org/psycinfo/1991-33123-001</w:t>
      </w:r>
    </w:p>
    <w:p w14:paraId="68B872E8" w14:textId="77777777" w:rsidR="006C623E" w:rsidRDefault="006C623E" w:rsidP="006C623E">
      <w:pPr>
        <w:widowControl w:val="0"/>
        <w:ind w:left="480" w:hanging="480"/>
      </w:pPr>
      <w:r>
        <w:t xml:space="preserve">Egan, K., Harcourt, D., &amp; Rumsey, N. (2011). A qualitative study of the experiences of people who identify themselves as having adjusted positively to a visible difference. </w:t>
      </w:r>
      <w:r>
        <w:rPr>
          <w:i/>
        </w:rPr>
        <w:t>Journal of Health Psychology</w:t>
      </w:r>
      <w:r>
        <w:t xml:space="preserve">, </w:t>
      </w:r>
      <w:r>
        <w:rPr>
          <w:i/>
        </w:rPr>
        <w:t>16</w:t>
      </w:r>
      <w:r>
        <w:t>, 739–749.</w:t>
      </w:r>
    </w:p>
    <w:p w14:paraId="071D2B57" w14:textId="77777777" w:rsidR="006C623E" w:rsidRDefault="006C623E" w:rsidP="006C623E">
      <w:pPr>
        <w:widowControl w:val="0"/>
        <w:ind w:left="480" w:hanging="480"/>
      </w:pPr>
      <w:r>
        <w:t xml:space="preserve">Entman, R. M. (1992). Blacks in the News: Television, Modern Racism and Cultural Change. </w:t>
      </w:r>
      <w:r>
        <w:rPr>
          <w:i/>
        </w:rPr>
        <w:t>Journalism Quarterly</w:t>
      </w:r>
      <w:r>
        <w:t xml:space="preserve">, </w:t>
      </w:r>
      <w:r>
        <w:rPr>
          <w:i/>
        </w:rPr>
        <w:t>69</w:t>
      </w:r>
      <w:r>
        <w:t>, 341–361. https://doi.org/10.1177/107769909206900209</w:t>
      </w:r>
    </w:p>
    <w:p w14:paraId="05146228" w14:textId="77777777" w:rsidR="006C623E" w:rsidRPr="004D2DCA" w:rsidRDefault="006C623E" w:rsidP="006C623E">
      <w:pPr>
        <w:widowControl w:val="0"/>
        <w:ind w:left="480" w:hanging="480"/>
      </w:pPr>
      <w:r>
        <w:t xml:space="preserve">Eriksson, S., &amp; Lagerström, J. (2012). Detecting discrimination in the hiring process: evidence from an Internet-based search channel. </w:t>
      </w:r>
      <w:r w:rsidRPr="004D2DCA">
        <w:rPr>
          <w:i/>
        </w:rPr>
        <w:t>Empirical Economics</w:t>
      </w:r>
      <w:r w:rsidRPr="004D2DCA">
        <w:t xml:space="preserve">, </w:t>
      </w:r>
      <w:r w:rsidRPr="004D2DCA">
        <w:rPr>
          <w:i/>
        </w:rPr>
        <w:t>43</w:t>
      </w:r>
      <w:r w:rsidRPr="004D2DCA">
        <w:t>, 537–563. https://doi.org/10.1007/s00181-011-0496-6</w:t>
      </w:r>
    </w:p>
    <w:p w14:paraId="7A0638D2"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Evans, J. (1997). Men in nursing: issues of gender segregation and hidden advantage. </w:t>
      </w:r>
      <w:r w:rsidRPr="000F7776">
        <w:rPr>
          <w:i/>
          <w:iCs/>
          <w:noProof/>
          <w:szCs w:val="24"/>
        </w:rPr>
        <w:t>Journal of Advanced Nursing</w:t>
      </w:r>
      <w:r w:rsidRPr="000F7776">
        <w:rPr>
          <w:noProof/>
          <w:szCs w:val="24"/>
        </w:rPr>
        <w:t xml:space="preserve">, </w:t>
      </w:r>
      <w:r w:rsidRPr="000F7776">
        <w:rPr>
          <w:i/>
          <w:iCs/>
          <w:noProof/>
          <w:szCs w:val="24"/>
        </w:rPr>
        <w:t>26</w:t>
      </w:r>
      <w:r w:rsidRPr="000F7776">
        <w:rPr>
          <w:noProof/>
          <w:szCs w:val="24"/>
        </w:rPr>
        <w:t>(2), 226–231.</w:t>
      </w:r>
    </w:p>
    <w:p w14:paraId="5BBEDB81" w14:textId="77777777" w:rsidR="006C623E" w:rsidRDefault="006C623E" w:rsidP="006C623E">
      <w:pPr>
        <w:widowControl w:val="0"/>
        <w:ind w:left="480" w:hanging="480"/>
      </w:pPr>
      <w:r w:rsidRPr="004D2DCA">
        <w:t xml:space="preserve">Faber, J., &amp; Fonseca, L. M. (2014). </w:t>
      </w:r>
      <w:r>
        <w:t xml:space="preserve">How sample size influences research outcomes. </w:t>
      </w:r>
      <w:r>
        <w:rPr>
          <w:i/>
        </w:rPr>
        <w:t>Dental Press Journal of Orthodontics</w:t>
      </w:r>
      <w:r>
        <w:t xml:space="preserve">, </w:t>
      </w:r>
      <w:r>
        <w:rPr>
          <w:i/>
        </w:rPr>
        <w:t>19</w:t>
      </w:r>
      <w:r>
        <w:t>, 27–29. https://doi.org/10.1590/2176-9451.19.4.027-029.ebo</w:t>
      </w:r>
    </w:p>
    <w:p w14:paraId="43F7D096" w14:textId="77777777" w:rsidR="006C623E" w:rsidRDefault="006C623E" w:rsidP="006C623E">
      <w:r w:rsidRPr="00034E1C">
        <w:t>Farina, A. (1981). Are women nicer people than men? Sex and the stigma of mental disorders. Clinical Psychology Review, 1(2), 223-243.</w:t>
      </w:r>
    </w:p>
    <w:p w14:paraId="1509D37A"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Faul, F., Erdfelder, E., Buchner, A., &amp; Lang, A.-G. (2009). Statistical power analyses using G*Power 3.1: tests for correlation and regression analyses. </w:t>
      </w:r>
      <w:r w:rsidRPr="000F7776">
        <w:rPr>
          <w:i/>
          <w:iCs/>
          <w:noProof/>
          <w:szCs w:val="24"/>
        </w:rPr>
        <w:t>Behavior Research Methods</w:t>
      </w:r>
      <w:r w:rsidRPr="000F7776">
        <w:rPr>
          <w:noProof/>
          <w:szCs w:val="24"/>
        </w:rPr>
        <w:t xml:space="preserve">, </w:t>
      </w:r>
      <w:r w:rsidRPr="000F7776">
        <w:rPr>
          <w:i/>
          <w:iCs/>
          <w:noProof/>
          <w:szCs w:val="24"/>
        </w:rPr>
        <w:t>41</w:t>
      </w:r>
      <w:r w:rsidRPr="000F7776">
        <w:rPr>
          <w:noProof/>
          <w:szCs w:val="24"/>
        </w:rPr>
        <w:t>(4), 1149–1160. https://doi.org/10.3758/BRM.41.4.1149</w:t>
      </w:r>
    </w:p>
    <w:p w14:paraId="35029FA6" w14:textId="77777777" w:rsidR="006C623E" w:rsidRDefault="006C623E" w:rsidP="006C623E">
      <w:pPr>
        <w:widowControl w:val="0"/>
        <w:ind w:left="480" w:hanging="480"/>
      </w:pPr>
      <w:r>
        <w:t xml:space="preserve">Faul, F., Erdfelder, E., Buchner, A., &amp; Lang, A.-G. (2009). Statistical power analyses using G*Power 3.1: tests for correlation and regression analyses. </w:t>
      </w:r>
      <w:r>
        <w:rPr>
          <w:i/>
        </w:rPr>
        <w:t>Behavior Research Methods</w:t>
      </w:r>
      <w:r>
        <w:t xml:space="preserve">, </w:t>
      </w:r>
      <w:r>
        <w:rPr>
          <w:i/>
        </w:rPr>
        <w:t>41</w:t>
      </w:r>
      <w:r>
        <w:t>, 1149–1160. https://doi.org/10.3758/BRM.41.4.1149</w:t>
      </w:r>
    </w:p>
    <w:p w14:paraId="40B38337" w14:textId="77777777" w:rsidR="006C623E" w:rsidRDefault="006C623E" w:rsidP="006C623E">
      <w:pPr>
        <w:widowControl w:val="0"/>
        <w:ind w:left="480" w:hanging="480"/>
      </w:pPr>
      <w:r>
        <w:t xml:space="preserve">Faulkner, J., Schaller, M., Park, J. H., &amp; Duncan, L. A. (2004). Evolved disease-avoidance mechanisms and contemporary xenophobic attitudes. </w:t>
      </w:r>
      <w:r>
        <w:rPr>
          <w:i/>
        </w:rPr>
        <w:t>Group Processes &amp; Intergroup Relations</w:t>
      </w:r>
      <w:r>
        <w:t xml:space="preserve">, </w:t>
      </w:r>
      <w:r>
        <w:rPr>
          <w:i/>
        </w:rPr>
        <w:t>7</w:t>
      </w:r>
      <w:r>
        <w:t>, 333–353.</w:t>
      </w:r>
    </w:p>
    <w:p w14:paraId="41BD9BA3" w14:textId="77777777" w:rsidR="006C623E" w:rsidRDefault="006C623E" w:rsidP="006C623E">
      <w:pPr>
        <w:widowControl w:val="0"/>
        <w:ind w:left="480" w:hanging="480"/>
      </w:pPr>
      <w:r>
        <w:t xml:space="preserve">Feingold, A. (1992). Good-Looking People Are Not What We Think. </w:t>
      </w:r>
      <w:r>
        <w:rPr>
          <w:i/>
        </w:rPr>
        <w:t>Psychological Bulletin</w:t>
      </w:r>
      <w:r>
        <w:t xml:space="preserve">, </w:t>
      </w:r>
      <w:r>
        <w:rPr>
          <w:i/>
        </w:rPr>
        <w:t>111</w:t>
      </w:r>
      <w:r>
        <w:t>, 304–341. https://doi.org/10.1037/0033-2909.111.2.304</w:t>
      </w:r>
    </w:p>
    <w:p w14:paraId="2208A112" w14:textId="77777777" w:rsidR="006C623E" w:rsidRDefault="006C623E" w:rsidP="006C623E">
      <w:pPr>
        <w:widowControl w:val="0"/>
        <w:ind w:left="480" w:hanging="480"/>
      </w:pPr>
      <w:r>
        <w:lastRenderedPageBreak/>
        <w:t xml:space="preserve">Fessler, D. M. T., Pillsworth, E. G., &amp; Flamson, T. J. (2004). Angry men and disgusted women: An evolutionary approach to the influence of emotions on risk taking. </w:t>
      </w:r>
      <w:r>
        <w:rPr>
          <w:i/>
        </w:rPr>
        <w:t>Organizational Behavior and Human Decision Processes</w:t>
      </w:r>
      <w:r>
        <w:t xml:space="preserve">, </w:t>
      </w:r>
      <w:r>
        <w:rPr>
          <w:i/>
        </w:rPr>
        <w:t>95</w:t>
      </w:r>
      <w:r>
        <w:t>, 107–123. https://doi.org/10.1016/j.obhdp.2004.06.006</w:t>
      </w:r>
    </w:p>
    <w:p w14:paraId="4017F5BF" w14:textId="77777777" w:rsidR="006C623E" w:rsidRDefault="006C623E" w:rsidP="006C623E">
      <w:pPr>
        <w:widowControl w:val="0"/>
        <w:ind w:left="480" w:hanging="480"/>
      </w:pPr>
      <w:r>
        <w:t xml:space="preserve">Fiest, K. M., Birbeck, G. L., Jacoby, A., &amp; Jette, N. (2014). Stigma in epilepsy. </w:t>
      </w:r>
      <w:r>
        <w:rPr>
          <w:i/>
        </w:rPr>
        <w:t>Current Neurology and Neuroscience Reports</w:t>
      </w:r>
      <w:r>
        <w:t xml:space="preserve">, </w:t>
      </w:r>
      <w:r>
        <w:rPr>
          <w:i/>
        </w:rPr>
        <w:t>14</w:t>
      </w:r>
      <w:r>
        <w:t>, 444. https://doi.org/10.1007/s11910-014-0444-x</w:t>
      </w:r>
    </w:p>
    <w:p w14:paraId="723B81CA" w14:textId="77777777" w:rsidR="006C623E" w:rsidRDefault="006C623E" w:rsidP="006C623E">
      <w:pPr>
        <w:widowControl w:val="0"/>
        <w:ind w:left="480" w:hanging="480"/>
      </w:pPr>
      <w:r>
        <w:t xml:space="preserve">Fink, P. J. (1992). </w:t>
      </w:r>
      <w:r>
        <w:rPr>
          <w:i/>
        </w:rPr>
        <w:t>Stigma and Mental Illness</w:t>
      </w:r>
      <w:r>
        <w:t>. American Psychiatric Pub. Retrieved from https://books.google.com/books?id=gmCxeAw7-Z4C&amp;pgis=1</w:t>
      </w:r>
    </w:p>
    <w:p w14:paraId="6FEF27AD" w14:textId="77777777" w:rsidR="006C623E" w:rsidRDefault="006C623E" w:rsidP="006C623E">
      <w:pPr>
        <w:widowControl w:val="0"/>
        <w:ind w:left="480" w:hanging="480"/>
      </w:pPr>
      <w:r>
        <w:t xml:space="preserve">Finkelstein, J., Lapshin, O., &amp; Wasserman, E. (2008). Randomized study of different anti-stigma media. </w:t>
      </w:r>
      <w:r>
        <w:rPr>
          <w:i/>
        </w:rPr>
        <w:t>Patient Education and Counseling</w:t>
      </w:r>
      <w:r>
        <w:t xml:space="preserve">, </w:t>
      </w:r>
      <w:r>
        <w:rPr>
          <w:i/>
        </w:rPr>
        <w:t>71</w:t>
      </w:r>
      <w:r>
        <w:t>, 204–214. https://doi.org/10.1016/j.pec.2008.01.002</w:t>
      </w:r>
    </w:p>
    <w:p w14:paraId="44D21D72" w14:textId="77777777" w:rsidR="006C623E" w:rsidRDefault="006C623E" w:rsidP="006C623E">
      <w:pPr>
        <w:widowControl w:val="0"/>
        <w:ind w:left="480" w:hanging="480"/>
      </w:pPr>
      <w:r>
        <w:t xml:space="preserve">Fiske, S. T., Cuddy, A. J. C., Glick, P., &amp; Xu, J. (2002). A model of (often mixed) stereotype content: competence and warmth respectively follow from perceived status and competition. </w:t>
      </w:r>
      <w:r>
        <w:rPr>
          <w:i/>
        </w:rPr>
        <w:t>Journal of Personality and Social Psychology</w:t>
      </w:r>
      <w:r>
        <w:t xml:space="preserve">, </w:t>
      </w:r>
      <w:r>
        <w:rPr>
          <w:i/>
        </w:rPr>
        <w:t>82</w:t>
      </w:r>
      <w:r>
        <w:t>, 878.</w:t>
      </w:r>
    </w:p>
    <w:p w14:paraId="4BC07328" w14:textId="77777777" w:rsidR="006C623E" w:rsidRDefault="006C623E" w:rsidP="006C623E">
      <w:pPr>
        <w:widowControl w:val="0"/>
        <w:ind w:left="480" w:hanging="480"/>
      </w:pPr>
      <w:r>
        <w:t xml:space="preserve">Floyd-Richard, M., &amp; Gurung, S. (2000). Stigma reduction through group counselling of persons affected by leprosy - A pilot study. </w:t>
      </w:r>
      <w:r>
        <w:rPr>
          <w:i/>
        </w:rPr>
        <w:t>Leprosy Review</w:t>
      </w:r>
      <w:r>
        <w:t xml:space="preserve">, </w:t>
      </w:r>
      <w:r>
        <w:rPr>
          <w:i/>
        </w:rPr>
        <w:t>71</w:t>
      </w:r>
      <w:r>
        <w:t>, 499–504. Retrieved from http://www.scopus.com/inward/record.url?eid=2-s2.0-0034494431&amp;partnerID=tZOtx3y1</w:t>
      </w:r>
    </w:p>
    <w:p w14:paraId="310EB015" w14:textId="77777777" w:rsidR="006C623E" w:rsidRDefault="006C623E" w:rsidP="006C623E">
      <w:pPr>
        <w:widowControl w:val="0"/>
        <w:ind w:left="480" w:hanging="480"/>
      </w:pPr>
      <w:r>
        <w:t xml:space="preserve">Fox, E., Russo, R., Bowles, R., &amp; Dutton, K. (2001). Do threatening stimuli draw or hold visual attention in subclinical anxiety? </w:t>
      </w:r>
      <w:r>
        <w:rPr>
          <w:i/>
        </w:rPr>
        <w:t>Journal of Experimental Psychology: General</w:t>
      </w:r>
      <w:r>
        <w:t xml:space="preserve">, </w:t>
      </w:r>
      <w:r>
        <w:rPr>
          <w:i/>
        </w:rPr>
        <w:t>130</w:t>
      </w:r>
      <w:r>
        <w:t>, 681.</w:t>
      </w:r>
    </w:p>
    <w:p w14:paraId="1B85D459" w14:textId="77777777" w:rsidR="006C623E" w:rsidRDefault="006C623E" w:rsidP="006C623E">
      <w:pPr>
        <w:widowControl w:val="0"/>
        <w:ind w:left="480" w:hanging="480"/>
      </w:pPr>
      <w:r>
        <w:t xml:space="preserve">Franks, T., &amp; Goodrick-meech, A. (1997). Society ’ s Perceptions of Visibly Burned Adults and the Implications for Occupational Therapy, </w:t>
      </w:r>
      <w:r>
        <w:rPr>
          <w:i/>
        </w:rPr>
        <w:t>60</w:t>
      </w:r>
      <w:r>
        <w:t>(July).</w:t>
      </w:r>
    </w:p>
    <w:p w14:paraId="78300F14" w14:textId="77777777" w:rsidR="006C623E" w:rsidRDefault="006C623E" w:rsidP="006C623E">
      <w:pPr>
        <w:widowControl w:val="0"/>
        <w:ind w:left="480" w:hanging="480"/>
      </w:pPr>
      <w:r>
        <w:t xml:space="preserve">Fraser, I. H., Craig, G. L., &amp; Parker, D. M. (1990). Reaction time measures of feature saliency in schematic faces. </w:t>
      </w:r>
      <w:r>
        <w:rPr>
          <w:i/>
        </w:rPr>
        <w:t>Perception</w:t>
      </w:r>
      <w:r>
        <w:t xml:space="preserve">, </w:t>
      </w:r>
      <w:r>
        <w:rPr>
          <w:i/>
        </w:rPr>
        <w:t>19</w:t>
      </w:r>
      <w:r>
        <w:t>, 661–673.</w:t>
      </w:r>
    </w:p>
    <w:p w14:paraId="66BF6DAC" w14:textId="77777777" w:rsidR="006C623E" w:rsidRDefault="006C623E" w:rsidP="006C623E">
      <w:r w:rsidRPr="00B5578D">
        <w:t>Fredrickson, B. L., &amp; Roberts, T. A. (1997). Objectification theory: Toward understanding women's lived experiences and mental health risks. Psychology of women quarterly, 21(2), 173-206.</w:t>
      </w:r>
    </w:p>
    <w:p w14:paraId="58DF3F9E" w14:textId="77777777" w:rsidR="006C623E" w:rsidRDefault="006C623E" w:rsidP="006C623E">
      <w:pPr>
        <w:widowControl w:val="0"/>
        <w:ind w:left="480" w:hanging="480"/>
      </w:pPr>
      <w:r>
        <w:t xml:space="preserve">Fredrickson, B., &amp; Roberts, T. (1997). Objectification theory. </w:t>
      </w:r>
      <w:r>
        <w:rPr>
          <w:i/>
        </w:rPr>
        <w:t>Psychology of Women Quarterly</w:t>
      </w:r>
      <w:r>
        <w:t>. Retrieved from http://onlinelibrary.wiley.com/doi/10.1111/j.1471-6402.1997.tb00108.x/abstract</w:t>
      </w:r>
    </w:p>
    <w:p w14:paraId="07986BF7" w14:textId="77777777" w:rsidR="006C623E" w:rsidRDefault="006C623E" w:rsidP="006C623E">
      <w:pPr>
        <w:widowControl w:val="0"/>
        <w:ind w:left="480" w:hanging="480"/>
      </w:pPr>
      <w:r>
        <w:t xml:space="preserve">Fung, I. C. H. (2008). Citation of non-English peer review publications – some Chinese </w:t>
      </w:r>
      <w:r>
        <w:lastRenderedPageBreak/>
        <w:t xml:space="preserve">examples. </w:t>
      </w:r>
      <w:r>
        <w:rPr>
          <w:i/>
        </w:rPr>
        <w:t>Emerging Themes in Epidemiology</w:t>
      </w:r>
      <w:r>
        <w:t xml:space="preserve">, </w:t>
      </w:r>
      <w:r>
        <w:rPr>
          <w:i/>
        </w:rPr>
        <w:t>5</w:t>
      </w:r>
      <w:r>
        <w:t>, 12. https://doi.org/10.1186/1742-7622-5-12</w:t>
      </w:r>
    </w:p>
    <w:p w14:paraId="7D7294DB"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Ganis, G., Thompson, W., &amp; Kosslyn, S. (2004). Brain areas underlying visual mental imagery and visual perception: an fMRI study. </w:t>
      </w:r>
      <w:r w:rsidRPr="000F7776">
        <w:rPr>
          <w:i/>
          <w:iCs/>
          <w:noProof/>
          <w:szCs w:val="24"/>
        </w:rPr>
        <w:t>Cognitive Brain Research</w:t>
      </w:r>
      <w:r w:rsidRPr="000F7776">
        <w:rPr>
          <w:noProof/>
          <w:szCs w:val="24"/>
        </w:rPr>
        <w:t>. http://www.sciencedirect.com/science/article/pii/S0926641004000709</w:t>
      </w:r>
    </w:p>
    <w:p w14:paraId="2FC58341" w14:textId="77777777" w:rsidR="006C623E" w:rsidRDefault="006C623E" w:rsidP="006C623E">
      <w:pPr>
        <w:widowControl w:val="0"/>
        <w:ind w:left="480" w:hanging="480"/>
      </w:pPr>
      <w:r>
        <w:t xml:space="preserve">Gardiner, M. D., Topps, A., Richardson, G., Sacker, A., Clarke, A., &amp; Butler, P. E. M. (2010). Differential judgements about disfigurement: the role of location, age and gender in decisions made by observers. </w:t>
      </w:r>
      <w:r>
        <w:rPr>
          <w:i/>
        </w:rPr>
        <w:t>Journal of Plastic, Reconstructive &amp; Aesthetic Surgery</w:t>
      </w:r>
      <w:r>
        <w:t xml:space="preserve">, </w:t>
      </w:r>
      <w:r>
        <w:rPr>
          <w:i/>
        </w:rPr>
        <w:t>63</w:t>
      </w:r>
      <w:r>
        <w:t>, 73–77.</w:t>
      </w:r>
    </w:p>
    <w:p w14:paraId="47492B74" w14:textId="77777777" w:rsidR="006C623E" w:rsidRDefault="006C623E" w:rsidP="006C623E">
      <w:pPr>
        <w:widowControl w:val="0"/>
        <w:ind w:left="480" w:hanging="480"/>
      </w:pPr>
      <w:r>
        <w:t xml:space="preserve">Garrisi, D., Janciute, L., &amp; Johanssen, J. (2018). </w:t>
      </w:r>
      <w:r>
        <w:rPr>
          <w:i/>
        </w:rPr>
        <w:t>Appearance, discrimination and the media</w:t>
      </w:r>
      <w:r>
        <w:t>. University of Westminster Press.</w:t>
      </w:r>
    </w:p>
    <w:p w14:paraId="5D14EEFC" w14:textId="77777777" w:rsidR="006C623E" w:rsidRDefault="006C623E" w:rsidP="006C623E">
      <w:pPr>
        <w:widowControl w:val="0"/>
        <w:ind w:left="480" w:hanging="480"/>
      </w:pPr>
      <w:r>
        <w:t xml:space="preserve">Garve, R., Garve, M., Türp, J. C., Fobil, J. N., &amp; Meyer, C. G. (2017). Scarification in sub-Saharan Africa: social skin, remedy and medical import. </w:t>
      </w:r>
      <w:r>
        <w:rPr>
          <w:i/>
        </w:rPr>
        <w:t>Tropical Medicine &amp; International Health</w:t>
      </w:r>
      <w:r>
        <w:t xml:space="preserve">, </w:t>
      </w:r>
      <w:r>
        <w:rPr>
          <w:i/>
        </w:rPr>
        <w:t>22</w:t>
      </w:r>
      <w:r>
        <w:t>, 708–715. https://doi.org/10.1111/tmi.12878</w:t>
      </w:r>
    </w:p>
    <w:p w14:paraId="07211E54" w14:textId="77777777" w:rsidR="006C623E" w:rsidRDefault="006C623E" w:rsidP="006C623E">
      <w:pPr>
        <w:widowControl w:val="0"/>
        <w:ind w:left="480" w:hanging="480"/>
      </w:pPr>
      <w:r>
        <w:t xml:space="preserve">Genrich, G. L., &amp; Brathwaite, B. A. (2005). Response of religious groups to HIV/AIDS as a sexually transmitted infection in Trinidad. </w:t>
      </w:r>
      <w:r>
        <w:rPr>
          <w:i/>
        </w:rPr>
        <w:t>BMC Public Health</w:t>
      </w:r>
      <w:r>
        <w:t xml:space="preserve">, </w:t>
      </w:r>
      <w:r>
        <w:rPr>
          <w:i/>
        </w:rPr>
        <w:t>5</w:t>
      </w:r>
      <w:r>
        <w:t>, 121. https://doi.org/10.1186/1471-2458-5-121</w:t>
      </w:r>
    </w:p>
    <w:p w14:paraId="1C953BC2" w14:textId="77777777" w:rsidR="006C623E" w:rsidRPr="000F7776" w:rsidRDefault="006C623E" w:rsidP="006C623E">
      <w:pPr>
        <w:widowControl w:val="0"/>
        <w:autoSpaceDE w:val="0"/>
        <w:autoSpaceDN w:val="0"/>
        <w:adjustRightInd w:val="0"/>
        <w:ind w:left="480" w:hanging="480"/>
        <w:rPr>
          <w:noProof/>
          <w:szCs w:val="24"/>
        </w:rPr>
      </w:pPr>
      <w:r w:rsidRPr="004D2DCA">
        <w:rPr>
          <w:noProof/>
          <w:szCs w:val="24"/>
        </w:rPr>
        <w:t xml:space="preserve">Ghazanfar, A. A., &amp; Santos, L. R. (2004). </w:t>
      </w:r>
      <w:r w:rsidRPr="000F7776">
        <w:rPr>
          <w:noProof/>
          <w:szCs w:val="24"/>
        </w:rPr>
        <w:t xml:space="preserve">Primate brains in the wild: the sensory bases for social interactions. </w:t>
      </w:r>
      <w:r w:rsidRPr="000F7776">
        <w:rPr>
          <w:i/>
          <w:iCs/>
          <w:noProof/>
          <w:szCs w:val="24"/>
        </w:rPr>
        <w:t>Nature Reviews Neuroscience</w:t>
      </w:r>
      <w:r w:rsidRPr="000F7776">
        <w:rPr>
          <w:noProof/>
          <w:szCs w:val="24"/>
        </w:rPr>
        <w:t xml:space="preserve">, </w:t>
      </w:r>
      <w:r w:rsidRPr="000F7776">
        <w:rPr>
          <w:i/>
          <w:iCs/>
          <w:noProof/>
          <w:szCs w:val="24"/>
        </w:rPr>
        <w:t>5</w:t>
      </w:r>
      <w:r w:rsidRPr="000F7776">
        <w:rPr>
          <w:noProof/>
          <w:szCs w:val="24"/>
        </w:rPr>
        <w:t>(8), 603–616.</w:t>
      </w:r>
    </w:p>
    <w:p w14:paraId="242240A5" w14:textId="77777777" w:rsidR="006C623E" w:rsidRDefault="006C623E" w:rsidP="006C623E">
      <w:pPr>
        <w:widowControl w:val="0"/>
        <w:ind w:left="480" w:hanging="480"/>
      </w:pPr>
      <w:r>
        <w:t xml:space="preserve">Ginsburg, I. H., &amp; Link, B. G. (1993). Psychosocial consequences of rejection and stigma feelings in psoriasis patients. </w:t>
      </w:r>
      <w:r>
        <w:rPr>
          <w:i/>
        </w:rPr>
        <w:t>International Journal of Dermatology</w:t>
      </w:r>
      <w:r>
        <w:t xml:space="preserve">, </w:t>
      </w:r>
      <w:r>
        <w:rPr>
          <w:i/>
        </w:rPr>
        <w:t>32</w:t>
      </w:r>
      <w:r>
        <w:t>, 587–591. Retrieved from http://www.ncbi.nlm.nih.gov/pubmed/8407075</w:t>
      </w:r>
    </w:p>
    <w:p w14:paraId="5116B223" w14:textId="77777777" w:rsidR="006C623E" w:rsidRDefault="006C623E" w:rsidP="006C623E">
      <w:pPr>
        <w:widowControl w:val="0"/>
        <w:ind w:left="480" w:hanging="480"/>
      </w:pPr>
      <w:r>
        <w:t xml:space="preserve">Glick, P, &amp; Fiske, S. T. (2001). Ambivalent stereotypes as legitimizing ideologies. Differenti-Ambivalent stereotypes as legitimizing ideologies. Differentiating paternalistic and envious prejudice. JT Jost e B. Major (a cura di), The psychology of legitimacy. </w:t>
      </w:r>
    </w:p>
    <w:p w14:paraId="6EBCCB65" w14:textId="77777777" w:rsidR="006C623E" w:rsidRDefault="006C623E" w:rsidP="006C623E">
      <w:pPr>
        <w:widowControl w:val="0"/>
        <w:ind w:left="480" w:hanging="480"/>
      </w:pPr>
      <w:r>
        <w:t xml:space="preserve">Glick, Peter, &amp; Fiske, S. T. (2001). An ambivalent alliance: Hostile and benevolent sexism as complementary justifications for gender inequality. </w:t>
      </w:r>
      <w:r>
        <w:rPr>
          <w:i/>
        </w:rPr>
        <w:t>American Psychologist</w:t>
      </w:r>
      <w:r>
        <w:t xml:space="preserve">, </w:t>
      </w:r>
      <w:r>
        <w:rPr>
          <w:i/>
        </w:rPr>
        <w:t>56</w:t>
      </w:r>
      <w:r>
        <w:t>, 109.</w:t>
      </w:r>
    </w:p>
    <w:p w14:paraId="5BD3C3FF" w14:textId="77777777" w:rsidR="006C623E" w:rsidRDefault="006C623E" w:rsidP="006C623E">
      <w:pPr>
        <w:widowControl w:val="0"/>
        <w:ind w:left="480" w:hanging="480"/>
      </w:pPr>
      <w:r>
        <w:t xml:space="preserve">Godoy, A., Ishii, M., Byrne, P. J., Boahene, K. D. O., Encarnacion, C. O., &amp; Ishii, L. E. (2011). The straight truth: Measuring observer attention to the crooked nose. </w:t>
      </w:r>
      <w:r>
        <w:rPr>
          <w:i/>
        </w:rPr>
        <w:t>Laryngoscope</w:t>
      </w:r>
      <w:r>
        <w:t xml:space="preserve">, </w:t>
      </w:r>
      <w:r>
        <w:rPr>
          <w:i/>
        </w:rPr>
        <w:t>121</w:t>
      </w:r>
      <w:r>
        <w:t>, 937–941. https://doi.org/10.1002/lary.21733</w:t>
      </w:r>
    </w:p>
    <w:p w14:paraId="6612F376" w14:textId="77777777" w:rsidR="006C623E" w:rsidRDefault="006C623E" w:rsidP="006C623E">
      <w:pPr>
        <w:widowControl w:val="0"/>
        <w:ind w:left="480" w:hanging="480"/>
      </w:pPr>
      <w:r>
        <w:t xml:space="preserve">Goffman, E. (1963). Stigma: Notes on a spoiled identity. </w:t>
      </w:r>
      <w:r>
        <w:rPr>
          <w:i/>
        </w:rPr>
        <w:t>Jenkins, JH &amp; Carpenter</w:t>
      </w:r>
      <w:r>
        <w:t xml:space="preserve">. </w:t>
      </w:r>
      <w:r>
        <w:lastRenderedPageBreak/>
        <w:t>Retrieved from https://scholar.google.co.uk/scholar?hl=en&amp;q=stigma%3A+notes+on+the+goffman&amp;btnG=&amp;as_sdt=1%2C5&amp;as_sdtp=#1</w:t>
      </w:r>
    </w:p>
    <w:p w14:paraId="0012F04E" w14:textId="77777777" w:rsidR="006C623E" w:rsidRDefault="006C623E" w:rsidP="006C623E">
      <w:pPr>
        <w:widowControl w:val="0"/>
        <w:ind w:left="480" w:hanging="480"/>
      </w:pPr>
      <w:r>
        <w:t xml:space="preserve">Goldstein, B., &amp; Rosselli, F. (2003). Etiological paradigms of depression: The relationship between perceived causes, empowerment, treatment preferences, and stigma. </w:t>
      </w:r>
      <w:r>
        <w:rPr>
          <w:i/>
        </w:rPr>
        <w:t>Journal of Mental Health</w:t>
      </w:r>
      <w:r>
        <w:t xml:space="preserve">, </w:t>
      </w:r>
      <w:r>
        <w:rPr>
          <w:i/>
        </w:rPr>
        <w:t>12</w:t>
      </w:r>
      <w:r>
        <w:t>, 551–563.</w:t>
      </w:r>
    </w:p>
    <w:p w14:paraId="71998C2B" w14:textId="77777777" w:rsidR="006C623E" w:rsidRDefault="006C623E" w:rsidP="006C623E">
      <w:pPr>
        <w:widowControl w:val="0"/>
        <w:ind w:left="480" w:hanging="480"/>
      </w:pPr>
      <w:r>
        <w:t xml:space="preserve">Grabe, S., Ward, L. M., &amp; Hyde, J. S. (2008). The role of the media in body image concerns among women: a meta-analysis of experimental and correlational studies. </w:t>
      </w:r>
      <w:r>
        <w:rPr>
          <w:i/>
        </w:rPr>
        <w:t>Psychological Bulletin</w:t>
      </w:r>
      <w:r>
        <w:t xml:space="preserve">, </w:t>
      </w:r>
      <w:r>
        <w:rPr>
          <w:i/>
        </w:rPr>
        <w:t>134</w:t>
      </w:r>
      <w:r>
        <w:t>, 460–476. https://doi.org/10.1037/0033-2909.134.3.460</w:t>
      </w:r>
    </w:p>
    <w:p w14:paraId="2AA3316E" w14:textId="77777777" w:rsidR="006C623E" w:rsidRDefault="006C623E" w:rsidP="006C623E">
      <w:pPr>
        <w:widowControl w:val="0"/>
        <w:ind w:left="480" w:hanging="480"/>
      </w:pPr>
      <w:r>
        <w:t xml:space="preserve">Grandfield, T. A., Thompson, A. R., &amp; Turpin, G. (2005). An attitudinal study of responses to a range of dermatological conditions using the implicit association test. </w:t>
      </w:r>
      <w:r>
        <w:rPr>
          <w:i/>
        </w:rPr>
        <w:t>Journal of Health Psychology</w:t>
      </w:r>
      <w:r>
        <w:t xml:space="preserve">, </w:t>
      </w:r>
      <w:r>
        <w:rPr>
          <w:i/>
        </w:rPr>
        <w:t>10</w:t>
      </w:r>
      <w:r>
        <w:t>, 821–829. https://doi.org/10.1177/1359105305057316</w:t>
      </w:r>
    </w:p>
    <w:p w14:paraId="51AC0820" w14:textId="77777777" w:rsidR="006C623E" w:rsidRDefault="006C623E" w:rsidP="006C623E">
      <w:pPr>
        <w:widowControl w:val="0"/>
        <w:ind w:left="480" w:hanging="480"/>
      </w:pPr>
      <w:r>
        <w:t xml:space="preserve">Green-Armytage, M., Simonds, L. M., John, M., &amp; Woodger, N. (2019). Depictions of acne and psoriasis influence interpersonal aversion. </w:t>
      </w:r>
      <w:r>
        <w:rPr>
          <w:i/>
        </w:rPr>
        <w:t>Psychology, Health &amp; Medicine</w:t>
      </w:r>
      <w:r>
        <w:t xml:space="preserve">, </w:t>
      </w:r>
      <w:r>
        <w:rPr>
          <w:i/>
        </w:rPr>
        <w:t>24</w:t>
      </w:r>
      <w:r>
        <w:t>, 94–100. https://doi.org/10.1080/13548506.2018.1497188</w:t>
      </w:r>
    </w:p>
    <w:p w14:paraId="4FC0922F" w14:textId="77777777" w:rsidR="006C623E" w:rsidRDefault="006C623E" w:rsidP="006C623E">
      <w:pPr>
        <w:widowControl w:val="0"/>
        <w:ind w:left="480" w:hanging="480"/>
      </w:pPr>
      <w:r>
        <w:t xml:space="preserve">Greenwald, A. (1998). Measuring individual differences in implicit cognition: the implicit association test. </w:t>
      </w:r>
      <w:r>
        <w:rPr>
          <w:i/>
        </w:rPr>
        <w:t>Journal of Personality  …</w:t>
      </w:r>
      <w:r>
        <w:t>. Retrieved from http://psycnet.apa.org/psycinfo/1998-02892-004</w:t>
      </w:r>
    </w:p>
    <w:p w14:paraId="29B4F7C2" w14:textId="77777777" w:rsidR="006C623E" w:rsidRDefault="006C623E" w:rsidP="006C623E">
      <w:pPr>
        <w:widowControl w:val="0"/>
        <w:ind w:left="480" w:hanging="480"/>
      </w:pPr>
      <w:r>
        <w:t xml:space="preserve">Greenwald, A. G., Nosek, B. A., &amp; Banaji, M. R. (2003). Understanding and using the implicit association test: I. An improved scoring algorithm. </w:t>
      </w:r>
      <w:r>
        <w:rPr>
          <w:i/>
        </w:rPr>
        <w:t>Journal of Personality and Social Psychology</w:t>
      </w:r>
      <w:r>
        <w:t xml:space="preserve">, </w:t>
      </w:r>
      <w:r>
        <w:rPr>
          <w:i/>
        </w:rPr>
        <w:t>85</w:t>
      </w:r>
      <w:r>
        <w:t>, 197.</w:t>
      </w:r>
    </w:p>
    <w:p w14:paraId="1E91896C" w14:textId="77777777" w:rsidR="006C623E" w:rsidRDefault="006C623E" w:rsidP="006C623E">
      <w:pPr>
        <w:widowControl w:val="0"/>
        <w:ind w:left="480" w:hanging="480"/>
      </w:pPr>
      <w:r>
        <w:t xml:space="preserve">Griffin, A. M., &amp; Langlois, J. H. (2006). Stereotype directionality and attractiveness stereotyping: Is beauty good or is ugly bad? </w:t>
      </w:r>
      <w:r>
        <w:rPr>
          <w:i/>
        </w:rPr>
        <w:t>Social Cognition</w:t>
      </w:r>
      <w:r>
        <w:t xml:space="preserve">, </w:t>
      </w:r>
      <w:r>
        <w:rPr>
          <w:i/>
        </w:rPr>
        <w:t>24</w:t>
      </w:r>
      <w:r>
        <w:t>(2), 187–206.</w:t>
      </w:r>
    </w:p>
    <w:p w14:paraId="5051B3B3" w14:textId="77777777" w:rsidR="006C623E" w:rsidRDefault="006C623E" w:rsidP="006C623E">
      <w:pPr>
        <w:widowControl w:val="0"/>
        <w:ind w:left="480" w:hanging="480"/>
      </w:pPr>
      <w:r>
        <w:t>Griffiths, K. M., Carron</w:t>
      </w:r>
      <w:r>
        <w:rPr>
          <w:rFonts w:ascii="Cambria Math" w:eastAsia="Cambria Math" w:hAnsi="Cambria Math" w:cs="Cambria Math"/>
        </w:rPr>
        <w:t>‐</w:t>
      </w:r>
      <w:r>
        <w:t>Arthur, B., Parsons, A., &amp; Reid, R. (2014). Effectiveness of programs for reducing the stigma associated with mental disorders. A meta</w:t>
      </w:r>
      <w:r>
        <w:rPr>
          <w:rFonts w:ascii="Cambria Math" w:eastAsia="Cambria Math" w:hAnsi="Cambria Math" w:cs="Cambria Math"/>
        </w:rPr>
        <w:t>‐</w:t>
      </w:r>
      <w:r>
        <w:t xml:space="preserve">analysis of randomized controlled trials. </w:t>
      </w:r>
      <w:r>
        <w:rPr>
          <w:i/>
        </w:rPr>
        <w:t>World Psychiatry</w:t>
      </w:r>
      <w:r>
        <w:t xml:space="preserve">, </w:t>
      </w:r>
      <w:r>
        <w:rPr>
          <w:i/>
        </w:rPr>
        <w:t>13</w:t>
      </w:r>
      <w:r>
        <w:t>, 161–175.</w:t>
      </w:r>
    </w:p>
    <w:p w14:paraId="6967AE18" w14:textId="77777777" w:rsidR="006C623E" w:rsidRDefault="006C623E" w:rsidP="006C623E">
      <w:pPr>
        <w:widowControl w:val="0"/>
        <w:ind w:left="480" w:hanging="480"/>
      </w:pPr>
      <w:r>
        <w:t xml:space="preserve">Grossman, M., &amp; Wood, W. (1993). Sex differences in intensity of emotional experience: a social role interpretation. </w:t>
      </w:r>
      <w:r>
        <w:rPr>
          <w:i/>
        </w:rPr>
        <w:t>Journal of Personality and Social Psychology</w:t>
      </w:r>
      <w:r>
        <w:t xml:space="preserve">, </w:t>
      </w:r>
      <w:r>
        <w:rPr>
          <w:i/>
        </w:rPr>
        <w:t>65</w:t>
      </w:r>
      <w:r>
        <w:t>, 1010.</w:t>
      </w:r>
    </w:p>
    <w:p w14:paraId="498EC747" w14:textId="77777777" w:rsidR="006C623E" w:rsidRDefault="006C623E" w:rsidP="006C623E">
      <w:pPr>
        <w:widowControl w:val="0"/>
        <w:ind w:left="480" w:hanging="480"/>
      </w:pPr>
      <w:r>
        <w:t xml:space="preserve">Guillaumin, C. (2002). </w:t>
      </w:r>
      <w:r>
        <w:rPr>
          <w:i/>
        </w:rPr>
        <w:t>Racism, sexism, power and ideology</w:t>
      </w:r>
      <w:r>
        <w:t>. Routledge.</w:t>
      </w:r>
    </w:p>
    <w:p w14:paraId="057FD29A" w14:textId="77777777" w:rsidR="006C623E" w:rsidRDefault="006C623E" w:rsidP="006C623E">
      <w:pPr>
        <w:widowControl w:val="0"/>
        <w:ind w:left="480" w:hanging="480"/>
      </w:pPr>
      <w:r>
        <w:t xml:space="preserve">Guimond, S. (2000). Group socialization and prejudice: The social transmission of </w:t>
      </w:r>
      <w:r>
        <w:lastRenderedPageBreak/>
        <w:t xml:space="preserve">intergroup attitudes and beliefs. </w:t>
      </w:r>
      <w:r>
        <w:rPr>
          <w:i/>
        </w:rPr>
        <w:t>European Journal of Social Psychology</w:t>
      </w:r>
      <w:r>
        <w:t xml:space="preserve">, </w:t>
      </w:r>
      <w:r>
        <w:rPr>
          <w:i/>
        </w:rPr>
        <w:t>30</w:t>
      </w:r>
      <w:r>
        <w:t>(3), 335–354.</w:t>
      </w:r>
    </w:p>
    <w:p w14:paraId="13BF0F53" w14:textId="77777777" w:rsidR="006C623E" w:rsidRDefault="006C623E" w:rsidP="006C623E">
      <w:pPr>
        <w:widowControl w:val="0"/>
        <w:ind w:left="480" w:hanging="480"/>
      </w:pPr>
      <w:r>
        <w:t xml:space="preserve">Halioua, R. L., Williams, R. S. T., Murray, N. P., Skalko, T. K., &amp; Vogelsong, H. G. (2011). Staring and Perceptions of People with Facial Disfigurement. </w:t>
      </w:r>
      <w:r>
        <w:rPr>
          <w:i/>
        </w:rPr>
        <w:t>Therapeutic Recreation Journal</w:t>
      </w:r>
      <w:r>
        <w:t xml:space="preserve">, </w:t>
      </w:r>
      <w:r>
        <w:rPr>
          <w:i/>
        </w:rPr>
        <w:t>45</w:t>
      </w:r>
      <w:r>
        <w:t>, 341–356. Retrieved from http://search.ebscohost.com/login.aspx?direct=true&amp;db=sph&amp;AN=70479946&amp;site=ehost-live</w:t>
      </w:r>
    </w:p>
    <w:p w14:paraId="23BBB188" w14:textId="77777777" w:rsidR="006C623E" w:rsidRDefault="006C623E" w:rsidP="006C623E">
      <w:pPr>
        <w:widowControl w:val="0"/>
        <w:ind w:left="480" w:hanging="480"/>
      </w:pPr>
      <w:r w:rsidRPr="008636E5">
        <w:rPr>
          <w:lang w:val="es-CO"/>
        </w:rPr>
        <w:t xml:space="preserve">Han, H. A., Czellar, S., Olson, M. A., &amp; Fazio, R. H. (2010). </w:t>
      </w:r>
      <w:r>
        <w:t xml:space="preserve">Malleability of attitudes or malleability of the IAT? </w:t>
      </w:r>
      <w:r>
        <w:rPr>
          <w:i/>
        </w:rPr>
        <w:t>Journal of Experimental Social Psychology</w:t>
      </w:r>
      <w:r>
        <w:t xml:space="preserve">, </w:t>
      </w:r>
      <w:r>
        <w:rPr>
          <w:i/>
        </w:rPr>
        <w:t>46</w:t>
      </w:r>
      <w:r>
        <w:t>, 286–298.</w:t>
      </w:r>
    </w:p>
    <w:p w14:paraId="729661BB" w14:textId="77777777" w:rsidR="006C623E" w:rsidRDefault="006C623E" w:rsidP="006C623E">
      <w:pPr>
        <w:widowControl w:val="0"/>
        <w:ind w:left="480" w:hanging="480"/>
      </w:pPr>
      <w:r>
        <w:t xml:space="preserve">Hanson, J. (2012). </w:t>
      </w:r>
      <w:r>
        <w:rPr>
          <w:i/>
        </w:rPr>
        <w:t>Ideology, Psychology, and Law</w:t>
      </w:r>
      <w:r>
        <w:t>. Oxford University Press, USA. Retrieved from https://books.google.com/books?hl=en&amp;lr=&amp;id=ab48OwNmW3UC&amp;pgis=1</w:t>
      </w:r>
    </w:p>
    <w:p w14:paraId="0E302D09" w14:textId="77777777" w:rsidR="006C623E" w:rsidRDefault="006C623E" w:rsidP="006C623E">
      <w:pPr>
        <w:widowControl w:val="0"/>
        <w:ind w:left="480" w:hanging="480"/>
      </w:pPr>
      <w:r>
        <w:t xml:space="preserve">Haselton, M. G., &amp; Buss, D. M. (2000). Error management theory: a new perspective on biases in cross-sex mind reading. </w:t>
      </w:r>
      <w:r>
        <w:rPr>
          <w:i/>
        </w:rPr>
        <w:t>Journal of Personality and Social Psychology</w:t>
      </w:r>
      <w:r>
        <w:t xml:space="preserve">, </w:t>
      </w:r>
      <w:r>
        <w:rPr>
          <w:i/>
        </w:rPr>
        <w:t>78</w:t>
      </w:r>
      <w:r>
        <w:t>, 81.</w:t>
      </w:r>
    </w:p>
    <w:p w14:paraId="693C6D89" w14:textId="77777777" w:rsidR="006C623E" w:rsidRDefault="006C623E" w:rsidP="006C623E">
      <w:pPr>
        <w:widowControl w:val="0"/>
        <w:ind w:left="480" w:hanging="480"/>
      </w:pPr>
      <w:r>
        <w:t xml:space="preserve">Haselton, M. G., &amp; Nettle, D. (2006). The Paranoid Optimist: An Integrative Evolutionary Model of Cognitive Biases. </w:t>
      </w:r>
      <w:r>
        <w:rPr>
          <w:i/>
        </w:rPr>
        <w:t>Personality and Social Psychology Review</w:t>
      </w:r>
      <w:r>
        <w:t xml:space="preserve">, </w:t>
      </w:r>
      <w:r>
        <w:rPr>
          <w:i/>
        </w:rPr>
        <w:t>10</w:t>
      </w:r>
      <w:r>
        <w:t>, 47–66. https://doi.org/10.1207/s15327957pspr1001_3</w:t>
      </w:r>
    </w:p>
    <w:p w14:paraId="4E43149C" w14:textId="77777777" w:rsidR="006C623E" w:rsidRDefault="006C623E" w:rsidP="006C623E">
      <w:pPr>
        <w:widowControl w:val="0"/>
        <w:ind w:left="480" w:hanging="480"/>
      </w:pPr>
      <w:r>
        <w:t xml:space="preserve">Haxby, J. V, Hoffman, E. A., &amp; Gobbini, M. I. (2002). Human neural systems for face recognition and social communication. </w:t>
      </w:r>
      <w:r>
        <w:rPr>
          <w:i/>
        </w:rPr>
        <w:t>Biological Psychiatry</w:t>
      </w:r>
      <w:r>
        <w:t xml:space="preserve">, </w:t>
      </w:r>
      <w:r>
        <w:rPr>
          <w:i/>
        </w:rPr>
        <w:t>51</w:t>
      </w:r>
      <w:r>
        <w:t>, 59–67.</w:t>
      </w:r>
    </w:p>
    <w:p w14:paraId="7E7A7777" w14:textId="77777777" w:rsidR="006C623E" w:rsidRDefault="006C623E" w:rsidP="006C623E">
      <w:pPr>
        <w:widowControl w:val="0"/>
        <w:ind w:left="480" w:hanging="480"/>
      </w:pPr>
      <w:r>
        <w:t xml:space="preserve">Hegarty, P., &amp; Golden, A. M. (2008). Attributional beliefs about the controllability of stigmatized traits: antecedents or justifications of prejudice? 1. </w:t>
      </w:r>
      <w:r>
        <w:rPr>
          <w:i/>
        </w:rPr>
        <w:t>Journal of Applied Social Psychology</w:t>
      </w:r>
      <w:r>
        <w:t xml:space="preserve">, </w:t>
      </w:r>
      <w:r>
        <w:rPr>
          <w:i/>
        </w:rPr>
        <w:t>38</w:t>
      </w:r>
      <w:r>
        <w:t>, 1023–1044.</w:t>
      </w:r>
    </w:p>
    <w:p w14:paraId="3B46056B" w14:textId="77777777" w:rsidR="006C623E" w:rsidRDefault="006C623E" w:rsidP="006C623E">
      <w:pPr>
        <w:widowControl w:val="0"/>
        <w:ind w:left="480" w:hanging="480"/>
      </w:pPr>
      <w:r w:rsidRPr="004D2DCA">
        <w:t xml:space="preserve">Heijnders, M., &amp; Meij, S. Van Der. </w:t>
      </w:r>
      <w:r>
        <w:t xml:space="preserve">(2006). The fight against stigma: an overview of stigma-reduction strategies and interventions. </w:t>
      </w:r>
      <w:r>
        <w:rPr>
          <w:i/>
        </w:rPr>
        <w:t>Psychology, Health &amp; Medicine</w:t>
      </w:r>
      <w:r>
        <w:t>. Retrieved from http://www.tandfonline.com/doi/abs/10.1080/13548500600595327</w:t>
      </w:r>
    </w:p>
    <w:p w14:paraId="084AB703" w14:textId="77777777" w:rsidR="006C623E" w:rsidRDefault="006C623E" w:rsidP="006C623E">
      <w:pPr>
        <w:widowControl w:val="0"/>
        <w:ind w:left="480" w:hanging="480"/>
      </w:pPr>
      <w:r>
        <w:t xml:space="preserve">Henderson, C., Evans-Lacko, S., Flach, C., &amp; Thornicroft, G. (2012). Responses to mental health stigma questions: the importance of social desirability and data collection method. </w:t>
      </w:r>
      <w:r>
        <w:rPr>
          <w:i/>
        </w:rPr>
        <w:t>The Canadian Journal of Psychiatry</w:t>
      </w:r>
      <w:r>
        <w:t xml:space="preserve">, </w:t>
      </w:r>
      <w:r>
        <w:rPr>
          <w:i/>
        </w:rPr>
        <w:t>57</w:t>
      </w:r>
      <w:r>
        <w:t>, 152–160.</w:t>
      </w:r>
    </w:p>
    <w:p w14:paraId="355B991A" w14:textId="77777777" w:rsidR="006C623E" w:rsidRDefault="006C623E" w:rsidP="006C623E">
      <w:pPr>
        <w:widowControl w:val="0"/>
        <w:ind w:left="480" w:hanging="480"/>
      </w:pPr>
      <w:r>
        <w:t xml:space="preserve">Henry, P. J. (2008). College sophomores in the laboratory redux: Influences of a narrow data base on social psychology’s view of the nature of prejudice. </w:t>
      </w:r>
      <w:r>
        <w:rPr>
          <w:i/>
        </w:rPr>
        <w:t>Psychological Inquiry</w:t>
      </w:r>
      <w:r>
        <w:t xml:space="preserve">, </w:t>
      </w:r>
      <w:r>
        <w:rPr>
          <w:i/>
        </w:rPr>
        <w:t>19</w:t>
      </w:r>
      <w:r>
        <w:t>, 49–71.</w:t>
      </w:r>
    </w:p>
    <w:p w14:paraId="160D37F7" w14:textId="77777777" w:rsidR="006C623E" w:rsidRDefault="006C623E" w:rsidP="006C623E">
      <w:pPr>
        <w:widowControl w:val="0"/>
        <w:ind w:left="480" w:hanging="480"/>
      </w:pPr>
      <w:r>
        <w:t xml:space="preserve">Hochschild, A. (1999). </w:t>
      </w:r>
      <w:r>
        <w:rPr>
          <w:i/>
        </w:rPr>
        <w:t xml:space="preserve">King Leopold’s ghost: A story of greed, terror, and heroism in </w:t>
      </w:r>
      <w:r>
        <w:rPr>
          <w:i/>
        </w:rPr>
        <w:lastRenderedPageBreak/>
        <w:t>colonial Africa</w:t>
      </w:r>
      <w:r>
        <w:t>. Houghton Mifflin Harcourt.</w:t>
      </w:r>
    </w:p>
    <w:p w14:paraId="1428B714" w14:textId="77777777" w:rsidR="006C623E" w:rsidRDefault="006C623E" w:rsidP="006C623E">
      <w:pPr>
        <w:widowControl w:val="0"/>
        <w:ind w:left="480" w:hanging="480"/>
      </w:pPr>
      <w:r>
        <w:t xml:space="preserve">Hodge, M. (2017). </w:t>
      </w:r>
      <w:r>
        <w:rPr>
          <w:i/>
        </w:rPr>
        <w:t>Disfigurement in the UK</w:t>
      </w:r>
      <w:r>
        <w:t>. Retrieved from https://www.changingfaces.org.uk/wp-content/uploads/2017/05/DITUK.pdf</w:t>
      </w:r>
    </w:p>
    <w:p w14:paraId="79044484" w14:textId="77777777" w:rsidR="006C623E" w:rsidRDefault="006C623E" w:rsidP="006C623E">
      <w:pPr>
        <w:widowControl w:val="0"/>
        <w:ind w:left="480" w:hanging="480"/>
      </w:pPr>
      <w:r>
        <w:t xml:space="preserve">Hodson, G., &amp; Costello, K. (2007). Interpersonal disgust, ideological orientations, and dehumanization as predictors of intergroup attitudes. </w:t>
      </w:r>
      <w:r>
        <w:rPr>
          <w:i/>
        </w:rPr>
        <w:t>Psychological Science</w:t>
      </w:r>
      <w:r>
        <w:t xml:space="preserve">, </w:t>
      </w:r>
      <w:r>
        <w:rPr>
          <w:i/>
        </w:rPr>
        <w:t>18</w:t>
      </w:r>
      <w:r>
        <w:t>, 691–698.</w:t>
      </w:r>
    </w:p>
    <w:p w14:paraId="33C57C62" w14:textId="77777777" w:rsidR="006C623E" w:rsidRDefault="006C623E" w:rsidP="006C623E">
      <w:pPr>
        <w:widowControl w:val="0"/>
        <w:ind w:left="480" w:hanging="480"/>
      </w:pPr>
      <w:r>
        <w:t xml:space="preserve">Hofmann, W., Gawronski, B., Gschwendner, T., Le, H., &amp; Schmitt, M. (2005). A Meta-Analysis on the Correlation Between the Implicit Association Test and Explicit Self-Report Measures. </w:t>
      </w:r>
      <w:r>
        <w:rPr>
          <w:i/>
        </w:rPr>
        <w:t>Personality and Social Psychology Bulletin</w:t>
      </w:r>
      <w:r>
        <w:t xml:space="preserve">, </w:t>
      </w:r>
      <w:r>
        <w:rPr>
          <w:i/>
        </w:rPr>
        <w:t>31</w:t>
      </w:r>
      <w:r>
        <w:t>, 1369–1385. https://doi.org/10.1177/0146167205275613</w:t>
      </w:r>
    </w:p>
    <w:p w14:paraId="3A417BF7" w14:textId="77777777" w:rsidR="006C623E" w:rsidRDefault="006C623E" w:rsidP="006C623E">
      <w:pPr>
        <w:widowControl w:val="0"/>
        <w:ind w:left="480" w:hanging="480"/>
      </w:pPr>
      <w:r>
        <w:t xml:space="preserve">Hong, J., Koo, B., &amp; Koo, J. (2008). The psychosocial and occupational impact of chronic skin disease. </w:t>
      </w:r>
      <w:r>
        <w:rPr>
          <w:i/>
        </w:rPr>
        <w:t>Dermatologic Therapy</w:t>
      </w:r>
      <w:r>
        <w:t xml:space="preserve">, </w:t>
      </w:r>
      <w:r>
        <w:rPr>
          <w:i/>
        </w:rPr>
        <w:t>21</w:t>
      </w:r>
      <w:r>
        <w:t>, 54–59. https://doi.org/10.1111/j.1529-8019.2008.00170.x</w:t>
      </w:r>
    </w:p>
    <w:p w14:paraId="7D3D8DB1" w14:textId="77777777" w:rsidR="006C623E" w:rsidRDefault="006C623E" w:rsidP="006C623E">
      <w:pPr>
        <w:widowControl w:val="0"/>
        <w:ind w:left="480" w:hanging="480"/>
      </w:pPr>
      <w:r>
        <w:t xml:space="preserve">Horn, E. J., Fox, K. M., Patel, V., Chiou, C.-F., Dann, F., &amp; Lebwohl, M. (2007). Association of patient-reported psoriasis severity with income and employment. </w:t>
      </w:r>
      <w:r>
        <w:rPr>
          <w:i/>
        </w:rPr>
        <w:t>Journal of the American Academy of Dermatology</w:t>
      </w:r>
      <w:r>
        <w:t xml:space="preserve">, </w:t>
      </w:r>
      <w:r>
        <w:rPr>
          <w:i/>
        </w:rPr>
        <w:t>57</w:t>
      </w:r>
      <w:r>
        <w:t>, 963–971.</w:t>
      </w:r>
    </w:p>
    <w:p w14:paraId="3D71ACC6" w14:textId="77777777" w:rsidR="006C623E" w:rsidRDefault="006C623E" w:rsidP="006C623E">
      <w:pPr>
        <w:widowControl w:val="0"/>
        <w:ind w:left="480" w:hanging="480"/>
      </w:pPr>
      <w:r>
        <w:t xml:space="preserve">Hornik, R. (2002). </w:t>
      </w:r>
      <w:r>
        <w:rPr>
          <w:i/>
        </w:rPr>
        <w:t>Public health communication: Evidence for behavior change</w:t>
      </w:r>
      <w:r>
        <w:t>. Retrieved from https://books.google.co.uk/books?hl=en&amp;lr=&amp;id=vrKPAgAAQBAJ&amp;oi=fnd&amp;pg=PP1&amp;dq=Public+Health+Communication:+Evidence+for+Behavior+Change&amp;ots=DEnfOWHoDd&amp;sig=BxIjmbhOVXul6_iUh6ZZ4cTSo-A</w:t>
      </w:r>
    </w:p>
    <w:p w14:paraId="4CFDE9F1" w14:textId="77777777" w:rsidR="006C623E" w:rsidRDefault="006C623E" w:rsidP="006C623E">
      <w:pPr>
        <w:widowControl w:val="0"/>
        <w:ind w:left="480" w:hanging="480"/>
      </w:pPr>
      <w:r>
        <w:t>Hosoda, M., Stone</w:t>
      </w:r>
      <w:r>
        <w:rPr>
          <w:rFonts w:ascii="Cambria Math" w:eastAsia="Cambria Math" w:hAnsi="Cambria Math" w:cs="Cambria Math"/>
        </w:rPr>
        <w:t>‐</w:t>
      </w:r>
      <w:r>
        <w:t>Romero, E. F., &amp; Coats, G. (2003). The effects of physical attractiveness on job</w:t>
      </w:r>
      <w:r>
        <w:rPr>
          <w:rFonts w:ascii="Cambria Math" w:eastAsia="Cambria Math" w:hAnsi="Cambria Math" w:cs="Cambria Math"/>
        </w:rPr>
        <w:t>‐</w:t>
      </w:r>
      <w:r>
        <w:t>related outcomes: A meta</w:t>
      </w:r>
      <w:r>
        <w:rPr>
          <w:rFonts w:ascii="Cambria Math" w:eastAsia="Cambria Math" w:hAnsi="Cambria Math" w:cs="Cambria Math"/>
        </w:rPr>
        <w:t>‐</w:t>
      </w:r>
      <w:r>
        <w:t xml:space="preserve">analysis of experimental studies. </w:t>
      </w:r>
      <w:r>
        <w:rPr>
          <w:i/>
        </w:rPr>
        <w:t>Personnel Psychology</w:t>
      </w:r>
      <w:r>
        <w:t xml:space="preserve">, </w:t>
      </w:r>
      <w:r>
        <w:rPr>
          <w:i/>
        </w:rPr>
        <w:t>56</w:t>
      </w:r>
      <w:r>
        <w:t>, 431–462.</w:t>
      </w:r>
    </w:p>
    <w:p w14:paraId="44049D5D" w14:textId="77777777" w:rsidR="006C623E" w:rsidRDefault="006C623E" w:rsidP="006C623E">
      <w:pPr>
        <w:widowControl w:val="0"/>
        <w:ind w:left="480" w:hanging="480"/>
      </w:pPr>
      <w:r>
        <w:t xml:space="preserve">Houston, V., &amp; Bull, R. (1994). Do people avoid sitting next to someone who is facially disfigured? </w:t>
      </w:r>
      <w:r>
        <w:rPr>
          <w:i/>
        </w:rPr>
        <w:t>European Journal of Social Psychology</w:t>
      </w:r>
      <w:r>
        <w:t xml:space="preserve">, </w:t>
      </w:r>
      <w:r>
        <w:rPr>
          <w:i/>
        </w:rPr>
        <w:t>24</w:t>
      </w:r>
      <w:r>
        <w:t>, 279–284. https://doi.org/10.1002/ejsp.2420240205</w:t>
      </w:r>
    </w:p>
    <w:p w14:paraId="0015D853" w14:textId="77777777" w:rsidR="006C623E" w:rsidRDefault="006C623E" w:rsidP="006C623E">
      <w:pPr>
        <w:widowControl w:val="0"/>
        <w:ind w:left="480" w:hanging="480"/>
      </w:pPr>
      <w:r>
        <w:t xml:space="preserve">Hughes, J., Naqvi, H., Saul, K., Williamson, H., Johnson, M. R. D., Rumsey, N., &amp; Charlton, R. (2009). South Asian community views about individuals with a disfigurement. </w:t>
      </w:r>
      <w:r>
        <w:rPr>
          <w:i/>
        </w:rPr>
        <w:t>Diversity in Health &amp; Care</w:t>
      </w:r>
      <w:r>
        <w:t xml:space="preserve">, </w:t>
      </w:r>
      <w:r>
        <w:rPr>
          <w:i/>
        </w:rPr>
        <w:t>6</w:t>
      </w:r>
      <w:r>
        <w:t>(4).</w:t>
      </w:r>
    </w:p>
    <w:p w14:paraId="61188BF7" w14:textId="77777777" w:rsidR="006C623E" w:rsidRDefault="006C623E" w:rsidP="006C623E">
      <w:pPr>
        <w:widowControl w:val="0"/>
        <w:ind w:left="480" w:hanging="480"/>
      </w:pPr>
      <w:r>
        <w:t xml:space="preserve">Hunt, O., Burden, D., Hepper, P., &amp; Johnston, C. (2005). The psychosocial effects of cleft lip and palate: a systematic review. </w:t>
      </w:r>
      <w:r>
        <w:rPr>
          <w:i/>
        </w:rPr>
        <w:t>European Journal of Orthodontics</w:t>
      </w:r>
      <w:r>
        <w:t xml:space="preserve">, </w:t>
      </w:r>
      <w:r>
        <w:rPr>
          <w:i/>
        </w:rPr>
        <w:t>27</w:t>
      </w:r>
      <w:r>
        <w:t>(3), 274–285.</w:t>
      </w:r>
    </w:p>
    <w:p w14:paraId="05BE7C32" w14:textId="77777777" w:rsidR="006C623E" w:rsidRDefault="006C623E" w:rsidP="006C623E">
      <w:pPr>
        <w:widowControl w:val="0"/>
        <w:ind w:left="480" w:hanging="480"/>
      </w:pPr>
      <w:r>
        <w:lastRenderedPageBreak/>
        <w:t xml:space="preserve">Husnu, S., &amp; Crisp, R. (2010a). Elaboration enhances the imagined contact effect. </w:t>
      </w:r>
      <w:r>
        <w:rPr>
          <w:i/>
        </w:rPr>
        <w:t>Journal of Experimental Social Psychology</w:t>
      </w:r>
      <w:r>
        <w:t>. Retrieved from http://www.sciencedirect.com/science/article/pii/S0022103110001307</w:t>
      </w:r>
    </w:p>
    <w:p w14:paraId="77AF35C5" w14:textId="77777777" w:rsidR="006C623E" w:rsidRDefault="006C623E" w:rsidP="006C623E">
      <w:pPr>
        <w:widowControl w:val="0"/>
        <w:ind w:left="480" w:hanging="480"/>
      </w:pPr>
      <w:r>
        <w:t xml:space="preserve">Husnu, S., &amp; Crisp, R. (2010b). Imagined intergroup contact: A new technique for encouraging greater inter-ethnic contact in Cyprus. </w:t>
      </w:r>
      <w:r>
        <w:rPr>
          <w:i/>
        </w:rPr>
        <w:t>Peace and Conflict</w:t>
      </w:r>
      <w:r>
        <w:t>. Retrieved from http://www.tandfonline.com/doi/abs/10.1080/10781910903484776</w:t>
      </w:r>
    </w:p>
    <w:p w14:paraId="17AEBBD5" w14:textId="77777777" w:rsidR="006C623E" w:rsidRDefault="006C623E" w:rsidP="006C623E">
      <w:pPr>
        <w:widowControl w:val="0"/>
        <w:ind w:left="480" w:hanging="480"/>
      </w:pPr>
      <w:r>
        <w:t xml:space="preserve">Ille, R., Schöggl, H., Kapfhammer, H.-P., Arendasy, M., Sommer, M., &amp; Schienle, A. (2014). Self-disgust in mental disorders—symptom-related or disorder-specific? </w:t>
      </w:r>
      <w:r>
        <w:rPr>
          <w:i/>
        </w:rPr>
        <w:t>Comprehensive Psychiatry</w:t>
      </w:r>
      <w:r>
        <w:t xml:space="preserve">, </w:t>
      </w:r>
      <w:r>
        <w:rPr>
          <w:i/>
        </w:rPr>
        <w:t>55</w:t>
      </w:r>
      <w:r>
        <w:t>, 938–943.</w:t>
      </w:r>
    </w:p>
    <w:p w14:paraId="25689832" w14:textId="77777777" w:rsidR="006C623E" w:rsidRDefault="006C623E" w:rsidP="006C623E">
      <w:pPr>
        <w:widowControl w:val="0"/>
        <w:ind w:left="480" w:hanging="480"/>
      </w:pPr>
      <w:r>
        <w:t xml:space="preserve">Inbar, Y., Pizarro, D. A., Knobe, J., &amp; Bloom, P. (2009). Disgust sensitivity predicts intuitive disapproval of gays. </w:t>
      </w:r>
      <w:r>
        <w:rPr>
          <w:i/>
        </w:rPr>
        <w:t>Emotion</w:t>
      </w:r>
      <w:r>
        <w:t xml:space="preserve">, </w:t>
      </w:r>
      <w:r>
        <w:rPr>
          <w:i/>
        </w:rPr>
        <w:t>9</w:t>
      </w:r>
      <w:r>
        <w:t>, 435.</w:t>
      </w:r>
    </w:p>
    <w:p w14:paraId="38A38A62" w14:textId="77777777" w:rsidR="006C623E" w:rsidRPr="008636E5" w:rsidRDefault="006C623E" w:rsidP="006C623E">
      <w:pPr>
        <w:widowControl w:val="0"/>
        <w:ind w:left="480" w:hanging="480"/>
        <w:rPr>
          <w:lang w:val="es-CO"/>
        </w:rPr>
      </w:pPr>
      <w:r>
        <w:t xml:space="preserve">Ioannidis, J. P. A. (2005). Why most published research findings are false. </w:t>
      </w:r>
      <w:r w:rsidRPr="008636E5">
        <w:rPr>
          <w:i/>
          <w:lang w:val="es-CO"/>
        </w:rPr>
        <w:t>PLoS Medicine</w:t>
      </w:r>
      <w:r w:rsidRPr="008636E5">
        <w:rPr>
          <w:lang w:val="es-CO"/>
        </w:rPr>
        <w:t xml:space="preserve">, </w:t>
      </w:r>
      <w:r w:rsidRPr="008636E5">
        <w:rPr>
          <w:i/>
          <w:lang w:val="es-CO"/>
        </w:rPr>
        <w:t>2</w:t>
      </w:r>
      <w:r w:rsidRPr="008636E5">
        <w:rPr>
          <w:lang w:val="es-CO"/>
        </w:rPr>
        <w:t>, e124.</w:t>
      </w:r>
    </w:p>
    <w:p w14:paraId="7500B1BB" w14:textId="77777777" w:rsidR="006C623E" w:rsidRDefault="006C623E" w:rsidP="006C623E">
      <w:pPr>
        <w:widowControl w:val="0"/>
        <w:ind w:left="480" w:hanging="480"/>
      </w:pPr>
      <w:r w:rsidRPr="008636E5">
        <w:rPr>
          <w:lang w:val="es-CO"/>
        </w:rPr>
        <w:t xml:space="preserve">Isawumi, M. A., Ulaikere, M., Adejumo, O. O., Adebayo, M., &amp; Kekunnaya, R. (2014). </w:t>
      </w:r>
      <w:r>
        <w:t xml:space="preserve">Awareness, perceptions and knowledge of strabismus among patients visiting a tertiary eye clinic in Southwest Nigeria. </w:t>
      </w:r>
      <w:r>
        <w:rPr>
          <w:i/>
        </w:rPr>
        <w:t>International Ophthalmology</w:t>
      </w:r>
      <w:r>
        <w:t xml:space="preserve">, </w:t>
      </w:r>
      <w:r>
        <w:rPr>
          <w:i/>
        </w:rPr>
        <w:t>34</w:t>
      </w:r>
      <w:r>
        <w:t>, 1037–1042. https://doi.org/10.1007/s10792-014-9902-3</w:t>
      </w:r>
    </w:p>
    <w:p w14:paraId="36AF54DC" w14:textId="77777777" w:rsidR="006C623E" w:rsidRDefault="006C623E" w:rsidP="006C623E">
      <w:pPr>
        <w:widowControl w:val="0"/>
        <w:ind w:left="480" w:hanging="480"/>
      </w:pPr>
      <w:r>
        <w:t xml:space="preserve">Ishii, L., Carey, J., Byrne, P., Zee, D. S., &amp; Ishii, M. (2009). Measuring attentional bias to peripheral facial deformities. </w:t>
      </w:r>
      <w:r>
        <w:rPr>
          <w:i/>
        </w:rPr>
        <w:t>Laryngoscope</w:t>
      </w:r>
      <w:r>
        <w:t xml:space="preserve">, </w:t>
      </w:r>
      <w:r>
        <w:rPr>
          <w:i/>
        </w:rPr>
        <w:t>119</w:t>
      </w:r>
      <w:r>
        <w:t>, 459–465. https://doi.org/10.1002/lary.20132</w:t>
      </w:r>
    </w:p>
    <w:p w14:paraId="7F57548F" w14:textId="77777777" w:rsidR="006C623E" w:rsidRDefault="006C623E" w:rsidP="006C623E">
      <w:pPr>
        <w:widowControl w:val="0"/>
        <w:ind w:left="480" w:hanging="480"/>
      </w:pPr>
      <w:r>
        <w:t xml:space="preserve">Jacob, W. J., Morisky, D. E., &amp; Nsubuga, Y. K. (2012). </w:t>
      </w:r>
      <w:r>
        <w:rPr>
          <w:i/>
        </w:rPr>
        <w:t>The Impact of HIV/AIDS on Education Worldwide</w:t>
      </w:r>
      <w:r>
        <w:t xml:space="preserve">. (A. W. Wiseman &amp; R. N. Glover, Eds.), </w:t>
      </w:r>
      <w:r>
        <w:rPr>
          <w:i/>
        </w:rPr>
        <w:t>International Perspectives on Education and Society</w:t>
      </w:r>
      <w:r>
        <w:t xml:space="preserve"> (Vol. 18). Emerald Group Publishing Limited. https://doi.org/10.1108/S1479-3679(2012)18</w:t>
      </w:r>
    </w:p>
    <w:p w14:paraId="5453ED94" w14:textId="77777777" w:rsidR="006C623E" w:rsidRDefault="006C623E" w:rsidP="006C623E">
      <w:pPr>
        <w:widowControl w:val="0"/>
        <w:ind w:left="480" w:hanging="480"/>
      </w:pPr>
      <w:r>
        <w:t>Jamrozik, A., Oraa Ali, M., Sarwer, D. B., &amp; Chatterjee, A. (2017). More Than Skin Deep: Judgments of Individuals With Facial Disfigurement.</w:t>
      </w:r>
    </w:p>
    <w:p w14:paraId="32CE3BE1" w14:textId="77777777" w:rsidR="006C623E" w:rsidRDefault="006C623E" w:rsidP="006C623E">
      <w:pPr>
        <w:widowControl w:val="0"/>
        <w:ind w:left="480" w:hanging="480"/>
      </w:pPr>
      <w:r>
        <w:t xml:space="preserve">Johnson, J. A., &amp; Zatorre, R. J. (2006). Neural substrates for dividing and focusing attention between simultaneous auditory and visual events. </w:t>
      </w:r>
      <w:r>
        <w:rPr>
          <w:i/>
        </w:rPr>
        <w:t>NeuroImage</w:t>
      </w:r>
      <w:r>
        <w:t xml:space="preserve">, </w:t>
      </w:r>
      <w:r>
        <w:rPr>
          <w:i/>
        </w:rPr>
        <w:t>31</w:t>
      </w:r>
      <w:r>
        <w:t>, 1673–1681. https://doi.org/https://doi.org/10.1016/j.neuroimage.2006.02.026</w:t>
      </w:r>
    </w:p>
    <w:p w14:paraId="2CDBFCE8" w14:textId="77777777" w:rsidR="006C623E" w:rsidRDefault="006C623E" w:rsidP="006C623E">
      <w:pPr>
        <w:widowControl w:val="0"/>
        <w:ind w:left="480" w:hanging="480"/>
      </w:pPr>
      <w:r>
        <w:t xml:space="preserve">Jorm, A F, &amp; Griffiths, K. M. (2008). The public’s stigmatizing attitudes towards people with mental disorders: how important are biomedical conceptualizations? </w:t>
      </w:r>
      <w:r>
        <w:rPr>
          <w:i/>
        </w:rPr>
        <w:t>Acta Psychiatrica Scandinavica</w:t>
      </w:r>
      <w:r>
        <w:t xml:space="preserve">, </w:t>
      </w:r>
      <w:r>
        <w:rPr>
          <w:i/>
        </w:rPr>
        <w:t>118</w:t>
      </w:r>
      <w:r>
        <w:t>, 315–321. https://doi.org/10.1111/j.1600-0447.2008.01251.x</w:t>
      </w:r>
    </w:p>
    <w:p w14:paraId="0E8225C7" w14:textId="77777777" w:rsidR="006C623E" w:rsidRDefault="006C623E" w:rsidP="006C623E">
      <w:pPr>
        <w:widowControl w:val="0"/>
        <w:ind w:left="480" w:hanging="480"/>
      </w:pPr>
      <w:r>
        <w:lastRenderedPageBreak/>
        <w:t xml:space="preserve">Jorm, Anthony F, Kitchener, B. A., Fischer, J.-A., &amp; Cvetkovski, S. (2010). Mental health first aid training by e-learning: a randomized controlled trial. </w:t>
      </w:r>
      <w:r>
        <w:rPr>
          <w:i/>
        </w:rPr>
        <w:t>The Australian and New Zealand Journal of Psychiatry</w:t>
      </w:r>
      <w:r>
        <w:t xml:space="preserve">, </w:t>
      </w:r>
      <w:r>
        <w:rPr>
          <w:i/>
        </w:rPr>
        <w:t>44</w:t>
      </w:r>
      <w:r>
        <w:t>, 1072–1081. https://doi.org/10.3109/00048674.2010.516426</w:t>
      </w:r>
    </w:p>
    <w:p w14:paraId="31F00070" w14:textId="77777777" w:rsidR="006C623E" w:rsidRDefault="006C623E" w:rsidP="006C623E">
      <w:pPr>
        <w:widowControl w:val="0"/>
        <w:ind w:left="480" w:hanging="480"/>
      </w:pPr>
      <w:r>
        <w:t xml:space="preserve">Judgeo, N., &amp; Moalusi, K. P. (2014). My secret: the social meaning of HIV/AIDS stigma. </w:t>
      </w:r>
      <w:r>
        <w:rPr>
          <w:i/>
        </w:rPr>
        <w:t>SAHARA J : Journal of Social Aspects of HIV/AIDS Research Alliance</w:t>
      </w:r>
      <w:r>
        <w:t xml:space="preserve">, </w:t>
      </w:r>
      <w:r>
        <w:rPr>
          <w:i/>
        </w:rPr>
        <w:t>11</w:t>
      </w:r>
      <w:r>
        <w:t>, 76–83. https://doi.org/10.1080/17290376.2014.932302</w:t>
      </w:r>
    </w:p>
    <w:p w14:paraId="5F4D848E" w14:textId="77777777" w:rsidR="006C623E" w:rsidRDefault="006C623E" w:rsidP="006C623E">
      <w:pPr>
        <w:widowControl w:val="0"/>
        <w:ind w:left="480" w:hanging="480"/>
      </w:pPr>
      <w:r>
        <w:t xml:space="preserve">Kar, B. R., &amp; Job, C. K. (2005). Visible deformity in childhood leprosy-a 10-year study. </w:t>
      </w:r>
      <w:r>
        <w:rPr>
          <w:i/>
        </w:rPr>
        <w:t>International Journal of Leprosy and Other Mycobacterial Diseases</w:t>
      </w:r>
      <w:r>
        <w:t xml:space="preserve">, </w:t>
      </w:r>
      <w:r>
        <w:rPr>
          <w:i/>
        </w:rPr>
        <w:t>73</w:t>
      </w:r>
      <w:r>
        <w:t>, 243.</w:t>
      </w:r>
    </w:p>
    <w:p w14:paraId="3BE31A72" w14:textId="77777777" w:rsidR="006C623E" w:rsidRDefault="006C623E" w:rsidP="006C623E">
      <w:pPr>
        <w:widowControl w:val="0"/>
        <w:ind w:left="480" w:hanging="480"/>
      </w:pPr>
      <w:r>
        <w:t xml:space="preserve">Katz, M. R., Irish, J. C., Devins, G. M., Rodin, G. M., &amp; Gullane, P. J. (2003). Psychosocial adjustment in head and neck cancer: the impact of disfigurement, gender and social support. </w:t>
      </w:r>
      <w:r>
        <w:rPr>
          <w:i/>
        </w:rPr>
        <w:t>Head &amp; Neck</w:t>
      </w:r>
      <w:r>
        <w:t xml:space="preserve">, </w:t>
      </w:r>
      <w:r>
        <w:rPr>
          <w:i/>
        </w:rPr>
        <w:t>25</w:t>
      </w:r>
      <w:r>
        <w:t>, 103–112. https://doi.org/10.1002/hed.10174</w:t>
      </w:r>
    </w:p>
    <w:p w14:paraId="127A5F9C" w14:textId="77777777" w:rsidR="006C623E" w:rsidRDefault="006C623E" w:rsidP="006C623E">
      <w:pPr>
        <w:widowControl w:val="0"/>
        <w:ind w:left="480" w:hanging="480"/>
      </w:pPr>
      <w:r w:rsidRPr="004D2DCA">
        <w:t xml:space="preserve">Kaur, H., &amp; Brakel, W. Van. </w:t>
      </w:r>
      <w:r>
        <w:t xml:space="preserve">(2002). Is beggary a chosen profession among people living in a leprosy colony? </w:t>
      </w:r>
      <w:r>
        <w:rPr>
          <w:i/>
        </w:rPr>
        <w:t>Leprosy Review</w:t>
      </w:r>
      <w:r>
        <w:t>. Retrieved from https://www.lepra.org.uk/platforms/lepra/files/lr/Dec02/Lep334_345.pdf</w:t>
      </w:r>
    </w:p>
    <w:p w14:paraId="7BB28F21" w14:textId="77777777" w:rsidR="006C623E" w:rsidRDefault="006C623E" w:rsidP="006C623E">
      <w:pPr>
        <w:widowControl w:val="0"/>
        <w:ind w:left="480" w:hanging="480"/>
      </w:pPr>
      <w:r>
        <w:t xml:space="preserve">Kazeem, A., Jensen, L., &amp; Stokes, C. S. (2010). School Attendance in Nigeria: Understanding the Impact and Intersection of Gender, Urban-Rural Residence and Socioeconomic Status. </w:t>
      </w:r>
      <w:r>
        <w:rPr>
          <w:i/>
        </w:rPr>
        <w:t>Comparative Education Review</w:t>
      </w:r>
      <w:r>
        <w:t xml:space="preserve">, </w:t>
      </w:r>
      <w:r>
        <w:rPr>
          <w:i/>
        </w:rPr>
        <w:t>54</w:t>
      </w:r>
      <w:r>
        <w:t>, 295–319. https://doi.org/10.1086/652139</w:t>
      </w:r>
    </w:p>
    <w:p w14:paraId="0C29CC51" w14:textId="77777777" w:rsidR="006C623E" w:rsidRDefault="006C623E" w:rsidP="006C623E">
      <w:pPr>
        <w:widowControl w:val="0"/>
        <w:ind w:left="480" w:hanging="480"/>
      </w:pPr>
      <w:r>
        <w:t xml:space="preserve">Kellett, S., &amp; Gilbert, P. (2010). Acne: A biopsychosocial and evolutionary perspective with a focus on shame. </w:t>
      </w:r>
      <w:r>
        <w:rPr>
          <w:i/>
        </w:rPr>
        <w:t>British Journal of Health Psychology</w:t>
      </w:r>
      <w:r>
        <w:t xml:space="preserve">, </w:t>
      </w:r>
      <w:r>
        <w:rPr>
          <w:i/>
        </w:rPr>
        <w:t>6</w:t>
      </w:r>
      <w:r>
        <w:t>, 1–24. https://doi.org/10.1348/135910701169025</w:t>
      </w:r>
    </w:p>
    <w:p w14:paraId="3A90057C" w14:textId="77777777" w:rsidR="006C623E" w:rsidRDefault="006C623E" w:rsidP="006C623E">
      <w:pPr>
        <w:widowControl w:val="0"/>
        <w:ind w:left="480" w:hanging="480"/>
      </w:pPr>
      <w:r>
        <w:t xml:space="preserve">Kellett, Stephen, &amp; Gilbert, P. (2010). Acne: A biopsychosocial and evolutionary perspective with a focus on shame. </w:t>
      </w:r>
      <w:r>
        <w:rPr>
          <w:i/>
        </w:rPr>
        <w:t>British Journal of Health Psychology</w:t>
      </w:r>
      <w:r>
        <w:t xml:space="preserve">, </w:t>
      </w:r>
      <w:r>
        <w:rPr>
          <w:i/>
        </w:rPr>
        <w:t>6</w:t>
      </w:r>
      <w:r>
        <w:t>(1), 1–24. https://doi.org/10.1348/135910701169025</w:t>
      </w:r>
    </w:p>
    <w:p w14:paraId="422F3984" w14:textId="77777777" w:rsidR="006C623E" w:rsidRDefault="006C623E" w:rsidP="006C623E">
      <w:pPr>
        <w:widowControl w:val="0"/>
        <w:ind w:left="480" w:hanging="480"/>
      </w:pPr>
      <w:r>
        <w:t xml:space="preserve">Kelly, S., &amp; Dunbar, R. I. M. (2001). Who dares, wins: Heroism versus altruism in women’s mate choice. </w:t>
      </w:r>
      <w:r>
        <w:rPr>
          <w:i/>
        </w:rPr>
        <w:t>Human Nature</w:t>
      </w:r>
      <w:r>
        <w:t xml:space="preserve">, </w:t>
      </w:r>
      <w:r>
        <w:rPr>
          <w:i/>
        </w:rPr>
        <w:t>12</w:t>
      </w:r>
      <w:r>
        <w:t>, 89–105.</w:t>
      </w:r>
    </w:p>
    <w:p w14:paraId="28BE6422" w14:textId="77777777" w:rsidR="006C623E" w:rsidRDefault="006C623E" w:rsidP="006C623E">
      <w:pPr>
        <w:widowControl w:val="0"/>
        <w:ind w:left="480" w:hanging="480"/>
      </w:pPr>
      <w:r>
        <w:t>Kent, G, &amp; Al</w:t>
      </w:r>
      <w:r>
        <w:rPr>
          <w:rFonts w:ascii="Cambria Math" w:eastAsia="Cambria Math" w:hAnsi="Cambria Math" w:cs="Cambria Math"/>
        </w:rPr>
        <w:t>‐</w:t>
      </w:r>
      <w:r>
        <w:t xml:space="preserve">Abadie, M. (1996). Factors affecting responses on Dermatology Life Quality Index items among vitiligo sufferers. </w:t>
      </w:r>
      <w:r>
        <w:rPr>
          <w:i/>
        </w:rPr>
        <w:t>Clinical and Experimental Dermatology</w:t>
      </w:r>
      <w:r>
        <w:t xml:space="preserve">, </w:t>
      </w:r>
      <w:r>
        <w:rPr>
          <w:i/>
        </w:rPr>
        <w:t>21</w:t>
      </w:r>
      <w:r>
        <w:t>, 330–333.</w:t>
      </w:r>
    </w:p>
    <w:p w14:paraId="2B142466" w14:textId="77777777" w:rsidR="006C623E" w:rsidRDefault="006C623E" w:rsidP="006C623E">
      <w:pPr>
        <w:widowControl w:val="0"/>
        <w:ind w:left="480" w:hanging="480"/>
      </w:pPr>
      <w:r>
        <w:t xml:space="preserve">Kent, G, &amp; Keohane, S. (2001). Social anxiety and disfigurement: The moderating effects of fear of negative evaluation and past experience. </w:t>
      </w:r>
      <w:r>
        <w:rPr>
          <w:i/>
        </w:rPr>
        <w:t>British Journal of Clinical Psychology</w:t>
      </w:r>
      <w:r>
        <w:t xml:space="preserve">, </w:t>
      </w:r>
      <w:r>
        <w:rPr>
          <w:i/>
        </w:rPr>
        <w:t>40</w:t>
      </w:r>
      <w:r>
        <w:t>, 23–34.</w:t>
      </w:r>
    </w:p>
    <w:p w14:paraId="3EC531CD" w14:textId="77777777" w:rsidR="006C623E" w:rsidRDefault="006C623E" w:rsidP="006C623E">
      <w:pPr>
        <w:widowControl w:val="0"/>
        <w:ind w:left="480" w:hanging="480"/>
      </w:pPr>
      <w:r>
        <w:lastRenderedPageBreak/>
        <w:t xml:space="preserve">Kent, Gerry, &amp; Thompson, A. R. (2002). The development and maintenance of shame in disfigurement. </w:t>
      </w:r>
      <w:r>
        <w:rPr>
          <w:i/>
        </w:rPr>
        <w:t>Body Shame: Conceptualisation, Research and Treatment</w:t>
      </w:r>
      <w:r>
        <w:t>, 103–116.</w:t>
      </w:r>
    </w:p>
    <w:p w14:paraId="2E1449A9" w14:textId="77777777" w:rsidR="006C623E" w:rsidRDefault="006C623E" w:rsidP="006C623E">
      <w:pPr>
        <w:widowControl w:val="0"/>
        <w:ind w:left="480" w:hanging="480"/>
      </w:pPr>
      <w:r>
        <w:t xml:space="preserve">Kerr, N. L., Bull, R. H. C., MacCoun, R. J., &amp; Rathborn, H. (1985). Effects of victim attractiveness, care and disfigurement on the judgements of American and British mock jurors*. </w:t>
      </w:r>
      <w:r>
        <w:rPr>
          <w:i/>
        </w:rPr>
        <w:t>British Journal of Social Psychology</w:t>
      </w:r>
      <w:r>
        <w:t xml:space="preserve">, </w:t>
      </w:r>
      <w:r>
        <w:rPr>
          <w:i/>
        </w:rPr>
        <w:t>24</w:t>
      </w:r>
      <w:r>
        <w:t>, 47–58. https://doi.org/10.1111/j.2044-8309.1985.tb00659.x</w:t>
      </w:r>
    </w:p>
    <w:p w14:paraId="5B5A971C" w14:textId="77777777" w:rsidR="006C623E" w:rsidRDefault="006C623E" w:rsidP="006C623E">
      <w:pPr>
        <w:widowControl w:val="0"/>
        <w:ind w:left="480" w:hanging="480"/>
      </w:pPr>
      <w:r>
        <w:t xml:space="preserve">Kleck, R. E., &amp; Strenta, A. C. (1985). Gender and responses to disfigurement in self and others. </w:t>
      </w:r>
      <w:r>
        <w:rPr>
          <w:i/>
        </w:rPr>
        <w:t>Journal of Social and Clinical Psychology</w:t>
      </w:r>
      <w:r>
        <w:t xml:space="preserve">, </w:t>
      </w:r>
      <w:r>
        <w:rPr>
          <w:i/>
        </w:rPr>
        <w:t>3</w:t>
      </w:r>
      <w:r>
        <w:t>, 257–267.</w:t>
      </w:r>
    </w:p>
    <w:p w14:paraId="3D63E849" w14:textId="77777777" w:rsidR="006C623E" w:rsidRDefault="006C623E" w:rsidP="006C623E">
      <w:pPr>
        <w:widowControl w:val="0"/>
        <w:ind w:left="480" w:hanging="480"/>
      </w:pPr>
      <w:r>
        <w:t xml:space="preserve">Kluger, N. (2019). THE MICHAEL JACKSON AND WINNIE HARLOW EFFECT: IMPACT ON VITILIGO AWARENESS ON THE INTERNET. </w:t>
      </w:r>
      <w:r>
        <w:rPr>
          <w:i/>
        </w:rPr>
        <w:t>The Journal of Clinical and Aesthetic Dermatology</w:t>
      </w:r>
      <w:r>
        <w:t xml:space="preserve">, </w:t>
      </w:r>
      <w:r>
        <w:rPr>
          <w:i/>
        </w:rPr>
        <w:t>12</w:t>
      </w:r>
      <w:r>
        <w:t>(9), 12.</w:t>
      </w:r>
    </w:p>
    <w:p w14:paraId="3CD30D90" w14:textId="77777777" w:rsidR="006C623E" w:rsidRDefault="006C623E" w:rsidP="006C623E">
      <w:pPr>
        <w:widowControl w:val="0"/>
        <w:ind w:left="480" w:hanging="480"/>
      </w:pPr>
      <w:r>
        <w:t xml:space="preserve">Knapp, M., Hall, J., &amp; Horgan, T. (2013). </w:t>
      </w:r>
      <w:r>
        <w:rPr>
          <w:i/>
        </w:rPr>
        <w:t>Nonverbal communication in human interaction</w:t>
      </w:r>
      <w:r>
        <w:t>. Retrieved from https://books.google.co.uk/books?hl=en&amp;lr=&amp;id=rWoWAAAAQBAJ&amp;oi=fnd&amp;pg=PP1&amp;dq=face+importance+human+interaction&amp;ots=4Qtz_XrUcv&amp;sig=FuTs14Uk1ErSCKpcaAwRed8Gx0A</w:t>
      </w:r>
    </w:p>
    <w:p w14:paraId="07BC2D60" w14:textId="77777777" w:rsidR="006C623E" w:rsidRDefault="006C623E" w:rsidP="006C623E">
      <w:pPr>
        <w:widowControl w:val="0"/>
        <w:ind w:left="480" w:hanging="480"/>
      </w:pPr>
      <w:r>
        <w:t>Kononen, N. (2012). Middle and late Holocene skin</w:t>
      </w:r>
      <w:r>
        <w:rPr>
          <w:rFonts w:ascii="Cambria Math" w:eastAsia="Cambria Math" w:hAnsi="Cambria Math" w:cs="Cambria Math"/>
        </w:rPr>
        <w:t>‐</w:t>
      </w:r>
      <w:r>
        <w:t xml:space="preserve">working tools in Melanesia: Tattooing and scarification? </w:t>
      </w:r>
      <w:r>
        <w:rPr>
          <w:i/>
        </w:rPr>
        <w:t>Archaeology in Oceania</w:t>
      </w:r>
      <w:r>
        <w:t xml:space="preserve">, </w:t>
      </w:r>
      <w:r>
        <w:rPr>
          <w:i/>
        </w:rPr>
        <w:t>47</w:t>
      </w:r>
      <w:r>
        <w:t>, 14–28.</w:t>
      </w:r>
    </w:p>
    <w:p w14:paraId="59256A1B" w14:textId="77777777" w:rsidR="006C623E" w:rsidRDefault="006C623E" w:rsidP="006C623E">
      <w:pPr>
        <w:widowControl w:val="0"/>
        <w:ind w:left="480" w:hanging="480"/>
      </w:pPr>
      <w:r>
        <w:t xml:space="preserve">Kouznetsova, D., Stevenson, R. J., Oaten, M. J., &amp; Case, T. I. (2012). Disease-avoidant behaviour and its consequences. </w:t>
      </w:r>
      <w:r>
        <w:rPr>
          <w:i/>
        </w:rPr>
        <w:t>Psychology &amp; Health</w:t>
      </w:r>
      <w:r>
        <w:t xml:space="preserve">, </w:t>
      </w:r>
      <w:r>
        <w:rPr>
          <w:i/>
        </w:rPr>
        <w:t>27</w:t>
      </w:r>
      <w:r>
        <w:t>, 491–506. https://doi.org/10.1080/08870446.2011.603424</w:t>
      </w:r>
    </w:p>
    <w:p w14:paraId="0B646A6C" w14:textId="77777777" w:rsidR="006C623E" w:rsidRDefault="006C623E" w:rsidP="006C623E">
      <w:pPr>
        <w:widowControl w:val="0"/>
        <w:ind w:left="480" w:hanging="480"/>
      </w:pPr>
      <w:r>
        <w:t xml:space="preserve">Kring, A. M., &amp; Gordon, A. H. (1998). Sex differences in emotion: expression, experience, and physiology. </w:t>
      </w:r>
      <w:r>
        <w:rPr>
          <w:i/>
        </w:rPr>
        <w:t>Journal of Personality and Social Psychology</w:t>
      </w:r>
      <w:r>
        <w:t xml:space="preserve">, </w:t>
      </w:r>
      <w:r>
        <w:rPr>
          <w:i/>
        </w:rPr>
        <w:t>74</w:t>
      </w:r>
      <w:r>
        <w:t>, 686.</w:t>
      </w:r>
    </w:p>
    <w:p w14:paraId="26537832" w14:textId="77777777" w:rsidR="006C623E" w:rsidRDefault="006C623E" w:rsidP="006C623E">
      <w:pPr>
        <w:widowControl w:val="0"/>
        <w:ind w:left="480" w:hanging="480"/>
      </w:pPr>
      <w:r>
        <w:t>Krug, E. G., &amp; Organization, W. H. (1999). Injury: a leading cause of the global burden of disease.</w:t>
      </w:r>
    </w:p>
    <w:p w14:paraId="6B36CA29" w14:textId="77777777" w:rsidR="006C623E" w:rsidRDefault="006C623E" w:rsidP="006C623E">
      <w:pPr>
        <w:widowControl w:val="0"/>
        <w:ind w:left="480" w:hanging="480"/>
      </w:pPr>
      <w:r>
        <w:t xml:space="preserve">Kurzban, R., &amp; Leary, M. R. (2001). Evolutionary origins of stigmatization: the functions of social exclusion. </w:t>
      </w:r>
      <w:r>
        <w:rPr>
          <w:i/>
        </w:rPr>
        <w:t>Psychological Bulletin</w:t>
      </w:r>
      <w:r>
        <w:t xml:space="preserve">, </w:t>
      </w:r>
      <w:r>
        <w:rPr>
          <w:i/>
        </w:rPr>
        <w:t>127</w:t>
      </w:r>
      <w:r>
        <w:t>, 187–208. Retrieved from http://www.ncbi.nlm.nih.gov/pubmed/11316010</w:t>
      </w:r>
    </w:p>
    <w:p w14:paraId="2FF68959" w14:textId="77777777" w:rsidR="006C623E" w:rsidRDefault="006C623E" w:rsidP="006C623E">
      <w:pPr>
        <w:widowControl w:val="0"/>
        <w:ind w:left="480" w:hanging="480"/>
      </w:pPr>
      <w:r>
        <w:t xml:space="preserve">Kvaale, E. P., Gottdiener, W. H., &amp; Haslam, N. (2013). Biogenetic explanations and stigma: A meta-analytic review of associations among laypeople. </w:t>
      </w:r>
      <w:r>
        <w:rPr>
          <w:i/>
        </w:rPr>
        <w:t>Social Science &amp; Medicine</w:t>
      </w:r>
      <w:r>
        <w:t xml:space="preserve">, </w:t>
      </w:r>
      <w:r>
        <w:rPr>
          <w:i/>
        </w:rPr>
        <w:t>96</w:t>
      </w:r>
      <w:r>
        <w:t>, 95–103. https://doi.org/https://doi.org/10.1016/j.socscimed.2013.07.017</w:t>
      </w:r>
    </w:p>
    <w:p w14:paraId="1FFFD7F4" w14:textId="77777777" w:rsidR="006C623E" w:rsidRDefault="006C623E" w:rsidP="006C623E">
      <w:pPr>
        <w:widowControl w:val="0"/>
        <w:ind w:left="480" w:hanging="480"/>
      </w:pPr>
      <w:r>
        <w:lastRenderedPageBreak/>
        <w:t xml:space="preserve">Laes, C. (2008). Learning from silence: disabled children in Roman antiquity. </w:t>
      </w:r>
      <w:r>
        <w:rPr>
          <w:i/>
        </w:rPr>
        <w:t>Arctos–Acta Philologica Fennica</w:t>
      </w:r>
      <w:r>
        <w:t xml:space="preserve">, </w:t>
      </w:r>
      <w:r>
        <w:rPr>
          <w:i/>
        </w:rPr>
        <w:t>42</w:t>
      </w:r>
      <w:r>
        <w:t>, 85–122.</w:t>
      </w:r>
    </w:p>
    <w:p w14:paraId="350C5D18" w14:textId="77777777" w:rsidR="006C623E" w:rsidRDefault="006C623E" w:rsidP="006C623E">
      <w:pPr>
        <w:widowControl w:val="0"/>
        <w:ind w:left="480" w:hanging="480"/>
      </w:pPr>
      <w:r>
        <w:t xml:space="preserve">Landy, J. F., &amp; Goodwin, G. P. (2015). Does incidental disgust amplify moral judgment? A meta-analytic review of experimental evidence. </w:t>
      </w:r>
      <w:r>
        <w:rPr>
          <w:i/>
        </w:rPr>
        <w:t>Perspectives on Psychological Science</w:t>
      </w:r>
      <w:r>
        <w:t xml:space="preserve">, </w:t>
      </w:r>
      <w:r>
        <w:rPr>
          <w:i/>
        </w:rPr>
        <w:t>10</w:t>
      </w:r>
      <w:r>
        <w:t>, 518–536.</w:t>
      </w:r>
    </w:p>
    <w:p w14:paraId="365C3710" w14:textId="77777777" w:rsidR="006C623E" w:rsidRDefault="006C623E" w:rsidP="006C623E">
      <w:pPr>
        <w:widowControl w:val="0"/>
        <w:ind w:left="480" w:hanging="480"/>
      </w:pPr>
      <w:r>
        <w:t xml:space="preserve">Langlois, J. H., Kalakanis, L., Rubenstein, A. J., Larson, A., Hallam, M., &amp; Smoot, M. (2000). Maxims or myths of beauty? A meta-analytic and theoretical review. </w:t>
      </w:r>
      <w:r>
        <w:rPr>
          <w:i/>
        </w:rPr>
        <w:t>Psychological Bulletin</w:t>
      </w:r>
      <w:r>
        <w:t xml:space="preserve">, </w:t>
      </w:r>
      <w:r>
        <w:rPr>
          <w:i/>
        </w:rPr>
        <w:t>126</w:t>
      </w:r>
      <w:r>
        <w:t>, 390.</w:t>
      </w:r>
    </w:p>
    <w:p w14:paraId="0AB93662" w14:textId="77777777" w:rsidR="006C623E" w:rsidRDefault="006C623E" w:rsidP="006C623E">
      <w:pPr>
        <w:widowControl w:val="0"/>
        <w:ind w:left="480" w:hanging="480"/>
      </w:pPr>
      <w:r>
        <w:t xml:space="preserve">Lansdown, R., Rumsey, N., Bradbury, E., Carr, T., Partridge, J., &amp; Sloper, T. (1997). </w:t>
      </w:r>
      <w:r>
        <w:rPr>
          <w:i/>
        </w:rPr>
        <w:t>Visibly different: coping with disfigurement</w:t>
      </w:r>
      <w:r>
        <w:t>. Butterworth-Heinemann Oxford.</w:t>
      </w:r>
    </w:p>
    <w:p w14:paraId="7E6811B5" w14:textId="77777777" w:rsidR="006C623E" w:rsidRDefault="006C623E" w:rsidP="006C623E">
      <w:pPr>
        <w:widowControl w:val="0"/>
        <w:ind w:left="480" w:hanging="480"/>
      </w:pPr>
      <w:r>
        <w:t xml:space="preserve">Latu, I. M., Stewart, T. L., Myers, A. C., Lisco, C. G., Estes, S. B., &amp; Donahue, D. K. (2011). What we “say” and what we “think” about female managers: Explicit versus implicit associations of women with success. </w:t>
      </w:r>
      <w:r>
        <w:rPr>
          <w:i/>
        </w:rPr>
        <w:t>Psychology of Women Quarterly</w:t>
      </w:r>
      <w:r>
        <w:t xml:space="preserve">, </w:t>
      </w:r>
      <w:r>
        <w:rPr>
          <w:i/>
        </w:rPr>
        <w:t>35</w:t>
      </w:r>
      <w:r>
        <w:t>, 252–266.</w:t>
      </w:r>
    </w:p>
    <w:p w14:paraId="797C5139" w14:textId="77777777" w:rsidR="006C623E" w:rsidRDefault="006C623E" w:rsidP="006C623E">
      <w:pPr>
        <w:widowControl w:val="0"/>
        <w:ind w:left="480" w:hanging="480"/>
      </w:pPr>
      <w:r>
        <w:t xml:space="preserve">Lavda, A. C., Webb, T. L., &amp; Thompson, A. R. (2012). A meta-analysis of the effectiveness of psychological interventions for adults with skin conditions. </w:t>
      </w:r>
      <w:r>
        <w:rPr>
          <w:i/>
        </w:rPr>
        <w:t>The British Journal of Dermatology</w:t>
      </w:r>
      <w:r>
        <w:t xml:space="preserve">, </w:t>
      </w:r>
      <w:r>
        <w:rPr>
          <w:i/>
        </w:rPr>
        <w:t>167</w:t>
      </w:r>
      <w:r>
        <w:t>, 970–979. https://doi.org/10.1111/j.1365-2133.2012.11183.x</w:t>
      </w:r>
    </w:p>
    <w:p w14:paraId="3144FD4E" w14:textId="77777777" w:rsidR="006C623E" w:rsidRDefault="006C623E" w:rsidP="006C623E">
      <w:pPr>
        <w:widowControl w:val="0"/>
        <w:ind w:left="480" w:hanging="480"/>
      </w:pPr>
      <w:r>
        <w:t xml:space="preserve">Leary, M. R., Rapp, S. R., Herbst, K. C., Exum, M. L., &amp; Feldman, S. R. (1998). Interpersonal concerns and psychological difficulties of psoriasis patients: effects of disease severity and fear of negative evaluation. </w:t>
      </w:r>
      <w:r>
        <w:rPr>
          <w:i/>
        </w:rPr>
        <w:t>Health Psychology : Official Journal of the Division of Health Psychology, American Psychological Association</w:t>
      </w:r>
      <w:r>
        <w:t xml:space="preserve">, </w:t>
      </w:r>
      <w:r>
        <w:rPr>
          <w:i/>
        </w:rPr>
        <w:t>17</w:t>
      </w:r>
      <w:r>
        <w:t>, 530–536. Retrieved from http://www.ncbi.nlm.nih.gov/pubmed/9848803</w:t>
      </w:r>
    </w:p>
    <w:p w14:paraId="3EB66E15" w14:textId="77777777" w:rsidR="006C623E" w:rsidRDefault="006C623E" w:rsidP="006C623E">
      <w:pPr>
        <w:widowControl w:val="0"/>
        <w:ind w:left="480" w:hanging="480"/>
      </w:pPr>
      <w:r>
        <w:t>Lee, W., &amp; Cunningham, G. (2014). Imagine that: examining the influence of sport</w:t>
      </w:r>
      <w:r>
        <w:rPr>
          <w:rFonts w:ascii="Cambria Math" w:eastAsia="Cambria Math" w:hAnsi="Cambria Math" w:cs="Cambria Math"/>
        </w:rPr>
        <w:t>‐</w:t>
      </w:r>
      <w:r>
        <w:t xml:space="preserve">related imagined contact on intergroup anxiety and sexual prejudice across cultures. </w:t>
      </w:r>
      <w:r>
        <w:rPr>
          <w:i/>
        </w:rPr>
        <w:t>Journal of Applied Social</w:t>
      </w:r>
      <w:r>
        <w:t>. Retrieved from http://onlinelibrary.wiley.com/doi/10.1111/jasp.12247/full</w:t>
      </w:r>
    </w:p>
    <w:p w14:paraId="77A9DFD0" w14:textId="77777777" w:rsidR="006C623E" w:rsidRDefault="006C623E" w:rsidP="006C623E">
      <w:pPr>
        <w:widowControl w:val="0"/>
        <w:ind w:left="480" w:hanging="480"/>
      </w:pPr>
      <w:r>
        <w:t>Lee, Y.-T., &amp; Jussim, L. (2010). Back in the real world.</w:t>
      </w:r>
    </w:p>
    <w:p w14:paraId="4AFC13A4" w14:textId="77777777" w:rsidR="006C623E" w:rsidRDefault="006C623E" w:rsidP="006C623E">
      <w:pPr>
        <w:widowControl w:val="0"/>
        <w:ind w:left="480" w:hanging="480"/>
      </w:pPr>
      <w:r>
        <w:t xml:space="preserve">Lemmer, G., &amp; Wagner, U. (2015). Can we really reduce ethnic prejudice outside the lab? A meta-analysis of direct and indirect contact interventions. </w:t>
      </w:r>
      <w:r>
        <w:rPr>
          <w:i/>
        </w:rPr>
        <w:t>European Journal of Social Psychology</w:t>
      </w:r>
      <w:r>
        <w:t xml:space="preserve">, </w:t>
      </w:r>
      <w:r>
        <w:rPr>
          <w:i/>
        </w:rPr>
        <w:t>45</w:t>
      </w:r>
      <w:r>
        <w:t>, 152–168. https://doi.org/10.1002/ejsp.2079</w:t>
      </w:r>
    </w:p>
    <w:p w14:paraId="438A55C4" w14:textId="77777777" w:rsidR="006C623E" w:rsidRDefault="006C623E" w:rsidP="006C623E">
      <w:pPr>
        <w:widowControl w:val="0"/>
        <w:ind w:left="480" w:hanging="480"/>
      </w:pPr>
      <w:r>
        <w:t>Lewis, R., Cash, T., &amp; Bubb</w:t>
      </w:r>
      <w:r>
        <w:rPr>
          <w:rFonts w:ascii="Cambria Math" w:eastAsia="Cambria Math" w:hAnsi="Cambria Math" w:cs="Cambria Math"/>
        </w:rPr>
        <w:t>‐</w:t>
      </w:r>
      <w:r>
        <w:t xml:space="preserve">Lewis, C. (1997). Prejudice toward fat people: the development and validation of the antifat attitudes test. </w:t>
      </w:r>
      <w:r>
        <w:rPr>
          <w:i/>
        </w:rPr>
        <w:t>Obesity Research</w:t>
      </w:r>
      <w:r>
        <w:t>. Retrieved from http://onlinelibrary.wiley.com/doi/10.1002/j.1550-</w:t>
      </w:r>
      <w:r>
        <w:lastRenderedPageBreak/>
        <w:t>8528.1997.tb00555.x/abstract</w:t>
      </w:r>
    </w:p>
    <w:p w14:paraId="2D091C37" w14:textId="77777777" w:rsidR="006C623E" w:rsidRDefault="006C623E" w:rsidP="006C623E">
      <w:pPr>
        <w:widowControl w:val="0"/>
        <w:ind w:left="480" w:hanging="480"/>
      </w:pPr>
      <w:r>
        <w:t xml:space="preserve">Li, J., Li, J., Thornicroft, G., &amp; Huang, Y. (2014). Levels of stigma among community mental health staff in Guangzhou, China. </w:t>
      </w:r>
      <w:r>
        <w:rPr>
          <w:i/>
        </w:rPr>
        <w:t>BMC Psychiatry</w:t>
      </w:r>
      <w:r>
        <w:t xml:space="preserve">, </w:t>
      </w:r>
      <w:r>
        <w:rPr>
          <w:i/>
        </w:rPr>
        <w:t>14</w:t>
      </w:r>
      <w:r>
        <w:t>(1), 231. https://doi.org/10.1186/s12888-014-0231-x</w:t>
      </w:r>
    </w:p>
    <w:p w14:paraId="518C45EB" w14:textId="77777777" w:rsidR="006C623E" w:rsidRDefault="006C623E" w:rsidP="006C623E">
      <w:pPr>
        <w:widowControl w:val="0"/>
        <w:ind w:left="480" w:hanging="480"/>
      </w:pPr>
      <w:r>
        <w:t xml:space="preserve">Liberati, A., Altman, D. G., Tetzlaff, J., Mulrow, C., Gøtzsche, P. C., Ioannidis, J. P. A., … Moher, D. (2009). The PRISMA statement for reporting systematic reviews and meta-analyses of studies that evaluate healthcare interventions: explanation and elaboration. </w:t>
      </w:r>
      <w:r>
        <w:rPr>
          <w:i/>
        </w:rPr>
        <w:t>BMJ (Clinical Research Ed.)</w:t>
      </w:r>
      <w:r>
        <w:t xml:space="preserve">, </w:t>
      </w:r>
      <w:r>
        <w:rPr>
          <w:i/>
        </w:rPr>
        <w:t>339</w:t>
      </w:r>
      <w:r>
        <w:t>(jul21_1), b2700. https://doi.org/10.1136/bmj.b2700</w:t>
      </w:r>
    </w:p>
    <w:p w14:paraId="0D631D58" w14:textId="77777777" w:rsidR="006C623E" w:rsidRDefault="006C623E" w:rsidP="006C623E">
      <w:pPr>
        <w:widowControl w:val="0"/>
        <w:ind w:left="480" w:hanging="480"/>
      </w:pPr>
      <w:r>
        <w:t xml:space="preserve">Lieberman, D. L., Tybur, J. M., &amp; Latner, J. D. (2012). Disgust sensitivity, obesity stigma, and gender: Contamination psychology predicts weight bias for women, not men. </w:t>
      </w:r>
      <w:r>
        <w:rPr>
          <w:i/>
        </w:rPr>
        <w:t>Obesity</w:t>
      </w:r>
      <w:r>
        <w:t xml:space="preserve">, </w:t>
      </w:r>
      <w:r>
        <w:rPr>
          <w:i/>
        </w:rPr>
        <w:t>20</w:t>
      </w:r>
      <w:r>
        <w:t>, 1803–1814.</w:t>
      </w:r>
    </w:p>
    <w:p w14:paraId="2E696BB2" w14:textId="77777777" w:rsidR="006C623E" w:rsidRDefault="006C623E" w:rsidP="006C623E">
      <w:pPr>
        <w:widowControl w:val="0"/>
        <w:ind w:left="480" w:hanging="480"/>
      </w:pPr>
      <w:r>
        <w:t xml:space="preserve">Link, B. G., &amp; Phelan, J. C. (2006). Stigma and its public health implications. </w:t>
      </w:r>
      <w:r>
        <w:rPr>
          <w:i/>
        </w:rPr>
        <w:t>Lancet (London, England)</w:t>
      </w:r>
      <w:r>
        <w:t xml:space="preserve">, </w:t>
      </w:r>
      <w:r>
        <w:rPr>
          <w:i/>
        </w:rPr>
        <w:t>367</w:t>
      </w:r>
      <w:r>
        <w:t>, 528–529. https://doi.org/10.1016/S0140-6736(06)68184-1</w:t>
      </w:r>
    </w:p>
    <w:p w14:paraId="1D556462" w14:textId="77777777" w:rsidR="006C623E" w:rsidRDefault="006C623E" w:rsidP="006C623E">
      <w:pPr>
        <w:widowControl w:val="0"/>
        <w:ind w:left="480" w:hanging="480"/>
      </w:pPr>
      <w:r>
        <w:t xml:space="preserve">Link, B., &amp; Phelan, J. (2001). Conceptualizing stigma. </w:t>
      </w:r>
      <w:r>
        <w:rPr>
          <w:i/>
        </w:rPr>
        <w:t>Annual Review of Sociology</w:t>
      </w:r>
      <w:r>
        <w:t>. Retrieved from http://www.jstor.org/stable/2678626</w:t>
      </w:r>
    </w:p>
    <w:p w14:paraId="6FF8B979" w14:textId="77777777" w:rsidR="006C623E" w:rsidRDefault="006C623E" w:rsidP="006C623E">
      <w:pPr>
        <w:widowControl w:val="0"/>
        <w:ind w:left="480" w:hanging="480"/>
      </w:pPr>
      <w:r>
        <w:t xml:space="preserve">Linnet, J., &amp; Jemec, G. B. E. (2001). Anxiety, Aggression, and Body Ideal in Adult Atopic Dermatitis Patients. </w:t>
      </w:r>
      <w:r>
        <w:rPr>
          <w:i/>
        </w:rPr>
        <w:t>Dermatology and Psychosomatics / Dermatologie Und Psychosomatik</w:t>
      </w:r>
      <w:r>
        <w:t xml:space="preserve">, </w:t>
      </w:r>
      <w:r>
        <w:rPr>
          <w:i/>
        </w:rPr>
        <w:t>2</w:t>
      </w:r>
      <w:r>
        <w:t>, 124–129. https://doi.org/10.1159/000049656</w:t>
      </w:r>
    </w:p>
    <w:p w14:paraId="33F047CD" w14:textId="77777777" w:rsidR="006C623E" w:rsidRDefault="006C623E" w:rsidP="006C623E">
      <w:pPr>
        <w:widowControl w:val="0"/>
        <w:ind w:left="480" w:hanging="480"/>
      </w:pPr>
      <w:r>
        <w:t xml:space="preserve">Livingston, J. D., &amp; Boyd, J. E. (2010). Correlates and consequences of internalized stigma for people living with mental illness: a systematic review and meta-analysis. </w:t>
      </w:r>
      <w:r>
        <w:rPr>
          <w:i/>
        </w:rPr>
        <w:t>Social Science &amp; Medicine (1982)</w:t>
      </w:r>
      <w:r>
        <w:t xml:space="preserve">, </w:t>
      </w:r>
      <w:r>
        <w:rPr>
          <w:i/>
        </w:rPr>
        <w:t>71</w:t>
      </w:r>
      <w:r>
        <w:t>, 2150–2161. https://doi.org/10.1016/j.socscimed.2010.09.030</w:t>
      </w:r>
    </w:p>
    <w:p w14:paraId="23FF4C3B" w14:textId="77777777" w:rsidR="006C623E" w:rsidRDefault="006C623E" w:rsidP="006C623E">
      <w:pPr>
        <w:widowControl w:val="0"/>
        <w:ind w:left="480" w:hanging="480"/>
      </w:pPr>
      <w:r>
        <w:t xml:space="preserve">Macgregor, F. C. (1990). Facial disfigurement: problems and management of social interaction and implications for mental health. </w:t>
      </w:r>
      <w:r>
        <w:rPr>
          <w:i/>
        </w:rPr>
        <w:t>Aesthetic Plastic Surgery</w:t>
      </w:r>
      <w:r>
        <w:t xml:space="preserve">, </w:t>
      </w:r>
      <w:r>
        <w:rPr>
          <w:i/>
        </w:rPr>
        <w:t>14</w:t>
      </w:r>
      <w:r>
        <w:t>, 249–257. Retrieved from http://www.ncbi.nlm.nih.gov/pubmed/2239515</w:t>
      </w:r>
    </w:p>
    <w:p w14:paraId="141C3539" w14:textId="77777777" w:rsidR="006C623E" w:rsidRDefault="006C623E" w:rsidP="006C623E">
      <w:pPr>
        <w:widowControl w:val="0"/>
        <w:ind w:left="480" w:hanging="480"/>
      </w:pPr>
      <w:r w:rsidRPr="008636E5">
        <w:rPr>
          <w:lang w:val="es-CO"/>
        </w:rPr>
        <w:t xml:space="preserve">Madera, J. J. M., &amp; Hebl, M. M. R. (2012). </w:t>
      </w:r>
      <w:r>
        <w:t xml:space="preserve">Discrimination against facially stigmatized applicants in interviews: an eye-tracking and face-to-face investigation. </w:t>
      </w:r>
      <w:r>
        <w:rPr>
          <w:i/>
        </w:rPr>
        <w:t>The Journal of Applied Psychology</w:t>
      </w:r>
      <w:r>
        <w:t xml:space="preserve">, </w:t>
      </w:r>
      <w:r>
        <w:rPr>
          <w:i/>
        </w:rPr>
        <w:t>97</w:t>
      </w:r>
      <w:r>
        <w:t>(2), 317–330. https://doi.org/10.1037/a0025799</w:t>
      </w:r>
    </w:p>
    <w:p w14:paraId="1932919E" w14:textId="77777777" w:rsidR="006C623E" w:rsidRDefault="006C623E" w:rsidP="006C623E">
      <w:pPr>
        <w:widowControl w:val="0"/>
        <w:ind w:left="480" w:hanging="480"/>
      </w:pPr>
      <w:r>
        <w:t xml:space="preserve">Madera, J. M. (2016). Facial Stigmas in Dyadic Selection Interviews. </w:t>
      </w:r>
      <w:r>
        <w:rPr>
          <w:i/>
        </w:rPr>
        <w:t>Journal of Hospitality &amp; Tourism Research</w:t>
      </w:r>
      <w:r>
        <w:t xml:space="preserve">, </w:t>
      </w:r>
      <w:r>
        <w:rPr>
          <w:i/>
        </w:rPr>
        <w:t>40</w:t>
      </w:r>
      <w:r>
        <w:t>, 456–475. https://doi.org/10.1177/1096348013503996</w:t>
      </w:r>
    </w:p>
    <w:p w14:paraId="44091FEF" w14:textId="77777777" w:rsidR="006C623E" w:rsidRDefault="006C623E" w:rsidP="006C623E">
      <w:pPr>
        <w:widowControl w:val="0"/>
        <w:ind w:left="480" w:hanging="480"/>
      </w:pPr>
      <w:r>
        <w:lastRenderedPageBreak/>
        <w:t xml:space="preserve">Mak, W. W. S., &amp; Cheung, R. Y. M. (2008). Affiliate Stigma Among Caregivers of People with Intellectual Disability or Mental Illness. </w:t>
      </w:r>
      <w:r>
        <w:rPr>
          <w:i/>
        </w:rPr>
        <w:t>Journal of Applied Research in Intellectual Disabilities</w:t>
      </w:r>
      <w:r>
        <w:t xml:space="preserve">, </w:t>
      </w:r>
      <w:r>
        <w:rPr>
          <w:i/>
        </w:rPr>
        <w:t>21</w:t>
      </w:r>
      <w:r>
        <w:t>, 532–545. https://doi.org/10.1111/j.1468-3148.2008.00426.x</w:t>
      </w:r>
    </w:p>
    <w:p w14:paraId="2D1ADCE1"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Mak, W. W. S., Mo, P. K. H., Ma, G. Y. K., &amp; Lam, M. Y. Y. (2017). Meta-analysis and systematic review of studies on the effectiveness of HIV stigma reduction programs. </w:t>
      </w:r>
      <w:r w:rsidRPr="000F7776">
        <w:rPr>
          <w:i/>
          <w:iCs/>
          <w:noProof/>
          <w:szCs w:val="24"/>
        </w:rPr>
        <w:t>Social Science &amp; Medicine</w:t>
      </w:r>
      <w:r w:rsidRPr="000F7776">
        <w:rPr>
          <w:noProof/>
          <w:szCs w:val="24"/>
        </w:rPr>
        <w:t xml:space="preserve">, </w:t>
      </w:r>
      <w:r w:rsidRPr="000F7776">
        <w:rPr>
          <w:i/>
          <w:iCs/>
          <w:noProof/>
          <w:szCs w:val="24"/>
        </w:rPr>
        <w:t>188</w:t>
      </w:r>
      <w:r w:rsidRPr="000F7776">
        <w:rPr>
          <w:noProof/>
          <w:szCs w:val="24"/>
        </w:rPr>
        <w:t>, 30–40.</w:t>
      </w:r>
    </w:p>
    <w:p w14:paraId="7A988165" w14:textId="77777777" w:rsidR="006C623E" w:rsidRDefault="006C623E" w:rsidP="006C623E">
      <w:pPr>
        <w:widowControl w:val="0"/>
        <w:ind w:left="480" w:hanging="480"/>
      </w:pPr>
      <w:r>
        <w:t xml:space="preserve">Maner, J. K., Kenrick, D. T., Becker, D. V., Delton, A. W., Hofer, B., Wilbur, C. J., &amp; Neuberg, S. L. (2003). Sexually selective cognition: beauty captures the mind of the beholder. </w:t>
      </w:r>
      <w:r>
        <w:rPr>
          <w:i/>
        </w:rPr>
        <w:t>Journal of Personality and Social Psychology</w:t>
      </w:r>
      <w:r>
        <w:t xml:space="preserve">, </w:t>
      </w:r>
      <w:r>
        <w:rPr>
          <w:i/>
        </w:rPr>
        <w:t>85</w:t>
      </w:r>
      <w:r>
        <w:t>(6), 1107–1120. https://doi.org/10.1037/0022-3514.85.6.1107</w:t>
      </w:r>
    </w:p>
    <w:p w14:paraId="47A901D7" w14:textId="77777777" w:rsidR="006C623E" w:rsidRDefault="006C623E" w:rsidP="006C623E">
      <w:pPr>
        <w:widowControl w:val="0"/>
        <w:ind w:left="480" w:hanging="480"/>
      </w:pPr>
      <w:r>
        <w:t xml:space="preserve">Matsuno, E., &amp; Budge, S. L. (2017). Non-binary/genderqueer identities: A critical review of the literature. </w:t>
      </w:r>
      <w:r>
        <w:rPr>
          <w:i/>
        </w:rPr>
        <w:t>Current Sexual Health Reports</w:t>
      </w:r>
      <w:r>
        <w:t xml:space="preserve">, </w:t>
      </w:r>
      <w:r>
        <w:rPr>
          <w:i/>
        </w:rPr>
        <w:t>9</w:t>
      </w:r>
      <w:r>
        <w:t>, 116–120.</w:t>
      </w:r>
    </w:p>
    <w:p w14:paraId="39B88294" w14:textId="77777777" w:rsidR="006C623E" w:rsidRDefault="006C623E" w:rsidP="006C623E">
      <w:pPr>
        <w:widowControl w:val="0"/>
        <w:ind w:left="480" w:hanging="480"/>
      </w:pPr>
      <w:r>
        <w:t xml:space="preserve">Mehta, N., Clement, S., Marcus, E., Stona, A.-C., Bezborodovs, N., Evans-Lacko, S., … Thornicroft, G. (2015). Evidence for effective interventions to reduce mental health-related stigma and discrimination in the medium and long term: Systematic review. </w:t>
      </w:r>
      <w:r>
        <w:rPr>
          <w:i/>
        </w:rPr>
        <w:t>British Journal of Psychiatry</w:t>
      </w:r>
      <w:r>
        <w:t xml:space="preserve">, </w:t>
      </w:r>
      <w:r>
        <w:rPr>
          <w:i/>
        </w:rPr>
        <w:t>207</w:t>
      </w:r>
      <w:r>
        <w:t>, 377–384. https://doi.org/DOI: 10.1192/bjp.bp.114.151944</w:t>
      </w:r>
    </w:p>
    <w:p w14:paraId="767629B3" w14:textId="77777777" w:rsidR="006C623E" w:rsidRDefault="006C623E" w:rsidP="006C623E">
      <w:pPr>
        <w:widowControl w:val="0"/>
        <w:ind w:left="480" w:hanging="480"/>
      </w:pPr>
      <w:r>
        <w:t xml:space="preserve">Merritt, R. W., Walker, E. D., Small, P. L. C., Wallace, J. R., Johnson, P. D. R., Benbow, M. E., &amp; Boakye, D. A. (2010). Ecology and Transmission of Buruli Ulcer Disease: A Systematic Review. </w:t>
      </w:r>
      <w:r>
        <w:rPr>
          <w:i/>
        </w:rPr>
        <w:t>PLOS Neglected Tropical Diseases</w:t>
      </w:r>
      <w:r>
        <w:t xml:space="preserve">, </w:t>
      </w:r>
      <w:r>
        <w:rPr>
          <w:i/>
        </w:rPr>
        <w:t>4</w:t>
      </w:r>
      <w:r>
        <w:t>, e911. Retrieved from https://doi.org/10.1371/journal.pntd.0000911</w:t>
      </w:r>
    </w:p>
    <w:p w14:paraId="2E2AB23D" w14:textId="77777777" w:rsidR="006C623E" w:rsidRDefault="006C623E" w:rsidP="006C623E">
      <w:pPr>
        <w:widowControl w:val="0"/>
        <w:ind w:left="480" w:hanging="480"/>
      </w:pPr>
      <w:r>
        <w:t xml:space="preserve">Mertens, I., Siegmund, H., &amp; Grüsser, O.-J. (1993). Gaze motor asymmetries in the perception of faces during a memory task. </w:t>
      </w:r>
      <w:r>
        <w:rPr>
          <w:i/>
        </w:rPr>
        <w:t>Neuropsychologia</w:t>
      </w:r>
      <w:r>
        <w:t xml:space="preserve">, </w:t>
      </w:r>
      <w:r>
        <w:rPr>
          <w:i/>
        </w:rPr>
        <w:t>31</w:t>
      </w:r>
      <w:r>
        <w:t>, 989–998.</w:t>
      </w:r>
    </w:p>
    <w:p w14:paraId="37048B87" w14:textId="77777777" w:rsidR="006C623E" w:rsidRDefault="006C623E" w:rsidP="006C623E">
      <w:pPr>
        <w:widowControl w:val="0"/>
        <w:ind w:left="480" w:hanging="480"/>
      </w:pPr>
      <w:r>
        <w:t xml:space="preserve">Meyer-Marcotty, P., &amp; Stellzig-Eisenhauer, A. (2009). Dentofacial self-perception and social perception of adults with unilateral cleft lip and palate. </w:t>
      </w:r>
      <w:r>
        <w:rPr>
          <w:i/>
        </w:rPr>
        <w:t>Journal of Orofacial Orthopedics/Fortschritte Der Kieferorthopädie</w:t>
      </w:r>
      <w:r>
        <w:t xml:space="preserve">, </w:t>
      </w:r>
      <w:r>
        <w:rPr>
          <w:i/>
        </w:rPr>
        <w:t>70</w:t>
      </w:r>
      <w:r>
        <w:t>, 224–236.</w:t>
      </w:r>
    </w:p>
    <w:p w14:paraId="44698AD1" w14:textId="77777777" w:rsidR="006C623E" w:rsidRDefault="006C623E" w:rsidP="006C623E">
      <w:pPr>
        <w:widowControl w:val="0"/>
        <w:ind w:left="480" w:hanging="480"/>
      </w:pPr>
      <w:r>
        <w:t xml:space="preserve">Michaels, P. J. P., &amp; Corrigan, P. P. W. (2013). Measuring mental illness stigma with diminished social desirability effects. </w:t>
      </w:r>
      <w:r>
        <w:rPr>
          <w:i/>
        </w:rPr>
        <w:t>Journal of Mental Health (Abingdon, England)</w:t>
      </w:r>
      <w:r>
        <w:t xml:space="preserve">, </w:t>
      </w:r>
      <w:r>
        <w:rPr>
          <w:i/>
        </w:rPr>
        <w:t>22</w:t>
      </w:r>
      <w:r>
        <w:t>, 218–226. https://doi.org/10.3109/09638237.2012.734652</w:t>
      </w:r>
    </w:p>
    <w:p w14:paraId="1FFF466D" w14:textId="77777777" w:rsidR="006C623E" w:rsidRDefault="006C623E" w:rsidP="006C623E">
      <w:pPr>
        <w:widowControl w:val="0"/>
        <w:ind w:left="480" w:hanging="480"/>
      </w:pPr>
      <w:r>
        <w:t xml:space="preserve">Michaels, P. J., Corrigan, P. W., Buchholz, B., Brown, J., Arthur, T., Netter, C., &amp; Macdonald-Wilson, K. L. (2014). Changing stigma through a consumer-based stigma reduction program. </w:t>
      </w:r>
      <w:r>
        <w:rPr>
          <w:i/>
        </w:rPr>
        <w:t>Community Mental Health Journal</w:t>
      </w:r>
      <w:r>
        <w:t xml:space="preserve">, </w:t>
      </w:r>
      <w:r>
        <w:rPr>
          <w:i/>
        </w:rPr>
        <w:t>50</w:t>
      </w:r>
      <w:r>
        <w:t>(4), 395–401. https://doi.org/10.1007/s10597-013-9628-0</w:t>
      </w:r>
    </w:p>
    <w:p w14:paraId="1F3D768D" w14:textId="77777777" w:rsidR="006C623E" w:rsidRDefault="006C623E" w:rsidP="006C623E">
      <w:pPr>
        <w:widowControl w:val="0"/>
        <w:ind w:left="480" w:hanging="480"/>
      </w:pPr>
      <w:r>
        <w:lastRenderedPageBreak/>
        <w:t xml:space="preserve">Miles, E, &amp; Crisp, R. (2014). A meta-analytic test of the imagined contact hypothesis. </w:t>
      </w:r>
      <w:r>
        <w:rPr>
          <w:i/>
        </w:rPr>
        <w:t>Group Processes &amp; Intergroup Relations</w:t>
      </w:r>
      <w:r>
        <w:t>. Retrieved from http://gpi.sagepub.com/content/17/1/3.short</w:t>
      </w:r>
    </w:p>
    <w:p w14:paraId="13F9C67C" w14:textId="77777777" w:rsidR="006C623E" w:rsidRDefault="006C623E" w:rsidP="006C623E">
      <w:pPr>
        <w:widowControl w:val="0"/>
        <w:ind w:left="480" w:hanging="480"/>
      </w:pPr>
      <w:r w:rsidRPr="008636E5">
        <w:rPr>
          <w:lang w:val="es-CO"/>
        </w:rPr>
        <w:t xml:space="preserve">Miles, E, &amp; Crisp, R. J. (2013). </w:t>
      </w:r>
      <w:r>
        <w:t xml:space="preserve">A meta-analytic test of the imagined contact hypothesis. </w:t>
      </w:r>
      <w:r>
        <w:rPr>
          <w:i/>
        </w:rPr>
        <w:t>Group Processes &amp; Intergroup Relations</w:t>
      </w:r>
      <w:r>
        <w:t xml:space="preserve">, </w:t>
      </w:r>
      <w:r>
        <w:rPr>
          <w:i/>
        </w:rPr>
        <w:t>17</w:t>
      </w:r>
      <w:r>
        <w:t>, 3–26. https://doi.org/10.1177/1368430213510573</w:t>
      </w:r>
    </w:p>
    <w:p w14:paraId="70402C8E"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Mills, J. K., McGrath, D., Sobkoviak, P., Stupec, S., &amp; Welsh, S. (1995). Differences in expressed racial prejudice and acceptance of others. </w:t>
      </w:r>
      <w:r w:rsidRPr="000F7776">
        <w:rPr>
          <w:i/>
          <w:iCs/>
          <w:noProof/>
          <w:szCs w:val="24"/>
        </w:rPr>
        <w:t>Journal of Psychology</w:t>
      </w:r>
      <w:r w:rsidRPr="000F7776">
        <w:rPr>
          <w:noProof/>
          <w:szCs w:val="24"/>
        </w:rPr>
        <w:t xml:space="preserve">, </w:t>
      </w:r>
      <w:r w:rsidRPr="000F7776">
        <w:rPr>
          <w:i/>
          <w:iCs/>
          <w:noProof/>
          <w:szCs w:val="24"/>
        </w:rPr>
        <w:t>129</w:t>
      </w:r>
      <w:r w:rsidRPr="000F7776">
        <w:rPr>
          <w:noProof/>
          <w:szCs w:val="24"/>
        </w:rPr>
        <w:t>(3), 357.</w:t>
      </w:r>
    </w:p>
    <w:p w14:paraId="68FA358D" w14:textId="77777777" w:rsidR="006C623E" w:rsidRDefault="006C623E" w:rsidP="006C623E">
      <w:pPr>
        <w:widowControl w:val="0"/>
        <w:ind w:left="480" w:hanging="480"/>
      </w:pPr>
      <w:r>
        <w:t xml:space="preserve">Mittal, D., Sullivan, G., Chekuri, L., Allee, E., &amp; Corrigan, P. W. (2012). Empirical Studies of Self-Stigma Reduction Strategies: A Critical Review of the Literature. </w:t>
      </w:r>
      <w:r>
        <w:rPr>
          <w:i/>
        </w:rPr>
        <w:t>Psychiatric Services (Washington, D.C.)</w:t>
      </w:r>
      <w:r>
        <w:t xml:space="preserve">, </w:t>
      </w:r>
      <w:r>
        <w:rPr>
          <w:i/>
        </w:rPr>
        <w:t>63</w:t>
      </w:r>
      <w:r>
        <w:t>(10), 974–981. https://doi.org/10.1176/appi.ps.201100459</w:t>
      </w:r>
    </w:p>
    <w:p w14:paraId="61E546B3" w14:textId="77777777" w:rsidR="006C623E" w:rsidRDefault="006C623E" w:rsidP="006C623E">
      <w:pPr>
        <w:widowControl w:val="0"/>
        <w:ind w:left="480" w:hanging="480"/>
      </w:pPr>
      <w:r>
        <w:t xml:space="preserve">Mojon-Azzi, S M, Potnik, W., &amp; Mojon, D. S. (2008). Opinions of dating agents about strabismic subjects’ ability to find a partner. </w:t>
      </w:r>
      <w:r>
        <w:rPr>
          <w:i/>
        </w:rPr>
        <w:t>The British Journal of Ophthalmology</w:t>
      </w:r>
      <w:r>
        <w:t xml:space="preserve">, </w:t>
      </w:r>
      <w:r>
        <w:rPr>
          <w:i/>
        </w:rPr>
        <w:t>92</w:t>
      </w:r>
      <w:r>
        <w:t>, 765–769. https://doi.org/10.1136/bjo.2007.128884</w:t>
      </w:r>
    </w:p>
    <w:p w14:paraId="33D6311F" w14:textId="77777777" w:rsidR="006C623E" w:rsidRDefault="006C623E" w:rsidP="006C623E">
      <w:pPr>
        <w:widowControl w:val="0"/>
        <w:ind w:left="480" w:hanging="480"/>
      </w:pPr>
      <w:r>
        <w:t xml:space="preserve">Mojon-Azzi, Stefania Margherita, &amp; Mojon, D. S. (2007). Opinion of headhunters about the ability of strabismic subjects to obtain employment. </w:t>
      </w:r>
      <w:r>
        <w:rPr>
          <w:i/>
        </w:rPr>
        <w:t>Ophthalmologica</w:t>
      </w:r>
      <w:r>
        <w:t xml:space="preserve">, </w:t>
      </w:r>
      <w:r>
        <w:rPr>
          <w:i/>
        </w:rPr>
        <w:t>221</w:t>
      </w:r>
      <w:r>
        <w:t>, 430–433. https://doi.org/10.1159/000107506</w:t>
      </w:r>
    </w:p>
    <w:p w14:paraId="3B2741E9" w14:textId="77777777" w:rsidR="006C623E" w:rsidRDefault="006C623E" w:rsidP="006C623E">
      <w:pPr>
        <w:widowControl w:val="0"/>
        <w:ind w:left="480" w:hanging="480"/>
      </w:pPr>
      <w:r>
        <w:t xml:space="preserve">Moolenburgh, S. E., Mureau, M. A. M., &amp; Hofer, S. O. P. (2008). Facial attractiveness and abnormality of nasal reconstruction patients and controls assessed by laypersons. </w:t>
      </w:r>
      <w:r>
        <w:rPr>
          <w:i/>
        </w:rPr>
        <w:t>Journal of Plastic, Reconstructive and Aesthetic Surgery</w:t>
      </w:r>
      <w:r>
        <w:t xml:space="preserve">, </w:t>
      </w:r>
      <w:r>
        <w:rPr>
          <w:i/>
        </w:rPr>
        <w:t>61</w:t>
      </w:r>
      <w:r>
        <w:t>, 676–680. https://doi.org/10.1016/j.bjps.2007.12.017</w:t>
      </w:r>
    </w:p>
    <w:p w14:paraId="6C1864B4" w14:textId="77777777" w:rsidR="006C623E" w:rsidRPr="005621E2" w:rsidRDefault="006C623E" w:rsidP="006C623E">
      <w:pPr>
        <w:widowControl w:val="0"/>
        <w:ind w:left="480" w:hanging="480"/>
      </w:pPr>
      <w:r>
        <w:t xml:space="preserve">Moonesinghe, R., Khoury, M. J., &amp; Janssens, A. C. J. W. (2007). Most published research findings are false—but a little replication goes a long way. </w:t>
      </w:r>
      <w:r w:rsidRPr="005621E2">
        <w:rPr>
          <w:i/>
        </w:rPr>
        <w:t>PLoS Medicine</w:t>
      </w:r>
      <w:r w:rsidRPr="005621E2">
        <w:t xml:space="preserve">, </w:t>
      </w:r>
      <w:r w:rsidRPr="005621E2">
        <w:rPr>
          <w:i/>
        </w:rPr>
        <w:t>4</w:t>
      </w:r>
      <w:r w:rsidRPr="005621E2">
        <w:t>, e28.</w:t>
      </w:r>
    </w:p>
    <w:p w14:paraId="7EDC3E27"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Morgan, A. J., Reavley, N. J., Ross, A., San Too, L., &amp; Jorm, A. F. (2018). Interventions to reduce stigma towards people with severe mental illness: Systematic review and meta-analysis. </w:t>
      </w:r>
      <w:r w:rsidRPr="000F7776">
        <w:rPr>
          <w:i/>
          <w:iCs/>
          <w:noProof/>
          <w:szCs w:val="24"/>
        </w:rPr>
        <w:t>Journal of Psychiatric Research</w:t>
      </w:r>
      <w:r w:rsidRPr="000F7776">
        <w:rPr>
          <w:noProof/>
          <w:szCs w:val="24"/>
        </w:rPr>
        <w:t xml:space="preserve">, </w:t>
      </w:r>
      <w:r w:rsidRPr="000F7776">
        <w:rPr>
          <w:i/>
          <w:iCs/>
          <w:noProof/>
          <w:szCs w:val="24"/>
        </w:rPr>
        <w:t>103</w:t>
      </w:r>
      <w:r w:rsidRPr="000F7776">
        <w:rPr>
          <w:noProof/>
          <w:szCs w:val="24"/>
        </w:rPr>
        <w:t>, 120–133.</w:t>
      </w:r>
    </w:p>
    <w:p w14:paraId="62496C9B"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Moss, T. P., Lawson, V., &amp; White, P. (2014). Salience and valence of appearance in a population with a visible difference of appearance: direct and moderated relationships with self-consciousness, anxiety and depression. </w:t>
      </w:r>
      <w:r w:rsidRPr="000F7776">
        <w:rPr>
          <w:i/>
          <w:iCs/>
          <w:noProof/>
          <w:szCs w:val="24"/>
        </w:rPr>
        <w:t>PloS One</w:t>
      </w:r>
      <w:r w:rsidRPr="000F7776">
        <w:rPr>
          <w:noProof/>
          <w:szCs w:val="24"/>
        </w:rPr>
        <w:t xml:space="preserve">, </w:t>
      </w:r>
      <w:r w:rsidRPr="000F7776">
        <w:rPr>
          <w:i/>
          <w:iCs/>
          <w:noProof/>
          <w:szCs w:val="24"/>
        </w:rPr>
        <w:t>9</w:t>
      </w:r>
      <w:r w:rsidRPr="000F7776">
        <w:rPr>
          <w:noProof/>
          <w:szCs w:val="24"/>
        </w:rPr>
        <w:t>(2), e88435. https://doi.org/10.1371/journal.pone.0088435</w:t>
      </w:r>
    </w:p>
    <w:p w14:paraId="35D85BB0"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Mulvey, K. L., &amp; Killen, M. (2015). Challenging gender stereotypes: Resistance and </w:t>
      </w:r>
      <w:r w:rsidRPr="000F7776">
        <w:rPr>
          <w:noProof/>
          <w:szCs w:val="24"/>
        </w:rPr>
        <w:lastRenderedPageBreak/>
        <w:t xml:space="preserve">exclusion. </w:t>
      </w:r>
      <w:r w:rsidRPr="000F7776">
        <w:rPr>
          <w:i/>
          <w:iCs/>
          <w:noProof/>
          <w:szCs w:val="24"/>
        </w:rPr>
        <w:t>Child Development</w:t>
      </w:r>
      <w:r w:rsidRPr="000F7776">
        <w:rPr>
          <w:noProof/>
          <w:szCs w:val="24"/>
        </w:rPr>
        <w:t xml:space="preserve">, </w:t>
      </w:r>
      <w:r w:rsidRPr="000F7776">
        <w:rPr>
          <w:i/>
          <w:iCs/>
          <w:noProof/>
          <w:szCs w:val="24"/>
        </w:rPr>
        <w:t>86</w:t>
      </w:r>
      <w:r w:rsidRPr="000F7776">
        <w:rPr>
          <w:noProof/>
          <w:szCs w:val="24"/>
        </w:rPr>
        <w:t>(3), 681–694.</w:t>
      </w:r>
    </w:p>
    <w:p w14:paraId="48423F8F" w14:textId="77777777" w:rsidR="006C623E" w:rsidRDefault="006C623E" w:rsidP="006C623E">
      <w:pPr>
        <w:widowControl w:val="0"/>
        <w:ind w:left="480" w:hanging="480"/>
      </w:pPr>
      <w:r>
        <w:t xml:space="preserve">Munyi, C. W. (2012). Past and present perceptions towards disability: A historical perspective. </w:t>
      </w:r>
      <w:r>
        <w:rPr>
          <w:i/>
        </w:rPr>
        <w:t>Disability Studies Quarterly</w:t>
      </w:r>
      <w:r>
        <w:t xml:space="preserve">, </w:t>
      </w:r>
      <w:r>
        <w:rPr>
          <w:i/>
        </w:rPr>
        <w:t>32</w:t>
      </w:r>
      <w:r>
        <w:t>(2).</w:t>
      </w:r>
    </w:p>
    <w:p w14:paraId="308D3BE0" w14:textId="77777777" w:rsidR="006C623E" w:rsidRDefault="006C623E" w:rsidP="006C623E">
      <w:pPr>
        <w:widowControl w:val="0"/>
        <w:ind w:left="480" w:hanging="480"/>
      </w:pPr>
      <w:r w:rsidRPr="005621E2">
        <w:t xml:space="preserve">Navarrete, C. D. C., &amp; Fessler, D. M. T. D. (2006). </w:t>
      </w:r>
      <w:r>
        <w:t xml:space="preserve">Disease avoidance and ethnocentrism: The effects of disease vulnerability and disgust sensitivity on intergroup attitudes. </w:t>
      </w:r>
      <w:r>
        <w:rPr>
          <w:i/>
        </w:rPr>
        <w:t>Evolution and Human Behavior</w:t>
      </w:r>
      <w:r>
        <w:t xml:space="preserve">, </w:t>
      </w:r>
      <w:r>
        <w:rPr>
          <w:i/>
        </w:rPr>
        <w:t>27</w:t>
      </w:r>
      <w:r>
        <w:t>, 270–282. Retrieved from http://www.sciencedirect.com/science/article/pii/S109051380600002X</w:t>
      </w:r>
    </w:p>
    <w:p w14:paraId="353EBB92" w14:textId="77777777" w:rsidR="006C623E" w:rsidRDefault="006C623E" w:rsidP="006C623E">
      <w:pPr>
        <w:widowControl w:val="0"/>
        <w:ind w:left="480" w:hanging="480"/>
      </w:pPr>
      <w:r>
        <w:t xml:space="preserve">Neuberg, S. L., &amp; Cottrell, C. A. (2006). Evolutionary bases of prejudices. </w:t>
      </w:r>
      <w:r>
        <w:rPr>
          <w:i/>
        </w:rPr>
        <w:t>Evolution and Social Psychology</w:t>
      </w:r>
      <w:r>
        <w:t>, 163–187.</w:t>
      </w:r>
    </w:p>
    <w:p w14:paraId="42AE968C" w14:textId="77777777" w:rsidR="006C623E" w:rsidRDefault="006C623E" w:rsidP="006C623E">
      <w:pPr>
        <w:widowControl w:val="0"/>
        <w:ind w:left="480" w:hanging="480"/>
      </w:pPr>
      <w:r>
        <w:t>Newell, R. J. (1999). Altered body image: a fear</w:t>
      </w:r>
      <w:r>
        <w:rPr>
          <w:rFonts w:ascii="Cambria Math" w:eastAsia="Cambria Math" w:hAnsi="Cambria Math" w:cs="Cambria Math"/>
        </w:rPr>
        <w:t>‐</w:t>
      </w:r>
      <w:r>
        <w:t>avoidance model of psycho</w:t>
      </w:r>
      <w:r>
        <w:rPr>
          <w:rFonts w:ascii="Cambria Math" w:eastAsia="Cambria Math" w:hAnsi="Cambria Math" w:cs="Cambria Math"/>
        </w:rPr>
        <w:t>‐</w:t>
      </w:r>
      <w:r>
        <w:t xml:space="preserve">social difficulties following disfigurement. </w:t>
      </w:r>
      <w:r>
        <w:rPr>
          <w:i/>
        </w:rPr>
        <w:t>Journal of Advanced Nursing</w:t>
      </w:r>
      <w:r>
        <w:t xml:space="preserve">, </w:t>
      </w:r>
      <w:r>
        <w:rPr>
          <w:i/>
        </w:rPr>
        <w:t>30</w:t>
      </w:r>
      <w:r>
        <w:t>, 1230–1238.</w:t>
      </w:r>
    </w:p>
    <w:p w14:paraId="3ED24FC7" w14:textId="77777777" w:rsidR="006C623E" w:rsidRDefault="006C623E" w:rsidP="006C623E">
      <w:pPr>
        <w:widowControl w:val="0"/>
        <w:ind w:left="480" w:hanging="480"/>
      </w:pPr>
      <w:r>
        <w:t xml:space="preserve">Newell, R., &amp; Clarke, M. (2000). Evaluation of a self-help leaflet in treatment of social difficulties following facial disfigurement. </w:t>
      </w:r>
      <w:r>
        <w:rPr>
          <w:i/>
        </w:rPr>
        <w:t>International Journal of Nursing Studies</w:t>
      </w:r>
      <w:r>
        <w:t xml:space="preserve">, </w:t>
      </w:r>
      <w:r>
        <w:rPr>
          <w:i/>
        </w:rPr>
        <w:t>37</w:t>
      </w:r>
      <w:r>
        <w:t>, 381–388.</w:t>
      </w:r>
    </w:p>
    <w:p w14:paraId="254B53BF" w14:textId="77777777" w:rsidR="006C623E" w:rsidRDefault="006C623E" w:rsidP="006C623E">
      <w:pPr>
        <w:widowControl w:val="0"/>
        <w:ind w:left="480" w:hanging="480"/>
      </w:pPr>
      <w:r>
        <w:t xml:space="preserve">Noordeen, S. K. (1998). Epidemiology of leprosy. In </w:t>
      </w:r>
      <w:r>
        <w:rPr>
          <w:i/>
        </w:rPr>
        <w:t>Mycobacteria</w:t>
      </w:r>
      <w:r>
        <w:t xml:space="preserve"> (pp. 379–397). Springer.</w:t>
      </w:r>
    </w:p>
    <w:p w14:paraId="55D880AE" w14:textId="77777777" w:rsidR="006C623E" w:rsidRDefault="006C623E" w:rsidP="006C623E">
      <w:pPr>
        <w:widowControl w:val="0"/>
        <w:ind w:left="480" w:hanging="480"/>
      </w:pPr>
      <w:r>
        <w:t xml:space="preserve">Nyblade, L. (2006). Measuring HIV stigma: existing knowledge and gaps. </w:t>
      </w:r>
      <w:r>
        <w:rPr>
          <w:i/>
        </w:rPr>
        <w:t>Psychology, Health &amp; Medicine</w:t>
      </w:r>
      <w:r>
        <w:t>. Retrieved from http://www.tandfonline.com/doi/abs/10.1080/13548500600595178</w:t>
      </w:r>
    </w:p>
    <w:p w14:paraId="6DCD7930" w14:textId="77777777" w:rsidR="006C623E" w:rsidRDefault="006C623E" w:rsidP="006C623E">
      <w:pPr>
        <w:widowControl w:val="0"/>
        <w:ind w:left="480" w:hanging="480"/>
      </w:pPr>
      <w:r>
        <w:t xml:space="preserve">O’Brien, K. S., Daníelsdóttir, S., Ólafsson, R. P., Hansdóttir, I., Fridjónsdóttir, T. G., &amp; Jónsdóttir, H. (2013). The relationship between physical appearance concerns, disgust, and anti-fat prejudice. </w:t>
      </w:r>
      <w:r>
        <w:rPr>
          <w:i/>
        </w:rPr>
        <w:t>Body Image</w:t>
      </w:r>
      <w:r>
        <w:t xml:space="preserve">, </w:t>
      </w:r>
      <w:r>
        <w:rPr>
          <w:i/>
        </w:rPr>
        <w:t>10</w:t>
      </w:r>
      <w:r>
        <w:t>, 619–623. https://doi.org/10.1016/j.bodyim.2013.07.012</w:t>
      </w:r>
    </w:p>
    <w:p w14:paraId="7EAF0871" w14:textId="77777777" w:rsidR="006C623E" w:rsidRDefault="006C623E" w:rsidP="006C623E">
      <w:pPr>
        <w:widowControl w:val="0"/>
        <w:ind w:left="480" w:hanging="480"/>
      </w:pPr>
      <w:r>
        <w:t xml:space="preserve">O’Brien, K. S., Hunter, J. A., &amp; Banks, M. (2006). Implicit anti-fat bias in physical educators: physical attributes, ideology and socialization. </w:t>
      </w:r>
      <w:r>
        <w:rPr>
          <w:i/>
        </w:rPr>
        <w:t>International Journal of Obesity</w:t>
      </w:r>
      <w:r>
        <w:t xml:space="preserve">, </w:t>
      </w:r>
      <w:r>
        <w:rPr>
          <w:i/>
        </w:rPr>
        <w:t>31</w:t>
      </w:r>
      <w:r>
        <w:t>, 308. Retrieved from https://doi.org/10.1038/sj.ijo.0803398</w:t>
      </w:r>
    </w:p>
    <w:p w14:paraId="1BE3C75F" w14:textId="77777777" w:rsidR="006C623E" w:rsidRDefault="006C623E" w:rsidP="006C623E">
      <w:pPr>
        <w:widowControl w:val="0"/>
        <w:ind w:left="480" w:hanging="480"/>
      </w:pPr>
      <w:r>
        <w:t xml:space="preserve">O’Brien, K. S., Hunter, J. A., Halberstadt, J., &amp; Anderson, J. (2007). Body image and explicit and implicit anti-fat attitudes: The mediating role of physical appearance comparisons. </w:t>
      </w:r>
      <w:r>
        <w:rPr>
          <w:i/>
        </w:rPr>
        <w:t>Body Image</w:t>
      </w:r>
      <w:r>
        <w:t xml:space="preserve">, </w:t>
      </w:r>
      <w:r>
        <w:rPr>
          <w:i/>
        </w:rPr>
        <w:t>4</w:t>
      </w:r>
      <w:r>
        <w:t>, 249–256. https://doi.org/https://doi.org/10.1016/j.bodyim.2007.06.001</w:t>
      </w:r>
    </w:p>
    <w:p w14:paraId="0C6445C8" w14:textId="77777777" w:rsidR="006C623E" w:rsidRDefault="006C623E" w:rsidP="006C623E">
      <w:pPr>
        <w:widowControl w:val="0"/>
        <w:ind w:left="480" w:hanging="480"/>
      </w:pPr>
      <w:r>
        <w:t xml:space="preserve">Oaten, M., Stevenson, R. J., &amp; Case, T. I. (2009). Disgust as a Disease-Avoidance Mechanism. </w:t>
      </w:r>
      <w:r>
        <w:rPr>
          <w:i/>
        </w:rPr>
        <w:t>Psychological Bulletin</w:t>
      </w:r>
      <w:r>
        <w:t xml:space="preserve">, </w:t>
      </w:r>
      <w:r>
        <w:rPr>
          <w:i/>
        </w:rPr>
        <w:t>135</w:t>
      </w:r>
      <w:r>
        <w:t>, 303–321. https://doi.org/10.1037/a0014823</w:t>
      </w:r>
    </w:p>
    <w:p w14:paraId="7DD5BAF5" w14:textId="77777777" w:rsidR="006C623E" w:rsidRDefault="006C623E" w:rsidP="006C623E">
      <w:pPr>
        <w:widowControl w:val="0"/>
        <w:ind w:left="480" w:hanging="480"/>
      </w:pPr>
      <w:r>
        <w:lastRenderedPageBreak/>
        <w:t xml:space="preserve">Oginni, F. O., Asuku, M. E., Oladele, A. O., Obuekwe, O. N., &amp; Nnabuko, R. E. (2010). Knowledge and Cultural Beliefs About the Etiology and Management of Orofacial Clefts in Nigeria’s Major Ethnic Groups. </w:t>
      </w:r>
      <w:r>
        <w:rPr>
          <w:i/>
        </w:rPr>
        <w:t>The Cleft Palate-Craniofacial Journal</w:t>
      </w:r>
      <w:r>
        <w:t xml:space="preserve">, </w:t>
      </w:r>
      <w:r>
        <w:rPr>
          <w:i/>
        </w:rPr>
        <w:t>47</w:t>
      </w:r>
      <w:r>
        <w:t>, 327–334. https://doi.org/10.1597/07-085.1</w:t>
      </w:r>
    </w:p>
    <w:p w14:paraId="0B7236C7" w14:textId="77777777" w:rsidR="006C623E" w:rsidRDefault="006C623E" w:rsidP="006C623E">
      <w:pPr>
        <w:widowControl w:val="0"/>
        <w:ind w:left="480" w:hanging="480"/>
      </w:pPr>
      <w:r>
        <w:t xml:space="preserve">Öhman, A., &amp; Mineka, S. (2001). Fears, phobias, and preparedness: toward an evolved module of fear and fear learning. </w:t>
      </w:r>
      <w:r>
        <w:rPr>
          <w:i/>
        </w:rPr>
        <w:t>Psychological Review</w:t>
      </w:r>
      <w:r>
        <w:t xml:space="preserve">, </w:t>
      </w:r>
      <w:r>
        <w:rPr>
          <w:i/>
        </w:rPr>
        <w:t>108</w:t>
      </w:r>
      <w:r>
        <w:t>(3), 483.</w:t>
      </w:r>
    </w:p>
    <w:p w14:paraId="37AC27D1" w14:textId="77777777" w:rsidR="006C623E" w:rsidRDefault="006C623E" w:rsidP="006C623E">
      <w:pPr>
        <w:widowControl w:val="0"/>
        <w:ind w:left="480" w:hanging="480"/>
      </w:pPr>
      <w:r>
        <w:t xml:space="preserve">Olatunji, B. O., Haidt, J., McKay, D., &amp; David, B. (2008). Core, animal reminder, and contamination disgust: Three kinds of disgust with distinct personality, behavioral, physiological, and clinical correlates. </w:t>
      </w:r>
      <w:r>
        <w:rPr>
          <w:i/>
        </w:rPr>
        <w:t>Journal of Research in Personality</w:t>
      </w:r>
      <w:r>
        <w:t xml:space="preserve">, </w:t>
      </w:r>
      <w:r>
        <w:rPr>
          <w:i/>
        </w:rPr>
        <w:t>42</w:t>
      </w:r>
      <w:r>
        <w:t>, 1243–1259. https://doi.org/10.1016/j.jrp.2008.03.009</w:t>
      </w:r>
    </w:p>
    <w:p w14:paraId="62804741" w14:textId="77777777" w:rsidR="006C623E" w:rsidRDefault="006C623E" w:rsidP="006C623E">
      <w:pPr>
        <w:widowControl w:val="0"/>
        <w:ind w:left="480" w:hanging="480"/>
      </w:pPr>
      <w:r>
        <w:t xml:space="preserve">Olatunji, B., &amp; Williams, N. (2007). The Disgust Scale: item analysis, factor structure, and suggestions for refinement. </w:t>
      </w:r>
      <w:r>
        <w:rPr>
          <w:i/>
        </w:rPr>
        <w:t>Psychological  …</w:t>
      </w:r>
      <w:r>
        <w:t>. Retrieved from http://psycnet.apa.org/journals/pas/19/3/281/</w:t>
      </w:r>
    </w:p>
    <w:p w14:paraId="6E3A69A5" w14:textId="77777777" w:rsidR="006C623E" w:rsidRDefault="006C623E" w:rsidP="006C623E">
      <w:pPr>
        <w:widowControl w:val="0"/>
        <w:ind w:left="480" w:hanging="480"/>
      </w:pPr>
      <w:r>
        <w:t xml:space="preserve">Oswald, F. L., Mitchell, G., Blanton, H., Jaccard, J., &amp; Tetlock, P. E. (2013). Predicting ethnic and racial discrimination: A meta-analysis of IAT criterion studies. </w:t>
      </w:r>
      <w:r>
        <w:rPr>
          <w:i/>
        </w:rPr>
        <w:t>Journal of Personality and Social Psychology</w:t>
      </w:r>
      <w:r>
        <w:t xml:space="preserve">, </w:t>
      </w:r>
      <w:r>
        <w:rPr>
          <w:i/>
        </w:rPr>
        <w:t>105</w:t>
      </w:r>
      <w:r>
        <w:t>, 171.</w:t>
      </w:r>
    </w:p>
    <w:p w14:paraId="51F3C165" w14:textId="77777777" w:rsidR="006C623E" w:rsidRDefault="006C623E" w:rsidP="006C623E">
      <w:pPr>
        <w:widowControl w:val="0"/>
        <w:ind w:left="480" w:hanging="480"/>
      </w:pPr>
      <w:r>
        <w:t xml:space="preserve">Overton, S. L., &amp; Medina, S. L. (2008). The stigma of mental illness. </w:t>
      </w:r>
      <w:r>
        <w:rPr>
          <w:i/>
        </w:rPr>
        <w:t>Journal of Counseling &amp; Development</w:t>
      </w:r>
      <w:r>
        <w:t xml:space="preserve">, </w:t>
      </w:r>
      <w:r>
        <w:rPr>
          <w:i/>
        </w:rPr>
        <w:t>86</w:t>
      </w:r>
      <w:r>
        <w:t>, 143–151.</w:t>
      </w:r>
    </w:p>
    <w:p w14:paraId="0F4F339C" w14:textId="77777777" w:rsidR="006C623E" w:rsidRDefault="006C623E" w:rsidP="006C623E">
      <w:pPr>
        <w:widowControl w:val="0"/>
        <w:ind w:left="480" w:hanging="480"/>
      </w:pPr>
      <w:r>
        <w:t xml:space="preserve">Owotade, F. J., Ogundipe, O. K., Ugboko, V. I., Okoje, V. N., Olasoji, H. O., Makinde, O. N., &amp; Orji, E. O. (2014). Awareness, knowledge and attitude on cleft lip and palate among antenatal clinic attendees of tertiary hospitals in Nigeria. </w:t>
      </w:r>
      <w:r>
        <w:rPr>
          <w:i/>
        </w:rPr>
        <w:t>Nigerian Journal of Clinical Practice</w:t>
      </w:r>
      <w:r>
        <w:t xml:space="preserve">, </w:t>
      </w:r>
      <w:r>
        <w:rPr>
          <w:i/>
        </w:rPr>
        <w:t>17</w:t>
      </w:r>
      <w:r>
        <w:t>, 6–9. https://doi.org/10.4103/1119-3077.122822</w:t>
      </w:r>
    </w:p>
    <w:p w14:paraId="6C7B9B12" w14:textId="77777777" w:rsidR="006C623E" w:rsidRDefault="006C623E" w:rsidP="006C623E">
      <w:pPr>
        <w:widowControl w:val="0"/>
        <w:ind w:left="480" w:hanging="480"/>
      </w:pPr>
      <w:r>
        <w:t xml:space="preserve">Park, J. H. J., Faulkner, J., &amp; Schaller, M. (2003). Evolved disease-avoidance processes and contemporary anti-social behavior: Prejudicial attitudes and avoidance of people with physical disabilities. </w:t>
      </w:r>
      <w:r>
        <w:rPr>
          <w:i/>
        </w:rPr>
        <w:t>Journal of Nonverbal Behavior</w:t>
      </w:r>
      <w:r>
        <w:t xml:space="preserve">, </w:t>
      </w:r>
      <w:r>
        <w:rPr>
          <w:i/>
        </w:rPr>
        <w:t>27</w:t>
      </w:r>
      <w:r>
        <w:t>, 65–87. Retrieved from http://link.springer.com/article/10.1023/A:1023910408854</w:t>
      </w:r>
    </w:p>
    <w:p w14:paraId="5CF8F29B" w14:textId="77777777" w:rsidR="006C623E" w:rsidRDefault="006C623E" w:rsidP="006C623E">
      <w:pPr>
        <w:widowControl w:val="0"/>
        <w:ind w:left="480" w:hanging="480"/>
      </w:pPr>
      <w:r>
        <w:t xml:space="preserve">Park, J. H., Faulkner, J., &amp; Schaller, M. (2003). Evolved disease-avoidance processes and contemporary anti-social behavior: Prejudicial attitudes and avoidance of people with physical disabilities. </w:t>
      </w:r>
      <w:r>
        <w:rPr>
          <w:i/>
        </w:rPr>
        <w:t>Journal of Nonverbal Behavior</w:t>
      </w:r>
      <w:r>
        <w:t xml:space="preserve">, </w:t>
      </w:r>
      <w:r>
        <w:rPr>
          <w:i/>
        </w:rPr>
        <w:t>27</w:t>
      </w:r>
      <w:r>
        <w:t>, 65–87.</w:t>
      </w:r>
    </w:p>
    <w:p w14:paraId="558001E5" w14:textId="77777777" w:rsidR="006C623E" w:rsidRDefault="006C623E" w:rsidP="006C623E">
      <w:pPr>
        <w:widowControl w:val="0"/>
        <w:ind w:left="480" w:hanging="480"/>
      </w:pPr>
      <w:r>
        <w:t xml:space="preserve">Park, J. H., Schaller, M., &amp; Crandall, C. S. (2007). Pathogen-avoidance mechanisms and the stigmatization of obese people. </w:t>
      </w:r>
      <w:r>
        <w:rPr>
          <w:i/>
        </w:rPr>
        <w:t>Evolution and Human Behavior</w:t>
      </w:r>
      <w:r>
        <w:t xml:space="preserve">, </w:t>
      </w:r>
      <w:r>
        <w:rPr>
          <w:i/>
        </w:rPr>
        <w:t>28</w:t>
      </w:r>
      <w:r>
        <w:t>, 410–414.</w:t>
      </w:r>
    </w:p>
    <w:p w14:paraId="2AD58303" w14:textId="77777777" w:rsidR="006C623E" w:rsidRDefault="006C623E" w:rsidP="006C623E">
      <w:pPr>
        <w:widowControl w:val="0"/>
        <w:ind w:left="480" w:hanging="480"/>
      </w:pPr>
      <w:r>
        <w:t xml:space="preserve">Park, J., Faulkner, J., &amp; Schaller, M. (2003). Evolved disease-avoidance processes and contemporary anti-social behavior: Prejudicial attitudes and avoidance of people </w:t>
      </w:r>
      <w:r>
        <w:lastRenderedPageBreak/>
        <w:t xml:space="preserve">with physical disabilities. </w:t>
      </w:r>
      <w:r>
        <w:rPr>
          <w:i/>
        </w:rPr>
        <w:t>Journal of Nonverbal Behavior</w:t>
      </w:r>
      <w:r>
        <w:t>. Retrieved from http://link.springer.com/article/10.1023/A:1023910408854</w:t>
      </w:r>
    </w:p>
    <w:p w14:paraId="5C0FD53E" w14:textId="77777777" w:rsidR="006C623E" w:rsidRDefault="006C623E" w:rsidP="006C623E">
      <w:pPr>
        <w:widowControl w:val="0"/>
        <w:ind w:left="480" w:hanging="480"/>
      </w:pPr>
      <w:r>
        <w:t xml:space="preserve">Paterson, B. L., Backmund, M., Hirsch, G., &amp; Yim, C. (2007). The depiction of stigmatization in research about hepatitis C. </w:t>
      </w:r>
      <w:r>
        <w:rPr>
          <w:i/>
        </w:rPr>
        <w:t>The International Journal on Drug Policy</w:t>
      </w:r>
      <w:r>
        <w:t xml:space="preserve">, </w:t>
      </w:r>
      <w:r>
        <w:rPr>
          <w:i/>
        </w:rPr>
        <w:t>18</w:t>
      </w:r>
      <w:r>
        <w:t>(5), 364–373. https://doi.org/10.1016/j.drugpo.2007.02.004</w:t>
      </w:r>
    </w:p>
    <w:p w14:paraId="66748C7B" w14:textId="77777777" w:rsidR="006C623E" w:rsidRDefault="006C623E" w:rsidP="006C623E">
      <w:pPr>
        <w:widowControl w:val="0"/>
        <w:ind w:left="480" w:hanging="480"/>
      </w:pPr>
      <w:r>
        <w:t xml:space="preserve">Pausch, N. C., Herzberg, P. Y., Wirtz, C., Hemprich, A., Dhanuthai, K., Hierl, T., &amp; Pitak-Arnnop, P. (2012). German animal terms for oral cleft deformity: A Leipzig survey. </w:t>
      </w:r>
      <w:r>
        <w:rPr>
          <w:i/>
        </w:rPr>
        <w:t>Journal of Cranio-Maxillo-Facial Surgery : Official Publication of the European Association for Cranio-Maxillo-Facial Surgery</w:t>
      </w:r>
      <w:r>
        <w:t xml:space="preserve">, </w:t>
      </w:r>
      <w:r>
        <w:rPr>
          <w:i/>
        </w:rPr>
        <w:t>40</w:t>
      </w:r>
      <w:r>
        <w:t>, e236-42. https://doi.org/10.1016/j.jcms.2011.10.025</w:t>
      </w:r>
    </w:p>
    <w:p w14:paraId="203E262C" w14:textId="77777777" w:rsidR="006C623E" w:rsidRDefault="006C623E" w:rsidP="006C623E">
      <w:pPr>
        <w:widowControl w:val="0"/>
        <w:ind w:left="480" w:hanging="480"/>
      </w:pPr>
      <w:r>
        <w:t xml:space="preserve">Pausch, N. C., Winter, K., Halama, D., Wirtz, C., Yildirim, V., &amp; Nattapong, S. (2016). Psychosocial acceptance of cleft patients: has something changed? </w:t>
      </w:r>
      <w:r>
        <w:rPr>
          <w:i/>
        </w:rPr>
        <w:t>Oral and Maxillofacial Surgery</w:t>
      </w:r>
      <w:r>
        <w:t xml:space="preserve">, </w:t>
      </w:r>
      <w:r>
        <w:rPr>
          <w:i/>
        </w:rPr>
        <w:t>20</w:t>
      </w:r>
      <w:r>
        <w:t>, 19–26. https://doi.org/10.1007/s10006-015-0518-1</w:t>
      </w:r>
    </w:p>
    <w:p w14:paraId="0B4B3783" w14:textId="77777777" w:rsidR="006C623E" w:rsidRDefault="006C623E" w:rsidP="006C623E">
      <w:pPr>
        <w:widowControl w:val="0"/>
        <w:ind w:left="480" w:hanging="480"/>
      </w:pPr>
      <w:r>
        <w:t xml:space="preserve">Penn, D., Chamberlin, C., &amp; Mueser, K. (n.d.). The effects of a documentary film about schizophrenia on psychiatric stigma. </w:t>
      </w:r>
      <w:r>
        <w:rPr>
          <w:i/>
        </w:rPr>
        <w:t>Schizophrenia Bulletin</w:t>
      </w:r>
      <w:r>
        <w:t xml:space="preserve">, </w:t>
      </w:r>
      <w:r>
        <w:rPr>
          <w:i/>
        </w:rPr>
        <w:t>29</w:t>
      </w:r>
      <w:r>
        <w:t>, 383–391. Retrieved from http://profiles.wizfolio.com/AudreyTan1/publications/15192/88648/</w:t>
      </w:r>
    </w:p>
    <w:p w14:paraId="5F9D41AE"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Peters, T. (2020). New Barbie line includes dolls with vitiligo, no hair, prosthetic limbs and more. </w:t>
      </w:r>
      <w:r w:rsidRPr="000F7776">
        <w:rPr>
          <w:i/>
          <w:iCs/>
          <w:noProof/>
          <w:szCs w:val="24"/>
        </w:rPr>
        <w:t>Today</w:t>
      </w:r>
      <w:r w:rsidRPr="000F7776">
        <w:rPr>
          <w:noProof/>
          <w:szCs w:val="24"/>
        </w:rPr>
        <w:t>. https://www.today.com/parents/barbie-s-line-will-include-dolls-vitiligo-no-hair-t172636</w:t>
      </w:r>
    </w:p>
    <w:p w14:paraId="2EED86AE" w14:textId="77777777" w:rsidR="006C623E" w:rsidRDefault="006C623E" w:rsidP="006C623E">
      <w:pPr>
        <w:widowControl w:val="0"/>
        <w:ind w:left="480" w:hanging="480"/>
      </w:pPr>
      <w:r>
        <w:t xml:space="preserve">Peterson, R. A. (2001). On the Use of College Students in Social Science Research: Insights from a Second-Order Meta-analysis. </w:t>
      </w:r>
      <w:r>
        <w:rPr>
          <w:i/>
        </w:rPr>
        <w:t>Journal of Consumer Research</w:t>
      </w:r>
      <w:r>
        <w:t xml:space="preserve">, </w:t>
      </w:r>
      <w:r>
        <w:rPr>
          <w:i/>
        </w:rPr>
        <w:t>28</w:t>
      </w:r>
      <w:r>
        <w:t>, 450–461. https://doi.org/10.1086/323732</w:t>
      </w:r>
    </w:p>
    <w:p w14:paraId="69548C36" w14:textId="77777777" w:rsidR="006C623E" w:rsidRDefault="006C623E" w:rsidP="006C623E">
      <w:pPr>
        <w:widowControl w:val="0"/>
        <w:ind w:left="480" w:hanging="480"/>
      </w:pPr>
      <w:r>
        <w:t>Pettigrew, T. F., &amp; Tropp, L. R. (2008). How does intergroup contact reduce prejudice? Meta</w:t>
      </w:r>
      <w:r>
        <w:rPr>
          <w:rFonts w:ascii="Cambria Math" w:eastAsia="Cambria Math" w:hAnsi="Cambria Math" w:cs="Cambria Math"/>
        </w:rPr>
        <w:t>‐</w:t>
      </w:r>
      <w:r>
        <w:t xml:space="preserve">analytic tests of three mediators. </w:t>
      </w:r>
      <w:r>
        <w:rPr>
          <w:i/>
        </w:rPr>
        <w:t>European Journal of Social Psychology</w:t>
      </w:r>
      <w:r>
        <w:t xml:space="preserve">, </w:t>
      </w:r>
      <w:r>
        <w:rPr>
          <w:i/>
        </w:rPr>
        <w:t>38</w:t>
      </w:r>
      <w:r>
        <w:t>(6), 922–934.</w:t>
      </w:r>
    </w:p>
    <w:p w14:paraId="6B93ED00" w14:textId="77777777" w:rsidR="006C623E" w:rsidRDefault="006C623E" w:rsidP="006C623E">
      <w:pPr>
        <w:widowControl w:val="0"/>
        <w:ind w:left="480" w:hanging="480"/>
      </w:pPr>
      <w:r>
        <w:t xml:space="preserve">Pettigrew, T., &amp; Tropp, L. (2006). A meta-analytic test of intergroup contact theory. </w:t>
      </w:r>
      <w:r>
        <w:rPr>
          <w:i/>
        </w:rPr>
        <w:t>Journal of Personality and Social</w:t>
      </w:r>
      <w:r>
        <w:t>. Retrieved from http://psycnet.apa.org/journals/psp/90/5/751/</w:t>
      </w:r>
    </w:p>
    <w:p w14:paraId="24F7FCBB" w14:textId="77777777" w:rsidR="006C623E" w:rsidRDefault="006C623E" w:rsidP="006C623E">
      <w:pPr>
        <w:widowControl w:val="0"/>
        <w:ind w:left="480" w:hanging="480"/>
      </w:pPr>
      <w:r>
        <w:t xml:space="preserve">Phelan, J., Link, B. G., &amp; Dovidio, J. F. (2008). “Stigma and Prejudice: One Animal or Two?” </w:t>
      </w:r>
      <w:r>
        <w:rPr>
          <w:i/>
        </w:rPr>
        <w:t>Social Science &amp; Medicine (1982)</w:t>
      </w:r>
      <w:r>
        <w:t xml:space="preserve">, </w:t>
      </w:r>
      <w:r>
        <w:rPr>
          <w:i/>
        </w:rPr>
        <w:t>67</w:t>
      </w:r>
      <w:r>
        <w:t>, 358–367. https://doi.org/10.1016/j.socscimed.2008.03.022</w:t>
      </w:r>
    </w:p>
    <w:p w14:paraId="58A762C8" w14:textId="77777777" w:rsidR="006C623E" w:rsidRDefault="006C623E" w:rsidP="006C623E">
      <w:pPr>
        <w:widowControl w:val="0"/>
        <w:ind w:left="480" w:hanging="480"/>
      </w:pPr>
      <w:r>
        <w:t xml:space="preserve">Plant, E. A., &amp; Devine, P. G. (2009). The active control of prejudice: unpacking the intentions guiding control efforts. </w:t>
      </w:r>
      <w:r>
        <w:rPr>
          <w:i/>
        </w:rPr>
        <w:t>Journal of Personality and Social Psychology</w:t>
      </w:r>
      <w:r>
        <w:t xml:space="preserve">, </w:t>
      </w:r>
      <w:r>
        <w:rPr>
          <w:i/>
        </w:rPr>
        <w:t>96</w:t>
      </w:r>
      <w:r>
        <w:t>, 640–652. https://doi.org/10.1037/a0012960</w:t>
      </w:r>
    </w:p>
    <w:p w14:paraId="28856C1F" w14:textId="77777777" w:rsidR="006C623E" w:rsidRDefault="006C623E" w:rsidP="006C623E">
      <w:pPr>
        <w:widowControl w:val="0"/>
        <w:ind w:left="480" w:hanging="480"/>
      </w:pPr>
      <w:r>
        <w:lastRenderedPageBreak/>
        <w:t xml:space="preserve">Plant, E., &amp; Devine, P. (1998). Internal and external motivation to respond without prejudice. </w:t>
      </w:r>
      <w:r>
        <w:rPr>
          <w:i/>
        </w:rPr>
        <w:t>Journal of Personality and Social  …</w:t>
      </w:r>
      <w:r>
        <w:t>. Retrieved from http://psycnet.apa.org/journals/psp/75/3/811/</w:t>
      </w:r>
    </w:p>
    <w:p w14:paraId="2191B675" w14:textId="77777777" w:rsidR="006C623E" w:rsidRDefault="006C623E" w:rsidP="006C623E">
      <w:pPr>
        <w:widowControl w:val="0"/>
        <w:ind w:left="480" w:hanging="480"/>
      </w:pPr>
      <w:r>
        <w:t xml:space="preserve">Pliner, P., Chaiken, S., &amp; Flett, G. L. (1990). Gender Differences in Concern with Body Weight and Physical Appearance Over the Life Span. </w:t>
      </w:r>
      <w:r>
        <w:rPr>
          <w:i/>
        </w:rPr>
        <w:t>Personality and Social Psychology Bulletin</w:t>
      </w:r>
      <w:r>
        <w:t xml:space="preserve">, </w:t>
      </w:r>
      <w:r>
        <w:rPr>
          <w:i/>
        </w:rPr>
        <w:t>16</w:t>
      </w:r>
      <w:r>
        <w:t>, 263–273. https://doi.org/10.1177/0146167290162007</w:t>
      </w:r>
    </w:p>
    <w:p w14:paraId="6E116E22" w14:textId="77777777" w:rsidR="006C623E" w:rsidRDefault="006C623E" w:rsidP="006C623E">
      <w:pPr>
        <w:widowControl w:val="0"/>
        <w:ind w:left="480" w:hanging="480"/>
      </w:pPr>
      <w:r>
        <w:t xml:space="preserve">Poikolainen, K., Karvonen, J., &amp; Pukkala, E. (1999). Excess Mortality Related to Alcohol and Smoking Among Hospital-Treated Patients With Psoriasis. </w:t>
      </w:r>
      <w:r>
        <w:rPr>
          <w:i/>
        </w:rPr>
        <w:t>Arch Dermatol</w:t>
      </w:r>
      <w:r>
        <w:t xml:space="preserve">, </w:t>
      </w:r>
      <w:r>
        <w:rPr>
          <w:i/>
        </w:rPr>
        <w:t>135</w:t>
      </w:r>
      <w:r>
        <w:t>, 1490–1493.</w:t>
      </w:r>
    </w:p>
    <w:p w14:paraId="2DBB0111" w14:textId="77777777" w:rsidR="006C623E" w:rsidRDefault="006C623E" w:rsidP="006C623E">
      <w:pPr>
        <w:widowControl w:val="0"/>
        <w:ind w:left="480" w:hanging="480"/>
      </w:pPr>
      <w:r>
        <w:t xml:space="preserve">Poswillo, D. (1975). The pathogenesis of the Treacher Collins syndrome (mandibulofacial dysostosis). </w:t>
      </w:r>
      <w:r>
        <w:rPr>
          <w:i/>
        </w:rPr>
        <w:t>British Journal of Oral Surgery</w:t>
      </w:r>
      <w:r>
        <w:t xml:space="preserve">, </w:t>
      </w:r>
      <w:r>
        <w:rPr>
          <w:i/>
        </w:rPr>
        <w:t>13</w:t>
      </w:r>
      <w:r>
        <w:t>, 1–26.</w:t>
      </w:r>
    </w:p>
    <w:p w14:paraId="7A24C69C" w14:textId="77777777" w:rsidR="006C623E" w:rsidRDefault="006C623E" w:rsidP="006C623E">
      <w:pPr>
        <w:widowControl w:val="0"/>
        <w:ind w:left="480" w:hanging="480"/>
      </w:pPr>
      <w:r>
        <w:t>Pouplard, C., Brenaut, E., Horreau, C., Barnetche, T., Misery, L., Richard, M., … Joly, P. (2013). Risk of cancer in psoriasis: a systematic review and meta</w:t>
      </w:r>
      <w:r>
        <w:rPr>
          <w:rFonts w:ascii="Cambria Math" w:eastAsia="Cambria Math" w:hAnsi="Cambria Math" w:cs="Cambria Math"/>
        </w:rPr>
        <w:t>‐</w:t>
      </w:r>
      <w:r>
        <w:t xml:space="preserve">analysis of epidemiological studies. </w:t>
      </w:r>
      <w:r>
        <w:rPr>
          <w:i/>
        </w:rPr>
        <w:t>Journal of the European Academy of Dermatology and Venereology</w:t>
      </w:r>
      <w:r>
        <w:t xml:space="preserve">, </w:t>
      </w:r>
      <w:r>
        <w:rPr>
          <w:i/>
        </w:rPr>
        <w:t>27</w:t>
      </w:r>
      <w:r>
        <w:t>, 36–46.</w:t>
      </w:r>
    </w:p>
    <w:p w14:paraId="6FE43BEA" w14:textId="77777777" w:rsidR="006C623E" w:rsidRDefault="006C623E" w:rsidP="006C623E">
      <w:pPr>
        <w:widowControl w:val="0"/>
        <w:ind w:left="480" w:hanging="480"/>
      </w:pPr>
      <w:r>
        <w:t xml:space="preserve">Prior, J., &amp; O’Dell, L. (2009). ‘Coping Quite Well with a Few Difficult Bits’ Living with disfigurement in early adolescence. </w:t>
      </w:r>
      <w:r>
        <w:rPr>
          <w:i/>
        </w:rPr>
        <w:t>Journal of Health Psychology</w:t>
      </w:r>
      <w:r>
        <w:t xml:space="preserve">, </w:t>
      </w:r>
      <w:r>
        <w:rPr>
          <w:i/>
        </w:rPr>
        <w:t>14</w:t>
      </w:r>
      <w:r>
        <w:t>, 731–740.</w:t>
      </w:r>
    </w:p>
    <w:p w14:paraId="21DB79EB" w14:textId="77777777" w:rsidR="006C623E" w:rsidRDefault="006C623E" w:rsidP="006C623E">
      <w:pPr>
        <w:widowControl w:val="0"/>
        <w:ind w:left="480" w:hanging="480"/>
      </w:pPr>
      <w:r>
        <w:t xml:space="preserve">Pryor, J. B., Reeder, G. D., Yeadon, C., &amp; Hesson-McLnnis, M. (2004). A dual-process model of reactions to perceived stigma. </w:t>
      </w:r>
      <w:r>
        <w:rPr>
          <w:i/>
        </w:rPr>
        <w:t>Journal of Personality and Social Psychology</w:t>
      </w:r>
      <w:r>
        <w:t xml:space="preserve">, </w:t>
      </w:r>
      <w:r>
        <w:rPr>
          <w:i/>
        </w:rPr>
        <w:t>87</w:t>
      </w:r>
      <w:r>
        <w:t>, 436–452. https://doi.org/10.1037/0022-3514.87.4.436</w:t>
      </w:r>
    </w:p>
    <w:p w14:paraId="7BE0F439"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Puhl, R. M., &amp; Heuer, C. A. (2010). Obesity stigma: important considerations for public health. </w:t>
      </w:r>
      <w:r w:rsidRPr="000F7776">
        <w:rPr>
          <w:i/>
          <w:iCs/>
          <w:noProof/>
          <w:szCs w:val="24"/>
        </w:rPr>
        <w:t>American Journal of Public Health</w:t>
      </w:r>
      <w:r w:rsidRPr="000F7776">
        <w:rPr>
          <w:noProof/>
          <w:szCs w:val="24"/>
        </w:rPr>
        <w:t xml:space="preserve">, </w:t>
      </w:r>
      <w:r w:rsidRPr="000F7776">
        <w:rPr>
          <w:i/>
          <w:iCs/>
          <w:noProof/>
          <w:szCs w:val="24"/>
        </w:rPr>
        <w:t>100</w:t>
      </w:r>
      <w:r w:rsidRPr="000F7776">
        <w:rPr>
          <w:noProof/>
          <w:szCs w:val="24"/>
        </w:rPr>
        <w:t>(6), 1019–1028.</w:t>
      </w:r>
    </w:p>
    <w:p w14:paraId="00063655" w14:textId="77777777" w:rsidR="006C623E" w:rsidRDefault="006C623E" w:rsidP="006C623E">
      <w:pPr>
        <w:widowControl w:val="0"/>
        <w:ind w:left="480" w:hanging="480"/>
      </w:pPr>
      <w:r>
        <w:t xml:space="preserve">Qualtrics, I. (2013). Qualtrics. </w:t>
      </w:r>
      <w:r>
        <w:rPr>
          <w:i/>
        </w:rPr>
        <w:t>Provo, UT, USA</w:t>
      </w:r>
      <w:r>
        <w:t>.</w:t>
      </w:r>
    </w:p>
    <w:p w14:paraId="095F05AB" w14:textId="77777777" w:rsidR="006C623E" w:rsidRDefault="006C623E" w:rsidP="006C623E">
      <w:pPr>
        <w:widowControl w:val="0"/>
        <w:ind w:left="480" w:hanging="480"/>
      </w:pPr>
      <w:r>
        <w:t xml:space="preserve">Quinn, D. M., Williams, M. K., Quintana, F., Gaskins, J. L., Overstreet, N. M., Pishori, A., … Chaudoir, S. R. (2014). Examining effects of anticipated stigma, centrality, salience, internalization, and outness on psychological distress for people with concealable stigmatized identities. </w:t>
      </w:r>
      <w:r>
        <w:rPr>
          <w:i/>
        </w:rPr>
        <w:t>PloS One</w:t>
      </w:r>
      <w:r>
        <w:t xml:space="preserve">, </w:t>
      </w:r>
      <w:r>
        <w:rPr>
          <w:i/>
        </w:rPr>
        <w:t>9</w:t>
      </w:r>
      <w:r>
        <w:t>, e96977. https://doi.org/10.1371/journal.pone.0096977</w:t>
      </w:r>
    </w:p>
    <w:p w14:paraId="1D6919BC" w14:textId="77777777" w:rsidR="006C623E" w:rsidRDefault="006C623E" w:rsidP="006C623E">
      <w:pPr>
        <w:widowControl w:val="0"/>
        <w:ind w:left="480" w:hanging="480"/>
      </w:pPr>
      <w:r>
        <w:t xml:space="preserve">Rankin, M., &amp; Borah, G. L. (2003). Perceived Functional Impact of Abnormal Facial Appearance. </w:t>
      </w:r>
      <w:r>
        <w:rPr>
          <w:i/>
        </w:rPr>
        <w:t>Plastic and Reconstructive Surgery</w:t>
      </w:r>
      <w:r>
        <w:t xml:space="preserve">, </w:t>
      </w:r>
      <w:r>
        <w:rPr>
          <w:i/>
        </w:rPr>
        <w:t>111</w:t>
      </w:r>
      <w:r>
        <w:t>, 2140–2146. https://doi.org/10.1097/01.PRS.0000060105.63335.0C</w:t>
      </w:r>
    </w:p>
    <w:p w14:paraId="640D13A9" w14:textId="77777777" w:rsidR="006C623E" w:rsidRDefault="006C623E" w:rsidP="006C623E">
      <w:pPr>
        <w:widowControl w:val="0"/>
        <w:ind w:left="480" w:hanging="480"/>
      </w:pPr>
      <w:r>
        <w:t xml:space="preserve">Read, J. (2007). Why promoting biological ideology increases prejudice against people labelled “schizophrenic.” </w:t>
      </w:r>
      <w:r>
        <w:rPr>
          <w:i/>
        </w:rPr>
        <w:t>Australian Psychologist</w:t>
      </w:r>
      <w:r>
        <w:t xml:space="preserve">, </w:t>
      </w:r>
      <w:r>
        <w:rPr>
          <w:i/>
        </w:rPr>
        <w:t>42</w:t>
      </w:r>
      <w:r>
        <w:t>, 118–128.</w:t>
      </w:r>
    </w:p>
    <w:p w14:paraId="64B82444" w14:textId="77777777" w:rsidR="006C623E" w:rsidRDefault="006C623E" w:rsidP="006C623E">
      <w:pPr>
        <w:widowControl w:val="0"/>
        <w:ind w:left="480" w:hanging="480"/>
      </w:pPr>
      <w:r>
        <w:lastRenderedPageBreak/>
        <w:t xml:space="preserve">Reber, R., Schwarz, N., &amp; Winkielman, P. (2004). Processing fluency and aesthetic pleasure: Is beauty in the perceiver’s processing experience? </w:t>
      </w:r>
      <w:r>
        <w:rPr>
          <w:i/>
        </w:rPr>
        <w:t>Personality and Social Psychology Review</w:t>
      </w:r>
      <w:r>
        <w:t xml:space="preserve">, </w:t>
      </w:r>
      <w:r>
        <w:rPr>
          <w:i/>
        </w:rPr>
        <w:t>8</w:t>
      </w:r>
      <w:r>
        <w:t>, 364–382.</w:t>
      </w:r>
    </w:p>
    <w:p w14:paraId="075437CC" w14:textId="77777777" w:rsidR="006C623E" w:rsidRDefault="006C623E" w:rsidP="006C623E">
      <w:pPr>
        <w:widowControl w:val="0"/>
        <w:ind w:left="480" w:hanging="480"/>
      </w:pPr>
      <w:r>
        <w:t xml:space="preserve">Reeder, G. D., &amp; Pryor, J. B. (2008). Dual psychological processes underlying public stigma and the implications for reducing stigma. </w:t>
      </w:r>
      <w:r>
        <w:rPr>
          <w:i/>
        </w:rPr>
        <w:t>Mens Sana Monographs</w:t>
      </w:r>
      <w:r>
        <w:t xml:space="preserve">, </w:t>
      </w:r>
      <w:r>
        <w:rPr>
          <w:i/>
        </w:rPr>
        <w:t>6</w:t>
      </w:r>
      <w:r>
        <w:t>(1), 175.</w:t>
      </w:r>
    </w:p>
    <w:p w14:paraId="5CD38C2A" w14:textId="77777777" w:rsidR="006C623E" w:rsidRDefault="006C623E" w:rsidP="006C623E">
      <w:pPr>
        <w:widowControl w:val="0"/>
        <w:ind w:left="480" w:hanging="480"/>
      </w:pPr>
      <w:r>
        <w:t xml:space="preserve">Reinke, R., &amp; Corrigan, P. (2004). Examining two aspects of contact on the stigma of mental illness. </w:t>
      </w:r>
      <w:r>
        <w:rPr>
          <w:i/>
        </w:rPr>
        <w:t>Journal of Social and  …</w:t>
      </w:r>
      <w:r>
        <w:t>. Retrieved from http://guilfordjournals.com/doi/abs/10.1521/jscp.23.3.377.35457</w:t>
      </w:r>
    </w:p>
    <w:p w14:paraId="3AB500A6" w14:textId="77777777" w:rsidR="006C623E" w:rsidRDefault="006C623E" w:rsidP="006C623E">
      <w:pPr>
        <w:widowControl w:val="0"/>
        <w:ind w:left="480" w:hanging="480"/>
      </w:pPr>
      <w:r>
        <w:t xml:space="preserve">Reithinger, R., Dujardin, J.-C., Louzir, H., Pirmez, C., Alexander, B., &amp; Brooker, S. (2007). Cutaneous leishmaniasis. </w:t>
      </w:r>
      <w:r>
        <w:rPr>
          <w:i/>
        </w:rPr>
        <w:t>The Lancet Infectious Diseases</w:t>
      </w:r>
      <w:r>
        <w:t xml:space="preserve">, </w:t>
      </w:r>
      <w:r>
        <w:rPr>
          <w:i/>
        </w:rPr>
        <w:t>7</w:t>
      </w:r>
      <w:r>
        <w:t>, 581–596.</w:t>
      </w:r>
    </w:p>
    <w:p w14:paraId="4CE6AE88"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Ren, L. R., Paetzold, R. L., &amp; Colella, A. (2008). A meta-analysis of experimental studies on the effects of disability on human resource judgments. </w:t>
      </w:r>
      <w:r w:rsidRPr="000F7776">
        <w:rPr>
          <w:i/>
          <w:iCs/>
          <w:noProof/>
          <w:szCs w:val="24"/>
        </w:rPr>
        <w:t>Human Resource Management Review</w:t>
      </w:r>
      <w:r w:rsidRPr="000F7776">
        <w:rPr>
          <w:noProof/>
          <w:szCs w:val="24"/>
        </w:rPr>
        <w:t xml:space="preserve">, </w:t>
      </w:r>
      <w:r w:rsidRPr="000F7776">
        <w:rPr>
          <w:i/>
          <w:iCs/>
          <w:noProof/>
          <w:szCs w:val="24"/>
        </w:rPr>
        <w:t>18</w:t>
      </w:r>
      <w:r w:rsidRPr="000F7776">
        <w:rPr>
          <w:noProof/>
          <w:szCs w:val="24"/>
        </w:rPr>
        <w:t>(3), 191–203. https://doi.org/https://doi.org/10.1016/j.hrmr.2008.07.001</w:t>
      </w:r>
    </w:p>
    <w:p w14:paraId="48C26329" w14:textId="77777777" w:rsidR="006C623E" w:rsidRDefault="006C623E" w:rsidP="006C623E">
      <w:pPr>
        <w:widowControl w:val="0"/>
        <w:ind w:left="480" w:hanging="480"/>
      </w:pPr>
      <w:r w:rsidRPr="004D2DCA">
        <w:rPr>
          <w:lang w:val="es-CO"/>
        </w:rPr>
        <w:t xml:space="preserve">Ren, L. R., Paetzold, R. L., &amp; Colella, A. (2008). </w:t>
      </w:r>
      <w:r>
        <w:t xml:space="preserve">A meta-analysis of experimental studies on the effects of disability on human resource judgments. </w:t>
      </w:r>
      <w:r>
        <w:rPr>
          <w:i/>
        </w:rPr>
        <w:t>Human Resource Management Review</w:t>
      </w:r>
      <w:r>
        <w:t xml:space="preserve">, </w:t>
      </w:r>
      <w:r>
        <w:rPr>
          <w:i/>
        </w:rPr>
        <w:t>18</w:t>
      </w:r>
      <w:r>
        <w:t>, 191–203. https://doi.org/https://doi.org/10.1016/j.hrmr.2008.07.001</w:t>
      </w:r>
    </w:p>
    <w:p w14:paraId="6462E7DF" w14:textId="77777777" w:rsidR="006C623E" w:rsidRDefault="006C623E" w:rsidP="006C623E">
      <w:pPr>
        <w:widowControl w:val="0"/>
        <w:ind w:left="480" w:hanging="480"/>
      </w:pPr>
      <w:r>
        <w:t xml:space="preserve">Riach, P. A., &amp; Rich, J. (2002). Field experiments of discrimination in the market place. </w:t>
      </w:r>
      <w:r>
        <w:rPr>
          <w:i/>
        </w:rPr>
        <w:t>The Economic Journal</w:t>
      </w:r>
      <w:r>
        <w:t xml:space="preserve">, </w:t>
      </w:r>
      <w:r>
        <w:rPr>
          <w:i/>
        </w:rPr>
        <w:t>112</w:t>
      </w:r>
      <w:r>
        <w:t>(483), F480–F518.</w:t>
      </w:r>
    </w:p>
    <w:p w14:paraId="416636E5" w14:textId="77777777" w:rsidR="006C623E" w:rsidRDefault="006C623E" w:rsidP="006C623E">
      <w:pPr>
        <w:widowControl w:val="0"/>
        <w:ind w:left="480" w:hanging="480"/>
      </w:pPr>
      <w:r>
        <w:t xml:space="preserve">Rimmer, R. B., Foster, K. N., Bay, C. R., Floros, J., Rutter, C., Bosch, J., … Caruso, D. M. (2007). The reported effects of bullying on burn-surviving children. </w:t>
      </w:r>
      <w:r>
        <w:rPr>
          <w:i/>
        </w:rPr>
        <w:t>Journal of Burn Care &amp; Research</w:t>
      </w:r>
      <w:r>
        <w:t xml:space="preserve">, </w:t>
      </w:r>
      <w:r>
        <w:rPr>
          <w:i/>
        </w:rPr>
        <w:t>28</w:t>
      </w:r>
      <w:r>
        <w:t>, 484–489.</w:t>
      </w:r>
    </w:p>
    <w:p w14:paraId="0954C3B7" w14:textId="77777777" w:rsidR="006C623E" w:rsidRDefault="006C623E" w:rsidP="006C623E">
      <w:pPr>
        <w:widowControl w:val="0"/>
        <w:ind w:left="480" w:hanging="480"/>
      </w:pPr>
      <w:r>
        <w:t xml:space="preserve">Rinnerthaler, M., Mueller, J., Weichbold, V., Wenning, G. K., &amp; Poewe, W. (2006). Social stigmatization in patients with cranial and cervical dystonia. </w:t>
      </w:r>
      <w:r>
        <w:rPr>
          <w:i/>
        </w:rPr>
        <w:t>Movement Disorders : Official Journal of the Movement Disorder Society</w:t>
      </w:r>
      <w:r>
        <w:t xml:space="preserve">, </w:t>
      </w:r>
      <w:r>
        <w:rPr>
          <w:i/>
        </w:rPr>
        <w:t>21</w:t>
      </w:r>
      <w:r>
        <w:t>, 1636–1640. https://doi.org/10.1002/mds.21049</w:t>
      </w:r>
    </w:p>
    <w:p w14:paraId="13E4F2C3" w14:textId="77777777" w:rsidR="006C623E" w:rsidRDefault="006C623E" w:rsidP="006C623E">
      <w:pPr>
        <w:widowControl w:val="0"/>
        <w:ind w:left="480" w:hanging="480"/>
      </w:pPr>
      <w:r>
        <w:t xml:space="preserve">Rintamaki, L. S., Davis, T. C., Skripkauskas, S., Bennett, C. L., &amp; Wolf, M. S. (2006). Social stigma concerns and HIV medication adherence. </w:t>
      </w:r>
      <w:r>
        <w:rPr>
          <w:i/>
        </w:rPr>
        <w:t>AIDS Patient Care &amp; STDs</w:t>
      </w:r>
      <w:r>
        <w:t xml:space="preserve">, </w:t>
      </w:r>
      <w:r>
        <w:rPr>
          <w:i/>
        </w:rPr>
        <w:t>20</w:t>
      </w:r>
      <w:r>
        <w:t>(5), 359–368.</w:t>
      </w:r>
    </w:p>
    <w:p w14:paraId="5141EDEB" w14:textId="77777777" w:rsidR="006C623E" w:rsidRDefault="006C623E" w:rsidP="006C623E">
      <w:pPr>
        <w:widowControl w:val="0"/>
        <w:ind w:left="480" w:hanging="480"/>
      </w:pPr>
      <w:r>
        <w:t xml:space="preserve">Roberts, L. M., Wiskin, C., &amp; Roalfe, A. (2008). Effects of exposure to mental illness in </w:t>
      </w:r>
      <w:r>
        <w:lastRenderedPageBreak/>
        <w:t xml:space="preserve">role-play on undergraduate student attitudes. </w:t>
      </w:r>
      <w:r>
        <w:rPr>
          <w:i/>
        </w:rPr>
        <w:t>Family Medicine</w:t>
      </w:r>
      <w:r>
        <w:t xml:space="preserve">, </w:t>
      </w:r>
      <w:r>
        <w:rPr>
          <w:i/>
        </w:rPr>
        <w:t>40</w:t>
      </w:r>
      <w:r>
        <w:t>, 477–483. Retrieved from http://www.ncbi.nlm.nih.gov/pubmed/18928074</w:t>
      </w:r>
    </w:p>
    <w:p w14:paraId="69512A5C" w14:textId="77777777" w:rsidR="006C623E" w:rsidRDefault="006C623E" w:rsidP="006C623E">
      <w:pPr>
        <w:widowControl w:val="0"/>
        <w:ind w:left="480" w:hanging="480"/>
      </w:pPr>
      <w:r>
        <w:t xml:space="preserve">Roberts, R M, &amp; Gierasch, A. (2013). The effect of visible facial difference on personal space during encounters with  the general public. </w:t>
      </w:r>
      <w:r>
        <w:rPr>
          <w:i/>
        </w:rPr>
        <w:t>Plastic Surgical Nursing : Official Journal of the American Society of Plastic and Reconstructive Surgical Nurses</w:t>
      </w:r>
      <w:r>
        <w:t xml:space="preserve">, </w:t>
      </w:r>
      <w:r>
        <w:rPr>
          <w:i/>
        </w:rPr>
        <w:t>33</w:t>
      </w:r>
      <w:r>
        <w:t>, 71–72. https://doi.org/10.1097/PSN.0b013e31828f04ef</w:t>
      </w:r>
    </w:p>
    <w:p w14:paraId="69D2EB07" w14:textId="77777777" w:rsidR="006C623E" w:rsidRDefault="006C623E" w:rsidP="006C623E">
      <w:pPr>
        <w:widowControl w:val="0"/>
        <w:ind w:left="480" w:hanging="480"/>
      </w:pPr>
      <w:r>
        <w:t xml:space="preserve">Roberts, Rachel M, Neate, G. M., &amp; Gierasch, A. (2017). Implicit attitudes towards people with visible difference: findings from an Implicit Association Test. </w:t>
      </w:r>
      <w:r>
        <w:rPr>
          <w:i/>
        </w:rPr>
        <w:t>Psychology, Health &amp; Medicine</w:t>
      </w:r>
      <w:r>
        <w:t xml:space="preserve">, </w:t>
      </w:r>
      <w:r>
        <w:rPr>
          <w:i/>
        </w:rPr>
        <w:t>22</w:t>
      </w:r>
      <w:r>
        <w:t>, 352–358.</w:t>
      </w:r>
    </w:p>
    <w:p w14:paraId="5B8F630D" w14:textId="77777777" w:rsidR="006C623E" w:rsidRDefault="006C623E" w:rsidP="006C623E">
      <w:pPr>
        <w:widowControl w:val="0"/>
        <w:ind w:left="480" w:hanging="480"/>
      </w:pPr>
      <w:r>
        <w:t xml:space="preserve">Robinson, E., Rumsey, N., &amp; Partridge, J. (1996). An evaluation of the impact of social interaction skills training for facially disfigured people. </w:t>
      </w:r>
      <w:r>
        <w:rPr>
          <w:i/>
        </w:rPr>
        <w:t>British Journal of Plastic Surgery</w:t>
      </w:r>
      <w:r>
        <w:t xml:space="preserve">, </w:t>
      </w:r>
      <w:r>
        <w:rPr>
          <w:i/>
        </w:rPr>
        <w:t>49</w:t>
      </w:r>
      <w:r>
        <w:t>, 281–289. Retrieved from http://www.ncbi.nlm.nih.gov/pubmed/8774241</w:t>
      </w:r>
    </w:p>
    <w:p w14:paraId="26D7DF10" w14:textId="77777777" w:rsidR="006C623E" w:rsidRDefault="006C623E" w:rsidP="006C623E">
      <w:pPr>
        <w:widowControl w:val="0"/>
        <w:ind w:left="480" w:hanging="480"/>
      </w:pPr>
      <w:r>
        <w:t xml:space="preserve">Rodin, M., Price, J., Sanchez, F., &amp; McElligot, S. (1989). Derogation, Exclusion, and Unfair Treatment of Persons with Social Flaws: Controllability of Stigma and the Attribution of Prejudice. </w:t>
      </w:r>
      <w:r>
        <w:rPr>
          <w:i/>
        </w:rPr>
        <w:t>Personality and Social Psychology Bulletin</w:t>
      </w:r>
      <w:r>
        <w:t xml:space="preserve">, </w:t>
      </w:r>
      <w:r>
        <w:rPr>
          <w:i/>
        </w:rPr>
        <w:t>15</w:t>
      </w:r>
      <w:r>
        <w:t>, 439–451. https://doi.org/10.1177/0146167289153013</w:t>
      </w:r>
    </w:p>
    <w:p w14:paraId="42952D86" w14:textId="77777777" w:rsidR="006C623E" w:rsidRDefault="006C623E" w:rsidP="006C623E">
      <w:pPr>
        <w:widowControl w:val="0"/>
        <w:ind w:left="480" w:hanging="480"/>
      </w:pPr>
      <w:r>
        <w:t xml:space="preserve">Rohrmann, S., Hopp, H., &amp; Quirin, M. (2008). Gender differences in psychophysiological responses to disgust. </w:t>
      </w:r>
      <w:r>
        <w:rPr>
          <w:i/>
        </w:rPr>
        <w:t>Journal of Psychophysiology</w:t>
      </w:r>
      <w:r>
        <w:t xml:space="preserve">, </w:t>
      </w:r>
      <w:r>
        <w:rPr>
          <w:i/>
        </w:rPr>
        <w:t>22</w:t>
      </w:r>
      <w:r>
        <w:t>, 65–75.</w:t>
      </w:r>
    </w:p>
    <w:p w14:paraId="700036CF" w14:textId="77777777" w:rsidR="006C623E" w:rsidRDefault="006C623E" w:rsidP="006C623E">
      <w:pPr>
        <w:widowControl w:val="0"/>
        <w:ind w:left="480" w:hanging="480"/>
      </w:pPr>
      <w:r>
        <w:t xml:space="preserve">Rosser, B. A., Moss, T., &amp; Rumsey, N. (2010). Attentional and interpretative biases in appearance concern: An investigation of biases in appearance-related information processing. </w:t>
      </w:r>
      <w:r>
        <w:rPr>
          <w:i/>
        </w:rPr>
        <w:t>Body Image</w:t>
      </w:r>
      <w:r>
        <w:t xml:space="preserve">, </w:t>
      </w:r>
      <w:r>
        <w:rPr>
          <w:i/>
        </w:rPr>
        <w:t>7</w:t>
      </w:r>
      <w:r>
        <w:t>, 251–254.</w:t>
      </w:r>
    </w:p>
    <w:p w14:paraId="534387D4" w14:textId="77777777" w:rsidR="006C623E" w:rsidRDefault="006C623E" w:rsidP="006C623E">
      <w:pPr>
        <w:widowControl w:val="0"/>
        <w:ind w:left="480" w:hanging="480"/>
      </w:pPr>
      <w:r>
        <w:t>Rozin, P., Haidt, J., &amp; McCauley, C. R. (1993). Disgust.</w:t>
      </w:r>
    </w:p>
    <w:p w14:paraId="60BEA7C1" w14:textId="77777777" w:rsidR="006C623E" w:rsidRDefault="006C623E" w:rsidP="006C623E">
      <w:pPr>
        <w:widowControl w:val="0"/>
        <w:ind w:left="480" w:hanging="480"/>
      </w:pPr>
      <w:r>
        <w:t xml:space="preserve">Rozin, P., Haidt, J., McCauley, C., Dunlop, L., &amp; Ashmore, M. (1999). Individual Differences in Disgust Sensitivity: Comparisons and Evaluations of Paper-and-Pencil versus Behavioral Measures. </w:t>
      </w:r>
      <w:r>
        <w:rPr>
          <w:i/>
        </w:rPr>
        <w:t>Journal of Research in Personality</w:t>
      </w:r>
      <w:r>
        <w:t xml:space="preserve">, </w:t>
      </w:r>
      <w:r>
        <w:rPr>
          <w:i/>
        </w:rPr>
        <w:t>33</w:t>
      </w:r>
      <w:r>
        <w:t>, 330–351. https://doi.org/10.1006/jrpe.1999.2251</w:t>
      </w:r>
    </w:p>
    <w:p w14:paraId="0D368BDB" w14:textId="77777777" w:rsidR="006C623E" w:rsidRDefault="006C623E" w:rsidP="006C623E">
      <w:pPr>
        <w:widowControl w:val="0"/>
        <w:ind w:left="480" w:hanging="480"/>
      </w:pPr>
      <w:r>
        <w:t xml:space="preserve">Rudman, L. A., Greenwald, A. G., &amp; McGhee, D. E. (2001). Implicit self-concept and evaluative implicit gender stereotypes: Self and ingroup share desirable traits. </w:t>
      </w:r>
      <w:r>
        <w:rPr>
          <w:i/>
        </w:rPr>
        <w:t>Personality and Social Psychology Bulletin</w:t>
      </w:r>
      <w:r>
        <w:t xml:space="preserve">, </w:t>
      </w:r>
      <w:r>
        <w:rPr>
          <w:i/>
        </w:rPr>
        <w:t>27</w:t>
      </w:r>
      <w:r>
        <w:t>, 1164–1178.</w:t>
      </w:r>
    </w:p>
    <w:p w14:paraId="00A003E3" w14:textId="77777777" w:rsidR="006C623E" w:rsidRDefault="006C623E" w:rsidP="006C623E">
      <w:pPr>
        <w:widowControl w:val="0"/>
        <w:ind w:left="480" w:hanging="480"/>
      </w:pPr>
      <w:r>
        <w:t xml:space="preserve">Rumsey, N., &amp; Harcourt, D. (2004). Body image and disfigurement: issues and interventions. </w:t>
      </w:r>
      <w:r>
        <w:rPr>
          <w:i/>
        </w:rPr>
        <w:t>Body Image</w:t>
      </w:r>
      <w:r>
        <w:t xml:space="preserve">, </w:t>
      </w:r>
      <w:r>
        <w:rPr>
          <w:i/>
        </w:rPr>
        <w:t>1</w:t>
      </w:r>
      <w:r>
        <w:t>, 83–97.</w:t>
      </w:r>
    </w:p>
    <w:p w14:paraId="15C1DF34" w14:textId="77777777" w:rsidR="006C623E" w:rsidRDefault="006C623E" w:rsidP="006C623E">
      <w:pPr>
        <w:widowControl w:val="0"/>
        <w:ind w:left="480" w:hanging="480"/>
      </w:pPr>
      <w:r>
        <w:lastRenderedPageBreak/>
        <w:t xml:space="preserve">Rumsey, N., Bull, R., &amp; Gahagan, D. (1982). The Effect of Facial Disfigurement on the Proxemic Behavior of the General Public. </w:t>
      </w:r>
      <w:r>
        <w:rPr>
          <w:i/>
        </w:rPr>
        <w:t>Journal of Applied Social Psychology</w:t>
      </w:r>
      <w:r>
        <w:t xml:space="preserve">, </w:t>
      </w:r>
      <w:r>
        <w:rPr>
          <w:i/>
        </w:rPr>
        <w:t>12</w:t>
      </w:r>
      <w:r>
        <w:t>, 137–150. https://doi.org/10.1111/j.1559-1816.1982.tb00855.x</w:t>
      </w:r>
    </w:p>
    <w:p w14:paraId="499C8929" w14:textId="77777777" w:rsidR="006C623E" w:rsidRDefault="006C623E" w:rsidP="006C623E">
      <w:pPr>
        <w:widowControl w:val="0"/>
        <w:ind w:left="480" w:hanging="480"/>
      </w:pPr>
      <w:r>
        <w:t xml:space="preserve">Rumsey, N., Clarke, A., &amp; Musa, M. (2002). Altered body image: the psychosocial needs of patients. </w:t>
      </w:r>
      <w:r>
        <w:rPr>
          <w:i/>
        </w:rPr>
        <w:t>British Journal of Community Nursing</w:t>
      </w:r>
      <w:r>
        <w:t xml:space="preserve">, </w:t>
      </w:r>
      <w:r>
        <w:rPr>
          <w:i/>
        </w:rPr>
        <w:t>7</w:t>
      </w:r>
      <w:r>
        <w:t>, 563–566.</w:t>
      </w:r>
    </w:p>
    <w:p w14:paraId="1546C2E0" w14:textId="77777777" w:rsidR="006C623E" w:rsidRDefault="006C623E" w:rsidP="006C623E">
      <w:pPr>
        <w:widowControl w:val="0"/>
        <w:ind w:left="480" w:hanging="480"/>
      </w:pPr>
      <w:r>
        <w:t xml:space="preserve">Rumsey, N., Clarke, A., White, P., Wyn-Williams, M., &amp; Garlick, W. (2004). Altered body image: appearance-related concerns of people with visible disfigurement. </w:t>
      </w:r>
      <w:r>
        <w:rPr>
          <w:i/>
        </w:rPr>
        <w:t>Journal of Advanced Nursing</w:t>
      </w:r>
      <w:r>
        <w:t xml:space="preserve">, </w:t>
      </w:r>
      <w:r>
        <w:rPr>
          <w:i/>
        </w:rPr>
        <w:t>48</w:t>
      </w:r>
      <w:r>
        <w:t>, 443–453. https://doi.org/10.1111/j.1365-2648.2004.03227.x</w:t>
      </w:r>
    </w:p>
    <w:p w14:paraId="56AEC66B" w14:textId="77777777" w:rsidR="006C623E" w:rsidRDefault="006C623E" w:rsidP="006C623E">
      <w:pPr>
        <w:widowControl w:val="0"/>
        <w:ind w:left="480" w:hanging="480"/>
      </w:pPr>
      <w:r>
        <w:t xml:space="preserve">Rüsch, N., Angermeyer, M. M. C., &amp; Corrigan, P. P. W. (2005). Mental illness stigma: concepts, consequences, and initiatives to reduce stigma. </w:t>
      </w:r>
      <w:r>
        <w:rPr>
          <w:i/>
        </w:rPr>
        <w:t>European Psychiatry : The Journal of the Association of European Psychiatrists</w:t>
      </w:r>
      <w:r>
        <w:t xml:space="preserve">, </w:t>
      </w:r>
      <w:r>
        <w:rPr>
          <w:i/>
        </w:rPr>
        <w:t>20</w:t>
      </w:r>
      <w:r>
        <w:t>, 529–539. https://doi.org/10.1016/j.eurpsy.2005.04.004</w:t>
      </w:r>
    </w:p>
    <w:p w14:paraId="09FED5CF" w14:textId="77777777" w:rsidR="006C623E" w:rsidRDefault="006C623E" w:rsidP="006C623E">
      <w:pPr>
        <w:widowControl w:val="0"/>
        <w:ind w:left="480" w:hanging="480"/>
      </w:pPr>
      <w:r>
        <w:t xml:space="preserve">Ryan, S., Oaten, M., Stevenson, R. J., &amp; Case, T. I. (2012). Facial disfigurement is treated like an infectious disease. </w:t>
      </w:r>
      <w:r>
        <w:rPr>
          <w:i/>
        </w:rPr>
        <w:t>Evolution and Human Behavior</w:t>
      </w:r>
      <w:r>
        <w:t xml:space="preserve">, </w:t>
      </w:r>
      <w:r>
        <w:rPr>
          <w:i/>
        </w:rPr>
        <w:t>33</w:t>
      </w:r>
      <w:r>
        <w:t>, 639–646. https://doi.org/10.1016/j.evolhumbehav.2012.04.001</w:t>
      </w:r>
    </w:p>
    <w:p w14:paraId="105D1F00" w14:textId="77777777" w:rsidR="006C623E" w:rsidRDefault="006C623E" w:rsidP="006C623E">
      <w:pPr>
        <w:widowControl w:val="0"/>
        <w:ind w:left="480" w:hanging="480"/>
      </w:pPr>
      <w:r>
        <w:t xml:space="preserve">Sabin, D. R. J. A., Nosek, D. R. B. A., Greenwald, D. R. A. G., &amp; Rivara, D. R. F. P. (2009). Physicians’ implicit and explicit attitudes about race by MD race, ethnicity, and gender. </w:t>
      </w:r>
      <w:r>
        <w:rPr>
          <w:i/>
        </w:rPr>
        <w:t>Journal of Health Care for the Poor and Underserved</w:t>
      </w:r>
      <w:r>
        <w:t xml:space="preserve">, </w:t>
      </w:r>
      <w:r>
        <w:rPr>
          <w:i/>
        </w:rPr>
        <w:t>20</w:t>
      </w:r>
      <w:r>
        <w:t>, 896.</w:t>
      </w:r>
    </w:p>
    <w:p w14:paraId="5F7AEA56" w14:textId="77777777" w:rsidR="006C623E" w:rsidRPr="000F7776" w:rsidRDefault="006C623E" w:rsidP="006C623E">
      <w:pPr>
        <w:widowControl w:val="0"/>
        <w:autoSpaceDE w:val="0"/>
        <w:autoSpaceDN w:val="0"/>
        <w:adjustRightInd w:val="0"/>
        <w:ind w:left="480" w:hanging="480"/>
        <w:rPr>
          <w:noProof/>
          <w:szCs w:val="24"/>
        </w:rPr>
      </w:pPr>
      <w:r w:rsidRPr="004D2DCA">
        <w:rPr>
          <w:noProof/>
          <w:szCs w:val="24"/>
        </w:rPr>
        <w:t xml:space="preserve">Sattler, S., Escande, A., Racine, E., &amp; Göritz, A. S. (2017). </w:t>
      </w:r>
      <w:r w:rsidRPr="000F7776">
        <w:rPr>
          <w:noProof/>
          <w:szCs w:val="24"/>
        </w:rPr>
        <w:t xml:space="preserve">Public Stigma Toward People With Drug Addiction: A Factorial Survey. </w:t>
      </w:r>
      <w:r w:rsidRPr="000F7776">
        <w:rPr>
          <w:i/>
          <w:iCs/>
          <w:noProof/>
          <w:szCs w:val="24"/>
        </w:rPr>
        <w:t>Journal of Studies on Alcohol and Drugs</w:t>
      </w:r>
      <w:r w:rsidRPr="000F7776">
        <w:rPr>
          <w:noProof/>
          <w:szCs w:val="24"/>
        </w:rPr>
        <w:t xml:space="preserve">, </w:t>
      </w:r>
      <w:r w:rsidRPr="000F7776">
        <w:rPr>
          <w:i/>
          <w:iCs/>
          <w:noProof/>
          <w:szCs w:val="24"/>
        </w:rPr>
        <w:t>78</w:t>
      </w:r>
      <w:r w:rsidRPr="000F7776">
        <w:rPr>
          <w:noProof/>
          <w:szCs w:val="24"/>
        </w:rPr>
        <w:t>(3), 415–425. https://doi.org/10.15288/jsad.2017.78.415</w:t>
      </w:r>
    </w:p>
    <w:p w14:paraId="097CCCF2" w14:textId="77777777" w:rsidR="006C623E" w:rsidRDefault="006C623E" w:rsidP="006C623E">
      <w:pPr>
        <w:widowControl w:val="0"/>
        <w:ind w:left="480" w:hanging="480"/>
      </w:pPr>
      <w:r>
        <w:t xml:space="preserve">Scargle, J. D. (1999). Publication bias (the" file-drawer problem") in scientific inference. </w:t>
      </w:r>
      <w:r>
        <w:rPr>
          <w:i/>
        </w:rPr>
        <w:t>ArXiv Preprint Physics/9909033</w:t>
      </w:r>
      <w:r>
        <w:t>.</w:t>
      </w:r>
    </w:p>
    <w:p w14:paraId="13CF2261" w14:textId="77777777" w:rsidR="006C623E" w:rsidRDefault="006C623E" w:rsidP="006C623E">
      <w:pPr>
        <w:widowControl w:val="0"/>
        <w:ind w:left="480" w:hanging="480"/>
      </w:pPr>
      <w:r>
        <w:t>Schaller, M., &amp; Duncan, L. A. (2007). The behavioral immune system: Its evolution and social psychological implications.</w:t>
      </w:r>
    </w:p>
    <w:p w14:paraId="0C669B23" w14:textId="77777777" w:rsidR="006C623E" w:rsidRDefault="006C623E" w:rsidP="006C623E">
      <w:pPr>
        <w:widowControl w:val="0"/>
        <w:ind w:left="480" w:hanging="480"/>
      </w:pPr>
      <w:r>
        <w:t xml:space="preserve">Schaller, M., &amp; Park, J. H. (2011). The behavioral immune system (and why it matters). </w:t>
      </w:r>
      <w:r>
        <w:rPr>
          <w:i/>
        </w:rPr>
        <w:t>Current Directions in Psychological Science</w:t>
      </w:r>
      <w:r>
        <w:t xml:space="preserve">, </w:t>
      </w:r>
      <w:r>
        <w:rPr>
          <w:i/>
        </w:rPr>
        <w:t>20</w:t>
      </w:r>
      <w:r>
        <w:t>, 99–103.</w:t>
      </w:r>
    </w:p>
    <w:p w14:paraId="575A5485" w14:textId="77777777" w:rsidR="006C623E" w:rsidRDefault="006C623E" w:rsidP="006C623E">
      <w:pPr>
        <w:widowControl w:val="0"/>
        <w:ind w:left="480" w:hanging="480"/>
      </w:pPr>
      <w:r>
        <w:t xml:space="preserve">Schildkrout, E. (2004). Inscribing the body. </w:t>
      </w:r>
      <w:r>
        <w:rPr>
          <w:i/>
        </w:rPr>
        <w:t>Annu. Rev. Anthropol.</w:t>
      </w:r>
      <w:r>
        <w:t xml:space="preserve">, </w:t>
      </w:r>
      <w:r>
        <w:rPr>
          <w:i/>
        </w:rPr>
        <w:t>33</w:t>
      </w:r>
      <w:r>
        <w:t>, 319–344.</w:t>
      </w:r>
    </w:p>
    <w:p w14:paraId="3F69651B" w14:textId="77777777" w:rsidR="006C623E" w:rsidRDefault="006C623E" w:rsidP="006C623E">
      <w:pPr>
        <w:widowControl w:val="0"/>
        <w:ind w:left="480" w:hanging="480"/>
      </w:pPr>
      <w:r>
        <w:t xml:space="preserve">Schlier, B., Schmick, S., &amp; Lincoln, T. M. (2014). No matter of etiology: biogenetic, psychosocial and vulnerability-stress causal explanations fail to improve attitudes towards schizophrenia. </w:t>
      </w:r>
      <w:r>
        <w:rPr>
          <w:i/>
        </w:rPr>
        <w:t>Psychiatry Research</w:t>
      </w:r>
      <w:r>
        <w:t xml:space="preserve">, </w:t>
      </w:r>
      <w:r>
        <w:rPr>
          <w:i/>
        </w:rPr>
        <w:t>215</w:t>
      </w:r>
      <w:r>
        <w:t>(3), 753–759. https://doi.org/10.1016/j.psychres.2013.12.056</w:t>
      </w:r>
    </w:p>
    <w:p w14:paraId="4958A123" w14:textId="77777777" w:rsidR="006C623E" w:rsidRPr="008636E5" w:rsidRDefault="006C623E" w:rsidP="006C623E">
      <w:pPr>
        <w:widowControl w:val="0"/>
        <w:ind w:left="480" w:hanging="480"/>
        <w:rPr>
          <w:lang w:val="es-CO"/>
        </w:rPr>
      </w:pPr>
      <w:r>
        <w:lastRenderedPageBreak/>
        <w:t xml:space="preserve">Schomerus, G., Schwahn, C., Holzinger, A., Corrigan, P. W., Grabe, H. J., Carta, M. G., &amp; Angermeyer, M. C. (2012). Evolution of public attitudes about mental illness: a systematic review and meta-analysis. </w:t>
      </w:r>
      <w:r w:rsidRPr="008636E5">
        <w:rPr>
          <w:i/>
          <w:lang w:val="es-CO"/>
        </w:rPr>
        <w:t>Acta Psychiatrica Scandinavica</w:t>
      </w:r>
      <w:r w:rsidRPr="008636E5">
        <w:rPr>
          <w:lang w:val="es-CO"/>
        </w:rPr>
        <w:t xml:space="preserve">, </w:t>
      </w:r>
      <w:r w:rsidRPr="008636E5">
        <w:rPr>
          <w:i/>
          <w:lang w:val="es-CO"/>
        </w:rPr>
        <w:t>125</w:t>
      </w:r>
      <w:r w:rsidRPr="008636E5">
        <w:rPr>
          <w:lang w:val="es-CO"/>
        </w:rPr>
        <w:t>, 440–452. https://doi.org/10.1111/j.1600-0447.2012.01826.x</w:t>
      </w:r>
    </w:p>
    <w:p w14:paraId="682A9DDE" w14:textId="77777777" w:rsidR="006C623E" w:rsidRDefault="006C623E" w:rsidP="006C623E">
      <w:pPr>
        <w:widowControl w:val="0"/>
        <w:ind w:left="480" w:hanging="480"/>
      </w:pPr>
      <w:r w:rsidRPr="008636E5">
        <w:rPr>
          <w:lang w:val="es-CO"/>
        </w:rPr>
        <w:t xml:space="preserve">Schulz, K. F., Altman, D. G., &amp; Moher, D. (2010). </w:t>
      </w:r>
      <w:r>
        <w:t xml:space="preserve">CONSORT 2010 statement: updated guidelines for reporting parallel group randomised trials. </w:t>
      </w:r>
      <w:r>
        <w:rPr>
          <w:i/>
        </w:rPr>
        <w:t>BMC Medicine</w:t>
      </w:r>
      <w:r>
        <w:t xml:space="preserve">, </w:t>
      </w:r>
      <w:r>
        <w:rPr>
          <w:i/>
        </w:rPr>
        <w:t>8</w:t>
      </w:r>
      <w:r>
        <w:t>, 18.</w:t>
      </w:r>
    </w:p>
    <w:p w14:paraId="45F74BE7" w14:textId="77777777" w:rsidR="006C623E" w:rsidRDefault="006C623E" w:rsidP="006C623E">
      <w:pPr>
        <w:widowControl w:val="0"/>
        <w:ind w:left="480" w:hanging="480"/>
      </w:pPr>
      <w:r>
        <w:t xml:space="preserve">Schwarz, N. (2004). Metacognitive experiences in consumer judgment and decision making. </w:t>
      </w:r>
      <w:r>
        <w:rPr>
          <w:i/>
        </w:rPr>
        <w:t>Journal of Consumer Psychology</w:t>
      </w:r>
      <w:r>
        <w:t xml:space="preserve">, </w:t>
      </w:r>
      <w:r>
        <w:rPr>
          <w:i/>
        </w:rPr>
        <w:t>14</w:t>
      </w:r>
      <w:r>
        <w:t>(4), 332–348.</w:t>
      </w:r>
    </w:p>
    <w:p w14:paraId="3B27B93B" w14:textId="77777777" w:rsidR="006C623E" w:rsidRDefault="006C623E" w:rsidP="006C623E">
      <w:pPr>
        <w:widowControl w:val="0"/>
        <w:ind w:left="480" w:hanging="480"/>
      </w:pPr>
      <w:r>
        <w:t xml:space="preserve">Schwarzer, R., &amp; Weiner, B. (1991). Stigma Controllability and Coping as Predictors of Emotions and Social Support. </w:t>
      </w:r>
      <w:r>
        <w:rPr>
          <w:i/>
        </w:rPr>
        <w:t>Journal of Social and Personal Relationships</w:t>
      </w:r>
      <w:r>
        <w:t xml:space="preserve">, </w:t>
      </w:r>
      <w:r>
        <w:rPr>
          <w:i/>
        </w:rPr>
        <w:t>8</w:t>
      </w:r>
      <w:r>
        <w:t>(1), 133–140. https://doi.org/10.1177/0265407591081007</w:t>
      </w:r>
    </w:p>
    <w:p w14:paraId="7DF9DDE1" w14:textId="77777777" w:rsidR="006C623E" w:rsidRDefault="006C623E" w:rsidP="006C623E">
      <w:pPr>
        <w:widowControl w:val="0"/>
        <w:ind w:left="480" w:hanging="480"/>
      </w:pPr>
      <w:r>
        <w:t xml:space="preserve">Sears, D. O. (1986). College sophomores in the laboratory: Influences of a narrow data base on social psychology’s view of human nature. </w:t>
      </w:r>
      <w:r>
        <w:rPr>
          <w:i/>
        </w:rPr>
        <w:t>Journal of Personality and Social Psychology</w:t>
      </w:r>
      <w:r>
        <w:t xml:space="preserve">, </w:t>
      </w:r>
      <w:r>
        <w:rPr>
          <w:i/>
        </w:rPr>
        <w:t>51</w:t>
      </w:r>
      <w:r>
        <w:t>, 515.</w:t>
      </w:r>
    </w:p>
    <w:p w14:paraId="75C1EB95" w14:textId="77777777" w:rsidR="006C623E" w:rsidRDefault="006C623E" w:rsidP="006C623E">
      <w:pPr>
        <w:widowControl w:val="0"/>
        <w:ind w:left="480" w:hanging="480"/>
      </w:pPr>
      <w:r>
        <w:t xml:space="preserve">Seehra, J., Newton, J. T., &amp; DiBiase, A. T. (2011). Bullying in schoolchildren–its relationship to dental appearance and psychosocial implications: an update for GDPs. </w:t>
      </w:r>
      <w:r>
        <w:rPr>
          <w:i/>
        </w:rPr>
        <w:t>British Dental Journal</w:t>
      </w:r>
      <w:r>
        <w:t xml:space="preserve">, </w:t>
      </w:r>
      <w:r>
        <w:rPr>
          <w:i/>
        </w:rPr>
        <w:t>210</w:t>
      </w:r>
      <w:r>
        <w:t>, 411.</w:t>
      </w:r>
    </w:p>
    <w:p w14:paraId="2B77B43B" w14:textId="77777777" w:rsidR="006C623E" w:rsidRDefault="006C623E" w:rsidP="006C623E">
      <w:pPr>
        <w:widowControl w:val="0"/>
        <w:ind w:left="480" w:hanging="480"/>
      </w:pPr>
      <w:r>
        <w:t xml:space="preserve">Seroalo, K. B., Du Plessis, E., Koen, M. P., &amp; Koen, V. (2014). A critical synthesis of interventions to reduce stigma attached to mental illness. </w:t>
      </w:r>
      <w:r>
        <w:rPr>
          <w:i/>
        </w:rPr>
        <w:t>Health SA Gesondheid</w:t>
      </w:r>
      <w:r>
        <w:t xml:space="preserve">, </w:t>
      </w:r>
      <w:r>
        <w:rPr>
          <w:i/>
        </w:rPr>
        <w:t>19</w:t>
      </w:r>
      <w:r>
        <w:t>, 1–10. https://doi.org/10.4102/hsag.v19i1.800</w:t>
      </w:r>
    </w:p>
    <w:p w14:paraId="2A4A1413" w14:textId="77777777" w:rsidR="006C623E" w:rsidRDefault="006C623E" w:rsidP="006C623E">
      <w:pPr>
        <w:widowControl w:val="0"/>
        <w:ind w:left="480" w:hanging="480"/>
      </w:pPr>
      <w:r>
        <w:t xml:space="preserve">Shah, H., Mehta, A., &amp; Astik, B. (2008). Clinical and sociodemographic study of vitiligo. </w:t>
      </w:r>
      <w:r>
        <w:rPr>
          <w:i/>
        </w:rPr>
        <w:t>Indian Journal of Dermatology, Venereology, and Leprology</w:t>
      </w:r>
      <w:r>
        <w:t xml:space="preserve">, </w:t>
      </w:r>
      <w:r>
        <w:rPr>
          <w:i/>
        </w:rPr>
        <w:t>74</w:t>
      </w:r>
      <w:r>
        <w:t>, 701.</w:t>
      </w:r>
    </w:p>
    <w:p w14:paraId="76F0F22B" w14:textId="77777777" w:rsidR="006C623E" w:rsidRDefault="006C623E" w:rsidP="006C623E">
      <w:pPr>
        <w:widowControl w:val="0"/>
        <w:ind w:left="480" w:hanging="480"/>
      </w:pPr>
      <w:r>
        <w:t xml:space="preserve">Shanmugarajah, K., Gaind, S., Clarke, A., &amp; Butler, P. E. M. (2012). The role of disgust emotions in the observer response to facial disfigurement. </w:t>
      </w:r>
      <w:r>
        <w:rPr>
          <w:i/>
        </w:rPr>
        <w:t>Body Image</w:t>
      </w:r>
      <w:r>
        <w:t xml:space="preserve">, </w:t>
      </w:r>
      <w:r>
        <w:rPr>
          <w:i/>
        </w:rPr>
        <w:t>9</w:t>
      </w:r>
      <w:r>
        <w:t>, 455–461. https://doi.org/10.1016/j.bodyim.2012.05.003</w:t>
      </w:r>
    </w:p>
    <w:p w14:paraId="14875096" w14:textId="77777777" w:rsidR="006C623E" w:rsidRDefault="006C623E" w:rsidP="006C623E">
      <w:pPr>
        <w:widowControl w:val="0"/>
        <w:ind w:left="480" w:hanging="480"/>
      </w:pPr>
      <w:r>
        <w:t xml:space="preserve">Sharac, J., Mccrone, P., Clement, S., &amp; Thornicroft, G. (2010). The economic impact of mental health stigma and discrimination: a systematic review. </w:t>
      </w:r>
      <w:r>
        <w:rPr>
          <w:i/>
        </w:rPr>
        <w:t>Epidemiology and Psychiatric Sciences</w:t>
      </w:r>
      <w:r>
        <w:t xml:space="preserve">, </w:t>
      </w:r>
      <w:r>
        <w:rPr>
          <w:i/>
        </w:rPr>
        <w:t>19</w:t>
      </w:r>
      <w:r>
        <w:t>, 223–232.</w:t>
      </w:r>
    </w:p>
    <w:p w14:paraId="262B52CD" w14:textId="77777777" w:rsidR="006C623E" w:rsidRDefault="006C623E" w:rsidP="006C623E">
      <w:pPr>
        <w:widowControl w:val="0"/>
        <w:ind w:left="480" w:hanging="480"/>
      </w:pPr>
      <w:r>
        <w:t xml:space="preserve">Shaw, W. C. (1981). Folklore surrounding facial deformity and the origins of facial prejudice. </w:t>
      </w:r>
      <w:r>
        <w:rPr>
          <w:i/>
        </w:rPr>
        <w:t>British Journal of Plastic Surgery</w:t>
      </w:r>
      <w:r>
        <w:t xml:space="preserve">, </w:t>
      </w:r>
      <w:r>
        <w:rPr>
          <w:i/>
        </w:rPr>
        <w:t>34</w:t>
      </w:r>
      <w:r>
        <w:t>, 237–246. https://doi.org/10.1016/0007-1226(81)90001-1</w:t>
      </w:r>
    </w:p>
    <w:p w14:paraId="671440D0" w14:textId="77777777" w:rsidR="006C623E" w:rsidRDefault="006C623E" w:rsidP="006C623E">
      <w:pPr>
        <w:widowControl w:val="0"/>
        <w:ind w:left="480" w:hanging="480"/>
      </w:pPr>
      <w:r>
        <w:t xml:space="preserve">Shaw, William C, Humphreys, S., McLoughlin, J. M., &amp; Shimmin, P. C. (1980). The effect of facial deformity on petitioning. </w:t>
      </w:r>
      <w:r>
        <w:rPr>
          <w:i/>
        </w:rPr>
        <w:t>Human Relations</w:t>
      </w:r>
      <w:r>
        <w:t xml:space="preserve">, </w:t>
      </w:r>
      <w:r>
        <w:rPr>
          <w:i/>
        </w:rPr>
        <w:t>33</w:t>
      </w:r>
      <w:r>
        <w:t>, 659–671.</w:t>
      </w:r>
    </w:p>
    <w:p w14:paraId="0F074A33" w14:textId="77777777" w:rsidR="006C623E" w:rsidRDefault="006C623E" w:rsidP="006C623E">
      <w:pPr>
        <w:widowControl w:val="0"/>
        <w:ind w:left="480" w:hanging="480"/>
      </w:pPr>
      <w:r>
        <w:lastRenderedPageBreak/>
        <w:t xml:space="preserve">Shomstein, S., &amp; Yantis, S. (2004). Configural and contextual prioritization in object-based attention. </w:t>
      </w:r>
      <w:r>
        <w:rPr>
          <w:i/>
        </w:rPr>
        <w:t>Psychonomic Bulletin and Review</w:t>
      </w:r>
      <w:r>
        <w:t xml:space="preserve">, </w:t>
      </w:r>
      <w:r>
        <w:rPr>
          <w:i/>
        </w:rPr>
        <w:t>11</w:t>
      </w:r>
      <w:r>
        <w:t>, 247–253. https://doi.org/10.3758/BF03196566</w:t>
      </w:r>
    </w:p>
    <w:p w14:paraId="25B649D1" w14:textId="77777777" w:rsidR="006C623E" w:rsidRDefault="006C623E" w:rsidP="006C623E">
      <w:pPr>
        <w:widowControl w:val="0"/>
        <w:ind w:left="480" w:hanging="480"/>
      </w:pPr>
      <w:r>
        <w:t xml:space="preserve">Siegman, A. W., &amp; Feldstein, S. (2014). </w:t>
      </w:r>
      <w:r>
        <w:rPr>
          <w:i/>
        </w:rPr>
        <w:t>Nonverbal behavior and communication</w:t>
      </w:r>
      <w:r>
        <w:t>. Psychology Press.</w:t>
      </w:r>
    </w:p>
    <w:p w14:paraId="5D3A8EBF" w14:textId="77777777" w:rsidR="006C623E" w:rsidRDefault="006C623E" w:rsidP="006C623E">
      <w:pPr>
        <w:widowControl w:val="0"/>
        <w:ind w:left="480" w:hanging="480"/>
      </w:pPr>
      <w:r>
        <w:t xml:space="preserve">Sikorski, C, Luppa, M., &amp; Kaiser, M. (2011). The stigma of obesity in the general public and its implications for public health-a systematic review. </w:t>
      </w:r>
      <w:r>
        <w:rPr>
          <w:i/>
        </w:rPr>
        <w:t>BMC Public</w:t>
      </w:r>
      <w:r>
        <w:t>. Retrieved from http://bmcpublichealth.biomedcentral.com/articles/10.1186/1471-2458-11-661</w:t>
      </w:r>
    </w:p>
    <w:p w14:paraId="2A831B97" w14:textId="77777777" w:rsidR="006C623E" w:rsidRDefault="006C623E" w:rsidP="006C623E">
      <w:pPr>
        <w:widowControl w:val="0"/>
        <w:ind w:left="480" w:hanging="480"/>
      </w:pPr>
      <w:r>
        <w:t xml:space="preserve">Sikorski, Claudia, Luppa, M., Angermeyer, M. C., Schomerus, G., Link, B., &amp; Riedel-Heller, S. G. (2015). The association of BMI and social distance towards obese individuals is mediated by sympathy and understanding. </w:t>
      </w:r>
      <w:r>
        <w:rPr>
          <w:i/>
        </w:rPr>
        <w:t>Social Science &amp; Medicine (1982)</w:t>
      </w:r>
      <w:r>
        <w:t xml:space="preserve">, </w:t>
      </w:r>
      <w:r>
        <w:rPr>
          <w:i/>
        </w:rPr>
        <w:t>128</w:t>
      </w:r>
      <w:r>
        <w:t>, 25–30. https://doi.org/10.1016/j.socscimed.2015.01.002</w:t>
      </w:r>
    </w:p>
    <w:p w14:paraId="02C64068" w14:textId="77777777" w:rsidR="006C623E" w:rsidRDefault="006C623E" w:rsidP="006C623E">
      <w:pPr>
        <w:widowControl w:val="0"/>
        <w:ind w:left="480" w:hanging="480"/>
      </w:pPr>
      <w:r>
        <w:t xml:space="preserve">Sinha, A., Kushwaha, A. S., Kotwal, A., Sanghi, S., &amp; Verma, A. K. (2010). Stigma in leprosy: Miles to go! </w:t>
      </w:r>
      <w:r>
        <w:rPr>
          <w:i/>
        </w:rPr>
        <w:t>Indian Journal of Leprosy</w:t>
      </w:r>
      <w:r>
        <w:t xml:space="preserve">, </w:t>
      </w:r>
      <w:r>
        <w:rPr>
          <w:i/>
        </w:rPr>
        <w:t>82</w:t>
      </w:r>
      <w:r>
        <w:t>, 137–145. Retrieved from http://www.scopus.com/inward/record.url?eid=2-s2.0-79251557465&amp;partnerID=tZOtx3y1</w:t>
      </w:r>
    </w:p>
    <w:p w14:paraId="0AA19360" w14:textId="77777777" w:rsidR="006C623E" w:rsidRDefault="006C623E" w:rsidP="006C623E">
      <w:pPr>
        <w:widowControl w:val="0"/>
        <w:ind w:left="480" w:hanging="480"/>
      </w:pPr>
      <w:r>
        <w:t xml:space="preserve">Skeggs, B. (2015). Introduction: stratification or exploitation, domination, dispossession and devaluation? </w:t>
      </w:r>
      <w:r>
        <w:rPr>
          <w:i/>
        </w:rPr>
        <w:t>The Sociological Review</w:t>
      </w:r>
      <w:r>
        <w:t xml:space="preserve">, </w:t>
      </w:r>
      <w:r>
        <w:rPr>
          <w:i/>
        </w:rPr>
        <w:t>63</w:t>
      </w:r>
      <w:r>
        <w:t>(2), 205–222.</w:t>
      </w:r>
    </w:p>
    <w:p w14:paraId="739F8930" w14:textId="77777777" w:rsidR="006C623E" w:rsidRDefault="006C623E" w:rsidP="006C623E">
      <w:pPr>
        <w:widowControl w:val="0"/>
        <w:ind w:left="480" w:hanging="480"/>
      </w:pPr>
      <w:r>
        <w:t xml:space="preserve">Skinner, P. (2016). </w:t>
      </w:r>
      <w:r>
        <w:rPr>
          <w:i/>
        </w:rPr>
        <w:t>Living with disfigurement in early medieval Europe</w:t>
      </w:r>
      <w:r>
        <w:t>. Springer.</w:t>
      </w:r>
    </w:p>
    <w:p w14:paraId="4A5EF9ED" w14:textId="77777777" w:rsidR="006C623E" w:rsidRDefault="006C623E" w:rsidP="006C623E">
      <w:pPr>
        <w:widowControl w:val="0"/>
        <w:ind w:left="480" w:hanging="480"/>
      </w:pPr>
      <w:r>
        <w:t xml:space="preserve">Slater, A., Earle, D. C., Morison, V., &amp; Rose, D. (1985). Pattern preferences at birth and their interaction with habituation-induced novelty preferences. </w:t>
      </w:r>
      <w:r>
        <w:rPr>
          <w:i/>
        </w:rPr>
        <w:t>Journal of Experimental Child Psychology</w:t>
      </w:r>
      <w:r>
        <w:t xml:space="preserve">, </w:t>
      </w:r>
      <w:r>
        <w:rPr>
          <w:i/>
        </w:rPr>
        <w:t>39</w:t>
      </w:r>
      <w:r>
        <w:t>(1), 37–54.</w:t>
      </w:r>
    </w:p>
    <w:p w14:paraId="38A6E1A0" w14:textId="77777777" w:rsidR="006C623E" w:rsidRDefault="006C623E" w:rsidP="006C623E">
      <w:pPr>
        <w:widowControl w:val="0"/>
        <w:ind w:left="480" w:hanging="480"/>
      </w:pPr>
      <w:r>
        <w:t xml:space="preserve">Smart Richman, L., &amp; Leary, M. R. (2009). Reactions to discrimination, stigmatization, ostracism, and other forms of interpersonal rejection: a multimotive model. </w:t>
      </w:r>
      <w:r>
        <w:rPr>
          <w:i/>
        </w:rPr>
        <w:t>Psychological Review</w:t>
      </w:r>
      <w:r>
        <w:t xml:space="preserve">, </w:t>
      </w:r>
      <w:r>
        <w:rPr>
          <w:i/>
        </w:rPr>
        <w:t>116</w:t>
      </w:r>
      <w:r>
        <w:t>, 365–383. https://doi.org/10.1037/a0015250</w:t>
      </w:r>
    </w:p>
    <w:p w14:paraId="752A7982" w14:textId="77777777" w:rsidR="006C623E" w:rsidRDefault="006C623E" w:rsidP="006C623E">
      <w:pPr>
        <w:widowControl w:val="0"/>
        <w:ind w:left="480" w:hanging="480"/>
      </w:pPr>
      <w:r>
        <w:t xml:space="preserve">Song, H., &amp; Schwarz, N. (2009). If it’s difficult to pronounce, it must be risky: Fluency, familiarity, and risk perception. </w:t>
      </w:r>
      <w:r>
        <w:rPr>
          <w:i/>
        </w:rPr>
        <w:t>Psychological Science</w:t>
      </w:r>
      <w:r>
        <w:t xml:space="preserve">, </w:t>
      </w:r>
      <w:r>
        <w:rPr>
          <w:i/>
        </w:rPr>
        <w:t>20</w:t>
      </w:r>
      <w:r>
        <w:t>, 135–138.</w:t>
      </w:r>
    </w:p>
    <w:p w14:paraId="79846DE1" w14:textId="77777777" w:rsidR="006C623E" w:rsidRDefault="006C623E" w:rsidP="006C623E">
      <w:pPr>
        <w:widowControl w:val="0"/>
        <w:ind w:left="480" w:hanging="480"/>
      </w:pPr>
      <w:r>
        <w:t xml:space="preserve">Specht, H. (1984). The beautiful, the handsome, and the ugly: Some aspects of the art of character portrayal in medieval literature. </w:t>
      </w:r>
      <w:r>
        <w:rPr>
          <w:i/>
        </w:rPr>
        <w:t>Studia Neophilologica</w:t>
      </w:r>
      <w:r>
        <w:t xml:space="preserve">, </w:t>
      </w:r>
      <w:r>
        <w:rPr>
          <w:i/>
        </w:rPr>
        <w:t>56</w:t>
      </w:r>
      <w:r>
        <w:t>(2), 129–146.</w:t>
      </w:r>
    </w:p>
    <w:p w14:paraId="6878421A" w14:textId="77777777" w:rsidR="006C623E" w:rsidRDefault="006C623E" w:rsidP="006C623E">
      <w:pPr>
        <w:widowControl w:val="0"/>
        <w:ind w:left="480" w:hanging="480"/>
      </w:pPr>
      <w:r>
        <w:t xml:space="preserve">Stanley, D. A., Sokol-Hessner, P., Banaji, M. R., &amp; Phelps, E. A. (2011). Implicit race attitudes predict trustworthiness judgments and economic trust decisions. </w:t>
      </w:r>
      <w:r>
        <w:rPr>
          <w:i/>
        </w:rPr>
        <w:lastRenderedPageBreak/>
        <w:t>Proceedings of the National Academy of Sciences</w:t>
      </w:r>
      <w:r>
        <w:t xml:space="preserve">, </w:t>
      </w:r>
      <w:r>
        <w:rPr>
          <w:i/>
        </w:rPr>
        <w:t>108</w:t>
      </w:r>
      <w:r>
        <w:t>, 7710 LP – 7715. https://doi.org/10.1073/pnas.1014345108</w:t>
      </w:r>
    </w:p>
    <w:p w14:paraId="688CD8E7"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Stanley, T. D., &amp; Jarrell, S. B. (1998). Gender wage discrimination bias? A meta-regression analysis. </w:t>
      </w:r>
      <w:r w:rsidRPr="000F7776">
        <w:rPr>
          <w:i/>
          <w:iCs/>
          <w:noProof/>
          <w:szCs w:val="24"/>
        </w:rPr>
        <w:t>Journal of Human Resources</w:t>
      </w:r>
      <w:r w:rsidRPr="000F7776">
        <w:rPr>
          <w:noProof/>
          <w:szCs w:val="24"/>
        </w:rPr>
        <w:t>, 947–973.</w:t>
      </w:r>
    </w:p>
    <w:p w14:paraId="7E6A009D" w14:textId="77777777" w:rsidR="006C623E" w:rsidRDefault="006C623E" w:rsidP="006C623E">
      <w:pPr>
        <w:widowControl w:val="0"/>
        <w:ind w:left="480" w:hanging="480"/>
      </w:pPr>
      <w:r>
        <w:t xml:space="preserve">Stathi, S., &amp; Crisp, R. J. (2009). Teaching and learning guide for: Imagined intergroup contact: Theory, paradigm, and practice. </w:t>
      </w:r>
      <w:r>
        <w:rPr>
          <w:i/>
        </w:rPr>
        <w:t>Social and Personality Psychology Compass</w:t>
      </w:r>
      <w:r>
        <w:t xml:space="preserve">, </w:t>
      </w:r>
      <w:r>
        <w:rPr>
          <w:i/>
        </w:rPr>
        <w:t>3</w:t>
      </w:r>
      <w:r>
        <w:t>, 1129–1134.</w:t>
      </w:r>
    </w:p>
    <w:p w14:paraId="43A67A0D" w14:textId="77777777" w:rsidR="006C623E" w:rsidRDefault="006C623E" w:rsidP="006C623E">
      <w:pPr>
        <w:widowControl w:val="0"/>
        <w:ind w:left="480" w:hanging="480"/>
      </w:pPr>
      <w:r>
        <w:t>Stathi, S., Cameron, L., Hartley, B., &amp; Bradford, S. (2014). Imagined contact as a prejudice</w:t>
      </w:r>
      <w:r>
        <w:rPr>
          <w:rFonts w:ascii="Cambria Math" w:eastAsia="Cambria Math" w:hAnsi="Cambria Math" w:cs="Cambria Math"/>
        </w:rPr>
        <w:t>‐</w:t>
      </w:r>
      <w:r>
        <w:t xml:space="preserve">reduction intervention in schools: The underlying role of similarity and attitudes. </w:t>
      </w:r>
      <w:r>
        <w:rPr>
          <w:i/>
        </w:rPr>
        <w:t>Journal of Applied Social Psychology</w:t>
      </w:r>
      <w:r>
        <w:t xml:space="preserve">, </w:t>
      </w:r>
      <w:r>
        <w:rPr>
          <w:i/>
        </w:rPr>
        <w:t>44</w:t>
      </w:r>
      <w:r>
        <w:t>, 536–546.</w:t>
      </w:r>
    </w:p>
    <w:p w14:paraId="64A517AB" w14:textId="77777777" w:rsidR="006C623E" w:rsidRDefault="006C623E" w:rsidP="006C623E">
      <w:pPr>
        <w:widowControl w:val="0"/>
        <w:ind w:left="480" w:hanging="480"/>
      </w:pPr>
      <w:r>
        <w:t xml:space="preserve">Stathi, S., Tsantila, K., &amp; Crisp, R. J. (2012). Imagining intergroup contact can combat mental health stigma by reducing anxiety, avoidance and negative stereotyping. </w:t>
      </w:r>
      <w:r>
        <w:rPr>
          <w:i/>
        </w:rPr>
        <w:t>The Journal of Social Psychology</w:t>
      </w:r>
      <w:r>
        <w:t xml:space="preserve">, </w:t>
      </w:r>
      <w:r>
        <w:rPr>
          <w:i/>
        </w:rPr>
        <w:t>152</w:t>
      </w:r>
      <w:r>
        <w:t>, 746–757. https://doi.org/10.1080/00224545.2012.697080</w:t>
      </w:r>
    </w:p>
    <w:p w14:paraId="2C89D7E2" w14:textId="77777777" w:rsidR="006C623E" w:rsidRDefault="006C623E" w:rsidP="006C623E">
      <w:pPr>
        <w:widowControl w:val="0"/>
        <w:ind w:left="480" w:hanging="480"/>
      </w:pPr>
      <w:r>
        <w:t xml:space="preserve">Steffens, M. C., &amp; Wagner, C. (2004). Attitudes Toward Lesbians, Gay Men, Bisexual Women, and Bisexual Men in Germany. </w:t>
      </w:r>
      <w:r>
        <w:rPr>
          <w:i/>
        </w:rPr>
        <w:t>The Journal of Sex Research</w:t>
      </w:r>
      <w:r>
        <w:t xml:space="preserve">, </w:t>
      </w:r>
      <w:r>
        <w:rPr>
          <w:i/>
        </w:rPr>
        <w:t>41</w:t>
      </w:r>
      <w:r>
        <w:t>, 137–149. Retrieved from http://www.jstor.org/stable/3813648</w:t>
      </w:r>
    </w:p>
    <w:p w14:paraId="3F2BCDFF"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Stephan, W., &amp; Stephan, C. (1985). Intergroup anxiety. </w:t>
      </w:r>
      <w:r w:rsidRPr="000F7776">
        <w:rPr>
          <w:i/>
          <w:iCs/>
          <w:noProof/>
          <w:szCs w:val="24"/>
        </w:rPr>
        <w:t>Journal of Social Issues</w:t>
      </w:r>
      <w:r w:rsidRPr="000F7776">
        <w:rPr>
          <w:noProof/>
          <w:szCs w:val="24"/>
        </w:rPr>
        <w:t>. http://onlinelibrary.wiley.com/doi/10.1111/j.1540-4560.1985.tb01134.x/abstract</w:t>
      </w:r>
    </w:p>
    <w:p w14:paraId="0E8A81C3" w14:textId="77777777" w:rsidR="006C623E" w:rsidRDefault="006C623E" w:rsidP="006C623E">
      <w:pPr>
        <w:widowControl w:val="0"/>
        <w:ind w:left="480" w:hanging="480"/>
      </w:pPr>
      <w:r>
        <w:t xml:space="preserve">Stevenage, S. V., &amp; McKay, Y. (1999). Model applicants: The effect of facial appearance on recruitment decisions. </w:t>
      </w:r>
      <w:r>
        <w:rPr>
          <w:i/>
        </w:rPr>
        <w:t>British Journal of Psychology</w:t>
      </w:r>
      <w:r>
        <w:t xml:space="preserve">, </w:t>
      </w:r>
      <w:r>
        <w:rPr>
          <w:i/>
        </w:rPr>
        <w:t>90</w:t>
      </w:r>
      <w:r>
        <w:t>(May), 221–234. https://doi.org/10.1348/000712699161369</w:t>
      </w:r>
    </w:p>
    <w:p w14:paraId="72A0CC4F" w14:textId="77777777" w:rsidR="006C623E" w:rsidRDefault="006C623E" w:rsidP="006C623E">
      <w:pPr>
        <w:widowControl w:val="0"/>
        <w:ind w:left="480" w:hanging="480"/>
      </w:pPr>
      <w:r>
        <w:t xml:space="preserve">Stevenage, S., &amp; Furness, C. (2008). The influence of disfigurement on conversational recall. </w:t>
      </w:r>
      <w:r>
        <w:rPr>
          <w:i/>
        </w:rPr>
        <w:t>Journal of Health Psychology</w:t>
      </w:r>
      <w:r>
        <w:t xml:space="preserve">, </w:t>
      </w:r>
      <w:r>
        <w:rPr>
          <w:i/>
        </w:rPr>
        <w:t>13</w:t>
      </w:r>
      <w:r>
        <w:t>, 1113–1118. https://doi.org/10.1177/1359105308095965</w:t>
      </w:r>
    </w:p>
    <w:p w14:paraId="1DCAF4ED" w14:textId="77777777" w:rsidR="006C623E" w:rsidRDefault="006C623E" w:rsidP="006C623E">
      <w:pPr>
        <w:widowControl w:val="0"/>
        <w:ind w:left="480" w:hanging="480"/>
      </w:pPr>
      <w:r>
        <w:t xml:space="preserve">Stone, A., &amp; Potton, A. (2014). Emotional Responses to Disfigured Faces: The Influences of Perceived Anonymity, Empathy, and Disgust Sensitivity. </w:t>
      </w:r>
      <w:r>
        <w:rPr>
          <w:i/>
        </w:rPr>
        <w:t>Basic and Applied Social Psychology</w:t>
      </w:r>
      <w:r>
        <w:t xml:space="preserve">, </w:t>
      </w:r>
      <w:r>
        <w:rPr>
          <w:i/>
        </w:rPr>
        <w:t>36</w:t>
      </w:r>
      <w:r>
        <w:t>, 520–532. https://doi.org/10.1080/01973533.2014.958491</w:t>
      </w:r>
    </w:p>
    <w:p w14:paraId="0E22F640" w14:textId="77777777" w:rsidR="006C623E" w:rsidRDefault="006C623E" w:rsidP="006C623E">
      <w:pPr>
        <w:widowControl w:val="0"/>
        <w:ind w:left="480" w:hanging="480"/>
      </w:pPr>
      <w:r>
        <w:t xml:space="preserve">Stone, A., &amp; Potton, A. (2017). Emotional responses to disfigured faces and Disgust Sensitivity: An eye-tracking study. </w:t>
      </w:r>
      <w:r>
        <w:rPr>
          <w:i/>
        </w:rPr>
        <w:t>Journal of Health Psychology</w:t>
      </w:r>
      <w:r>
        <w:t>, 1359105317692856.</w:t>
      </w:r>
    </w:p>
    <w:p w14:paraId="6E4DBA08" w14:textId="77777777" w:rsidR="006C623E" w:rsidRDefault="006C623E" w:rsidP="006C623E">
      <w:pPr>
        <w:widowControl w:val="0"/>
        <w:ind w:left="480" w:hanging="480"/>
      </w:pPr>
      <w:r>
        <w:t xml:space="preserve">Stone, A., &amp; Wright, T. (2012). Evaluations of People Depicted With Facial </w:t>
      </w:r>
      <w:r>
        <w:lastRenderedPageBreak/>
        <w:t xml:space="preserve">Disfigurement Compared to Those With Mobility Impairment. </w:t>
      </w:r>
      <w:r>
        <w:rPr>
          <w:i/>
        </w:rPr>
        <w:t>Basic and Applied Social Psychology</w:t>
      </w:r>
      <w:r>
        <w:t xml:space="preserve">, </w:t>
      </w:r>
      <w:r>
        <w:rPr>
          <w:i/>
        </w:rPr>
        <w:t>34</w:t>
      </w:r>
      <w:r>
        <w:t>, 212–225. https://doi.org/10.1080/01973533.2012.674420</w:t>
      </w:r>
    </w:p>
    <w:p w14:paraId="36E6BB5E" w14:textId="77777777" w:rsidR="006C623E" w:rsidRDefault="006C623E" w:rsidP="006C623E">
      <w:pPr>
        <w:widowControl w:val="0"/>
        <w:ind w:left="480" w:hanging="480"/>
      </w:pPr>
      <w:r>
        <w:t xml:space="preserve">Stone, A., &amp; Wright, T. (2013). When your face doesn’t fit: employment discrimination against people with facial disfigurements. </w:t>
      </w:r>
      <w:r>
        <w:rPr>
          <w:i/>
        </w:rPr>
        <w:t>Journal of Applied Social Psychology</w:t>
      </w:r>
      <w:r>
        <w:t xml:space="preserve">, </w:t>
      </w:r>
      <w:r>
        <w:rPr>
          <w:i/>
        </w:rPr>
        <w:t>43</w:t>
      </w:r>
      <w:r>
        <w:t>, 515–526. https://doi.org/10.1111/j.1559-1816.2013.01032.x</w:t>
      </w:r>
    </w:p>
    <w:p w14:paraId="4CAEE5BB" w14:textId="77777777" w:rsidR="006C623E" w:rsidRDefault="006C623E" w:rsidP="006C623E">
      <w:pPr>
        <w:widowControl w:val="0"/>
        <w:ind w:left="480" w:hanging="480"/>
      </w:pPr>
      <w:r>
        <w:t>Strauss, R. P., Ramsey, B. L., Edwards, T. C., Topolski, T. D., Kapp</w:t>
      </w:r>
      <w:r>
        <w:rPr>
          <w:rFonts w:ascii="Cambria Math" w:eastAsia="Cambria Math" w:hAnsi="Cambria Math" w:cs="Cambria Math"/>
        </w:rPr>
        <w:t>‐</w:t>
      </w:r>
      <w:r>
        <w:t>Simon, K. A., Thomas, C. R., … Patrick, D. L. (2007). Stigma experiences in youth with facial differences: a multi</w:t>
      </w:r>
      <w:r>
        <w:rPr>
          <w:rFonts w:ascii="Cambria Math" w:eastAsia="Cambria Math" w:hAnsi="Cambria Math" w:cs="Cambria Math"/>
        </w:rPr>
        <w:t>‐</w:t>
      </w:r>
      <w:r>
        <w:t xml:space="preserve">site study of adolescents and their mothers. </w:t>
      </w:r>
      <w:r>
        <w:rPr>
          <w:i/>
        </w:rPr>
        <w:t>Orthodontics &amp; Craniofacial Research</w:t>
      </w:r>
      <w:r>
        <w:t xml:space="preserve">, </w:t>
      </w:r>
      <w:r>
        <w:rPr>
          <w:i/>
        </w:rPr>
        <w:t>10</w:t>
      </w:r>
      <w:r>
        <w:t>, 96–103.</w:t>
      </w:r>
    </w:p>
    <w:p w14:paraId="6CB015F1" w14:textId="77777777" w:rsidR="006C623E" w:rsidRDefault="006C623E" w:rsidP="006C623E">
      <w:pPr>
        <w:widowControl w:val="0"/>
        <w:ind w:left="480" w:hanging="480"/>
      </w:pPr>
      <w:r>
        <w:t xml:space="preserve">Szeto, A. C. H. H., &amp; Dobson, K. S. (2010). Reducing the stigma of mental disorders at work: A review of current workplace anti-stigma intervention programs. </w:t>
      </w:r>
      <w:r>
        <w:rPr>
          <w:i/>
        </w:rPr>
        <w:t>Applied and Preventive Psychology</w:t>
      </w:r>
      <w:r>
        <w:t xml:space="preserve">, </w:t>
      </w:r>
      <w:r>
        <w:rPr>
          <w:i/>
        </w:rPr>
        <w:t>14</w:t>
      </w:r>
      <w:r>
        <w:t>(1–4), 41–56. https://doi.org/10.1016/j.appsy.2011.11.002</w:t>
      </w:r>
    </w:p>
    <w:p w14:paraId="3A46A4AE" w14:textId="77777777" w:rsidR="006C623E" w:rsidRDefault="006C623E" w:rsidP="006C623E">
      <w:pPr>
        <w:widowControl w:val="0"/>
        <w:ind w:left="480" w:hanging="480"/>
      </w:pPr>
      <w:r>
        <w:t xml:space="preserve">Tapias, M. P., Glaser, J., Keltner, D., Vasquez, K., &amp; Wickens, T. (2007). Emotion and prejudice: Specific emotions toward outgroups. </w:t>
      </w:r>
      <w:r>
        <w:rPr>
          <w:i/>
        </w:rPr>
        <w:t>Group Processes &amp; Intergroup Relations</w:t>
      </w:r>
      <w:r>
        <w:t xml:space="preserve">, </w:t>
      </w:r>
      <w:r>
        <w:rPr>
          <w:i/>
        </w:rPr>
        <w:t>10</w:t>
      </w:r>
      <w:r>
        <w:t>, 27–39.</w:t>
      </w:r>
    </w:p>
    <w:p w14:paraId="432870DE" w14:textId="77777777" w:rsidR="006C623E" w:rsidRDefault="006C623E" w:rsidP="006C623E">
      <w:pPr>
        <w:widowControl w:val="0"/>
        <w:ind w:left="480" w:hanging="480"/>
      </w:pPr>
      <w:r>
        <w:t xml:space="preserve">Tartaglia, A., McMahon, B. T., West, S. L., &amp; Belongia, L. (2005). Workplace discrimination and disfigurement: the national EEOC ADA research project. </w:t>
      </w:r>
      <w:r>
        <w:rPr>
          <w:i/>
        </w:rPr>
        <w:t>Work</w:t>
      </w:r>
      <w:r>
        <w:t xml:space="preserve">, </w:t>
      </w:r>
      <w:r>
        <w:rPr>
          <w:i/>
        </w:rPr>
        <w:t>25</w:t>
      </w:r>
      <w:r>
        <w:t>, 57–65.</w:t>
      </w:r>
    </w:p>
    <w:p w14:paraId="017EBD55" w14:textId="77777777" w:rsidR="006C623E" w:rsidRPr="000F7776" w:rsidRDefault="006C623E" w:rsidP="006C623E">
      <w:pPr>
        <w:widowControl w:val="0"/>
        <w:autoSpaceDE w:val="0"/>
        <w:autoSpaceDN w:val="0"/>
        <w:adjustRightInd w:val="0"/>
        <w:ind w:left="480" w:hanging="480"/>
        <w:rPr>
          <w:noProof/>
          <w:szCs w:val="24"/>
        </w:rPr>
      </w:pPr>
      <w:r w:rsidRPr="000F7776">
        <w:rPr>
          <w:noProof/>
          <w:szCs w:val="24"/>
        </w:rPr>
        <w:t xml:space="preserve">Tavakol, M., &amp; Dennick, R. (2011). Making sense of Cronbach’s alpha. </w:t>
      </w:r>
      <w:r w:rsidRPr="000F7776">
        <w:rPr>
          <w:i/>
          <w:iCs/>
          <w:noProof/>
          <w:szCs w:val="24"/>
        </w:rPr>
        <w:t>International Journal of Medical Education</w:t>
      </w:r>
      <w:r w:rsidRPr="000F7776">
        <w:rPr>
          <w:noProof/>
          <w:szCs w:val="24"/>
        </w:rPr>
        <w:t xml:space="preserve">, </w:t>
      </w:r>
      <w:r w:rsidRPr="000F7776">
        <w:rPr>
          <w:i/>
          <w:iCs/>
          <w:noProof/>
          <w:szCs w:val="24"/>
        </w:rPr>
        <w:t>2</w:t>
      </w:r>
      <w:r w:rsidRPr="000F7776">
        <w:rPr>
          <w:noProof/>
          <w:szCs w:val="24"/>
        </w:rPr>
        <w:t>, 53–55. https://doi.org/10.5116/ijme.4dfb.8dfd</w:t>
      </w:r>
    </w:p>
    <w:p w14:paraId="763220B2" w14:textId="77777777" w:rsidR="006C623E" w:rsidRDefault="006C623E" w:rsidP="006C623E">
      <w:pPr>
        <w:widowControl w:val="0"/>
        <w:ind w:left="480" w:hanging="480"/>
      </w:pPr>
      <w:r>
        <w:t xml:space="preserve">Teachman, B. A., Gapinski, K. D., Brownell, K. D., Rawlins, M., &amp; Jeyaram, S. (2003). Demonstrations of implicit anti-fat bias: the impact of providing causal information and evoking empathy. </w:t>
      </w:r>
      <w:r>
        <w:rPr>
          <w:i/>
        </w:rPr>
        <w:t>Health Psychology</w:t>
      </w:r>
      <w:r>
        <w:t xml:space="preserve">, </w:t>
      </w:r>
      <w:r>
        <w:rPr>
          <w:i/>
        </w:rPr>
        <w:t>22</w:t>
      </w:r>
      <w:r>
        <w:t>, 68.</w:t>
      </w:r>
    </w:p>
    <w:p w14:paraId="7C1D3D0E" w14:textId="77777777" w:rsidR="006C623E" w:rsidRDefault="006C623E" w:rsidP="006C623E">
      <w:pPr>
        <w:widowControl w:val="0"/>
        <w:ind w:left="480" w:hanging="480"/>
      </w:pPr>
      <w:r>
        <w:t xml:space="preserve">Terwee, C. B., Dekker, F. W., Bonsel, G. J., Heisterkamp, S. H., Prummel, M. F., Baldeschi, L., &amp; Wiersinga, W. M. (2003). Facial disfigurement: Is it in the eye of the beholder? A study in patients with Graves’ ophthalmopathy. </w:t>
      </w:r>
      <w:r>
        <w:rPr>
          <w:i/>
        </w:rPr>
        <w:t>Clinical Endocrinology</w:t>
      </w:r>
      <w:r>
        <w:t xml:space="preserve">, </w:t>
      </w:r>
      <w:r>
        <w:rPr>
          <w:i/>
        </w:rPr>
        <w:t>58</w:t>
      </w:r>
      <w:r>
        <w:t>, 192–198. https://doi.org/10.1046/j.1365-2265.2003.01695.x</w:t>
      </w:r>
    </w:p>
    <w:p w14:paraId="08BC3927" w14:textId="77777777" w:rsidR="006C623E" w:rsidRDefault="006C623E" w:rsidP="006C623E">
      <w:pPr>
        <w:widowControl w:val="0"/>
        <w:ind w:left="480" w:hanging="480"/>
      </w:pPr>
      <w:r>
        <w:t xml:space="preserve">Thompson, A. R., &amp; Broom, L. (2009). Positively managing intrusive reactions to disfigurement: an interpretative phenomenological analysis of naturalistic coping. </w:t>
      </w:r>
      <w:r>
        <w:rPr>
          <w:i/>
        </w:rPr>
        <w:t>Diversity &amp; Equality in Health and Care</w:t>
      </w:r>
      <w:r>
        <w:t>.</w:t>
      </w:r>
    </w:p>
    <w:p w14:paraId="37E93268" w14:textId="77777777" w:rsidR="006C623E" w:rsidRDefault="006C623E" w:rsidP="006C623E">
      <w:pPr>
        <w:widowControl w:val="0"/>
        <w:ind w:left="480" w:hanging="480"/>
      </w:pPr>
      <w:r>
        <w:t xml:space="preserve">Thompson, A., &amp; Kent, G. (2001). Adjusting to disfigurement: processes involved in dealing with being visibly different. </w:t>
      </w:r>
      <w:r>
        <w:rPr>
          <w:i/>
        </w:rPr>
        <w:t>Clinical Psychology Review</w:t>
      </w:r>
      <w:r>
        <w:t xml:space="preserve">, </w:t>
      </w:r>
      <w:r>
        <w:rPr>
          <w:i/>
        </w:rPr>
        <w:t>21</w:t>
      </w:r>
      <w:r>
        <w:t>, 663–682. Retrieved from http://www.ncbi.nlm.nih.gov/pubmed/11434225</w:t>
      </w:r>
    </w:p>
    <w:p w14:paraId="083FA430" w14:textId="77777777" w:rsidR="006C623E" w:rsidRDefault="006C623E" w:rsidP="006C623E">
      <w:pPr>
        <w:widowControl w:val="0"/>
        <w:ind w:left="480" w:hanging="480"/>
      </w:pPr>
      <w:r>
        <w:lastRenderedPageBreak/>
        <w:t xml:space="preserve">Timms, R. M. (2013). Moderate acne as a potential barrier to social relationships: Myth or reality? </w:t>
      </w:r>
      <w:r>
        <w:rPr>
          <w:i/>
        </w:rPr>
        <w:t>Psychology, Health &amp; Medicine</w:t>
      </w:r>
      <w:r>
        <w:t xml:space="preserve">, </w:t>
      </w:r>
      <w:r>
        <w:rPr>
          <w:i/>
        </w:rPr>
        <w:t>18</w:t>
      </w:r>
      <w:r>
        <w:t>, 310–320. https://doi.org/10.1080/13548506.2012.726363</w:t>
      </w:r>
    </w:p>
    <w:p w14:paraId="0C8A8834" w14:textId="77777777" w:rsidR="006C623E" w:rsidRDefault="006C623E" w:rsidP="006C623E">
      <w:pPr>
        <w:widowControl w:val="0"/>
        <w:ind w:left="480" w:hanging="480"/>
      </w:pPr>
      <w:r>
        <w:t xml:space="preserve">Toronchuk, J. A., &amp; Ellis, G. F. R. (2007). Disgust: Sensory affect or primary emotional system? </w:t>
      </w:r>
      <w:r>
        <w:rPr>
          <w:i/>
        </w:rPr>
        <w:t>Cognition and Emotion</w:t>
      </w:r>
      <w:r>
        <w:t xml:space="preserve">, </w:t>
      </w:r>
      <w:r>
        <w:rPr>
          <w:i/>
        </w:rPr>
        <w:t>21</w:t>
      </w:r>
      <w:r>
        <w:t>, 1799–1818. https://doi.org/10.1080/02699930701298515</w:t>
      </w:r>
    </w:p>
    <w:p w14:paraId="3997E04C" w14:textId="77777777" w:rsidR="006C623E" w:rsidRDefault="006C623E" w:rsidP="006C623E">
      <w:pPr>
        <w:widowControl w:val="0"/>
        <w:ind w:left="480" w:hanging="480"/>
      </w:pPr>
      <w:r>
        <w:t xml:space="preserve">Tucker, M., &amp; Bond, N. W. (1997). The roles of gender, sex role, and disgust in fear of animals. </w:t>
      </w:r>
      <w:r>
        <w:rPr>
          <w:i/>
        </w:rPr>
        <w:t>Personality and Individual Differences</w:t>
      </w:r>
      <w:r>
        <w:t xml:space="preserve">, </w:t>
      </w:r>
      <w:r>
        <w:rPr>
          <w:i/>
        </w:rPr>
        <w:t>22</w:t>
      </w:r>
      <w:r>
        <w:t>, 135–138. https://doi.org/10.1016/S0191-8869(96)00168-7</w:t>
      </w:r>
    </w:p>
    <w:p w14:paraId="1284A04C" w14:textId="77777777" w:rsidR="006C623E" w:rsidRDefault="006C623E" w:rsidP="006C623E">
      <w:pPr>
        <w:widowControl w:val="0"/>
        <w:ind w:left="480" w:hanging="480"/>
      </w:pPr>
      <w:r>
        <w:t>Turner, R. N., West, K., &amp; Christie, Z. (2013). Out</w:t>
      </w:r>
      <w:r>
        <w:rPr>
          <w:rFonts w:ascii="Cambria Math" w:eastAsia="Cambria Math" w:hAnsi="Cambria Math" w:cs="Cambria Math"/>
        </w:rPr>
        <w:t>‐</w:t>
      </w:r>
      <w:r>
        <w:t>group trust, intergroup anxiety, and out</w:t>
      </w:r>
      <w:r>
        <w:rPr>
          <w:rFonts w:ascii="Cambria Math" w:eastAsia="Cambria Math" w:hAnsi="Cambria Math" w:cs="Cambria Math"/>
        </w:rPr>
        <w:t>‐</w:t>
      </w:r>
      <w:r>
        <w:t xml:space="preserve">group attitude as mediators of the effect of imagined intergroup contact on intergroup behavioral tendencies. </w:t>
      </w:r>
      <w:r>
        <w:rPr>
          <w:i/>
        </w:rPr>
        <w:t>Journal of Applied Social Psychology</w:t>
      </w:r>
      <w:r>
        <w:t xml:space="preserve">, </w:t>
      </w:r>
      <w:r>
        <w:rPr>
          <w:i/>
        </w:rPr>
        <w:t>43</w:t>
      </w:r>
      <w:r>
        <w:t>, E196–E205.</w:t>
      </w:r>
    </w:p>
    <w:p w14:paraId="0506518A" w14:textId="77777777" w:rsidR="006C623E" w:rsidRDefault="006C623E" w:rsidP="006C623E">
      <w:pPr>
        <w:widowControl w:val="0"/>
        <w:ind w:left="480" w:hanging="480"/>
      </w:pPr>
      <w:r>
        <w:t xml:space="preserve">Turner, R., &amp; Crisp, R. (2010). Imagining intergroup contact reduces implicit prejudice. </w:t>
      </w:r>
      <w:r>
        <w:rPr>
          <w:i/>
        </w:rPr>
        <w:t>British Journal of Social Psychology</w:t>
      </w:r>
      <w:r>
        <w:t>. Retrieved from http://onlinelibrary.wiley.com/doi/10.1348/014466609X419901/full</w:t>
      </w:r>
    </w:p>
    <w:p w14:paraId="5E72CB03" w14:textId="77777777" w:rsidR="006C623E" w:rsidRDefault="006C623E" w:rsidP="006C623E">
      <w:pPr>
        <w:widowControl w:val="0"/>
        <w:ind w:left="480" w:hanging="480"/>
      </w:pPr>
      <w:r>
        <w:t xml:space="preserve">Turner, R., &amp; West, K. (2011). Behavioural consequences of imagining intergroup contact with stigmatized outgroups. </w:t>
      </w:r>
      <w:r>
        <w:rPr>
          <w:i/>
        </w:rPr>
        <w:t>Group Processes &amp; Intergroup Relations</w:t>
      </w:r>
      <w:r>
        <w:t>. Retrieved from http://gpi.sagepub.com/content/early/2011/08/26/1368430211418699.abstract</w:t>
      </w:r>
    </w:p>
    <w:p w14:paraId="74E30E8C" w14:textId="77777777" w:rsidR="006C623E" w:rsidRDefault="006C623E" w:rsidP="006C623E">
      <w:pPr>
        <w:widowControl w:val="0"/>
        <w:ind w:left="480" w:hanging="480"/>
      </w:pPr>
      <w:r>
        <w:t xml:space="preserve">Turner, R., Crisp, R., &amp; Lambert, E. (2007). Imagining intergroup contact can improve intergroup attitudes. </w:t>
      </w:r>
      <w:r>
        <w:rPr>
          <w:i/>
        </w:rPr>
        <w:t>Group Processes &amp; Intergroup</w:t>
      </w:r>
      <w:r>
        <w:t>. Retrieved from http://gpi.sagepub.com/content/10/4/427.short</w:t>
      </w:r>
    </w:p>
    <w:p w14:paraId="45B2169B" w14:textId="77777777" w:rsidR="006C623E" w:rsidRDefault="006C623E" w:rsidP="006C623E">
      <w:pPr>
        <w:widowControl w:val="0"/>
        <w:ind w:left="480" w:hanging="480"/>
      </w:pPr>
      <w:r>
        <w:t xml:space="preserve">Tybur, J. M., &amp; Lieberman, D. (2016). Human pathogen avoidance adaptations. </w:t>
      </w:r>
      <w:r>
        <w:rPr>
          <w:i/>
        </w:rPr>
        <w:t>Current Opinion in Psychology</w:t>
      </w:r>
      <w:r>
        <w:t xml:space="preserve">, </w:t>
      </w:r>
      <w:r>
        <w:rPr>
          <w:i/>
        </w:rPr>
        <w:t>7</w:t>
      </w:r>
      <w:r>
        <w:t>, 6–11. https://doi.org/10.1016/j.copsyc.2015.06.005</w:t>
      </w:r>
    </w:p>
    <w:p w14:paraId="5C1A1AFD" w14:textId="77777777" w:rsidR="006C623E" w:rsidRDefault="006C623E" w:rsidP="006C623E">
      <w:pPr>
        <w:widowControl w:val="0"/>
        <w:ind w:left="480" w:hanging="480"/>
      </w:pPr>
      <w:r>
        <w:t xml:space="preserve">Tybur, J. M., Lieberman, D., &amp; Griskevicius, V. (2009). Microbes, mating, and morality: individual differences in three functional domains of disgust. </w:t>
      </w:r>
      <w:r>
        <w:rPr>
          <w:i/>
        </w:rPr>
        <w:t>Journal of Personality and Social Psychology</w:t>
      </w:r>
      <w:r>
        <w:t xml:space="preserve">, </w:t>
      </w:r>
      <w:r>
        <w:rPr>
          <w:i/>
        </w:rPr>
        <w:t>97</w:t>
      </w:r>
      <w:r>
        <w:t>, 103.</w:t>
      </w:r>
    </w:p>
    <w:p w14:paraId="708A3E37" w14:textId="77777777" w:rsidR="006C623E" w:rsidRDefault="006C623E" w:rsidP="006C623E">
      <w:pPr>
        <w:widowControl w:val="0"/>
        <w:ind w:left="480" w:hanging="480"/>
      </w:pPr>
      <w:r>
        <w:t xml:space="preserve">Tybur, J. M., Lieberman, D., Kurzban, R., &amp; DeScioli, P. (2013). Disgust: Evolved function and structure. </w:t>
      </w:r>
      <w:r>
        <w:rPr>
          <w:i/>
        </w:rPr>
        <w:t>Psychological Review</w:t>
      </w:r>
      <w:r>
        <w:t xml:space="preserve">, </w:t>
      </w:r>
      <w:r>
        <w:rPr>
          <w:i/>
        </w:rPr>
        <w:t>120</w:t>
      </w:r>
      <w:r>
        <w:t>, 65.</w:t>
      </w:r>
    </w:p>
    <w:p w14:paraId="0281A9D0" w14:textId="77777777" w:rsidR="006C623E" w:rsidRDefault="006C623E" w:rsidP="006C623E">
      <w:pPr>
        <w:widowControl w:val="0"/>
        <w:ind w:left="480" w:hanging="480"/>
      </w:pPr>
      <w:r>
        <w:t xml:space="preserve">UNICEF. (2015). UNESCO.(2013). </w:t>
      </w:r>
      <w:r>
        <w:rPr>
          <w:i/>
        </w:rPr>
        <w:t>Making Education a Priority in the Post-2015 Development Agenda. Report of the Global Thematic Consultation on Education in the Post-2015 Development Agenda</w:t>
      </w:r>
      <w:r>
        <w:t>.</w:t>
      </w:r>
    </w:p>
    <w:p w14:paraId="435C3E58" w14:textId="77777777" w:rsidR="006C623E" w:rsidRDefault="006C623E" w:rsidP="006C623E">
      <w:pPr>
        <w:widowControl w:val="0"/>
        <w:ind w:left="480" w:hanging="480"/>
      </w:pPr>
      <w:r>
        <w:lastRenderedPageBreak/>
        <w:t xml:space="preserve">Val, C., Robert, A., &amp; Tamer, R. (2004). Evidence that disgust evolved to protect from risk of disease. </w:t>
      </w:r>
      <w:r>
        <w:rPr>
          <w:i/>
        </w:rPr>
        <w:t>Proceedings of the Royal Society of London. Series B: Biological Sciences</w:t>
      </w:r>
      <w:r>
        <w:t xml:space="preserve">, </w:t>
      </w:r>
      <w:r>
        <w:rPr>
          <w:i/>
        </w:rPr>
        <w:t>271</w:t>
      </w:r>
      <w:r>
        <w:t>, S131–S133. https://doi.org/10.1098/rsbl.2003.0144</w:t>
      </w:r>
    </w:p>
    <w:p w14:paraId="44D08F23" w14:textId="77777777" w:rsidR="006C623E" w:rsidRDefault="006C623E" w:rsidP="006C623E">
      <w:pPr>
        <w:widowControl w:val="0"/>
        <w:ind w:left="480" w:hanging="480"/>
      </w:pPr>
      <w:r>
        <w:t xml:space="preserve">Valente, S. M. (2004). Visual disfigurement and depression. </w:t>
      </w:r>
      <w:r>
        <w:rPr>
          <w:i/>
        </w:rPr>
        <w:t>Plastic Surgical Nursing</w:t>
      </w:r>
      <w:r>
        <w:t xml:space="preserve">, </w:t>
      </w:r>
      <w:r>
        <w:rPr>
          <w:i/>
        </w:rPr>
        <w:t>24</w:t>
      </w:r>
      <w:r>
        <w:t>(4), 140–146.</w:t>
      </w:r>
    </w:p>
    <w:p w14:paraId="1010020B" w14:textId="77777777" w:rsidR="006C623E" w:rsidRDefault="006C623E" w:rsidP="006C623E">
      <w:pPr>
        <w:widowControl w:val="0"/>
        <w:ind w:left="480" w:hanging="480"/>
      </w:pPr>
      <w:r>
        <w:t xml:space="preserve">Van Brakel, W. H. (2006). Measuring health-related stigma—A literature review. </w:t>
      </w:r>
      <w:r>
        <w:rPr>
          <w:i/>
        </w:rPr>
        <w:t>Psychology, Health &amp; Medicine</w:t>
      </w:r>
      <w:r>
        <w:t xml:space="preserve">, </w:t>
      </w:r>
      <w:r>
        <w:rPr>
          <w:i/>
        </w:rPr>
        <w:t>11</w:t>
      </w:r>
      <w:r>
        <w:t>, 307–334. https://doi.org/10.1080/13548500600595160</w:t>
      </w:r>
    </w:p>
    <w:p w14:paraId="512B08AE" w14:textId="77777777" w:rsidR="006C623E" w:rsidRDefault="006C623E" w:rsidP="006C623E">
      <w:pPr>
        <w:widowControl w:val="0"/>
        <w:ind w:left="480" w:hanging="480"/>
      </w:pPr>
      <w:r>
        <w:t xml:space="preserve">van Brakel, W. H., Anderson, A. M., Mutatkar, R. K., Bakirtzief, Z., Nicholls, P. G., Raju, M. S., &amp; Das-Pattanayak, R. K. (2006). The Participation Scale: measuring a key concept in public health. </w:t>
      </w:r>
      <w:r>
        <w:rPr>
          <w:i/>
        </w:rPr>
        <w:t>Disability and Rehabilitation</w:t>
      </w:r>
      <w:r>
        <w:t xml:space="preserve">, </w:t>
      </w:r>
      <w:r>
        <w:rPr>
          <w:i/>
        </w:rPr>
        <w:t>28</w:t>
      </w:r>
      <w:r>
        <w:t>, 193–203. https://doi.org/10.1080/09638280500192785</w:t>
      </w:r>
    </w:p>
    <w:p w14:paraId="7AF8ED40" w14:textId="77777777" w:rsidR="006C623E" w:rsidRDefault="006C623E" w:rsidP="006C623E">
      <w:pPr>
        <w:widowControl w:val="0"/>
        <w:ind w:left="480" w:hanging="480"/>
      </w:pPr>
      <w:r>
        <w:t xml:space="preserve">Van den Elzen, M. E. P., Versnel, S. L., Hovius, S. E. R., Passchier, J., Duivenvoorden, H. J., &amp; Mathijssen, I. M. J. (2012). Adults with congenital or acquired facial disfigurement: Impact of appearance on social functioning. </w:t>
      </w:r>
      <w:r>
        <w:rPr>
          <w:i/>
        </w:rPr>
        <w:t>Journal of Cranio-Maxillofacial Surgery</w:t>
      </w:r>
      <w:r>
        <w:t xml:space="preserve">, </w:t>
      </w:r>
      <w:r>
        <w:rPr>
          <w:i/>
        </w:rPr>
        <w:t>40</w:t>
      </w:r>
      <w:r>
        <w:t>, 777–782. https://doi.org/https://doi.org/10.1016/j.jcms.2012.02.010</w:t>
      </w:r>
    </w:p>
    <w:p w14:paraId="3AB29B9F" w14:textId="77777777" w:rsidR="006C623E" w:rsidRDefault="006C623E" w:rsidP="006C623E">
      <w:pPr>
        <w:widowControl w:val="0"/>
        <w:ind w:left="480" w:hanging="480"/>
      </w:pPr>
      <w:r>
        <w:t xml:space="preserve">Van Schijndel, O., Litschel, R., Maal, T. J. J., Berg??, S. J., &amp; Tasman, A. J. (2015). Eye tracker based study: Perception of faces with a cleft lip and nose deformity. </w:t>
      </w:r>
      <w:r>
        <w:rPr>
          <w:i/>
        </w:rPr>
        <w:t>Journal of Cranio-Maxillofacial Surgery</w:t>
      </w:r>
      <w:r>
        <w:t xml:space="preserve">, </w:t>
      </w:r>
      <w:r>
        <w:rPr>
          <w:i/>
        </w:rPr>
        <w:t>43</w:t>
      </w:r>
      <w:r>
        <w:t>, 1620–1625. https://doi.org/10.1016/j.jcms.2015.07.003</w:t>
      </w:r>
    </w:p>
    <w:p w14:paraId="710907D6" w14:textId="77777777" w:rsidR="006C623E" w:rsidRDefault="006C623E" w:rsidP="006C623E">
      <w:pPr>
        <w:widowControl w:val="0"/>
        <w:ind w:left="480" w:hanging="480"/>
      </w:pPr>
      <w:r>
        <w:t xml:space="preserve">Van Schijndel, O., Tasman, A.-J., &amp; Litschel, R. (2015). The Nose Influences Visual and Personality Perception. </w:t>
      </w:r>
      <w:r>
        <w:rPr>
          <w:i/>
        </w:rPr>
        <w:t>Facial Plastic Surgery : FPS</w:t>
      </w:r>
      <w:r>
        <w:t xml:space="preserve">, </w:t>
      </w:r>
      <w:r>
        <w:rPr>
          <w:i/>
        </w:rPr>
        <w:t>31</w:t>
      </w:r>
      <w:r>
        <w:t>, 439–445. https://doi.org/10.1055/s-0035-1565009</w:t>
      </w:r>
    </w:p>
    <w:p w14:paraId="027E9E39" w14:textId="77777777" w:rsidR="006C623E" w:rsidRDefault="006C623E" w:rsidP="006C623E">
      <w:pPr>
        <w:widowControl w:val="0"/>
        <w:ind w:left="480" w:hanging="480"/>
      </w:pPr>
      <w:r>
        <w:t xml:space="preserve">Vartanian, L. (2010). Disgust and perceived control in attitudes toward obese people. </w:t>
      </w:r>
      <w:r>
        <w:rPr>
          <w:i/>
        </w:rPr>
        <w:t>International Journal of Obesity</w:t>
      </w:r>
      <w:r>
        <w:t>. Retrieved from http://www.nature.com/ijo/journal/v34/n8/abs/ijo201045a.html</w:t>
      </w:r>
    </w:p>
    <w:p w14:paraId="4E889F63" w14:textId="77777777" w:rsidR="006C623E" w:rsidRPr="000F7776" w:rsidRDefault="006C623E" w:rsidP="006C623E">
      <w:pPr>
        <w:widowControl w:val="0"/>
        <w:autoSpaceDE w:val="0"/>
        <w:autoSpaceDN w:val="0"/>
        <w:adjustRightInd w:val="0"/>
        <w:ind w:left="480" w:hanging="480"/>
        <w:rPr>
          <w:noProof/>
          <w:szCs w:val="24"/>
        </w:rPr>
      </w:pPr>
      <w:r w:rsidRPr="005621E2">
        <w:rPr>
          <w:noProof/>
          <w:szCs w:val="24"/>
          <w:lang w:val="es-CO"/>
        </w:rPr>
        <w:t xml:space="preserve">Vezzali, L., Capozza, D., &amp; Giovannini, D. (2011). </w:t>
      </w:r>
      <w:r w:rsidRPr="000F7776">
        <w:rPr>
          <w:noProof/>
          <w:szCs w:val="24"/>
        </w:rPr>
        <w:t xml:space="preserve">Improving implicit and explicit intergroup attitudes using imagined contact: An experimental intervention with elementary school children. </w:t>
      </w:r>
      <w:r w:rsidRPr="000F7776">
        <w:rPr>
          <w:i/>
          <w:iCs/>
          <w:noProof/>
          <w:szCs w:val="24"/>
        </w:rPr>
        <w:t>Group Processes &amp;</w:t>
      </w:r>
      <w:r w:rsidRPr="000F7776">
        <w:rPr>
          <w:noProof/>
          <w:szCs w:val="24"/>
        </w:rPr>
        <w:t>. http://gpi.sagepub.com/content/early/2011/10/22/1368430211424920.abstract</w:t>
      </w:r>
    </w:p>
    <w:p w14:paraId="6A577906" w14:textId="77777777" w:rsidR="006C623E" w:rsidRDefault="006C623E" w:rsidP="006C623E">
      <w:pPr>
        <w:widowControl w:val="0"/>
        <w:ind w:left="480" w:hanging="480"/>
      </w:pPr>
      <w:r>
        <w:t xml:space="preserve">Von Elm, E., Altman, D. G., Egger, M., Pocock, S. J., Gotzsche, P. C., &amp; Vandenbroucke, J. P. (2008). The Strengthening the Reporting of Observational Studies in Epidemiology (STROBE) statement: guidelines for reporting </w:t>
      </w:r>
      <w:r>
        <w:lastRenderedPageBreak/>
        <w:t xml:space="preserve">observational studies. </w:t>
      </w:r>
      <w:r>
        <w:rPr>
          <w:i/>
        </w:rPr>
        <w:t>Journal of Clinical Epidemiology</w:t>
      </w:r>
      <w:r>
        <w:t xml:space="preserve">, </w:t>
      </w:r>
      <w:r>
        <w:rPr>
          <w:i/>
        </w:rPr>
        <w:t>61</w:t>
      </w:r>
      <w:r>
        <w:t>, 344–349. https://doi.org/10.1016/j.jclinepi.2007.11.008</w:t>
      </w:r>
    </w:p>
    <w:p w14:paraId="38CAC6C7" w14:textId="77777777" w:rsidR="006C623E" w:rsidRDefault="006C623E" w:rsidP="006C623E">
      <w:pPr>
        <w:widowControl w:val="0"/>
        <w:ind w:left="480" w:hanging="480"/>
      </w:pPr>
      <w:r>
        <w:t xml:space="preserve">Waksman, B. H. (1975). Infectious disease in Africa. A personal viewpoint of research and control measures. </w:t>
      </w:r>
      <w:r>
        <w:rPr>
          <w:i/>
        </w:rPr>
        <w:t>The Yale Journal of Biology and Medicine</w:t>
      </w:r>
      <w:r>
        <w:t xml:space="preserve">, </w:t>
      </w:r>
      <w:r>
        <w:rPr>
          <w:i/>
        </w:rPr>
        <w:t>48</w:t>
      </w:r>
      <w:r>
        <w:t>, 239–249. Retrieved from https://www.ncbi.nlm.nih.gov/pubmed/1163062</w:t>
      </w:r>
    </w:p>
    <w:p w14:paraId="563893D6" w14:textId="77777777" w:rsidR="006C623E" w:rsidRDefault="006C623E" w:rsidP="006C623E">
      <w:pPr>
        <w:widowControl w:val="0"/>
        <w:ind w:left="480" w:hanging="480"/>
      </w:pPr>
      <w:r>
        <w:t xml:space="preserve">Walker-Smith, G. J., Gale, A. G., &amp; Findlay, J. M. (1977). Eye movement strategies involved in face perception. </w:t>
      </w:r>
      <w:r>
        <w:rPr>
          <w:i/>
        </w:rPr>
        <w:t>Perception</w:t>
      </w:r>
      <w:r>
        <w:t xml:space="preserve">, </w:t>
      </w:r>
      <w:r>
        <w:rPr>
          <w:i/>
        </w:rPr>
        <w:t>6</w:t>
      </w:r>
      <w:r>
        <w:t>, 313–326.</w:t>
      </w:r>
    </w:p>
    <w:p w14:paraId="538C66E3" w14:textId="77777777" w:rsidR="006C623E" w:rsidRDefault="006C623E" w:rsidP="006C623E">
      <w:pPr>
        <w:widowControl w:val="0"/>
        <w:ind w:left="480" w:hanging="480"/>
      </w:pPr>
      <w:r>
        <w:t xml:space="preserve">Ward, F. (2017). The global south. </w:t>
      </w:r>
      <w:r>
        <w:rPr>
          <w:i/>
        </w:rPr>
        <w:t>Urban Sociolinguistics: The City as a Linguistic Process and Experience</w:t>
      </w:r>
      <w:r>
        <w:t>, 25–26. https://doi.org/10.4324/9781315514659</w:t>
      </w:r>
    </w:p>
    <w:p w14:paraId="4C53ECC1" w14:textId="77777777" w:rsidR="006C623E" w:rsidRDefault="006C623E" w:rsidP="006C623E">
      <w:pPr>
        <w:widowControl w:val="0"/>
        <w:ind w:left="480" w:hanging="480"/>
      </w:pPr>
      <w:r>
        <w:t xml:space="preserve">Wardle, C., &amp; Boyce, T. (2009). Media coverage and audience reception of disfigurement on television. </w:t>
      </w:r>
      <w:r>
        <w:rPr>
          <w:i/>
        </w:rPr>
        <w:t>London: The Healing Foundation. (Available upon Request.)</w:t>
      </w:r>
      <w:r>
        <w:t>.</w:t>
      </w:r>
    </w:p>
    <w:p w14:paraId="4AAE7D3B" w14:textId="77777777" w:rsidR="006C623E" w:rsidRDefault="006C623E" w:rsidP="006C623E">
      <w:pPr>
        <w:widowControl w:val="0"/>
        <w:ind w:left="480" w:hanging="480"/>
      </w:pPr>
      <w:r>
        <w:t xml:space="preserve">Wardle, C., Boyce, T., &amp; Barron, J. (2009). Media coverage and audience reception of people with disfigurement or visible loss of function. </w:t>
      </w:r>
      <w:r>
        <w:rPr>
          <w:i/>
        </w:rPr>
        <w:t>The Healing Foundation</w:t>
      </w:r>
      <w:r>
        <w:t>.</w:t>
      </w:r>
    </w:p>
    <w:p w14:paraId="23072776" w14:textId="77777777" w:rsidR="006C623E" w:rsidRDefault="006C623E" w:rsidP="006C623E">
      <w:pPr>
        <w:widowControl w:val="0"/>
        <w:ind w:left="480" w:hanging="480"/>
      </w:pPr>
      <w:r>
        <w:t xml:space="preserve">Werner, S., Corrigan, P., Ditchman, N., &amp; Sokol, K. (2012). Stigma and intellectual disability: a review of related measures and future directions. </w:t>
      </w:r>
      <w:r>
        <w:rPr>
          <w:i/>
        </w:rPr>
        <w:t>Research in Developmental Disabilities</w:t>
      </w:r>
      <w:r>
        <w:t xml:space="preserve">, </w:t>
      </w:r>
      <w:r>
        <w:rPr>
          <w:i/>
        </w:rPr>
        <w:t>33</w:t>
      </w:r>
      <w:r>
        <w:t>(2), 748–765. https://doi.org/10.1016/j.ridd.2011.10.009</w:t>
      </w:r>
    </w:p>
    <w:p w14:paraId="6481AA57" w14:textId="77777777" w:rsidR="006C623E" w:rsidRDefault="006C623E" w:rsidP="006C623E">
      <w:pPr>
        <w:widowControl w:val="0"/>
        <w:ind w:left="480" w:hanging="480"/>
      </w:pPr>
      <w:r>
        <w:t xml:space="preserve">West, K., &amp; Greenland, K. (2016). Beware of “reducing prejudice”: Imagined contact may backfire if applied with a prevention focus. </w:t>
      </w:r>
      <w:r>
        <w:rPr>
          <w:i/>
        </w:rPr>
        <w:t>Journal of Applied Social Psychology</w:t>
      </w:r>
      <w:r>
        <w:t xml:space="preserve">, </w:t>
      </w:r>
      <w:r>
        <w:rPr>
          <w:i/>
        </w:rPr>
        <w:t>46</w:t>
      </w:r>
      <w:r>
        <w:t>, 583–592.</w:t>
      </w:r>
    </w:p>
    <w:p w14:paraId="5D70A897" w14:textId="77777777" w:rsidR="006C623E" w:rsidRPr="000F7776" w:rsidRDefault="006C623E" w:rsidP="006C623E">
      <w:pPr>
        <w:widowControl w:val="0"/>
        <w:autoSpaceDE w:val="0"/>
        <w:autoSpaceDN w:val="0"/>
        <w:adjustRightInd w:val="0"/>
        <w:ind w:left="480" w:hanging="480"/>
        <w:rPr>
          <w:noProof/>
        </w:rPr>
      </w:pPr>
      <w:r w:rsidRPr="000F7776">
        <w:rPr>
          <w:noProof/>
          <w:szCs w:val="24"/>
        </w:rPr>
        <w:t xml:space="preserve">West, K., Hewstone, M., &amp; Lolliot, S. (2014). Intergroup contact and prejudice against people with schizophrenia. </w:t>
      </w:r>
      <w:r w:rsidRPr="000F7776">
        <w:rPr>
          <w:i/>
          <w:iCs/>
          <w:noProof/>
          <w:szCs w:val="24"/>
        </w:rPr>
        <w:t>The Journal of Social Psychology</w:t>
      </w:r>
      <w:r w:rsidRPr="000F7776">
        <w:rPr>
          <w:noProof/>
          <w:szCs w:val="24"/>
        </w:rPr>
        <w:t xml:space="preserve">, </w:t>
      </w:r>
      <w:r w:rsidRPr="000F7776">
        <w:rPr>
          <w:i/>
          <w:iCs/>
          <w:noProof/>
          <w:szCs w:val="24"/>
        </w:rPr>
        <w:t>154</w:t>
      </w:r>
      <w:r w:rsidRPr="000F7776">
        <w:rPr>
          <w:noProof/>
          <w:szCs w:val="24"/>
        </w:rPr>
        <w:t>(3), 217–232.</w:t>
      </w:r>
    </w:p>
    <w:p w14:paraId="460092A7" w14:textId="77777777" w:rsidR="006C623E" w:rsidRDefault="006C623E" w:rsidP="006C623E">
      <w:pPr>
        <w:widowControl w:val="0"/>
        <w:ind w:left="480" w:hanging="480"/>
      </w:pPr>
      <w:r>
        <w:t xml:space="preserve">Witcher, E. (2019). </w:t>
      </w:r>
      <w:r>
        <w:rPr>
          <w:i/>
        </w:rPr>
        <w:t>The Role of Social Media in the Emotional Lives of People with Vitiligo</w:t>
      </w:r>
      <w:r>
        <w:t>.</w:t>
      </w:r>
    </w:p>
    <w:p w14:paraId="1F06FCCB" w14:textId="77777777" w:rsidR="006C623E" w:rsidRDefault="006C623E" w:rsidP="006C623E">
      <w:pPr>
        <w:widowControl w:val="0"/>
        <w:ind w:left="480" w:hanging="480"/>
      </w:pPr>
      <w:r>
        <w:t xml:space="preserve">Wolf, S. (2012). Mara Salvatrucha: The Most Dangerous Street Gang in the Americas? </w:t>
      </w:r>
      <w:r>
        <w:rPr>
          <w:i/>
        </w:rPr>
        <w:t>Latin American Politics and Society</w:t>
      </w:r>
      <w:r>
        <w:t xml:space="preserve">, </w:t>
      </w:r>
      <w:r>
        <w:rPr>
          <w:i/>
        </w:rPr>
        <w:t>54</w:t>
      </w:r>
      <w:r>
        <w:t>, 65–99. https://doi.org/10.1111/j.1548-2456.2012.00143.x</w:t>
      </w:r>
    </w:p>
    <w:p w14:paraId="6A1CAF57" w14:textId="77777777" w:rsidR="006C623E" w:rsidRDefault="006C623E" w:rsidP="006C623E">
      <w:pPr>
        <w:widowControl w:val="0"/>
        <w:ind w:left="480" w:hanging="480"/>
      </w:pPr>
      <w:r>
        <w:t xml:space="preserve">Wolkenstein, L., &amp; Meyer, T. D. (2009). What factors influence attitudes towards people with current depression and current mania? </w:t>
      </w:r>
      <w:r>
        <w:rPr>
          <w:i/>
        </w:rPr>
        <w:t>The International Journal of Social Psychiatry</w:t>
      </w:r>
      <w:r>
        <w:t xml:space="preserve">, </w:t>
      </w:r>
      <w:r>
        <w:rPr>
          <w:i/>
        </w:rPr>
        <w:t>55</w:t>
      </w:r>
      <w:r>
        <w:t>, 124–140. https://doi.org/10.1177/0020764008092410</w:t>
      </w:r>
    </w:p>
    <w:p w14:paraId="697F9444" w14:textId="77777777" w:rsidR="006C623E" w:rsidRDefault="006C623E" w:rsidP="006C623E">
      <w:pPr>
        <w:widowControl w:val="0"/>
        <w:ind w:left="480" w:hanging="480"/>
      </w:pPr>
      <w:r>
        <w:t xml:space="preserve">Young, M. E., Norman, G. R., &amp; Humphreys, K. R. (2008). The Role of Medical Language in Changing Public Perceptions of Illness. </w:t>
      </w:r>
      <w:r>
        <w:rPr>
          <w:i/>
        </w:rPr>
        <w:t>PLOS ONE</w:t>
      </w:r>
      <w:r>
        <w:t xml:space="preserve">, </w:t>
      </w:r>
      <w:r>
        <w:rPr>
          <w:i/>
        </w:rPr>
        <w:t>3</w:t>
      </w:r>
      <w:r>
        <w:t xml:space="preserve">(, e3875. </w:t>
      </w:r>
      <w:r>
        <w:lastRenderedPageBreak/>
        <w:t>Retrieved from https://doi.org/10.1371/journal.pone.0003875</w:t>
      </w:r>
    </w:p>
    <w:p w14:paraId="5E67D19D" w14:textId="77777777" w:rsidR="006C623E" w:rsidRDefault="006C623E" w:rsidP="006C623E">
      <w:pPr>
        <w:widowControl w:val="0"/>
        <w:ind w:left="480" w:hanging="480"/>
      </w:pPr>
      <w:r w:rsidRPr="008636E5">
        <w:rPr>
          <w:lang w:val="es-CO"/>
        </w:rPr>
        <w:t xml:space="preserve">Zhu, K., Zhu, C., &amp; Fan, Y. (2012). </w:t>
      </w:r>
      <w:r>
        <w:t>Alcohol consumption and psoriatic risk: a meta</w:t>
      </w:r>
      <w:r>
        <w:rPr>
          <w:rFonts w:ascii="Cambria Math" w:eastAsia="Cambria Math" w:hAnsi="Cambria Math" w:cs="Cambria Math"/>
        </w:rPr>
        <w:t>‐</w:t>
      </w:r>
      <w:r>
        <w:t xml:space="preserve">analysis of case–control studies. </w:t>
      </w:r>
      <w:r>
        <w:rPr>
          <w:i/>
        </w:rPr>
        <w:t>The Journal of Dermatology</w:t>
      </w:r>
      <w:r>
        <w:t xml:space="preserve">, </w:t>
      </w:r>
      <w:r>
        <w:rPr>
          <w:i/>
        </w:rPr>
        <w:t>39</w:t>
      </w:r>
      <w:r>
        <w:t>, 770–773.</w:t>
      </w:r>
    </w:p>
    <w:p w14:paraId="37A6884C" w14:textId="77777777" w:rsidR="00A965E4" w:rsidRPr="00807608" w:rsidRDefault="00A965E4" w:rsidP="008E2265">
      <w:pPr>
        <w:ind w:left="720" w:hanging="720"/>
        <w:rPr>
          <w:color w:val="auto"/>
          <w:lang w:eastAsia="en-US"/>
        </w:rPr>
      </w:pPr>
    </w:p>
    <w:p w14:paraId="0AC78ED3" w14:textId="77777777" w:rsidR="00A965E4" w:rsidRDefault="00A965E4" w:rsidP="00EA0FBA">
      <w:pPr>
        <w:ind w:firstLine="0"/>
        <w:rPr>
          <w:lang w:eastAsia="en-US"/>
        </w:rPr>
      </w:pPr>
    </w:p>
    <w:p w14:paraId="24BEE582" w14:textId="77777777" w:rsidR="00F80989" w:rsidRDefault="00F80989" w:rsidP="00EA0FBA">
      <w:pPr>
        <w:ind w:firstLine="0"/>
        <w:rPr>
          <w:lang w:eastAsia="en-US"/>
        </w:rPr>
      </w:pPr>
    </w:p>
    <w:p w14:paraId="4A777030" w14:textId="6F76AF4D" w:rsidR="00F80989" w:rsidRDefault="00F80989" w:rsidP="00EA0FBA">
      <w:pPr>
        <w:ind w:firstLine="0"/>
        <w:rPr>
          <w:lang w:eastAsia="en-US"/>
        </w:rPr>
      </w:pPr>
    </w:p>
    <w:p w14:paraId="373004AD" w14:textId="4830234F" w:rsidR="006C623E" w:rsidRDefault="006C623E" w:rsidP="00EA0FBA">
      <w:pPr>
        <w:ind w:firstLine="0"/>
        <w:rPr>
          <w:lang w:eastAsia="en-US"/>
        </w:rPr>
      </w:pPr>
    </w:p>
    <w:p w14:paraId="79C76BF5" w14:textId="7285832C" w:rsidR="006C623E" w:rsidRDefault="006C623E" w:rsidP="00EA0FBA">
      <w:pPr>
        <w:ind w:firstLine="0"/>
        <w:rPr>
          <w:lang w:eastAsia="en-US"/>
        </w:rPr>
      </w:pPr>
    </w:p>
    <w:p w14:paraId="070621DA" w14:textId="114D6D35" w:rsidR="006C623E" w:rsidRDefault="006C623E" w:rsidP="00EA0FBA">
      <w:pPr>
        <w:ind w:firstLine="0"/>
        <w:rPr>
          <w:lang w:eastAsia="en-US"/>
        </w:rPr>
      </w:pPr>
    </w:p>
    <w:p w14:paraId="626348E4" w14:textId="15F04D57" w:rsidR="006C623E" w:rsidRDefault="006C623E" w:rsidP="00EA0FBA">
      <w:pPr>
        <w:ind w:firstLine="0"/>
        <w:rPr>
          <w:lang w:eastAsia="en-US"/>
        </w:rPr>
      </w:pPr>
    </w:p>
    <w:p w14:paraId="3ED3B568" w14:textId="5AE33677" w:rsidR="006C623E" w:rsidRDefault="006C623E" w:rsidP="00EA0FBA">
      <w:pPr>
        <w:ind w:firstLine="0"/>
        <w:rPr>
          <w:lang w:eastAsia="en-US"/>
        </w:rPr>
      </w:pPr>
    </w:p>
    <w:p w14:paraId="59AD4B58" w14:textId="6830602F" w:rsidR="006C623E" w:rsidRDefault="006C623E" w:rsidP="00EA0FBA">
      <w:pPr>
        <w:ind w:firstLine="0"/>
        <w:rPr>
          <w:lang w:eastAsia="en-US"/>
        </w:rPr>
      </w:pPr>
    </w:p>
    <w:p w14:paraId="22E6D686" w14:textId="77777777" w:rsidR="006C623E" w:rsidRDefault="006C623E" w:rsidP="00EA0FBA">
      <w:pPr>
        <w:ind w:firstLine="0"/>
        <w:rPr>
          <w:lang w:eastAsia="en-US"/>
        </w:rPr>
      </w:pPr>
    </w:p>
    <w:p w14:paraId="6317B19C" w14:textId="77777777" w:rsidR="00F80989" w:rsidRDefault="00F80989" w:rsidP="00EA0FBA">
      <w:pPr>
        <w:ind w:firstLine="0"/>
        <w:rPr>
          <w:lang w:eastAsia="en-US"/>
        </w:rPr>
      </w:pPr>
    </w:p>
    <w:p w14:paraId="1F059526" w14:textId="77777777" w:rsidR="00F80989" w:rsidRDefault="00F80989" w:rsidP="00EA0FBA">
      <w:pPr>
        <w:ind w:firstLine="0"/>
        <w:rPr>
          <w:lang w:eastAsia="en-US"/>
        </w:rPr>
      </w:pPr>
    </w:p>
    <w:p w14:paraId="3437A6BA" w14:textId="77777777" w:rsidR="00F80989" w:rsidRDefault="00F80989" w:rsidP="00EA0FBA">
      <w:pPr>
        <w:ind w:firstLine="0"/>
        <w:rPr>
          <w:lang w:eastAsia="en-US"/>
        </w:rPr>
      </w:pPr>
    </w:p>
    <w:p w14:paraId="5603F1D4" w14:textId="0CC0984B" w:rsidR="00F80989" w:rsidRDefault="00F80989" w:rsidP="00EA0FBA">
      <w:pPr>
        <w:ind w:firstLine="0"/>
        <w:rPr>
          <w:lang w:eastAsia="en-US"/>
        </w:rPr>
      </w:pPr>
    </w:p>
    <w:p w14:paraId="539F1EE8" w14:textId="1A7183D3" w:rsidR="006C623E" w:rsidRDefault="006C623E" w:rsidP="00EA0FBA">
      <w:pPr>
        <w:ind w:firstLine="0"/>
        <w:rPr>
          <w:lang w:eastAsia="en-US"/>
        </w:rPr>
      </w:pPr>
    </w:p>
    <w:p w14:paraId="0FDAEB74" w14:textId="481A65E2" w:rsidR="006C623E" w:rsidRDefault="006C623E" w:rsidP="00EA0FBA">
      <w:pPr>
        <w:ind w:firstLine="0"/>
        <w:rPr>
          <w:lang w:eastAsia="en-US"/>
        </w:rPr>
      </w:pPr>
    </w:p>
    <w:p w14:paraId="3FF2FE14" w14:textId="44514581" w:rsidR="006C623E" w:rsidRDefault="006C623E" w:rsidP="00EA0FBA">
      <w:pPr>
        <w:ind w:firstLine="0"/>
        <w:rPr>
          <w:lang w:eastAsia="en-US"/>
        </w:rPr>
      </w:pPr>
    </w:p>
    <w:p w14:paraId="1A240DEA" w14:textId="58A080F4" w:rsidR="006C623E" w:rsidRDefault="006C623E" w:rsidP="00EA0FBA">
      <w:pPr>
        <w:ind w:firstLine="0"/>
        <w:rPr>
          <w:lang w:eastAsia="en-US"/>
        </w:rPr>
      </w:pPr>
    </w:p>
    <w:p w14:paraId="20800216" w14:textId="7E2497DF" w:rsidR="006C623E" w:rsidRDefault="006C623E" w:rsidP="00EA0FBA">
      <w:pPr>
        <w:ind w:firstLine="0"/>
        <w:rPr>
          <w:lang w:eastAsia="en-US"/>
        </w:rPr>
      </w:pPr>
    </w:p>
    <w:p w14:paraId="5CE33B59" w14:textId="7501F158" w:rsidR="006C623E" w:rsidRDefault="006C623E" w:rsidP="00EA0FBA">
      <w:pPr>
        <w:ind w:firstLine="0"/>
        <w:rPr>
          <w:lang w:eastAsia="en-US"/>
        </w:rPr>
      </w:pPr>
    </w:p>
    <w:p w14:paraId="36FF6681" w14:textId="2102C464" w:rsidR="006C623E" w:rsidRDefault="006C623E" w:rsidP="00EA0FBA">
      <w:pPr>
        <w:ind w:firstLine="0"/>
        <w:rPr>
          <w:lang w:eastAsia="en-US"/>
        </w:rPr>
      </w:pPr>
    </w:p>
    <w:p w14:paraId="77DE45EA" w14:textId="0F13737E" w:rsidR="006C623E" w:rsidRDefault="006C623E" w:rsidP="00EA0FBA">
      <w:pPr>
        <w:ind w:firstLine="0"/>
        <w:rPr>
          <w:lang w:eastAsia="en-US"/>
        </w:rPr>
      </w:pPr>
    </w:p>
    <w:p w14:paraId="3101EE9B" w14:textId="15F0B08A" w:rsidR="006C623E" w:rsidRDefault="006C623E" w:rsidP="00570A59">
      <w:pPr>
        <w:pStyle w:val="Heading1"/>
        <w:sectPr w:rsidR="006C623E" w:rsidSect="009E095F">
          <w:pgSz w:w="11906" w:h="16838" w:code="9"/>
          <w:pgMar w:top="1134" w:right="1133" w:bottom="1134" w:left="2268" w:header="709" w:footer="709" w:gutter="0"/>
          <w:cols w:space="720"/>
          <w:docGrid w:linePitch="326"/>
        </w:sectPr>
      </w:pPr>
    </w:p>
    <w:tbl>
      <w:tblPr>
        <w:tblW w:w="17540" w:type="dxa"/>
        <w:tblLook w:val="04A0" w:firstRow="1" w:lastRow="0" w:firstColumn="1" w:lastColumn="0" w:noHBand="0" w:noVBand="1"/>
      </w:tblPr>
      <w:tblGrid>
        <w:gridCol w:w="1940"/>
        <w:gridCol w:w="877"/>
        <w:gridCol w:w="883"/>
        <w:gridCol w:w="520"/>
        <w:gridCol w:w="520"/>
        <w:gridCol w:w="347"/>
        <w:gridCol w:w="413"/>
        <w:gridCol w:w="346"/>
        <w:gridCol w:w="412"/>
        <w:gridCol w:w="346"/>
        <w:gridCol w:w="346"/>
        <w:gridCol w:w="605"/>
        <w:gridCol w:w="605"/>
        <w:gridCol w:w="412"/>
        <w:gridCol w:w="412"/>
        <w:gridCol w:w="412"/>
        <w:gridCol w:w="412"/>
        <w:gridCol w:w="412"/>
        <w:gridCol w:w="395"/>
        <w:gridCol w:w="402"/>
        <w:gridCol w:w="395"/>
        <w:gridCol w:w="394"/>
        <w:gridCol w:w="394"/>
        <w:gridCol w:w="579"/>
        <w:gridCol w:w="394"/>
        <w:gridCol w:w="394"/>
        <w:gridCol w:w="394"/>
        <w:gridCol w:w="579"/>
        <w:gridCol w:w="440"/>
        <w:gridCol w:w="440"/>
        <w:gridCol w:w="440"/>
        <w:gridCol w:w="440"/>
        <w:gridCol w:w="440"/>
        <w:gridCol w:w="1017"/>
        <w:tblGridChange w:id="132">
          <w:tblGrid>
            <w:gridCol w:w="1940"/>
            <w:gridCol w:w="877"/>
            <w:gridCol w:w="883"/>
            <w:gridCol w:w="520"/>
            <w:gridCol w:w="520"/>
            <w:gridCol w:w="347"/>
            <w:gridCol w:w="413"/>
            <w:gridCol w:w="346"/>
            <w:gridCol w:w="412"/>
            <w:gridCol w:w="346"/>
            <w:gridCol w:w="346"/>
            <w:gridCol w:w="605"/>
            <w:gridCol w:w="605"/>
            <w:gridCol w:w="412"/>
            <w:gridCol w:w="412"/>
            <w:gridCol w:w="412"/>
            <w:gridCol w:w="412"/>
            <w:gridCol w:w="412"/>
            <w:gridCol w:w="395"/>
            <w:gridCol w:w="402"/>
            <w:gridCol w:w="395"/>
            <w:gridCol w:w="394"/>
            <w:gridCol w:w="394"/>
            <w:gridCol w:w="579"/>
            <w:gridCol w:w="394"/>
            <w:gridCol w:w="394"/>
            <w:gridCol w:w="394"/>
            <w:gridCol w:w="579"/>
            <w:gridCol w:w="440"/>
            <w:gridCol w:w="440"/>
            <w:gridCol w:w="440"/>
            <w:gridCol w:w="440"/>
            <w:gridCol w:w="440"/>
            <w:gridCol w:w="1017"/>
          </w:tblGrid>
        </w:tblGridChange>
      </w:tblGrid>
      <w:tr w:rsidR="004D2DCA" w:rsidRPr="004D2DCA" w14:paraId="3C14B201" w14:textId="77777777" w:rsidTr="004D2DCA">
        <w:trPr>
          <w:trHeight w:val="290"/>
        </w:trPr>
        <w:tc>
          <w:tcPr>
            <w:tcW w:w="1940" w:type="dxa"/>
            <w:tcBorders>
              <w:top w:val="single" w:sz="4" w:space="0" w:color="auto"/>
              <w:left w:val="single" w:sz="4" w:space="0" w:color="auto"/>
              <w:bottom w:val="single" w:sz="4" w:space="0" w:color="auto"/>
              <w:right w:val="nil"/>
            </w:tcBorders>
            <w:shd w:val="clear" w:color="auto" w:fill="auto"/>
            <w:noWrap/>
            <w:vAlign w:val="bottom"/>
            <w:hideMark/>
          </w:tcPr>
          <w:p w14:paraId="7707F73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lastRenderedPageBreak/>
              <w:t>Section</w:t>
            </w:r>
          </w:p>
        </w:tc>
        <w:tc>
          <w:tcPr>
            <w:tcW w:w="1760"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7A3207E" w14:textId="0D1F51BA"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Title and abstract</w:t>
            </w:r>
          </w:p>
        </w:tc>
        <w:tc>
          <w:tcPr>
            <w:tcW w:w="1040" w:type="dxa"/>
            <w:gridSpan w:val="2"/>
            <w:tcBorders>
              <w:top w:val="single" w:sz="4" w:space="0" w:color="auto"/>
              <w:left w:val="nil"/>
              <w:bottom w:val="single" w:sz="4" w:space="0" w:color="auto"/>
              <w:right w:val="single" w:sz="4" w:space="0" w:color="auto"/>
            </w:tcBorders>
            <w:shd w:val="clear" w:color="000000" w:fill="BDD7EE"/>
            <w:noWrap/>
            <w:vAlign w:val="bottom"/>
            <w:hideMark/>
          </w:tcPr>
          <w:p w14:paraId="182247D6" w14:textId="57D617A3"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Intro</w:t>
            </w:r>
          </w:p>
        </w:tc>
        <w:tc>
          <w:tcPr>
            <w:tcW w:w="5480" w:type="dxa"/>
            <w:gridSpan w:val="13"/>
            <w:tcBorders>
              <w:top w:val="single" w:sz="4" w:space="0" w:color="auto"/>
              <w:left w:val="nil"/>
              <w:bottom w:val="single" w:sz="4" w:space="0" w:color="auto"/>
              <w:right w:val="single" w:sz="4" w:space="0" w:color="auto"/>
            </w:tcBorders>
            <w:shd w:val="clear" w:color="000000" w:fill="9BC2E6"/>
            <w:noWrap/>
            <w:vAlign w:val="bottom"/>
            <w:hideMark/>
          </w:tcPr>
          <w:p w14:paraId="762A89D9" w14:textId="37C363EC"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Pr>
                <w:noProof/>
                <w:lang w:eastAsia="en-US"/>
              </w:rPr>
              <mc:AlternateContent>
                <mc:Choice Requires="wps">
                  <w:drawing>
                    <wp:anchor distT="0" distB="0" distL="114300" distR="114300" simplePos="0" relativeHeight="251679744" behindDoc="0" locked="0" layoutInCell="1" allowOverlap="1" wp14:anchorId="2F624CE0" wp14:editId="2AF3F78A">
                      <wp:simplePos x="0" y="0"/>
                      <wp:positionH relativeFrom="column">
                        <wp:posOffset>1204595</wp:posOffset>
                      </wp:positionH>
                      <wp:positionV relativeFrom="paragraph">
                        <wp:posOffset>-1089025</wp:posOffset>
                      </wp:positionV>
                      <wp:extent cx="2929890" cy="719455"/>
                      <wp:effectExtent l="0" t="0" r="3810" b="4445"/>
                      <wp:wrapNone/>
                      <wp:docPr id="146" name="Text Box 146"/>
                      <wp:cNvGraphicFramePr/>
                      <a:graphic xmlns:a="http://schemas.openxmlformats.org/drawingml/2006/main">
                        <a:graphicData uri="http://schemas.microsoft.com/office/word/2010/wordprocessingShape">
                          <wps:wsp>
                            <wps:cNvSpPr txBox="1"/>
                            <wps:spPr>
                              <a:xfrm>
                                <a:off x="0" y="0"/>
                                <a:ext cx="2929890" cy="71945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291B2B7" w14:textId="2DAD018C" w:rsidR="004D2DCA" w:rsidRDefault="004D2DCA">
                                  <w:pPr>
                                    <w:rPr>
                                      <w:b/>
                                      <w:bCs/>
                                      <w:sz w:val="28"/>
                                      <w:szCs w:val="28"/>
                                    </w:rPr>
                                  </w:pPr>
                                  <w:r w:rsidRPr="004D2DCA">
                                    <w:rPr>
                                      <w:b/>
                                      <w:bCs/>
                                      <w:sz w:val="28"/>
                                      <w:szCs w:val="28"/>
                                    </w:rPr>
                                    <w:t>Appendices</w:t>
                                  </w:r>
                                </w:p>
                                <w:p w14:paraId="6121318C" w14:textId="795D0063" w:rsidR="004D2DCA" w:rsidRPr="004D2DCA" w:rsidRDefault="004D2DCA">
                                  <w:pPr>
                                    <w:rPr>
                                      <w:b/>
                                      <w:bCs/>
                                    </w:rPr>
                                  </w:pPr>
                                  <w:r w:rsidRPr="004D2DCA">
                                    <w:rPr>
                                      <w:b/>
                                      <w:bCs/>
                                    </w:rPr>
                                    <w:t>Appendix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24CE0" id="Text Box 146" o:spid="_x0000_s1099" type="#_x0000_t202" style="position:absolute;left:0;text-align:left;margin-left:94.85pt;margin-top:-85.75pt;width:230.7pt;height:5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" fillcolor="white [3201]" stroked="f" strokeweight="1pt">
                      <v:textbox>
                        <w:txbxContent>
                          <w:p w14:paraId="5291B2B7" w14:textId="2DAD018C" w:rsidR="004D2DCA" w:rsidRDefault="004D2DCA">
                            <w:pPr>
                              <w:rPr>
                                <w:b/>
                                <w:bCs/>
                                <w:sz w:val="28"/>
                                <w:szCs w:val="28"/>
                              </w:rPr>
                            </w:pPr>
                            <w:r w:rsidRPr="004D2DCA">
                              <w:rPr>
                                <w:b/>
                                <w:bCs/>
                                <w:sz w:val="28"/>
                                <w:szCs w:val="28"/>
                              </w:rPr>
                              <w:t>Appendices</w:t>
                            </w:r>
                          </w:p>
                          <w:p w14:paraId="6121318C" w14:textId="795D0063" w:rsidR="004D2DCA" w:rsidRPr="004D2DCA" w:rsidRDefault="004D2DCA">
                            <w:pPr>
                              <w:rPr>
                                <w:b/>
                                <w:bCs/>
                              </w:rPr>
                            </w:pPr>
                            <w:r w:rsidRPr="004D2DCA">
                              <w:rPr>
                                <w:b/>
                                <w:bCs/>
                              </w:rPr>
                              <w:t>Appendix 2.1</w:t>
                            </w:r>
                          </w:p>
                        </w:txbxContent>
                      </v:textbox>
                    </v:shape>
                  </w:pict>
                </mc:Fallback>
              </mc:AlternateContent>
            </w:r>
            <w:r w:rsidRPr="004D2DCA">
              <w:rPr>
                <w:rFonts w:ascii="Calibri" w:eastAsia="Times New Roman" w:hAnsi="Calibri" w:cs="Calibri"/>
                <w:b/>
                <w:bCs/>
              </w:rPr>
              <w:t>Methods</w:t>
            </w:r>
          </w:p>
        </w:tc>
        <w:tc>
          <w:tcPr>
            <w:tcW w:w="4320" w:type="dxa"/>
            <w:gridSpan w:val="10"/>
            <w:tcBorders>
              <w:top w:val="single" w:sz="4" w:space="0" w:color="auto"/>
              <w:left w:val="nil"/>
              <w:bottom w:val="single" w:sz="4" w:space="0" w:color="auto"/>
              <w:right w:val="single" w:sz="4" w:space="0" w:color="auto"/>
            </w:tcBorders>
            <w:shd w:val="clear" w:color="000000" w:fill="D9E1F2"/>
            <w:noWrap/>
            <w:vAlign w:val="bottom"/>
            <w:hideMark/>
          </w:tcPr>
          <w:p w14:paraId="58F731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Results</w:t>
            </w:r>
          </w:p>
        </w:tc>
        <w:tc>
          <w:tcPr>
            <w:tcW w:w="1660" w:type="dxa"/>
            <w:gridSpan w:val="4"/>
            <w:tcBorders>
              <w:top w:val="single" w:sz="4" w:space="0" w:color="auto"/>
              <w:left w:val="nil"/>
              <w:bottom w:val="single" w:sz="4" w:space="0" w:color="auto"/>
              <w:right w:val="single" w:sz="4" w:space="0" w:color="auto"/>
            </w:tcBorders>
            <w:shd w:val="clear" w:color="000000" w:fill="8EA9DB"/>
            <w:noWrap/>
            <w:vAlign w:val="bottom"/>
            <w:hideMark/>
          </w:tcPr>
          <w:p w14:paraId="1E1FF8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Discussion</w:t>
            </w:r>
          </w:p>
        </w:tc>
        <w:tc>
          <w:tcPr>
            <w:tcW w:w="380" w:type="dxa"/>
            <w:tcBorders>
              <w:top w:val="single" w:sz="4" w:space="0" w:color="auto"/>
              <w:left w:val="nil"/>
              <w:bottom w:val="single" w:sz="4" w:space="0" w:color="auto"/>
              <w:right w:val="single" w:sz="4" w:space="0" w:color="auto"/>
            </w:tcBorders>
            <w:shd w:val="clear" w:color="000000" w:fill="8EA9DB"/>
            <w:noWrap/>
            <w:vAlign w:val="bottom"/>
            <w:hideMark/>
          </w:tcPr>
          <w:p w14:paraId="4B820B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color w:val="auto"/>
              </w:rPr>
            </w:pPr>
            <w:r w:rsidRPr="004D2DCA">
              <w:rPr>
                <w:rFonts w:ascii="Calibri" w:eastAsia="Times New Roman" w:hAnsi="Calibri" w:cs="Calibri"/>
                <w:b/>
                <w:bCs/>
                <w:color w:val="auto"/>
              </w:rPr>
              <w:t>OI</w:t>
            </w:r>
          </w:p>
        </w:tc>
        <w:tc>
          <w:tcPr>
            <w:tcW w:w="960" w:type="dxa"/>
            <w:tcBorders>
              <w:top w:val="nil"/>
              <w:left w:val="nil"/>
              <w:bottom w:val="nil"/>
              <w:right w:val="nil"/>
            </w:tcBorders>
            <w:shd w:val="clear" w:color="auto" w:fill="auto"/>
            <w:noWrap/>
            <w:vAlign w:val="bottom"/>
            <w:hideMark/>
          </w:tcPr>
          <w:p w14:paraId="56F97BF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color w:val="auto"/>
              </w:rPr>
            </w:pPr>
          </w:p>
        </w:tc>
      </w:tr>
      <w:tr w:rsidR="004D2DCA" w:rsidRPr="004D2DCA" w14:paraId="0A376EA9" w14:textId="77777777" w:rsidTr="004D2DCA">
        <w:trPr>
          <w:trHeight w:val="283"/>
        </w:trPr>
        <w:tc>
          <w:tcPr>
            <w:tcW w:w="1940" w:type="dxa"/>
            <w:tcBorders>
              <w:top w:val="single" w:sz="4" w:space="0" w:color="auto"/>
              <w:left w:val="single" w:sz="4" w:space="0" w:color="auto"/>
              <w:bottom w:val="single" w:sz="4" w:space="0" w:color="auto"/>
              <w:right w:val="nil"/>
            </w:tcBorders>
            <w:shd w:val="clear" w:color="auto" w:fill="auto"/>
            <w:noWrap/>
            <w:vAlign w:val="center"/>
            <w:hideMark/>
          </w:tcPr>
          <w:p w14:paraId="00FDA7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Item</w:t>
            </w:r>
          </w:p>
        </w:tc>
        <w:tc>
          <w:tcPr>
            <w:tcW w:w="1760"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E21227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w:t>
            </w:r>
          </w:p>
        </w:tc>
        <w:tc>
          <w:tcPr>
            <w:tcW w:w="520"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78332AF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2</w:t>
            </w:r>
          </w:p>
        </w:tc>
        <w:tc>
          <w:tcPr>
            <w:tcW w:w="520"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5E04D40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3</w:t>
            </w:r>
          </w:p>
        </w:tc>
        <w:tc>
          <w:tcPr>
            <w:tcW w:w="347" w:type="dxa"/>
            <w:vMerge w:val="restart"/>
            <w:tcBorders>
              <w:top w:val="nil"/>
              <w:left w:val="single" w:sz="4" w:space="0" w:color="auto"/>
              <w:bottom w:val="single" w:sz="4" w:space="0" w:color="000000"/>
              <w:right w:val="single" w:sz="4" w:space="0" w:color="auto"/>
            </w:tcBorders>
            <w:shd w:val="clear" w:color="000000" w:fill="9BC2E6"/>
            <w:noWrap/>
            <w:vAlign w:val="center"/>
            <w:hideMark/>
          </w:tcPr>
          <w:p w14:paraId="7A472E4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4</w:t>
            </w:r>
          </w:p>
        </w:tc>
        <w:tc>
          <w:tcPr>
            <w:tcW w:w="413" w:type="dxa"/>
            <w:vMerge w:val="restart"/>
            <w:tcBorders>
              <w:top w:val="nil"/>
              <w:left w:val="single" w:sz="4" w:space="0" w:color="auto"/>
              <w:bottom w:val="single" w:sz="4" w:space="0" w:color="000000"/>
              <w:right w:val="single" w:sz="4" w:space="0" w:color="auto"/>
            </w:tcBorders>
            <w:shd w:val="clear" w:color="000000" w:fill="9BC2E6"/>
            <w:noWrap/>
            <w:vAlign w:val="center"/>
            <w:hideMark/>
          </w:tcPr>
          <w:p w14:paraId="17C6CE1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5</w:t>
            </w:r>
          </w:p>
        </w:tc>
        <w:tc>
          <w:tcPr>
            <w:tcW w:w="346" w:type="dxa"/>
            <w:vMerge w:val="restart"/>
            <w:tcBorders>
              <w:top w:val="nil"/>
              <w:left w:val="single" w:sz="4" w:space="0" w:color="auto"/>
              <w:bottom w:val="single" w:sz="4" w:space="0" w:color="000000"/>
              <w:right w:val="single" w:sz="4" w:space="0" w:color="auto"/>
            </w:tcBorders>
            <w:shd w:val="clear" w:color="000000" w:fill="9BC2E6"/>
            <w:noWrap/>
            <w:vAlign w:val="center"/>
            <w:hideMark/>
          </w:tcPr>
          <w:p w14:paraId="40DDAEC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6</w:t>
            </w:r>
          </w:p>
        </w:tc>
        <w:tc>
          <w:tcPr>
            <w:tcW w:w="412" w:type="dxa"/>
            <w:vMerge w:val="restart"/>
            <w:tcBorders>
              <w:top w:val="nil"/>
              <w:left w:val="single" w:sz="4" w:space="0" w:color="auto"/>
              <w:bottom w:val="single" w:sz="4" w:space="0" w:color="000000"/>
              <w:right w:val="single" w:sz="4" w:space="0" w:color="auto"/>
            </w:tcBorders>
            <w:shd w:val="clear" w:color="000000" w:fill="9BC2E6"/>
            <w:noWrap/>
            <w:vAlign w:val="center"/>
            <w:hideMark/>
          </w:tcPr>
          <w:p w14:paraId="1386373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7</w:t>
            </w:r>
          </w:p>
        </w:tc>
        <w:tc>
          <w:tcPr>
            <w:tcW w:w="346" w:type="dxa"/>
            <w:vMerge w:val="restart"/>
            <w:tcBorders>
              <w:top w:val="nil"/>
              <w:left w:val="single" w:sz="4" w:space="0" w:color="auto"/>
              <w:bottom w:val="single" w:sz="4" w:space="0" w:color="000000"/>
              <w:right w:val="single" w:sz="4" w:space="0" w:color="auto"/>
            </w:tcBorders>
            <w:shd w:val="clear" w:color="000000" w:fill="9BC2E6"/>
            <w:noWrap/>
            <w:vAlign w:val="center"/>
            <w:hideMark/>
          </w:tcPr>
          <w:p w14:paraId="1F014B0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8</w:t>
            </w:r>
          </w:p>
        </w:tc>
        <w:tc>
          <w:tcPr>
            <w:tcW w:w="346" w:type="dxa"/>
            <w:vMerge w:val="restart"/>
            <w:tcBorders>
              <w:top w:val="nil"/>
              <w:left w:val="single" w:sz="4" w:space="0" w:color="auto"/>
              <w:bottom w:val="single" w:sz="4" w:space="0" w:color="000000"/>
              <w:right w:val="single" w:sz="4" w:space="0" w:color="auto"/>
            </w:tcBorders>
            <w:shd w:val="clear" w:color="000000" w:fill="9BC2E6"/>
            <w:noWrap/>
            <w:vAlign w:val="center"/>
            <w:hideMark/>
          </w:tcPr>
          <w:p w14:paraId="0FA7B2F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9</w:t>
            </w:r>
          </w:p>
        </w:tc>
        <w:tc>
          <w:tcPr>
            <w:tcW w:w="605" w:type="dxa"/>
            <w:vMerge w:val="restart"/>
            <w:tcBorders>
              <w:top w:val="nil"/>
              <w:left w:val="single" w:sz="4" w:space="0" w:color="auto"/>
              <w:bottom w:val="single" w:sz="4" w:space="0" w:color="000000"/>
              <w:right w:val="single" w:sz="4" w:space="0" w:color="auto"/>
            </w:tcBorders>
            <w:shd w:val="clear" w:color="000000" w:fill="9BC2E6"/>
            <w:noWrap/>
            <w:vAlign w:val="center"/>
            <w:hideMark/>
          </w:tcPr>
          <w:p w14:paraId="2F8997C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10</w:t>
            </w:r>
          </w:p>
        </w:tc>
        <w:tc>
          <w:tcPr>
            <w:tcW w:w="605" w:type="dxa"/>
            <w:vMerge w:val="restart"/>
            <w:tcBorders>
              <w:top w:val="nil"/>
              <w:left w:val="single" w:sz="4" w:space="0" w:color="auto"/>
              <w:bottom w:val="single" w:sz="4" w:space="0" w:color="000000"/>
              <w:right w:val="single" w:sz="4" w:space="0" w:color="auto"/>
            </w:tcBorders>
            <w:shd w:val="clear" w:color="000000" w:fill="9BC2E6"/>
            <w:noWrap/>
            <w:vAlign w:val="center"/>
            <w:hideMark/>
          </w:tcPr>
          <w:p w14:paraId="4C8FA1C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11</w:t>
            </w:r>
          </w:p>
        </w:tc>
        <w:tc>
          <w:tcPr>
            <w:tcW w:w="2060" w:type="dxa"/>
            <w:gridSpan w:val="5"/>
            <w:tcBorders>
              <w:top w:val="single" w:sz="4" w:space="0" w:color="auto"/>
              <w:left w:val="nil"/>
              <w:bottom w:val="single" w:sz="4" w:space="0" w:color="auto"/>
              <w:right w:val="single" w:sz="4" w:space="0" w:color="auto"/>
            </w:tcBorders>
            <w:shd w:val="clear" w:color="000000" w:fill="9BC2E6"/>
            <w:noWrap/>
            <w:vAlign w:val="center"/>
            <w:hideMark/>
          </w:tcPr>
          <w:p w14:paraId="3D3E20E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12</w:t>
            </w:r>
          </w:p>
        </w:tc>
        <w:tc>
          <w:tcPr>
            <w:tcW w:w="1192" w:type="dxa"/>
            <w:gridSpan w:val="3"/>
            <w:tcBorders>
              <w:top w:val="single" w:sz="4" w:space="0" w:color="auto"/>
              <w:left w:val="nil"/>
              <w:bottom w:val="single" w:sz="4" w:space="0" w:color="auto"/>
              <w:right w:val="single" w:sz="4" w:space="0" w:color="auto"/>
            </w:tcBorders>
            <w:shd w:val="clear" w:color="000000" w:fill="D9E1F2"/>
            <w:noWrap/>
            <w:vAlign w:val="center"/>
            <w:hideMark/>
          </w:tcPr>
          <w:p w14:paraId="13809D4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13</w:t>
            </w:r>
          </w:p>
        </w:tc>
        <w:tc>
          <w:tcPr>
            <w:tcW w:w="788" w:type="dxa"/>
            <w:gridSpan w:val="2"/>
            <w:tcBorders>
              <w:top w:val="single" w:sz="4" w:space="0" w:color="auto"/>
              <w:left w:val="nil"/>
              <w:bottom w:val="single" w:sz="4" w:space="0" w:color="auto"/>
              <w:right w:val="single" w:sz="4" w:space="0" w:color="000000"/>
            </w:tcBorders>
            <w:shd w:val="clear" w:color="000000" w:fill="D9E1F2"/>
            <w:noWrap/>
            <w:vAlign w:val="center"/>
            <w:hideMark/>
          </w:tcPr>
          <w:p w14:paraId="481D729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14</w:t>
            </w:r>
          </w:p>
        </w:tc>
        <w:tc>
          <w:tcPr>
            <w:tcW w:w="579"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2CC222F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15</w:t>
            </w:r>
          </w:p>
        </w:tc>
        <w:tc>
          <w:tcPr>
            <w:tcW w:w="1182" w:type="dxa"/>
            <w:gridSpan w:val="3"/>
            <w:tcBorders>
              <w:top w:val="single" w:sz="4" w:space="0" w:color="auto"/>
              <w:left w:val="nil"/>
              <w:bottom w:val="single" w:sz="4" w:space="0" w:color="auto"/>
              <w:right w:val="single" w:sz="4" w:space="0" w:color="auto"/>
            </w:tcBorders>
            <w:shd w:val="clear" w:color="000000" w:fill="D9E1F2"/>
            <w:noWrap/>
            <w:vAlign w:val="center"/>
            <w:hideMark/>
          </w:tcPr>
          <w:p w14:paraId="2EC406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16</w:t>
            </w:r>
          </w:p>
        </w:tc>
        <w:tc>
          <w:tcPr>
            <w:tcW w:w="579" w:type="dxa"/>
            <w:vMerge w:val="restart"/>
            <w:tcBorders>
              <w:top w:val="nil"/>
              <w:left w:val="single" w:sz="4" w:space="0" w:color="auto"/>
              <w:bottom w:val="single" w:sz="4" w:space="0" w:color="000000"/>
              <w:right w:val="single" w:sz="4" w:space="0" w:color="auto"/>
            </w:tcBorders>
            <w:shd w:val="clear" w:color="000000" w:fill="D9E1F2"/>
            <w:noWrap/>
            <w:vAlign w:val="center"/>
            <w:hideMark/>
          </w:tcPr>
          <w:p w14:paraId="314841C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17</w:t>
            </w:r>
          </w:p>
        </w:tc>
        <w:tc>
          <w:tcPr>
            <w:tcW w:w="415" w:type="dxa"/>
            <w:vMerge w:val="restart"/>
            <w:tcBorders>
              <w:top w:val="nil"/>
              <w:left w:val="single" w:sz="4" w:space="0" w:color="auto"/>
              <w:bottom w:val="single" w:sz="4" w:space="0" w:color="000000"/>
              <w:right w:val="single" w:sz="4" w:space="0" w:color="auto"/>
            </w:tcBorders>
            <w:shd w:val="clear" w:color="000000" w:fill="8EA9DB"/>
            <w:noWrap/>
            <w:vAlign w:val="center"/>
            <w:hideMark/>
          </w:tcPr>
          <w:p w14:paraId="3C101B9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18</w:t>
            </w:r>
          </w:p>
        </w:tc>
        <w:tc>
          <w:tcPr>
            <w:tcW w:w="415" w:type="dxa"/>
            <w:vMerge w:val="restart"/>
            <w:tcBorders>
              <w:top w:val="nil"/>
              <w:left w:val="single" w:sz="4" w:space="0" w:color="auto"/>
              <w:bottom w:val="single" w:sz="4" w:space="0" w:color="000000"/>
              <w:right w:val="single" w:sz="4" w:space="0" w:color="auto"/>
            </w:tcBorders>
            <w:shd w:val="clear" w:color="000000" w:fill="8EA9DB"/>
            <w:noWrap/>
            <w:vAlign w:val="center"/>
            <w:hideMark/>
          </w:tcPr>
          <w:p w14:paraId="50FEBDA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19</w:t>
            </w:r>
          </w:p>
        </w:tc>
        <w:tc>
          <w:tcPr>
            <w:tcW w:w="415" w:type="dxa"/>
            <w:vMerge w:val="restart"/>
            <w:tcBorders>
              <w:top w:val="nil"/>
              <w:left w:val="single" w:sz="4" w:space="0" w:color="auto"/>
              <w:bottom w:val="single" w:sz="4" w:space="0" w:color="000000"/>
              <w:right w:val="single" w:sz="4" w:space="0" w:color="auto"/>
            </w:tcBorders>
            <w:shd w:val="clear" w:color="000000" w:fill="8EA9DB"/>
            <w:noWrap/>
            <w:vAlign w:val="center"/>
            <w:hideMark/>
          </w:tcPr>
          <w:p w14:paraId="57BE950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20</w:t>
            </w:r>
          </w:p>
        </w:tc>
        <w:tc>
          <w:tcPr>
            <w:tcW w:w="415" w:type="dxa"/>
            <w:vMerge w:val="restart"/>
            <w:tcBorders>
              <w:top w:val="nil"/>
              <w:left w:val="single" w:sz="4" w:space="0" w:color="auto"/>
              <w:bottom w:val="single" w:sz="4" w:space="0" w:color="000000"/>
              <w:right w:val="single" w:sz="4" w:space="0" w:color="auto"/>
            </w:tcBorders>
            <w:shd w:val="clear" w:color="000000" w:fill="8EA9DB"/>
            <w:noWrap/>
            <w:vAlign w:val="center"/>
            <w:hideMark/>
          </w:tcPr>
          <w:p w14:paraId="4568BDF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21</w:t>
            </w:r>
          </w:p>
        </w:tc>
        <w:tc>
          <w:tcPr>
            <w:tcW w:w="380" w:type="dxa"/>
            <w:vMerge w:val="restart"/>
            <w:tcBorders>
              <w:top w:val="nil"/>
              <w:left w:val="single" w:sz="4" w:space="0" w:color="auto"/>
              <w:bottom w:val="single" w:sz="4" w:space="0" w:color="000000"/>
              <w:right w:val="single" w:sz="4" w:space="0" w:color="auto"/>
            </w:tcBorders>
            <w:shd w:val="clear" w:color="000000" w:fill="8EA9DB"/>
            <w:noWrap/>
            <w:vAlign w:val="center"/>
            <w:hideMark/>
          </w:tcPr>
          <w:p w14:paraId="5E4D311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color w:val="auto"/>
              </w:rPr>
            </w:pPr>
            <w:r w:rsidRPr="004D2DCA">
              <w:rPr>
                <w:rFonts w:ascii="Calibri" w:eastAsia="Times New Roman" w:hAnsi="Calibri" w:cs="Calibri"/>
                <w:b/>
                <w:bCs/>
                <w:color w:val="auto"/>
              </w:rPr>
              <w:t>22</w:t>
            </w:r>
          </w:p>
        </w:tc>
        <w:tc>
          <w:tcPr>
            <w:tcW w:w="960" w:type="dxa"/>
            <w:tcBorders>
              <w:top w:val="nil"/>
              <w:left w:val="nil"/>
              <w:bottom w:val="nil"/>
              <w:right w:val="nil"/>
            </w:tcBorders>
            <w:shd w:val="clear" w:color="auto" w:fill="auto"/>
            <w:noWrap/>
            <w:vAlign w:val="center"/>
            <w:hideMark/>
          </w:tcPr>
          <w:p w14:paraId="5261BA5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color w:val="auto"/>
              </w:rPr>
            </w:pPr>
          </w:p>
        </w:tc>
      </w:tr>
      <w:tr w:rsidR="004D2DCA" w:rsidRPr="004D2DCA" w14:paraId="2D35B41B" w14:textId="77777777" w:rsidTr="004D2DCA">
        <w:trPr>
          <w:trHeight w:val="300"/>
        </w:trPr>
        <w:tc>
          <w:tcPr>
            <w:tcW w:w="1940" w:type="dxa"/>
            <w:tcBorders>
              <w:top w:val="single" w:sz="4" w:space="0" w:color="auto"/>
              <w:left w:val="single" w:sz="4" w:space="0" w:color="auto"/>
              <w:bottom w:val="single" w:sz="4" w:space="0" w:color="auto"/>
              <w:right w:val="nil"/>
            </w:tcBorders>
            <w:shd w:val="clear" w:color="auto" w:fill="auto"/>
            <w:noWrap/>
            <w:vAlign w:val="center"/>
            <w:hideMark/>
          </w:tcPr>
          <w:p w14:paraId="0B9CF9F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Recommendation</w:t>
            </w:r>
          </w:p>
        </w:tc>
        <w:tc>
          <w:tcPr>
            <w:tcW w:w="877" w:type="dxa"/>
            <w:tcBorders>
              <w:top w:val="nil"/>
              <w:left w:val="single" w:sz="4" w:space="0" w:color="auto"/>
              <w:bottom w:val="single" w:sz="4" w:space="0" w:color="auto"/>
              <w:right w:val="single" w:sz="4" w:space="0" w:color="auto"/>
            </w:tcBorders>
            <w:shd w:val="clear" w:color="000000" w:fill="DDEBF7"/>
            <w:noWrap/>
            <w:vAlign w:val="center"/>
            <w:hideMark/>
          </w:tcPr>
          <w:p w14:paraId="202DAD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a</w:t>
            </w:r>
          </w:p>
        </w:tc>
        <w:tc>
          <w:tcPr>
            <w:tcW w:w="883" w:type="dxa"/>
            <w:tcBorders>
              <w:top w:val="nil"/>
              <w:left w:val="nil"/>
              <w:bottom w:val="single" w:sz="4" w:space="0" w:color="auto"/>
              <w:right w:val="single" w:sz="4" w:space="0" w:color="auto"/>
            </w:tcBorders>
            <w:shd w:val="clear" w:color="000000" w:fill="DDEBF7"/>
            <w:noWrap/>
            <w:vAlign w:val="center"/>
            <w:hideMark/>
          </w:tcPr>
          <w:p w14:paraId="136E993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b</w:t>
            </w:r>
          </w:p>
        </w:tc>
        <w:tc>
          <w:tcPr>
            <w:tcW w:w="520" w:type="dxa"/>
            <w:vMerge/>
            <w:tcBorders>
              <w:top w:val="nil"/>
              <w:left w:val="single" w:sz="4" w:space="0" w:color="auto"/>
              <w:bottom w:val="single" w:sz="4" w:space="0" w:color="000000"/>
              <w:right w:val="single" w:sz="4" w:space="0" w:color="auto"/>
            </w:tcBorders>
            <w:vAlign w:val="center"/>
            <w:hideMark/>
          </w:tcPr>
          <w:p w14:paraId="14F92C0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520" w:type="dxa"/>
            <w:vMerge/>
            <w:tcBorders>
              <w:top w:val="nil"/>
              <w:left w:val="single" w:sz="4" w:space="0" w:color="auto"/>
              <w:bottom w:val="single" w:sz="4" w:space="0" w:color="000000"/>
              <w:right w:val="single" w:sz="4" w:space="0" w:color="auto"/>
            </w:tcBorders>
            <w:vAlign w:val="center"/>
            <w:hideMark/>
          </w:tcPr>
          <w:p w14:paraId="361BAA5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347" w:type="dxa"/>
            <w:vMerge/>
            <w:tcBorders>
              <w:top w:val="nil"/>
              <w:left w:val="single" w:sz="4" w:space="0" w:color="auto"/>
              <w:bottom w:val="single" w:sz="4" w:space="0" w:color="000000"/>
              <w:right w:val="single" w:sz="4" w:space="0" w:color="auto"/>
            </w:tcBorders>
            <w:vAlign w:val="center"/>
            <w:hideMark/>
          </w:tcPr>
          <w:p w14:paraId="5E63A2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413" w:type="dxa"/>
            <w:vMerge/>
            <w:tcBorders>
              <w:top w:val="nil"/>
              <w:left w:val="single" w:sz="4" w:space="0" w:color="auto"/>
              <w:bottom w:val="single" w:sz="4" w:space="0" w:color="000000"/>
              <w:right w:val="single" w:sz="4" w:space="0" w:color="auto"/>
            </w:tcBorders>
            <w:vAlign w:val="center"/>
            <w:hideMark/>
          </w:tcPr>
          <w:p w14:paraId="2F4EA40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346" w:type="dxa"/>
            <w:vMerge/>
            <w:tcBorders>
              <w:top w:val="nil"/>
              <w:left w:val="single" w:sz="4" w:space="0" w:color="auto"/>
              <w:bottom w:val="single" w:sz="4" w:space="0" w:color="000000"/>
              <w:right w:val="single" w:sz="4" w:space="0" w:color="auto"/>
            </w:tcBorders>
            <w:vAlign w:val="center"/>
            <w:hideMark/>
          </w:tcPr>
          <w:p w14:paraId="76F664B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412" w:type="dxa"/>
            <w:vMerge/>
            <w:tcBorders>
              <w:top w:val="nil"/>
              <w:left w:val="single" w:sz="4" w:space="0" w:color="auto"/>
              <w:bottom w:val="single" w:sz="4" w:space="0" w:color="000000"/>
              <w:right w:val="single" w:sz="4" w:space="0" w:color="auto"/>
            </w:tcBorders>
            <w:vAlign w:val="center"/>
            <w:hideMark/>
          </w:tcPr>
          <w:p w14:paraId="6581F28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346" w:type="dxa"/>
            <w:vMerge/>
            <w:tcBorders>
              <w:top w:val="nil"/>
              <w:left w:val="single" w:sz="4" w:space="0" w:color="auto"/>
              <w:bottom w:val="single" w:sz="4" w:space="0" w:color="000000"/>
              <w:right w:val="single" w:sz="4" w:space="0" w:color="auto"/>
            </w:tcBorders>
            <w:vAlign w:val="center"/>
            <w:hideMark/>
          </w:tcPr>
          <w:p w14:paraId="45430F0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346" w:type="dxa"/>
            <w:vMerge/>
            <w:tcBorders>
              <w:top w:val="nil"/>
              <w:left w:val="single" w:sz="4" w:space="0" w:color="auto"/>
              <w:bottom w:val="single" w:sz="4" w:space="0" w:color="000000"/>
              <w:right w:val="single" w:sz="4" w:space="0" w:color="auto"/>
            </w:tcBorders>
            <w:vAlign w:val="center"/>
            <w:hideMark/>
          </w:tcPr>
          <w:p w14:paraId="38A4201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605" w:type="dxa"/>
            <w:vMerge/>
            <w:tcBorders>
              <w:top w:val="nil"/>
              <w:left w:val="single" w:sz="4" w:space="0" w:color="auto"/>
              <w:bottom w:val="single" w:sz="4" w:space="0" w:color="000000"/>
              <w:right w:val="single" w:sz="4" w:space="0" w:color="auto"/>
            </w:tcBorders>
            <w:vAlign w:val="center"/>
            <w:hideMark/>
          </w:tcPr>
          <w:p w14:paraId="0B6ED93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605" w:type="dxa"/>
            <w:vMerge/>
            <w:tcBorders>
              <w:top w:val="nil"/>
              <w:left w:val="single" w:sz="4" w:space="0" w:color="auto"/>
              <w:bottom w:val="single" w:sz="4" w:space="0" w:color="000000"/>
              <w:right w:val="single" w:sz="4" w:space="0" w:color="auto"/>
            </w:tcBorders>
            <w:vAlign w:val="center"/>
            <w:hideMark/>
          </w:tcPr>
          <w:p w14:paraId="368FA67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412" w:type="dxa"/>
            <w:tcBorders>
              <w:top w:val="nil"/>
              <w:left w:val="nil"/>
              <w:bottom w:val="single" w:sz="4" w:space="0" w:color="auto"/>
              <w:right w:val="single" w:sz="4" w:space="0" w:color="auto"/>
            </w:tcBorders>
            <w:shd w:val="clear" w:color="000000" w:fill="9BC2E6"/>
            <w:noWrap/>
            <w:vAlign w:val="center"/>
            <w:hideMark/>
          </w:tcPr>
          <w:p w14:paraId="3FF1DF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a</w:t>
            </w:r>
          </w:p>
        </w:tc>
        <w:tc>
          <w:tcPr>
            <w:tcW w:w="412" w:type="dxa"/>
            <w:tcBorders>
              <w:top w:val="nil"/>
              <w:left w:val="nil"/>
              <w:bottom w:val="single" w:sz="4" w:space="0" w:color="auto"/>
              <w:right w:val="single" w:sz="4" w:space="0" w:color="auto"/>
            </w:tcBorders>
            <w:shd w:val="clear" w:color="000000" w:fill="9BC2E6"/>
            <w:noWrap/>
            <w:vAlign w:val="center"/>
            <w:hideMark/>
          </w:tcPr>
          <w:p w14:paraId="3D1420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b</w:t>
            </w:r>
          </w:p>
        </w:tc>
        <w:tc>
          <w:tcPr>
            <w:tcW w:w="412" w:type="dxa"/>
            <w:tcBorders>
              <w:top w:val="nil"/>
              <w:left w:val="nil"/>
              <w:bottom w:val="single" w:sz="4" w:space="0" w:color="auto"/>
              <w:right w:val="single" w:sz="4" w:space="0" w:color="auto"/>
            </w:tcBorders>
            <w:shd w:val="clear" w:color="000000" w:fill="9BC2E6"/>
            <w:noWrap/>
            <w:vAlign w:val="center"/>
            <w:hideMark/>
          </w:tcPr>
          <w:p w14:paraId="482CBD4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c</w:t>
            </w:r>
          </w:p>
        </w:tc>
        <w:tc>
          <w:tcPr>
            <w:tcW w:w="412" w:type="dxa"/>
            <w:tcBorders>
              <w:top w:val="nil"/>
              <w:left w:val="nil"/>
              <w:bottom w:val="single" w:sz="4" w:space="0" w:color="auto"/>
              <w:right w:val="single" w:sz="4" w:space="0" w:color="auto"/>
            </w:tcBorders>
            <w:shd w:val="clear" w:color="000000" w:fill="9BC2E6"/>
            <w:noWrap/>
            <w:vAlign w:val="center"/>
            <w:hideMark/>
          </w:tcPr>
          <w:p w14:paraId="77672CA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d</w:t>
            </w:r>
          </w:p>
        </w:tc>
        <w:tc>
          <w:tcPr>
            <w:tcW w:w="412" w:type="dxa"/>
            <w:tcBorders>
              <w:top w:val="nil"/>
              <w:left w:val="nil"/>
              <w:bottom w:val="single" w:sz="4" w:space="0" w:color="auto"/>
              <w:right w:val="single" w:sz="4" w:space="0" w:color="auto"/>
            </w:tcBorders>
            <w:shd w:val="clear" w:color="000000" w:fill="9BC2E6"/>
            <w:noWrap/>
            <w:vAlign w:val="center"/>
            <w:hideMark/>
          </w:tcPr>
          <w:p w14:paraId="4C29024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e</w:t>
            </w:r>
          </w:p>
        </w:tc>
        <w:tc>
          <w:tcPr>
            <w:tcW w:w="395" w:type="dxa"/>
            <w:tcBorders>
              <w:top w:val="nil"/>
              <w:left w:val="nil"/>
              <w:bottom w:val="single" w:sz="4" w:space="0" w:color="auto"/>
              <w:right w:val="single" w:sz="4" w:space="0" w:color="auto"/>
            </w:tcBorders>
            <w:shd w:val="clear" w:color="000000" w:fill="D9E1F2"/>
            <w:noWrap/>
            <w:vAlign w:val="center"/>
            <w:hideMark/>
          </w:tcPr>
          <w:p w14:paraId="5C48F7C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a</w:t>
            </w:r>
          </w:p>
        </w:tc>
        <w:tc>
          <w:tcPr>
            <w:tcW w:w="402" w:type="dxa"/>
            <w:tcBorders>
              <w:top w:val="nil"/>
              <w:left w:val="nil"/>
              <w:bottom w:val="single" w:sz="4" w:space="0" w:color="auto"/>
              <w:right w:val="single" w:sz="4" w:space="0" w:color="auto"/>
            </w:tcBorders>
            <w:shd w:val="clear" w:color="000000" w:fill="D9E1F2"/>
            <w:noWrap/>
            <w:vAlign w:val="center"/>
            <w:hideMark/>
          </w:tcPr>
          <w:p w14:paraId="765701B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b</w:t>
            </w:r>
          </w:p>
        </w:tc>
        <w:tc>
          <w:tcPr>
            <w:tcW w:w="395" w:type="dxa"/>
            <w:tcBorders>
              <w:top w:val="nil"/>
              <w:left w:val="nil"/>
              <w:bottom w:val="single" w:sz="4" w:space="0" w:color="auto"/>
              <w:right w:val="single" w:sz="4" w:space="0" w:color="auto"/>
            </w:tcBorders>
            <w:shd w:val="clear" w:color="000000" w:fill="D9E1F2"/>
            <w:noWrap/>
            <w:vAlign w:val="center"/>
            <w:hideMark/>
          </w:tcPr>
          <w:p w14:paraId="02E96A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c</w:t>
            </w:r>
          </w:p>
        </w:tc>
        <w:tc>
          <w:tcPr>
            <w:tcW w:w="394" w:type="dxa"/>
            <w:tcBorders>
              <w:top w:val="nil"/>
              <w:left w:val="nil"/>
              <w:bottom w:val="single" w:sz="4" w:space="0" w:color="auto"/>
              <w:right w:val="single" w:sz="4" w:space="0" w:color="auto"/>
            </w:tcBorders>
            <w:shd w:val="clear" w:color="000000" w:fill="D9E1F2"/>
            <w:noWrap/>
            <w:vAlign w:val="center"/>
            <w:hideMark/>
          </w:tcPr>
          <w:p w14:paraId="4F9CF51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a</w:t>
            </w:r>
          </w:p>
        </w:tc>
        <w:tc>
          <w:tcPr>
            <w:tcW w:w="394" w:type="dxa"/>
            <w:tcBorders>
              <w:top w:val="nil"/>
              <w:left w:val="nil"/>
              <w:bottom w:val="single" w:sz="4" w:space="0" w:color="auto"/>
              <w:right w:val="single" w:sz="4" w:space="0" w:color="auto"/>
            </w:tcBorders>
            <w:shd w:val="clear" w:color="000000" w:fill="D9E1F2"/>
            <w:noWrap/>
            <w:vAlign w:val="center"/>
            <w:hideMark/>
          </w:tcPr>
          <w:p w14:paraId="5373017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rPr>
            </w:pPr>
            <w:r w:rsidRPr="004D2DCA">
              <w:rPr>
                <w:rFonts w:ascii="Calibri" w:eastAsia="Times New Roman" w:hAnsi="Calibri" w:cs="Calibri"/>
              </w:rPr>
              <w:t>b</w:t>
            </w:r>
          </w:p>
        </w:tc>
        <w:tc>
          <w:tcPr>
            <w:tcW w:w="579" w:type="dxa"/>
            <w:vMerge/>
            <w:tcBorders>
              <w:top w:val="nil"/>
              <w:left w:val="single" w:sz="4" w:space="0" w:color="auto"/>
              <w:bottom w:val="single" w:sz="4" w:space="0" w:color="000000"/>
              <w:right w:val="single" w:sz="4" w:space="0" w:color="auto"/>
            </w:tcBorders>
            <w:vAlign w:val="center"/>
            <w:hideMark/>
          </w:tcPr>
          <w:p w14:paraId="7E0B429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394" w:type="dxa"/>
            <w:tcBorders>
              <w:top w:val="nil"/>
              <w:left w:val="nil"/>
              <w:bottom w:val="single" w:sz="4" w:space="0" w:color="auto"/>
              <w:right w:val="single" w:sz="4" w:space="0" w:color="auto"/>
            </w:tcBorders>
            <w:shd w:val="clear" w:color="000000" w:fill="D9E1F2"/>
            <w:noWrap/>
            <w:vAlign w:val="center"/>
            <w:hideMark/>
          </w:tcPr>
          <w:p w14:paraId="11065BF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a</w:t>
            </w:r>
          </w:p>
        </w:tc>
        <w:tc>
          <w:tcPr>
            <w:tcW w:w="394" w:type="dxa"/>
            <w:tcBorders>
              <w:top w:val="nil"/>
              <w:left w:val="nil"/>
              <w:bottom w:val="single" w:sz="4" w:space="0" w:color="auto"/>
              <w:right w:val="single" w:sz="4" w:space="0" w:color="auto"/>
            </w:tcBorders>
            <w:shd w:val="clear" w:color="000000" w:fill="D9E1F2"/>
            <w:noWrap/>
            <w:vAlign w:val="center"/>
            <w:hideMark/>
          </w:tcPr>
          <w:p w14:paraId="3C030D1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b</w:t>
            </w:r>
          </w:p>
        </w:tc>
        <w:tc>
          <w:tcPr>
            <w:tcW w:w="394" w:type="dxa"/>
            <w:tcBorders>
              <w:top w:val="nil"/>
              <w:left w:val="nil"/>
              <w:bottom w:val="single" w:sz="4" w:space="0" w:color="auto"/>
              <w:right w:val="single" w:sz="4" w:space="0" w:color="auto"/>
            </w:tcBorders>
            <w:shd w:val="clear" w:color="000000" w:fill="D9E1F2"/>
            <w:noWrap/>
            <w:vAlign w:val="center"/>
            <w:hideMark/>
          </w:tcPr>
          <w:p w14:paraId="5C19F69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r w:rsidRPr="004D2DCA">
              <w:rPr>
                <w:rFonts w:ascii="Calibri" w:eastAsia="Times New Roman" w:hAnsi="Calibri" w:cs="Calibri"/>
                <w:b/>
                <w:bCs/>
              </w:rPr>
              <w:t>c</w:t>
            </w:r>
          </w:p>
        </w:tc>
        <w:tc>
          <w:tcPr>
            <w:tcW w:w="579" w:type="dxa"/>
            <w:vMerge/>
            <w:tcBorders>
              <w:top w:val="nil"/>
              <w:left w:val="single" w:sz="4" w:space="0" w:color="auto"/>
              <w:bottom w:val="single" w:sz="4" w:space="0" w:color="000000"/>
              <w:right w:val="single" w:sz="4" w:space="0" w:color="auto"/>
            </w:tcBorders>
            <w:vAlign w:val="center"/>
            <w:hideMark/>
          </w:tcPr>
          <w:p w14:paraId="6B159A0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415" w:type="dxa"/>
            <w:vMerge/>
            <w:tcBorders>
              <w:top w:val="nil"/>
              <w:left w:val="single" w:sz="4" w:space="0" w:color="auto"/>
              <w:bottom w:val="single" w:sz="4" w:space="0" w:color="000000"/>
              <w:right w:val="single" w:sz="4" w:space="0" w:color="auto"/>
            </w:tcBorders>
            <w:vAlign w:val="center"/>
            <w:hideMark/>
          </w:tcPr>
          <w:p w14:paraId="36C3E27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415" w:type="dxa"/>
            <w:vMerge/>
            <w:tcBorders>
              <w:top w:val="nil"/>
              <w:left w:val="single" w:sz="4" w:space="0" w:color="auto"/>
              <w:bottom w:val="single" w:sz="4" w:space="0" w:color="000000"/>
              <w:right w:val="single" w:sz="4" w:space="0" w:color="auto"/>
            </w:tcBorders>
            <w:vAlign w:val="center"/>
            <w:hideMark/>
          </w:tcPr>
          <w:p w14:paraId="13D34E3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415" w:type="dxa"/>
            <w:vMerge/>
            <w:tcBorders>
              <w:top w:val="nil"/>
              <w:left w:val="single" w:sz="4" w:space="0" w:color="auto"/>
              <w:bottom w:val="single" w:sz="4" w:space="0" w:color="000000"/>
              <w:right w:val="single" w:sz="4" w:space="0" w:color="auto"/>
            </w:tcBorders>
            <w:vAlign w:val="center"/>
            <w:hideMark/>
          </w:tcPr>
          <w:p w14:paraId="2C6B5D4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415" w:type="dxa"/>
            <w:vMerge/>
            <w:tcBorders>
              <w:top w:val="nil"/>
              <w:left w:val="single" w:sz="4" w:space="0" w:color="auto"/>
              <w:bottom w:val="single" w:sz="4" w:space="0" w:color="000000"/>
              <w:right w:val="single" w:sz="4" w:space="0" w:color="auto"/>
            </w:tcBorders>
            <w:vAlign w:val="center"/>
            <w:hideMark/>
          </w:tcPr>
          <w:p w14:paraId="2DE7595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rPr>
            </w:pPr>
          </w:p>
        </w:tc>
        <w:tc>
          <w:tcPr>
            <w:tcW w:w="380" w:type="dxa"/>
            <w:vMerge/>
            <w:tcBorders>
              <w:top w:val="nil"/>
              <w:left w:val="single" w:sz="4" w:space="0" w:color="auto"/>
              <w:bottom w:val="single" w:sz="4" w:space="0" w:color="000000"/>
              <w:right w:val="single" w:sz="4" w:space="0" w:color="auto"/>
            </w:tcBorders>
            <w:vAlign w:val="center"/>
            <w:hideMark/>
          </w:tcPr>
          <w:p w14:paraId="1F5A6C6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b/>
                <w:bCs/>
                <w:color w:val="auto"/>
              </w:rPr>
            </w:pPr>
          </w:p>
        </w:tc>
        <w:tc>
          <w:tcPr>
            <w:tcW w:w="960" w:type="dxa"/>
            <w:tcBorders>
              <w:top w:val="nil"/>
              <w:left w:val="nil"/>
              <w:bottom w:val="nil"/>
              <w:right w:val="nil"/>
            </w:tcBorders>
            <w:shd w:val="clear" w:color="auto" w:fill="auto"/>
            <w:noWrap/>
            <w:vAlign w:val="center"/>
            <w:hideMark/>
          </w:tcPr>
          <w:p w14:paraId="6AFDFF3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Calibri" w:eastAsia="Times New Roman" w:hAnsi="Calibri" w:cs="Calibri"/>
                <w:b/>
                <w:bCs/>
              </w:rPr>
            </w:pPr>
          </w:p>
        </w:tc>
      </w:tr>
      <w:tr w:rsidR="004D2DCA" w:rsidRPr="004D2DCA" w14:paraId="0B2DD25B" w14:textId="77777777" w:rsidTr="004D2DCA">
        <w:trPr>
          <w:trHeight w:val="56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004B4D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Ackerman et al., 2009</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63F62F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7692181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DB2F59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5843D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2D27197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5008490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68E6CC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94298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0AE2B30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5FA3BA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5BCF4D0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3ACB242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E374D8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AA7027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415C2A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1D9687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C88A6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5" w:type="dxa"/>
            <w:tcBorders>
              <w:top w:val="nil"/>
              <w:left w:val="nil"/>
              <w:bottom w:val="single" w:sz="4" w:space="0" w:color="auto"/>
              <w:right w:val="single" w:sz="4" w:space="0" w:color="auto"/>
            </w:tcBorders>
            <w:shd w:val="clear" w:color="000000" w:fill="D9E1F2"/>
            <w:noWrap/>
            <w:vAlign w:val="bottom"/>
            <w:hideMark/>
          </w:tcPr>
          <w:p w14:paraId="4175869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54B9D5D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5" w:type="dxa"/>
            <w:tcBorders>
              <w:top w:val="nil"/>
              <w:left w:val="nil"/>
              <w:bottom w:val="single" w:sz="4" w:space="0" w:color="auto"/>
              <w:right w:val="single" w:sz="4" w:space="0" w:color="auto"/>
            </w:tcBorders>
            <w:shd w:val="clear" w:color="000000" w:fill="D9E1F2"/>
            <w:noWrap/>
            <w:vAlign w:val="bottom"/>
            <w:hideMark/>
          </w:tcPr>
          <w:p w14:paraId="784DFB7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62B4D3F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4E341BA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79" w:type="dxa"/>
            <w:tcBorders>
              <w:top w:val="nil"/>
              <w:left w:val="nil"/>
              <w:bottom w:val="single" w:sz="4" w:space="0" w:color="auto"/>
              <w:right w:val="single" w:sz="4" w:space="0" w:color="auto"/>
            </w:tcBorders>
            <w:shd w:val="clear" w:color="000000" w:fill="D9E1F2"/>
            <w:noWrap/>
            <w:vAlign w:val="bottom"/>
            <w:hideMark/>
          </w:tcPr>
          <w:p w14:paraId="40165BC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4CB569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7C5469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6317B4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354033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90CA22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4B4D8E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78F2EF7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ADA5DC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464BC3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63889E4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X=Yes</w:t>
            </w:r>
          </w:p>
        </w:tc>
      </w:tr>
      <w:tr w:rsidR="004D2DCA" w:rsidRPr="004D2DCA" w14:paraId="39D07D3F" w14:textId="77777777" w:rsidTr="004D2DCA">
        <w:trPr>
          <w:trHeight w:val="56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77EBB3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Blascovich et al., 2001</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2851B8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622863D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28B897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7E24BFC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62DE9F5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194C41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332C8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E332D9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C68D0C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4C1E0A6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37810BE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6CB2362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BD4F1A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346777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1610E9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37A21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3F512C4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81BB45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49E2820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5" w:type="dxa"/>
            <w:tcBorders>
              <w:top w:val="nil"/>
              <w:left w:val="nil"/>
              <w:bottom w:val="single" w:sz="4" w:space="0" w:color="auto"/>
              <w:right w:val="single" w:sz="4" w:space="0" w:color="auto"/>
            </w:tcBorders>
            <w:shd w:val="clear" w:color="000000" w:fill="D9E1F2"/>
            <w:noWrap/>
            <w:vAlign w:val="bottom"/>
            <w:hideMark/>
          </w:tcPr>
          <w:p w14:paraId="11A38C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4A6345E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5D7CAF6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79" w:type="dxa"/>
            <w:tcBorders>
              <w:top w:val="nil"/>
              <w:left w:val="nil"/>
              <w:bottom w:val="single" w:sz="4" w:space="0" w:color="auto"/>
              <w:right w:val="single" w:sz="4" w:space="0" w:color="auto"/>
            </w:tcBorders>
            <w:shd w:val="clear" w:color="000000" w:fill="D9E1F2"/>
            <w:noWrap/>
            <w:vAlign w:val="bottom"/>
            <w:hideMark/>
          </w:tcPr>
          <w:p w14:paraId="1361635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A2C326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C959B2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026E71A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6209D90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ED7831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CCDC86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1D8DDB3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62028A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7AC517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7630664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0=No</w:t>
            </w:r>
          </w:p>
        </w:tc>
      </w:tr>
      <w:tr w:rsidR="004D2DCA" w:rsidRPr="004D2DCA" w14:paraId="2959D564" w14:textId="77777777" w:rsidTr="004D2DCA">
        <w:trPr>
          <w:trHeight w:val="58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0E61B06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Bodunde et al., 2016</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54BA3DE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07E6C8B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BAF455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520" w:type="dxa"/>
            <w:tcBorders>
              <w:top w:val="nil"/>
              <w:left w:val="nil"/>
              <w:bottom w:val="single" w:sz="4" w:space="0" w:color="auto"/>
              <w:right w:val="single" w:sz="4" w:space="0" w:color="auto"/>
            </w:tcBorders>
            <w:shd w:val="clear" w:color="000000" w:fill="BDD7EE"/>
            <w:noWrap/>
            <w:vAlign w:val="bottom"/>
            <w:hideMark/>
          </w:tcPr>
          <w:p w14:paraId="4E02DB5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5EA4705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6575AE9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EB8990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AD43D4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B4061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FEF23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443A6B5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1033C6B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2D5A139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3AF91C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31776E8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DD833F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A4D8AE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0BD69E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4387B13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47A6054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4725A2D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9E55D2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3F33D12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1EC78A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27DE49B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15BE7BD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7A103A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5" w:type="dxa"/>
            <w:tcBorders>
              <w:top w:val="nil"/>
              <w:left w:val="nil"/>
              <w:bottom w:val="single" w:sz="4" w:space="0" w:color="auto"/>
              <w:right w:val="single" w:sz="4" w:space="0" w:color="auto"/>
            </w:tcBorders>
            <w:shd w:val="clear" w:color="000000" w:fill="8EA9DB"/>
            <w:noWrap/>
            <w:vAlign w:val="bottom"/>
            <w:hideMark/>
          </w:tcPr>
          <w:p w14:paraId="0716DC4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30CDD1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6F89B02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10371C3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80" w:type="dxa"/>
            <w:tcBorders>
              <w:top w:val="nil"/>
              <w:left w:val="nil"/>
              <w:bottom w:val="single" w:sz="4" w:space="0" w:color="auto"/>
              <w:right w:val="single" w:sz="4" w:space="0" w:color="auto"/>
            </w:tcBorders>
            <w:shd w:val="clear" w:color="000000" w:fill="8EA9DB"/>
            <w:noWrap/>
            <w:vAlign w:val="bottom"/>
            <w:hideMark/>
          </w:tcPr>
          <w:p w14:paraId="2D411F7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3660599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P=partial</w:t>
            </w:r>
          </w:p>
        </w:tc>
      </w:tr>
      <w:tr w:rsidR="004D2DCA" w:rsidRPr="004D2DCA" w14:paraId="43468EB0" w14:textId="77777777" w:rsidTr="004D2DCA">
        <w:trPr>
          <w:trHeight w:val="68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765C278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Bogart &amp; Tickle-Degnen, 2015</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4864795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518F29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7C3A4CE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63A63B9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7B484CA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FB132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6BE778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A17F2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3CB358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5D19B0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535B98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591C5E2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05477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38A7C3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2CB589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E135FB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384AEF4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2DCA58C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46BD7A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6E0E8C2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3F2384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50AD044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1888EFA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585EC2C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663B98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AD0D9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393A368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949C91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EB4ED4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DFF4F7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697D17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794B57C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5A74860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N=N/A</w:t>
            </w:r>
          </w:p>
        </w:tc>
      </w:tr>
      <w:tr w:rsidR="004D2DCA" w:rsidRPr="004D2DCA" w14:paraId="3D84FE50" w14:textId="77777777" w:rsidTr="004D2DCA">
        <w:trPr>
          <w:trHeight w:val="57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04DCCF1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Bull &amp; Brooking, 1985</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2601F82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3498E21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520" w:type="dxa"/>
            <w:tcBorders>
              <w:top w:val="nil"/>
              <w:left w:val="nil"/>
              <w:bottom w:val="single" w:sz="4" w:space="0" w:color="auto"/>
              <w:right w:val="single" w:sz="4" w:space="0" w:color="auto"/>
            </w:tcBorders>
            <w:shd w:val="clear" w:color="000000" w:fill="BDD7EE"/>
            <w:noWrap/>
            <w:vAlign w:val="bottom"/>
            <w:hideMark/>
          </w:tcPr>
          <w:p w14:paraId="6826F0A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8EB6ED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3B081A1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40DD414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031E8D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462444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7860C0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32C85E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4BDA8CA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1A51D5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2" w:type="dxa"/>
            <w:tcBorders>
              <w:top w:val="nil"/>
              <w:left w:val="nil"/>
              <w:bottom w:val="single" w:sz="4" w:space="0" w:color="auto"/>
              <w:right w:val="single" w:sz="4" w:space="0" w:color="auto"/>
            </w:tcBorders>
            <w:shd w:val="clear" w:color="000000" w:fill="9BC2E6"/>
            <w:noWrap/>
            <w:vAlign w:val="bottom"/>
            <w:hideMark/>
          </w:tcPr>
          <w:p w14:paraId="5089C6D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509DC75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4FF67A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3DBBE0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6B9DC23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1E3175A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6A7C4DA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3DBCF24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14A6DD5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6085324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70E5F2E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40A47B7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012114F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D2D28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7874FDB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3B3667A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3133CD4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2B572BE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4A3C3A9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80" w:type="dxa"/>
            <w:tcBorders>
              <w:top w:val="nil"/>
              <w:left w:val="nil"/>
              <w:bottom w:val="single" w:sz="4" w:space="0" w:color="auto"/>
              <w:right w:val="single" w:sz="4" w:space="0" w:color="auto"/>
            </w:tcBorders>
            <w:shd w:val="clear" w:color="000000" w:fill="8EA9DB"/>
            <w:noWrap/>
            <w:vAlign w:val="bottom"/>
            <w:hideMark/>
          </w:tcPr>
          <w:p w14:paraId="039FE45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28075CE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292DDA6E" w14:textId="77777777" w:rsidTr="004D2DCA">
        <w:trPr>
          <w:trHeight w:val="75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321D137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Bull &amp; David, 1986</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20806BE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79B7AB0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520" w:type="dxa"/>
            <w:tcBorders>
              <w:top w:val="nil"/>
              <w:left w:val="nil"/>
              <w:bottom w:val="single" w:sz="4" w:space="0" w:color="auto"/>
              <w:right w:val="single" w:sz="4" w:space="0" w:color="auto"/>
            </w:tcBorders>
            <w:shd w:val="clear" w:color="000000" w:fill="BDD7EE"/>
            <w:noWrap/>
            <w:vAlign w:val="bottom"/>
            <w:hideMark/>
          </w:tcPr>
          <w:p w14:paraId="1628CA9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5EFD7F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4D3C2C6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87FCB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79A0597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17946DE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34497B7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0211FBF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06FCF38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3116402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3DA71F8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F7137B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2" w:type="dxa"/>
            <w:tcBorders>
              <w:top w:val="nil"/>
              <w:left w:val="nil"/>
              <w:bottom w:val="single" w:sz="4" w:space="0" w:color="auto"/>
              <w:right w:val="single" w:sz="4" w:space="0" w:color="auto"/>
            </w:tcBorders>
            <w:shd w:val="clear" w:color="000000" w:fill="9BC2E6"/>
            <w:noWrap/>
            <w:vAlign w:val="bottom"/>
            <w:hideMark/>
          </w:tcPr>
          <w:p w14:paraId="4572B24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5C2E4F5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7A6BEF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52F97F1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488E9D4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223599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7D4A8C4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2FF4A92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5809444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68E65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4FC7F2E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4BE44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5258139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7F436D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EE8855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094F122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3979001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720577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56D7A04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149B682C" w14:textId="77777777" w:rsidTr="004D2DCA">
        <w:trPr>
          <w:trHeight w:val="68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5F217E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Burris et al., 2008</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2307C4C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7C1579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ED2221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E71DC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312479F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5F68727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44FC28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8B35E2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430F92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5D343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24CAD88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14E1021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71AFB4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126F6D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ED754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35D131D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35715EF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5955187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3098C5A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6FE28C0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121C60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7B6AEE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666145E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CC4D6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6654C2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57267C3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7A77DE8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3A0189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FDC19F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9DD130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12F44B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0D6BE62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7F69B03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0C7AFC6C" w14:textId="77777777" w:rsidTr="004D2DCA">
        <w:trPr>
          <w:trHeight w:val="60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28F824D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Dijkter et al., 2000</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52AA49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69D3E92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1A47B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E33D9A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4631438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6AF8FE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6D3922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3EAC0E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FF67FB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4E8F1CC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34FAA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025570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2C5AFD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4F729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8FBB5D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B7C1B7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2" w:type="dxa"/>
            <w:tcBorders>
              <w:top w:val="nil"/>
              <w:left w:val="nil"/>
              <w:bottom w:val="single" w:sz="4" w:space="0" w:color="auto"/>
              <w:right w:val="single" w:sz="4" w:space="0" w:color="auto"/>
            </w:tcBorders>
            <w:shd w:val="clear" w:color="000000" w:fill="9BC2E6"/>
            <w:noWrap/>
            <w:vAlign w:val="bottom"/>
            <w:hideMark/>
          </w:tcPr>
          <w:p w14:paraId="0336E26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6B983D0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4A6AAE9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79B9588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56864CA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79373DD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574D450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A5D7C8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F7E105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2246C62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02BD4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C72DE6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DCBBE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C4723C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034A3C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7E7C91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0BE933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7155F88E" w14:textId="77777777" w:rsidTr="004D2DCA">
        <w:trPr>
          <w:trHeight w:val="116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65327A7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Franks &amp; Goodrick-meech, 1997</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5C91597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4F22C89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476C4F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B7000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72C523C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0FFB904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40DA79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1870A2E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3425ADF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46" w:type="dxa"/>
            <w:tcBorders>
              <w:top w:val="nil"/>
              <w:left w:val="nil"/>
              <w:bottom w:val="single" w:sz="4" w:space="0" w:color="auto"/>
              <w:right w:val="single" w:sz="4" w:space="0" w:color="auto"/>
            </w:tcBorders>
            <w:shd w:val="clear" w:color="000000" w:fill="9BC2E6"/>
            <w:noWrap/>
            <w:vAlign w:val="bottom"/>
            <w:hideMark/>
          </w:tcPr>
          <w:p w14:paraId="248FABD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605" w:type="dxa"/>
            <w:tcBorders>
              <w:top w:val="nil"/>
              <w:left w:val="nil"/>
              <w:bottom w:val="single" w:sz="4" w:space="0" w:color="auto"/>
              <w:right w:val="single" w:sz="4" w:space="0" w:color="auto"/>
            </w:tcBorders>
            <w:shd w:val="clear" w:color="000000" w:fill="9BC2E6"/>
            <w:noWrap/>
            <w:vAlign w:val="bottom"/>
            <w:hideMark/>
          </w:tcPr>
          <w:p w14:paraId="36C0C33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1C0D892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4E530F7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2" w:type="dxa"/>
            <w:tcBorders>
              <w:top w:val="nil"/>
              <w:left w:val="nil"/>
              <w:bottom w:val="single" w:sz="4" w:space="0" w:color="auto"/>
              <w:right w:val="single" w:sz="4" w:space="0" w:color="auto"/>
            </w:tcBorders>
            <w:shd w:val="clear" w:color="000000" w:fill="9BC2E6"/>
            <w:noWrap/>
            <w:vAlign w:val="bottom"/>
            <w:hideMark/>
          </w:tcPr>
          <w:p w14:paraId="6384CC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7897D28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37526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04F9D8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395B28F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793FA5B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19C4F50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33F8291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524C34C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5090F0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3688D7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3D08C67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14B24C6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728B87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03AADC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628F29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BEEB7F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0151C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74F098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4D1D1FB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40B38271" w14:textId="77777777" w:rsidTr="004D2DCA">
        <w:trPr>
          <w:trHeight w:val="61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0A2D5A5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Gardiner et al., 2008</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08EEC3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4AD4723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32DDF8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21E4FF1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691A959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3BE93D8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DE98FE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442451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D60873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7B2F8A3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69D54B8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36C01A4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2BD805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AF091C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A1607F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A3B884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58E91DC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02286ED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6430877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34C8DE6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190828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9029FE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24BC57E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883FDB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AAA6C4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7084B6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441EBC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FFE71E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F64917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02E822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344549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1F6EA5D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72DDC3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3D87A1E1" w14:textId="77777777" w:rsidTr="004D2DCA">
        <w:trPr>
          <w:trHeight w:val="71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41A00D6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lastRenderedPageBreak/>
              <w:t>Godoy et al., 2011a</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342E24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69370E9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037467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63962E7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1382A8F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699B48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1AF3E8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AFE0C8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F33177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46191A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4C0990C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26033E1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572BDF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DEFA2D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D47360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5FF154A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484A8D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6F2F9F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110FBF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422E6C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9FCC2E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20CCF0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71202E0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A92B04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6882CAF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CB096A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D9179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0E3EA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2B960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4CB4B1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B03AF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677EB5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02F2F4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703E814D" w14:textId="77777777" w:rsidTr="004D2DCA">
        <w:trPr>
          <w:trHeight w:val="67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175A149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Grandfield et al., 2005</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75D4221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662CD2A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6099312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6FFF3D4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2DDF52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3" w:type="dxa"/>
            <w:tcBorders>
              <w:top w:val="nil"/>
              <w:left w:val="nil"/>
              <w:bottom w:val="single" w:sz="4" w:space="0" w:color="auto"/>
              <w:right w:val="single" w:sz="4" w:space="0" w:color="auto"/>
            </w:tcBorders>
            <w:shd w:val="clear" w:color="000000" w:fill="9BC2E6"/>
            <w:noWrap/>
            <w:vAlign w:val="bottom"/>
            <w:hideMark/>
          </w:tcPr>
          <w:p w14:paraId="6B78FD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1B9E64B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689689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007F1D1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278C9F5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58CA13E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5B6AE3A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EABF4D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5DC323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B7F79F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475E6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5A0914D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9723C9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1E8AA88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486FDD5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068B497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88D510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506AB01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7F1684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733B099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3AEAF75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631F7B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9C749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D69B5C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B6F248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1D920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11C0464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18542C9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00E1FA6D" w14:textId="77777777" w:rsidTr="004D2DCA">
        <w:trPr>
          <w:trHeight w:val="58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28F363E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Halioua et al., 2011</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1C4B80C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179874E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EC9087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155F1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291ADD2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06A2E7C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46" w:type="dxa"/>
            <w:tcBorders>
              <w:top w:val="nil"/>
              <w:left w:val="nil"/>
              <w:bottom w:val="single" w:sz="4" w:space="0" w:color="auto"/>
              <w:right w:val="single" w:sz="4" w:space="0" w:color="auto"/>
            </w:tcBorders>
            <w:shd w:val="clear" w:color="000000" w:fill="9BC2E6"/>
            <w:noWrap/>
            <w:vAlign w:val="bottom"/>
            <w:hideMark/>
          </w:tcPr>
          <w:p w14:paraId="32A18E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AE9CD8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67F2E8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0828D39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214982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1C2D8D8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A9A83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4B0C6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CB0E8B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9DDCD2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3D13AB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36A099C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02" w:type="dxa"/>
            <w:tcBorders>
              <w:top w:val="nil"/>
              <w:left w:val="nil"/>
              <w:bottom w:val="single" w:sz="4" w:space="0" w:color="auto"/>
              <w:right w:val="single" w:sz="4" w:space="0" w:color="auto"/>
            </w:tcBorders>
            <w:shd w:val="clear" w:color="000000" w:fill="D9E1F2"/>
            <w:noWrap/>
            <w:vAlign w:val="bottom"/>
            <w:hideMark/>
          </w:tcPr>
          <w:p w14:paraId="4A37F5C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5FDBC9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0DBFAC9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D4BE54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33A7D43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8864D9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635BE92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580D7A8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823623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07ACC0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1F1839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952961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054E6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5427C06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140E3A5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3D167C9E" w14:textId="77777777" w:rsidTr="004D2DCA">
        <w:trPr>
          <w:trHeight w:val="53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7850C5A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Houston &amp; Bull, 1994</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4DBB1E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1E90549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520" w:type="dxa"/>
            <w:tcBorders>
              <w:top w:val="nil"/>
              <w:left w:val="nil"/>
              <w:bottom w:val="single" w:sz="4" w:space="0" w:color="auto"/>
              <w:right w:val="single" w:sz="4" w:space="0" w:color="auto"/>
            </w:tcBorders>
            <w:shd w:val="clear" w:color="000000" w:fill="BDD7EE"/>
            <w:noWrap/>
            <w:vAlign w:val="bottom"/>
            <w:hideMark/>
          </w:tcPr>
          <w:p w14:paraId="220A6D1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506E5D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74AC399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0E29BFC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2AE129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B0D50D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8E3950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DD94BF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144335F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605" w:type="dxa"/>
            <w:tcBorders>
              <w:top w:val="nil"/>
              <w:left w:val="nil"/>
              <w:bottom w:val="single" w:sz="4" w:space="0" w:color="auto"/>
              <w:right w:val="single" w:sz="4" w:space="0" w:color="auto"/>
            </w:tcBorders>
            <w:shd w:val="clear" w:color="000000" w:fill="9BC2E6"/>
            <w:noWrap/>
            <w:vAlign w:val="bottom"/>
            <w:hideMark/>
          </w:tcPr>
          <w:p w14:paraId="71792C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50BA79E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1CE3F43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701D365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BBA058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1A725A1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FF612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02" w:type="dxa"/>
            <w:tcBorders>
              <w:top w:val="nil"/>
              <w:left w:val="nil"/>
              <w:bottom w:val="single" w:sz="4" w:space="0" w:color="auto"/>
              <w:right w:val="single" w:sz="4" w:space="0" w:color="auto"/>
            </w:tcBorders>
            <w:shd w:val="clear" w:color="000000" w:fill="D9E1F2"/>
            <w:noWrap/>
            <w:vAlign w:val="bottom"/>
            <w:hideMark/>
          </w:tcPr>
          <w:p w14:paraId="0E210D5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509AEA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F7E13A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22C50FD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7CFC7B1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D0B54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6B304F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0CD214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727208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5" w:type="dxa"/>
            <w:tcBorders>
              <w:top w:val="nil"/>
              <w:left w:val="nil"/>
              <w:bottom w:val="single" w:sz="4" w:space="0" w:color="auto"/>
              <w:right w:val="single" w:sz="4" w:space="0" w:color="auto"/>
            </w:tcBorders>
            <w:shd w:val="clear" w:color="000000" w:fill="8EA9DB"/>
            <w:noWrap/>
            <w:vAlign w:val="bottom"/>
            <w:hideMark/>
          </w:tcPr>
          <w:p w14:paraId="1BC5834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34A7EE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5BF2652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7D1EE30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24F8894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6DB7BE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51D9499F" w14:textId="77777777" w:rsidTr="004D2DCA">
        <w:trPr>
          <w:trHeight w:val="63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22B79F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Hughes et al., 2009</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7964482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17305F4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5C3E44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71A896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10164B6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4257621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D5BFF7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D64B85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46" w:type="dxa"/>
            <w:tcBorders>
              <w:top w:val="nil"/>
              <w:left w:val="nil"/>
              <w:bottom w:val="single" w:sz="4" w:space="0" w:color="auto"/>
              <w:right w:val="single" w:sz="4" w:space="0" w:color="auto"/>
            </w:tcBorders>
            <w:shd w:val="clear" w:color="000000" w:fill="9BC2E6"/>
            <w:noWrap/>
            <w:vAlign w:val="bottom"/>
            <w:hideMark/>
          </w:tcPr>
          <w:p w14:paraId="5C00FDA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D10E3C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7BFE8A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F1CE81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42FFE6F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6E4C3EE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E165EC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3B3F45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05666C6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455A2AA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2F2209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47C8CC6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D55D56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0E85EF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D8F99C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90B005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561816E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532FF2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07311D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5" w:type="dxa"/>
            <w:tcBorders>
              <w:top w:val="nil"/>
              <w:left w:val="nil"/>
              <w:bottom w:val="single" w:sz="4" w:space="0" w:color="auto"/>
              <w:right w:val="single" w:sz="4" w:space="0" w:color="auto"/>
            </w:tcBorders>
            <w:shd w:val="clear" w:color="000000" w:fill="8EA9DB"/>
            <w:noWrap/>
            <w:vAlign w:val="bottom"/>
            <w:hideMark/>
          </w:tcPr>
          <w:p w14:paraId="1981735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633074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EAB28D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74B08E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24A1CB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6DF7ADF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0FA5777A" w14:textId="77777777" w:rsidTr="004D2DCA">
        <w:trPr>
          <w:trHeight w:val="75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17EA4CD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center"/>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Isawumi et al., 2014</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1292225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0B3CBF8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48C2F9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10A079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78D15ED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32FCF5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C3250B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150407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EC6255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292799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384F04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4A79C9C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2" w:type="dxa"/>
            <w:tcBorders>
              <w:top w:val="nil"/>
              <w:left w:val="nil"/>
              <w:bottom w:val="single" w:sz="4" w:space="0" w:color="auto"/>
              <w:right w:val="single" w:sz="4" w:space="0" w:color="auto"/>
            </w:tcBorders>
            <w:shd w:val="clear" w:color="000000" w:fill="9BC2E6"/>
            <w:noWrap/>
            <w:vAlign w:val="bottom"/>
            <w:hideMark/>
          </w:tcPr>
          <w:p w14:paraId="3D3DD18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79CB8F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226F70D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848643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C39345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399B08A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02" w:type="dxa"/>
            <w:tcBorders>
              <w:top w:val="nil"/>
              <w:left w:val="nil"/>
              <w:bottom w:val="single" w:sz="4" w:space="0" w:color="auto"/>
              <w:right w:val="single" w:sz="4" w:space="0" w:color="auto"/>
            </w:tcBorders>
            <w:shd w:val="clear" w:color="000000" w:fill="D9E1F2"/>
            <w:noWrap/>
            <w:vAlign w:val="bottom"/>
            <w:hideMark/>
          </w:tcPr>
          <w:p w14:paraId="0BA827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4D0C50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6C7519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36E38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6696C3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5687E5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4C401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1E76F44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54855D0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5" w:type="dxa"/>
            <w:tcBorders>
              <w:top w:val="nil"/>
              <w:left w:val="nil"/>
              <w:bottom w:val="single" w:sz="4" w:space="0" w:color="auto"/>
              <w:right w:val="single" w:sz="4" w:space="0" w:color="auto"/>
            </w:tcBorders>
            <w:shd w:val="clear" w:color="000000" w:fill="8EA9DB"/>
            <w:noWrap/>
            <w:vAlign w:val="bottom"/>
            <w:hideMark/>
          </w:tcPr>
          <w:p w14:paraId="1B4E68E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A1A2DF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9625FB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DFE69B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042A457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64B85BC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415479B3" w14:textId="77777777" w:rsidTr="004D2DCA">
        <w:trPr>
          <w:trHeight w:val="62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59E52DC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Ishii et al., 2009</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481B114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51738C2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8D5154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19D2AF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0586231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05FD0F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584D9CD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487B12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4A374D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DC62FE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572781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218F10B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881F8E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D36926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19A72A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0D2C207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70E5715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2D3A95E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3B94F99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5D38AE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29827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022D58B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20B12F5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871BB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E2C62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17BD52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5523E84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D92C7E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30AE5A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3418BBC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33E90D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0EC5130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3977BB2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1571302D" w14:textId="77777777" w:rsidTr="004D2DCA">
        <w:trPr>
          <w:trHeight w:val="62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60CDA56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Jamrozik et al., 2017</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4C4EAD3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0158FB0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DA38E7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69D514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2C442B9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4E494A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CB7FF4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9C9008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F276F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06FE9CB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70CFC1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D4D5F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C4B1E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8D9D8F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8645DA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1D68DFC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5B5E8E0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557C1C4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1555B94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14B2427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15ADCA3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733962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2113CE1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FD597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01F195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141C42A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B34BF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192482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3E64E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6560E11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50A76BF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41E6E42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51CBE08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72DFFE6F" w14:textId="77777777" w:rsidTr="004D2DCA">
        <w:trPr>
          <w:trHeight w:val="76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3251EA5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Kerr et al., 1985</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0B98DE9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029FCA1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71833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689790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62F4DBA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669C8FC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F43CE6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 </w:t>
            </w:r>
          </w:p>
        </w:tc>
        <w:tc>
          <w:tcPr>
            <w:tcW w:w="412" w:type="dxa"/>
            <w:tcBorders>
              <w:top w:val="nil"/>
              <w:left w:val="nil"/>
              <w:bottom w:val="single" w:sz="4" w:space="0" w:color="auto"/>
              <w:right w:val="single" w:sz="4" w:space="0" w:color="auto"/>
            </w:tcBorders>
            <w:shd w:val="clear" w:color="000000" w:fill="9BC2E6"/>
            <w:noWrap/>
            <w:vAlign w:val="bottom"/>
            <w:hideMark/>
          </w:tcPr>
          <w:p w14:paraId="075155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643352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B5C125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4639156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16F81E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2" w:type="dxa"/>
            <w:tcBorders>
              <w:top w:val="nil"/>
              <w:left w:val="nil"/>
              <w:bottom w:val="single" w:sz="4" w:space="0" w:color="auto"/>
              <w:right w:val="single" w:sz="4" w:space="0" w:color="auto"/>
            </w:tcBorders>
            <w:shd w:val="clear" w:color="000000" w:fill="9BC2E6"/>
            <w:noWrap/>
            <w:vAlign w:val="bottom"/>
            <w:hideMark/>
          </w:tcPr>
          <w:p w14:paraId="47ABE41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85B3F5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F99004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3BABCB2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489D759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5BB4838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3725FCC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475F1D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26E8B0D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47D4FD2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51007AD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A7644E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463D485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80D6BA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75E7C00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6BECEF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117C94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8909A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E81434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5FFFDCE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75CA746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434A4826" w14:textId="77777777" w:rsidTr="004D2DCA">
        <w:trPr>
          <w:trHeight w:val="76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1630EDE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Kleck &amp; Strenta, 1985</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6E244B7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017071D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1CD36E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8BF18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6618E5D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6437281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309441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586AC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A95A66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A1CFAA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44C8DEF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691D8A3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D4BF81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2" w:type="dxa"/>
            <w:tcBorders>
              <w:top w:val="nil"/>
              <w:left w:val="nil"/>
              <w:bottom w:val="single" w:sz="4" w:space="0" w:color="auto"/>
              <w:right w:val="single" w:sz="4" w:space="0" w:color="auto"/>
            </w:tcBorders>
            <w:shd w:val="clear" w:color="000000" w:fill="9BC2E6"/>
            <w:noWrap/>
            <w:vAlign w:val="bottom"/>
            <w:hideMark/>
          </w:tcPr>
          <w:p w14:paraId="567A106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3D33A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797DAAD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6511328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5FCC7F9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4348C60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59E227D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541FB53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5F77720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045DF3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34F51C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3500B18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6A691E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6F3753C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89600F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6DB0C1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10D718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BC911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1BAD49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61DF018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172B91FD" w14:textId="77777777" w:rsidTr="004D2DCA">
        <w:trPr>
          <w:trHeight w:val="83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13BEA4D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Kouznetsova et al., 2012</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13C56C3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17D5841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75389DA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805C85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30E3B15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2A17E4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71AB80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5B5C8B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085DB5A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0E0DC3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4122E85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7337374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84F8B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EA9C9C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2AEFFE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E9B4F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173675A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1F4C866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55CBCA4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061B982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BA8D6E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4749216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5B9248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5F059C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0B20B2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0961BBE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0572F2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5CB011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7F5796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F3EC75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67268E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2E2EB8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P</w:t>
            </w:r>
          </w:p>
        </w:tc>
        <w:tc>
          <w:tcPr>
            <w:tcW w:w="960" w:type="dxa"/>
            <w:tcBorders>
              <w:top w:val="nil"/>
              <w:left w:val="nil"/>
              <w:bottom w:val="nil"/>
              <w:right w:val="nil"/>
            </w:tcBorders>
            <w:shd w:val="clear" w:color="auto" w:fill="auto"/>
            <w:noWrap/>
            <w:vAlign w:val="bottom"/>
            <w:hideMark/>
          </w:tcPr>
          <w:p w14:paraId="515DD1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51E582FC" w14:textId="77777777" w:rsidTr="004D2DCA">
        <w:trPr>
          <w:trHeight w:val="60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7D8C4B9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Madera, 2016</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0A3C879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4F29AA0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C6BCA8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E45283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5E2455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32F36D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3FAE291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2" w:type="dxa"/>
            <w:tcBorders>
              <w:top w:val="nil"/>
              <w:left w:val="nil"/>
              <w:bottom w:val="single" w:sz="4" w:space="0" w:color="auto"/>
              <w:right w:val="single" w:sz="4" w:space="0" w:color="auto"/>
            </w:tcBorders>
            <w:shd w:val="clear" w:color="000000" w:fill="9BC2E6"/>
            <w:noWrap/>
            <w:vAlign w:val="bottom"/>
            <w:hideMark/>
          </w:tcPr>
          <w:p w14:paraId="176BF1C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326907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981222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0A076AB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5994B0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850E5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28E831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047A0E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56F3D94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63E3C7E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3478868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0ECD462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740821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6EAB65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562F86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60E099E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37D10E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FFD590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054D8B2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0AE1468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F5C0C5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9539C7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7A62FC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D831D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5A21433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491BFDD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4595BEE1" w14:textId="77777777" w:rsidTr="004D2DCA">
        <w:trPr>
          <w:trHeight w:val="58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6CDED6A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lastRenderedPageBreak/>
              <w:t>Madera &amp; Hebl, 2012</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3BDD03E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28EC9DB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86AA68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E8291D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0221729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5835FF5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46" w:type="dxa"/>
            <w:tcBorders>
              <w:top w:val="nil"/>
              <w:left w:val="nil"/>
              <w:bottom w:val="single" w:sz="4" w:space="0" w:color="auto"/>
              <w:right w:val="single" w:sz="4" w:space="0" w:color="auto"/>
            </w:tcBorders>
            <w:shd w:val="clear" w:color="000000" w:fill="9BC2E6"/>
            <w:noWrap/>
            <w:vAlign w:val="bottom"/>
            <w:hideMark/>
          </w:tcPr>
          <w:p w14:paraId="2A92A44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6B5DEB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A2DC3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8B41DD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0E89EB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571E7AE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75D92E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BD9C7D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CD3683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552680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56E21D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1D154FF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55AA3B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5" w:type="dxa"/>
            <w:tcBorders>
              <w:top w:val="nil"/>
              <w:left w:val="nil"/>
              <w:bottom w:val="single" w:sz="4" w:space="0" w:color="auto"/>
              <w:right w:val="single" w:sz="4" w:space="0" w:color="auto"/>
            </w:tcBorders>
            <w:shd w:val="clear" w:color="000000" w:fill="D9E1F2"/>
            <w:noWrap/>
            <w:vAlign w:val="bottom"/>
            <w:hideMark/>
          </w:tcPr>
          <w:p w14:paraId="7EB5DBD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21BFF03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5B6F6CD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79" w:type="dxa"/>
            <w:tcBorders>
              <w:top w:val="nil"/>
              <w:left w:val="nil"/>
              <w:bottom w:val="single" w:sz="4" w:space="0" w:color="auto"/>
              <w:right w:val="single" w:sz="4" w:space="0" w:color="auto"/>
            </w:tcBorders>
            <w:shd w:val="clear" w:color="000000" w:fill="D9E1F2"/>
            <w:noWrap/>
            <w:vAlign w:val="bottom"/>
            <w:hideMark/>
          </w:tcPr>
          <w:p w14:paraId="5CAF151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3C850B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6CE76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9B307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430C64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E3357E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2C0F98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031DFD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464807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2EA030E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52814DE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672017A2" w14:textId="77777777" w:rsidTr="004D2DCA">
        <w:trPr>
          <w:trHeight w:val="79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1CC8872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Meyer-Marcotty &amp;  Stellzig-Eisenhauer, 2009</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53F656C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2C6B3E0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2937351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5FC5CB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7D7DBC8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5BB5B3D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4C25A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F18228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BF11F9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C566E9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7ADDD5F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2B677F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C92AE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24ED0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4B32CA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8C5FBB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0E56293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1A771FD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670DF35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1D3D483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530755B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5B7140F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22D680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1A05D14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6C39BA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DB0CAB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025D016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50AC3A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9018A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5B34125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77B01E0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80" w:type="dxa"/>
            <w:tcBorders>
              <w:top w:val="nil"/>
              <w:left w:val="nil"/>
              <w:bottom w:val="single" w:sz="4" w:space="0" w:color="auto"/>
              <w:right w:val="single" w:sz="4" w:space="0" w:color="auto"/>
            </w:tcBorders>
            <w:shd w:val="clear" w:color="000000" w:fill="8EA9DB"/>
            <w:noWrap/>
            <w:vAlign w:val="bottom"/>
            <w:hideMark/>
          </w:tcPr>
          <w:p w14:paraId="3A7C892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56A731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7A7D5947" w14:textId="77777777" w:rsidTr="004D2DCA">
        <w:trPr>
          <w:trHeight w:val="53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553797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Mojon-Azzi et al., 2008</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50B8971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548A636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C13D91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07BC7B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27AA274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45B0A5A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4D0EAF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DD3440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CE6684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E3B8FF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E0EA93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437F269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FF8F0F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C41C3E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520411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010F5E7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45A8CCC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77C4F9A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5AAAA80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5FFBFF8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618613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6FA9666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50C9AD1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402565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8B76BF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3FB703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6B0A8A9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5" w:type="dxa"/>
            <w:tcBorders>
              <w:top w:val="nil"/>
              <w:left w:val="nil"/>
              <w:bottom w:val="single" w:sz="4" w:space="0" w:color="auto"/>
              <w:right w:val="single" w:sz="4" w:space="0" w:color="auto"/>
            </w:tcBorders>
            <w:shd w:val="clear" w:color="000000" w:fill="8EA9DB"/>
            <w:noWrap/>
            <w:vAlign w:val="bottom"/>
            <w:hideMark/>
          </w:tcPr>
          <w:p w14:paraId="0E73AC9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6B08EF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E6A8F5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9092F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1081847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P</w:t>
            </w:r>
          </w:p>
        </w:tc>
        <w:tc>
          <w:tcPr>
            <w:tcW w:w="960" w:type="dxa"/>
            <w:tcBorders>
              <w:top w:val="nil"/>
              <w:left w:val="nil"/>
              <w:bottom w:val="nil"/>
              <w:right w:val="nil"/>
            </w:tcBorders>
            <w:shd w:val="clear" w:color="auto" w:fill="auto"/>
            <w:noWrap/>
            <w:vAlign w:val="bottom"/>
            <w:hideMark/>
          </w:tcPr>
          <w:p w14:paraId="53C2FD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6E036978" w14:textId="77777777" w:rsidTr="004D2DCA">
        <w:trPr>
          <w:trHeight w:val="53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35D6E9D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Mojon-Azzi &amp; Mojon, 2007</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10D67A8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0F26A20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823718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62C68F8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767DC95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52A22CD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29F990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FBDDE8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20FDEF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5E909A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8247C1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5ABAA8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5DB238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2EFB18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407AC26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4080463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14121B8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15B5B27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768CB5E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0F2B58F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0D01449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04B214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3EB8087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529C3F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E4F31B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5F34388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7168E8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0A8D06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75095C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98EC54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532909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2FE248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16F5C7E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0041B3AB" w14:textId="77777777" w:rsidTr="004D2DCA">
        <w:trPr>
          <w:trHeight w:val="87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13F21E6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Moolenburgh et al., 2008</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4A8507F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6C908C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067A2F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520" w:type="dxa"/>
            <w:tcBorders>
              <w:top w:val="nil"/>
              <w:left w:val="nil"/>
              <w:bottom w:val="single" w:sz="4" w:space="0" w:color="auto"/>
              <w:right w:val="single" w:sz="4" w:space="0" w:color="auto"/>
            </w:tcBorders>
            <w:shd w:val="clear" w:color="000000" w:fill="BDD7EE"/>
            <w:noWrap/>
            <w:vAlign w:val="bottom"/>
            <w:hideMark/>
          </w:tcPr>
          <w:p w14:paraId="22E48DB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351D7C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472EB2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57F2C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ACCBA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B1B38B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E5B55C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70F6FEB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4E96DEF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CF488F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C37406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EAE6C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48A6C0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5D60097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4857CC6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6B4A8C9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2601A8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28B754B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C38C53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79" w:type="dxa"/>
            <w:tcBorders>
              <w:top w:val="nil"/>
              <w:left w:val="nil"/>
              <w:bottom w:val="single" w:sz="4" w:space="0" w:color="auto"/>
              <w:right w:val="single" w:sz="4" w:space="0" w:color="auto"/>
            </w:tcBorders>
            <w:shd w:val="clear" w:color="000000" w:fill="D9E1F2"/>
            <w:noWrap/>
            <w:vAlign w:val="bottom"/>
            <w:hideMark/>
          </w:tcPr>
          <w:p w14:paraId="48F1E02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2316C4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D146C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539598B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2D0FC0F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06B084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529038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017A12D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4330803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80" w:type="dxa"/>
            <w:tcBorders>
              <w:top w:val="nil"/>
              <w:left w:val="nil"/>
              <w:bottom w:val="single" w:sz="4" w:space="0" w:color="auto"/>
              <w:right w:val="single" w:sz="4" w:space="0" w:color="auto"/>
            </w:tcBorders>
            <w:shd w:val="clear" w:color="000000" w:fill="8EA9DB"/>
            <w:noWrap/>
            <w:vAlign w:val="bottom"/>
            <w:hideMark/>
          </w:tcPr>
          <w:p w14:paraId="36B2AE5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7FD7436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252D1E5A" w14:textId="77777777" w:rsidTr="004D2DCA">
        <w:trPr>
          <w:trHeight w:val="59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7396544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Oginni et al., 2010</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692CFC1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7DD0F39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41D1E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520" w:type="dxa"/>
            <w:tcBorders>
              <w:top w:val="nil"/>
              <w:left w:val="nil"/>
              <w:bottom w:val="single" w:sz="4" w:space="0" w:color="auto"/>
              <w:right w:val="single" w:sz="4" w:space="0" w:color="auto"/>
            </w:tcBorders>
            <w:shd w:val="clear" w:color="000000" w:fill="BDD7EE"/>
            <w:noWrap/>
            <w:vAlign w:val="bottom"/>
            <w:hideMark/>
          </w:tcPr>
          <w:p w14:paraId="7C30949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6EC2637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326DAB3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44E034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FE040F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49280CF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2086D23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6F3AC04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3BEF1DC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F5698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82A7F4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3161AD5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0B44E28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6CB3977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40C7313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02" w:type="dxa"/>
            <w:tcBorders>
              <w:top w:val="nil"/>
              <w:left w:val="nil"/>
              <w:bottom w:val="single" w:sz="4" w:space="0" w:color="auto"/>
              <w:right w:val="single" w:sz="4" w:space="0" w:color="auto"/>
            </w:tcBorders>
            <w:shd w:val="clear" w:color="000000" w:fill="D9E1F2"/>
            <w:noWrap/>
            <w:vAlign w:val="bottom"/>
            <w:hideMark/>
          </w:tcPr>
          <w:p w14:paraId="34B8A5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ABED0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55DC6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2985CE0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0D3DC2A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56242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59A8EA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55ECA8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608D33B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40547E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9A31AC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1479CF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35E551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44F2987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P</w:t>
            </w:r>
          </w:p>
        </w:tc>
        <w:tc>
          <w:tcPr>
            <w:tcW w:w="960" w:type="dxa"/>
            <w:tcBorders>
              <w:top w:val="nil"/>
              <w:left w:val="nil"/>
              <w:bottom w:val="nil"/>
              <w:right w:val="nil"/>
            </w:tcBorders>
            <w:shd w:val="clear" w:color="auto" w:fill="auto"/>
            <w:noWrap/>
            <w:vAlign w:val="bottom"/>
            <w:hideMark/>
          </w:tcPr>
          <w:p w14:paraId="29CFD50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3C422ECB" w14:textId="77777777" w:rsidTr="004D2DCA">
        <w:trPr>
          <w:trHeight w:val="60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4EF2393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Owotade et al., 2014</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3D8AAB2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0BD4064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6000A95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520" w:type="dxa"/>
            <w:tcBorders>
              <w:top w:val="nil"/>
              <w:left w:val="nil"/>
              <w:bottom w:val="single" w:sz="4" w:space="0" w:color="auto"/>
              <w:right w:val="single" w:sz="4" w:space="0" w:color="auto"/>
            </w:tcBorders>
            <w:shd w:val="clear" w:color="000000" w:fill="BDD7EE"/>
            <w:noWrap/>
            <w:vAlign w:val="bottom"/>
            <w:hideMark/>
          </w:tcPr>
          <w:p w14:paraId="146DD55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549D1BF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2A463AD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34BB30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A1FEF7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63316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0F8DDC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7660343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63BF180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50A023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C02BB0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FCD382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EF1319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608A23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4443AD1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7354EDB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1C2FE6C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74B48EB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DD323E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3815E5E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B20DE1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76F469F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99264F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2037A2E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117175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8C6B2A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9C1C16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924B65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4073734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281B596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5181B9D2" w14:textId="77777777" w:rsidTr="004D2DCA">
        <w:trPr>
          <w:trHeight w:val="56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520A022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Pausch et al., 2016</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65026FC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29873A0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3C9E76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3BE16A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1E7706A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5746877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47C88BF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3AD8BF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3DF86C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14176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175AA5B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605" w:type="dxa"/>
            <w:tcBorders>
              <w:top w:val="nil"/>
              <w:left w:val="nil"/>
              <w:bottom w:val="single" w:sz="4" w:space="0" w:color="auto"/>
              <w:right w:val="single" w:sz="4" w:space="0" w:color="auto"/>
            </w:tcBorders>
            <w:shd w:val="clear" w:color="000000" w:fill="9BC2E6"/>
            <w:noWrap/>
            <w:vAlign w:val="bottom"/>
            <w:hideMark/>
          </w:tcPr>
          <w:p w14:paraId="0B9350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D7FE50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E82B33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722CF4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D769F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3ACDE64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0807B33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2A73302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200A321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230568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5373448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08194C6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D9414C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44EF0E6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22098BD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6347B1C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07C930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621956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16CDDF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88D29C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4A87615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46AF634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58A2F8F2" w14:textId="77777777" w:rsidTr="004D2DCA">
        <w:trPr>
          <w:trHeight w:val="62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78C28B3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Pausch et al., 2012</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5A64E78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6C13C2D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D26C24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62F796D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4F61FA9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7CD82A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0BDCDBC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2E8B7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4C982D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1AE0F8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D95C30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25686E8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26478A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3744E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FE987B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D0976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5F08EEE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74C2D6D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71B98AD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760F461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301F72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D72FED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7FA8358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319922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370962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E1A4A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51B6712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F1FA4A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BFBAEE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17265E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CBD3F4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0330EB7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06C542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4548894D" w14:textId="77777777" w:rsidTr="004D2DCA">
        <w:trPr>
          <w:trHeight w:val="90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7F35328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Rankin &amp; Borah, 2003</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36E0085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4BAC93F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6B685C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3375C4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4DDC6EC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C92B7B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46" w:type="dxa"/>
            <w:tcBorders>
              <w:top w:val="nil"/>
              <w:left w:val="nil"/>
              <w:bottom w:val="single" w:sz="4" w:space="0" w:color="auto"/>
              <w:right w:val="single" w:sz="4" w:space="0" w:color="auto"/>
            </w:tcBorders>
            <w:shd w:val="clear" w:color="000000" w:fill="9BC2E6"/>
            <w:noWrap/>
            <w:vAlign w:val="bottom"/>
            <w:hideMark/>
          </w:tcPr>
          <w:p w14:paraId="439E9EC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73E141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39530A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D78A4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48544B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4E2AA3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6A841C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FF0C55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2D0589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7DE3E14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2A46A97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73DF8B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61F3B4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5D51209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0C5BFDD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02642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16C3AC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BC633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D9FD2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76CC4F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52CD07E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EB510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342C69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3CA394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004DE4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25D0BA3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53858B9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636ECF4F" w14:textId="77777777" w:rsidTr="004D2DCA">
        <w:trPr>
          <w:trHeight w:val="100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0AC835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Rinnerthaler et al., 2006</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3DB28F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063D3BE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7630D98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20" w:type="dxa"/>
            <w:tcBorders>
              <w:top w:val="nil"/>
              <w:left w:val="nil"/>
              <w:bottom w:val="single" w:sz="4" w:space="0" w:color="auto"/>
              <w:right w:val="single" w:sz="4" w:space="0" w:color="auto"/>
            </w:tcBorders>
            <w:shd w:val="clear" w:color="000000" w:fill="BDD7EE"/>
            <w:noWrap/>
            <w:vAlign w:val="bottom"/>
            <w:hideMark/>
          </w:tcPr>
          <w:p w14:paraId="4B15CF2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47" w:type="dxa"/>
            <w:tcBorders>
              <w:top w:val="nil"/>
              <w:left w:val="nil"/>
              <w:bottom w:val="single" w:sz="4" w:space="0" w:color="auto"/>
              <w:right w:val="single" w:sz="4" w:space="0" w:color="auto"/>
            </w:tcBorders>
            <w:shd w:val="clear" w:color="000000" w:fill="9BC2E6"/>
            <w:noWrap/>
            <w:vAlign w:val="bottom"/>
            <w:hideMark/>
          </w:tcPr>
          <w:p w14:paraId="1EB8231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9271E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0CBA586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63DE77E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8A9D45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6450DF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323675B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6E4E6F9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21B5DE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EEE385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3F532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40A44B9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9F4B86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3C53D5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7733BB9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16AF788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4AEA3A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AC8759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1753DF6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7AD1E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176D3AF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547BC9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2BEB678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0EFE62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0E5D823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45A6C1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BF0FB4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36E53B0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P</w:t>
            </w:r>
          </w:p>
        </w:tc>
        <w:tc>
          <w:tcPr>
            <w:tcW w:w="960" w:type="dxa"/>
            <w:tcBorders>
              <w:top w:val="nil"/>
              <w:left w:val="nil"/>
              <w:bottom w:val="nil"/>
              <w:right w:val="nil"/>
            </w:tcBorders>
            <w:shd w:val="clear" w:color="auto" w:fill="auto"/>
            <w:noWrap/>
            <w:vAlign w:val="bottom"/>
            <w:hideMark/>
          </w:tcPr>
          <w:p w14:paraId="13168EB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6A4136AC" w14:textId="77777777" w:rsidTr="004D2DCA">
        <w:trPr>
          <w:trHeight w:val="30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2D1404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Roberts et al., 2016</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73EC7EA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52C49AC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B72755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10D966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114ECB0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6D073F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46" w:type="dxa"/>
            <w:tcBorders>
              <w:top w:val="nil"/>
              <w:left w:val="nil"/>
              <w:bottom w:val="single" w:sz="4" w:space="0" w:color="auto"/>
              <w:right w:val="single" w:sz="4" w:space="0" w:color="auto"/>
            </w:tcBorders>
            <w:shd w:val="clear" w:color="000000" w:fill="9BC2E6"/>
            <w:noWrap/>
            <w:vAlign w:val="bottom"/>
            <w:hideMark/>
          </w:tcPr>
          <w:p w14:paraId="55FD6D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667256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E11C58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AD42E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78F975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1526826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166038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1A26F3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F927A8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172C27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2A9C198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418BAA3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260D7C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6E73AFB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729D1C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A61C3B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579" w:type="dxa"/>
            <w:tcBorders>
              <w:top w:val="nil"/>
              <w:left w:val="nil"/>
              <w:bottom w:val="single" w:sz="4" w:space="0" w:color="auto"/>
              <w:right w:val="single" w:sz="4" w:space="0" w:color="auto"/>
            </w:tcBorders>
            <w:shd w:val="clear" w:color="000000" w:fill="D9E1F2"/>
            <w:noWrap/>
            <w:vAlign w:val="bottom"/>
            <w:hideMark/>
          </w:tcPr>
          <w:p w14:paraId="239D359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11CD47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A0FBC7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38BCDB0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02C245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787AF44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FFAE78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7909FF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255F85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3723DB6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75A587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376AB7A2" w14:textId="77777777" w:rsidTr="004D2DCA">
        <w:trPr>
          <w:trHeight w:val="96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62DB61B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lastRenderedPageBreak/>
              <w:t>Roberts &amp; Gierasch, 2013</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153F8AC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41BBFF6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64432AE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7FD2AB9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500EF7A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6940D76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7947AA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63282F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AD7AC1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EF14D6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7A32ABC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605" w:type="dxa"/>
            <w:tcBorders>
              <w:top w:val="nil"/>
              <w:left w:val="nil"/>
              <w:bottom w:val="single" w:sz="4" w:space="0" w:color="auto"/>
              <w:right w:val="single" w:sz="4" w:space="0" w:color="auto"/>
            </w:tcBorders>
            <w:shd w:val="clear" w:color="000000" w:fill="9BC2E6"/>
            <w:noWrap/>
            <w:vAlign w:val="bottom"/>
            <w:hideMark/>
          </w:tcPr>
          <w:p w14:paraId="04F5B35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0EDB86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AC7BF7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C097B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2D0986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6772994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326F230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6CA0263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5" w:type="dxa"/>
            <w:tcBorders>
              <w:top w:val="nil"/>
              <w:left w:val="nil"/>
              <w:bottom w:val="single" w:sz="4" w:space="0" w:color="auto"/>
              <w:right w:val="single" w:sz="4" w:space="0" w:color="auto"/>
            </w:tcBorders>
            <w:shd w:val="clear" w:color="000000" w:fill="D9E1F2"/>
            <w:noWrap/>
            <w:vAlign w:val="bottom"/>
            <w:hideMark/>
          </w:tcPr>
          <w:p w14:paraId="56E65E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5EB5C52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E59F0C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79" w:type="dxa"/>
            <w:tcBorders>
              <w:top w:val="nil"/>
              <w:left w:val="nil"/>
              <w:bottom w:val="single" w:sz="4" w:space="0" w:color="auto"/>
              <w:right w:val="single" w:sz="4" w:space="0" w:color="auto"/>
            </w:tcBorders>
            <w:shd w:val="clear" w:color="000000" w:fill="D9E1F2"/>
            <w:noWrap/>
            <w:vAlign w:val="bottom"/>
            <w:hideMark/>
          </w:tcPr>
          <w:p w14:paraId="5B76697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8B9DBF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D3880B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BAF2BE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A34DA1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89FB0F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155FE2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B03FE0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3342C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538AD7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1087739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21117EC0" w14:textId="77777777" w:rsidTr="004D2DCA">
        <w:trPr>
          <w:trHeight w:val="118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14138FC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Rumsey, Bull and Gahagan, 1982</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4D7F9B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337EB33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EAEBD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0B4DD8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25A385B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0D4EB3F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F5B2B2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7934CE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8F9728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4AAE17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3A9825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79E2FA0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39F0C0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79C490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1AA29A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180D71B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56CF74B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6FBD22A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45E899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074621F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28909D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4EE7A8A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283E60C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C1325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058BF77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5A12BB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731771C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6575F9F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A03B55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7B50124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49D9576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80" w:type="dxa"/>
            <w:tcBorders>
              <w:top w:val="nil"/>
              <w:left w:val="nil"/>
              <w:bottom w:val="single" w:sz="4" w:space="0" w:color="auto"/>
              <w:right w:val="single" w:sz="4" w:space="0" w:color="auto"/>
            </w:tcBorders>
            <w:shd w:val="clear" w:color="000000" w:fill="8EA9DB"/>
            <w:noWrap/>
            <w:vAlign w:val="bottom"/>
            <w:hideMark/>
          </w:tcPr>
          <w:p w14:paraId="31FAD3C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7E9B26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33D06880" w14:textId="77777777" w:rsidTr="004D2DCA">
        <w:trPr>
          <w:trHeight w:val="92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3738545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Ryan et al., 2012</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0709014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883" w:type="dxa"/>
            <w:tcBorders>
              <w:top w:val="nil"/>
              <w:left w:val="nil"/>
              <w:bottom w:val="single" w:sz="4" w:space="0" w:color="auto"/>
              <w:right w:val="single" w:sz="4" w:space="0" w:color="auto"/>
            </w:tcBorders>
            <w:shd w:val="clear" w:color="000000" w:fill="DDEBF7"/>
            <w:noWrap/>
            <w:vAlign w:val="bottom"/>
            <w:hideMark/>
          </w:tcPr>
          <w:p w14:paraId="7F82A89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28A20E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81D814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3EF489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463AD43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9ED5FE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28449A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80967E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0BE2D3A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17DF29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6736C11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A99B83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63CE64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2" w:type="dxa"/>
            <w:tcBorders>
              <w:top w:val="nil"/>
              <w:left w:val="nil"/>
              <w:bottom w:val="single" w:sz="4" w:space="0" w:color="auto"/>
              <w:right w:val="single" w:sz="4" w:space="0" w:color="auto"/>
            </w:tcBorders>
            <w:shd w:val="clear" w:color="000000" w:fill="9BC2E6"/>
            <w:noWrap/>
            <w:vAlign w:val="bottom"/>
            <w:hideMark/>
          </w:tcPr>
          <w:p w14:paraId="595C0D6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3B7A5AA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5FF430F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3606BF4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02" w:type="dxa"/>
            <w:tcBorders>
              <w:top w:val="nil"/>
              <w:left w:val="nil"/>
              <w:bottom w:val="single" w:sz="4" w:space="0" w:color="auto"/>
              <w:right w:val="single" w:sz="4" w:space="0" w:color="auto"/>
            </w:tcBorders>
            <w:shd w:val="clear" w:color="000000" w:fill="D9E1F2"/>
            <w:noWrap/>
            <w:vAlign w:val="bottom"/>
            <w:hideMark/>
          </w:tcPr>
          <w:p w14:paraId="3BE5014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5B6FC02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92ADE6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2CA2C72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7BBFAD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37CD63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731DB8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EC0DAE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79AEDF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DA7138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DA5589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B439EC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C2FD61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423441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69CE8BA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65D00DAF" w14:textId="77777777" w:rsidTr="004D2DCA">
        <w:trPr>
          <w:trHeight w:val="89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5D45C06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Shanmugarajah et al., 2012</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57F226D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7FC8417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0848A1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7B3353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710CEE5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82099B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5B68D3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753B77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1B142B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858559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5FD790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BD4ABC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8D001E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EE710A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176C6E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4B9B63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6390CA4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44ABEAC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125A422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5" w:type="dxa"/>
            <w:tcBorders>
              <w:top w:val="nil"/>
              <w:left w:val="nil"/>
              <w:bottom w:val="single" w:sz="4" w:space="0" w:color="auto"/>
              <w:right w:val="single" w:sz="4" w:space="0" w:color="auto"/>
            </w:tcBorders>
            <w:shd w:val="clear" w:color="000000" w:fill="D9E1F2"/>
            <w:noWrap/>
            <w:vAlign w:val="bottom"/>
            <w:hideMark/>
          </w:tcPr>
          <w:p w14:paraId="2BA8FA6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0C9A532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773BE1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79" w:type="dxa"/>
            <w:tcBorders>
              <w:top w:val="nil"/>
              <w:left w:val="nil"/>
              <w:bottom w:val="single" w:sz="4" w:space="0" w:color="auto"/>
              <w:right w:val="single" w:sz="4" w:space="0" w:color="auto"/>
            </w:tcBorders>
            <w:shd w:val="clear" w:color="000000" w:fill="D9E1F2"/>
            <w:noWrap/>
            <w:vAlign w:val="bottom"/>
            <w:hideMark/>
          </w:tcPr>
          <w:p w14:paraId="4E4FDB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8AD864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4060AF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56E0960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79" w:type="dxa"/>
            <w:tcBorders>
              <w:top w:val="nil"/>
              <w:left w:val="nil"/>
              <w:bottom w:val="single" w:sz="4" w:space="0" w:color="auto"/>
              <w:right w:val="single" w:sz="4" w:space="0" w:color="auto"/>
            </w:tcBorders>
            <w:shd w:val="clear" w:color="000000" w:fill="D9E1F2"/>
            <w:noWrap/>
            <w:vAlign w:val="bottom"/>
            <w:hideMark/>
          </w:tcPr>
          <w:p w14:paraId="00E7752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A85923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146FAF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B15758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14B43B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5F71B03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P</w:t>
            </w:r>
          </w:p>
        </w:tc>
        <w:tc>
          <w:tcPr>
            <w:tcW w:w="960" w:type="dxa"/>
            <w:tcBorders>
              <w:top w:val="nil"/>
              <w:left w:val="nil"/>
              <w:bottom w:val="nil"/>
              <w:right w:val="nil"/>
            </w:tcBorders>
            <w:shd w:val="clear" w:color="auto" w:fill="auto"/>
            <w:noWrap/>
            <w:vAlign w:val="bottom"/>
            <w:hideMark/>
          </w:tcPr>
          <w:p w14:paraId="2782F3C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5CC54B34" w14:textId="77777777" w:rsidTr="004D2DCA">
        <w:trPr>
          <w:trHeight w:val="65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79A9E95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Shaw, 1981</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06695E4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883" w:type="dxa"/>
            <w:tcBorders>
              <w:top w:val="nil"/>
              <w:left w:val="nil"/>
              <w:bottom w:val="single" w:sz="4" w:space="0" w:color="auto"/>
              <w:right w:val="single" w:sz="4" w:space="0" w:color="auto"/>
            </w:tcBorders>
            <w:shd w:val="clear" w:color="000000" w:fill="DDEBF7"/>
            <w:noWrap/>
            <w:vAlign w:val="bottom"/>
            <w:hideMark/>
          </w:tcPr>
          <w:p w14:paraId="1351F7E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20" w:type="dxa"/>
            <w:tcBorders>
              <w:top w:val="nil"/>
              <w:left w:val="nil"/>
              <w:bottom w:val="single" w:sz="4" w:space="0" w:color="auto"/>
              <w:right w:val="single" w:sz="4" w:space="0" w:color="auto"/>
            </w:tcBorders>
            <w:shd w:val="clear" w:color="000000" w:fill="BDD7EE"/>
            <w:noWrap/>
            <w:vAlign w:val="bottom"/>
            <w:hideMark/>
          </w:tcPr>
          <w:p w14:paraId="4A9FF7F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75F793A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35E8ED0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3" w:type="dxa"/>
            <w:tcBorders>
              <w:top w:val="nil"/>
              <w:left w:val="nil"/>
              <w:bottom w:val="single" w:sz="4" w:space="0" w:color="auto"/>
              <w:right w:val="single" w:sz="4" w:space="0" w:color="auto"/>
            </w:tcBorders>
            <w:shd w:val="clear" w:color="000000" w:fill="9BC2E6"/>
            <w:noWrap/>
            <w:vAlign w:val="bottom"/>
            <w:hideMark/>
          </w:tcPr>
          <w:p w14:paraId="43D9DA3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795646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593A410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ADE63F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0ACF4A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7633B92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39524C3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54254A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CB6B53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0852759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5E76ED4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13790C6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5DD252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02" w:type="dxa"/>
            <w:tcBorders>
              <w:top w:val="nil"/>
              <w:left w:val="nil"/>
              <w:bottom w:val="single" w:sz="4" w:space="0" w:color="auto"/>
              <w:right w:val="single" w:sz="4" w:space="0" w:color="auto"/>
            </w:tcBorders>
            <w:shd w:val="clear" w:color="000000" w:fill="D9E1F2"/>
            <w:noWrap/>
            <w:vAlign w:val="bottom"/>
            <w:hideMark/>
          </w:tcPr>
          <w:p w14:paraId="2FE643C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FC3B6A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02434B2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6AA72E9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79" w:type="dxa"/>
            <w:tcBorders>
              <w:top w:val="nil"/>
              <w:left w:val="nil"/>
              <w:bottom w:val="single" w:sz="4" w:space="0" w:color="auto"/>
              <w:right w:val="single" w:sz="4" w:space="0" w:color="auto"/>
            </w:tcBorders>
            <w:shd w:val="clear" w:color="000000" w:fill="D9E1F2"/>
            <w:noWrap/>
            <w:vAlign w:val="bottom"/>
            <w:hideMark/>
          </w:tcPr>
          <w:p w14:paraId="2AB381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36C5A9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2EDB7F9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35BB651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71218F3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5" w:type="dxa"/>
            <w:tcBorders>
              <w:top w:val="nil"/>
              <w:left w:val="nil"/>
              <w:bottom w:val="single" w:sz="4" w:space="0" w:color="auto"/>
              <w:right w:val="single" w:sz="4" w:space="0" w:color="auto"/>
            </w:tcBorders>
            <w:shd w:val="clear" w:color="000000" w:fill="8EA9DB"/>
            <w:noWrap/>
            <w:vAlign w:val="bottom"/>
            <w:hideMark/>
          </w:tcPr>
          <w:p w14:paraId="2F7F76B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47F90BC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384613A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5" w:type="dxa"/>
            <w:tcBorders>
              <w:top w:val="nil"/>
              <w:left w:val="nil"/>
              <w:bottom w:val="single" w:sz="4" w:space="0" w:color="auto"/>
              <w:right w:val="single" w:sz="4" w:space="0" w:color="auto"/>
            </w:tcBorders>
            <w:shd w:val="clear" w:color="000000" w:fill="8EA9DB"/>
            <w:noWrap/>
            <w:vAlign w:val="bottom"/>
            <w:hideMark/>
          </w:tcPr>
          <w:p w14:paraId="736CF49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80" w:type="dxa"/>
            <w:tcBorders>
              <w:top w:val="nil"/>
              <w:left w:val="nil"/>
              <w:bottom w:val="single" w:sz="4" w:space="0" w:color="auto"/>
              <w:right w:val="single" w:sz="4" w:space="0" w:color="auto"/>
            </w:tcBorders>
            <w:shd w:val="clear" w:color="000000" w:fill="8EA9DB"/>
            <w:noWrap/>
            <w:vAlign w:val="bottom"/>
            <w:hideMark/>
          </w:tcPr>
          <w:p w14:paraId="35F10A0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7B1B2E1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16AF645C" w14:textId="77777777" w:rsidTr="004D2DCA">
        <w:trPr>
          <w:trHeight w:val="93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17E2F21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Shaw et al., 1980</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786F35C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5D6ED4B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7FE2ED4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FB4DE1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18B8B5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0106A35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46" w:type="dxa"/>
            <w:tcBorders>
              <w:top w:val="nil"/>
              <w:left w:val="nil"/>
              <w:bottom w:val="single" w:sz="4" w:space="0" w:color="auto"/>
              <w:right w:val="single" w:sz="4" w:space="0" w:color="auto"/>
            </w:tcBorders>
            <w:shd w:val="clear" w:color="000000" w:fill="9BC2E6"/>
            <w:noWrap/>
            <w:vAlign w:val="bottom"/>
            <w:hideMark/>
          </w:tcPr>
          <w:p w14:paraId="76B6195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2F7611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755B5F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E324D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0ADC844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48CA877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CBC59A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0C8C2C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0E3FA1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34FF3D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3EF470D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429A5A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36901B2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516F6C4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3A99E55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4" w:type="dxa"/>
            <w:tcBorders>
              <w:top w:val="nil"/>
              <w:left w:val="nil"/>
              <w:bottom w:val="single" w:sz="4" w:space="0" w:color="auto"/>
              <w:right w:val="single" w:sz="4" w:space="0" w:color="auto"/>
            </w:tcBorders>
            <w:shd w:val="clear" w:color="000000" w:fill="D9E1F2"/>
            <w:noWrap/>
            <w:vAlign w:val="bottom"/>
            <w:hideMark/>
          </w:tcPr>
          <w:p w14:paraId="3CFF22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22CD0D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F8511F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F0F821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0FE267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2115631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C8833D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03A877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06AD1F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D04E6D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60197D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P</w:t>
            </w:r>
          </w:p>
        </w:tc>
        <w:tc>
          <w:tcPr>
            <w:tcW w:w="960" w:type="dxa"/>
            <w:tcBorders>
              <w:top w:val="nil"/>
              <w:left w:val="nil"/>
              <w:bottom w:val="nil"/>
              <w:right w:val="nil"/>
            </w:tcBorders>
            <w:shd w:val="clear" w:color="auto" w:fill="auto"/>
            <w:noWrap/>
            <w:vAlign w:val="bottom"/>
            <w:hideMark/>
          </w:tcPr>
          <w:p w14:paraId="4CF9654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49351546" w14:textId="77777777" w:rsidTr="004D2DCA">
        <w:trPr>
          <w:trHeight w:val="53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61A9D1C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Stevenage &amp; McKay, 1999</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4AE257A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684A562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6D7C28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E4E7CE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441A64D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439A508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1211655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069FA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CC17AB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58C773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58C786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797BE11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07696E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088FA3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1F3A39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1AD8882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FEBA4B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0E1A8AD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2B4DE6B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6699280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1CA0EF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4FDD3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789963B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F925AD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CB2AB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D66D0C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3C64693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326282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9DFDFC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C9792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DD8687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122C580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P</w:t>
            </w:r>
          </w:p>
        </w:tc>
        <w:tc>
          <w:tcPr>
            <w:tcW w:w="960" w:type="dxa"/>
            <w:tcBorders>
              <w:top w:val="nil"/>
              <w:left w:val="nil"/>
              <w:bottom w:val="nil"/>
              <w:right w:val="nil"/>
            </w:tcBorders>
            <w:shd w:val="clear" w:color="auto" w:fill="auto"/>
            <w:noWrap/>
            <w:vAlign w:val="bottom"/>
            <w:hideMark/>
          </w:tcPr>
          <w:p w14:paraId="4A3AB4C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3C7E56D4" w14:textId="77777777" w:rsidTr="004D2DCA">
        <w:trPr>
          <w:trHeight w:val="94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147DEB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Stevenage &amp; Furness, 2008</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3DAD77A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42D3356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BB489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7FAD9B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0D7F367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64587BA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318C46A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D803D9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BC8263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786F141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5863EB1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0C3F892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C7CAFC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670114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4539C3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369DF35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648DB5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B67F9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4EE8441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O</w:t>
            </w:r>
          </w:p>
        </w:tc>
        <w:tc>
          <w:tcPr>
            <w:tcW w:w="395" w:type="dxa"/>
            <w:tcBorders>
              <w:top w:val="nil"/>
              <w:left w:val="nil"/>
              <w:bottom w:val="single" w:sz="4" w:space="0" w:color="auto"/>
              <w:right w:val="single" w:sz="4" w:space="0" w:color="auto"/>
            </w:tcBorders>
            <w:shd w:val="clear" w:color="000000" w:fill="D9E1F2"/>
            <w:noWrap/>
            <w:vAlign w:val="bottom"/>
            <w:hideMark/>
          </w:tcPr>
          <w:p w14:paraId="3F89B6F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213C34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DB3797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09476B2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3E57A8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5994C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50965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4951EF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7D170C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8E0389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CE8D35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AFFED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6743182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14026F8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3CBDFCEC" w14:textId="77777777" w:rsidTr="004D2DCA">
        <w:trPr>
          <w:trHeight w:val="88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55D5DE5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Stone &amp; Potton, 2017</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08C00C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4AB1E9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265CE7E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53A8DD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426179E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308D8C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46" w:type="dxa"/>
            <w:tcBorders>
              <w:top w:val="nil"/>
              <w:left w:val="nil"/>
              <w:bottom w:val="single" w:sz="4" w:space="0" w:color="auto"/>
              <w:right w:val="single" w:sz="4" w:space="0" w:color="auto"/>
            </w:tcBorders>
            <w:shd w:val="clear" w:color="000000" w:fill="9BC2E6"/>
            <w:noWrap/>
            <w:vAlign w:val="bottom"/>
            <w:hideMark/>
          </w:tcPr>
          <w:p w14:paraId="415C62D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048661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44822D1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109B5C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7C8FAA5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2E86F95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B19475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3D1C2C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12AD3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2" w:type="dxa"/>
            <w:tcBorders>
              <w:top w:val="nil"/>
              <w:left w:val="nil"/>
              <w:bottom w:val="single" w:sz="4" w:space="0" w:color="auto"/>
              <w:right w:val="single" w:sz="4" w:space="0" w:color="auto"/>
            </w:tcBorders>
            <w:shd w:val="clear" w:color="000000" w:fill="9BC2E6"/>
            <w:noWrap/>
            <w:vAlign w:val="bottom"/>
            <w:hideMark/>
          </w:tcPr>
          <w:p w14:paraId="630CCC3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D0466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CCECBB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146B041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688834C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C5CA08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886979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7E7303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D4FB3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15B23A8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17D4D6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6F10216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8DDEE9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516FB0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DA95C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54E078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6D843B2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04DD66D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552DCE71" w14:textId="77777777" w:rsidTr="004D2DCA">
        <w:trPr>
          <w:trHeight w:val="83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5F9CCEE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lastRenderedPageBreak/>
              <w:t>Stone &amp; Potton, 2014</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1DB9BC8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798317C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3534341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2EBF278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765B4E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27EC52D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031E52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5300E9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FAC640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33869B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4E050BC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32A2663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B38A61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748DD8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1686D9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E4063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1742F4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7EB8A03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0BE8623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6D0B82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D89633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AB154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0FF0AEC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F6D471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E4DAF9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55663C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E3F02B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7258FC0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AC889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A3EBE1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40E862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2C3DD9F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5BE0ABD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72B6CA0C" w14:textId="77777777" w:rsidTr="004D2DCA">
        <w:trPr>
          <w:trHeight w:val="102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5955B5B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Stone &amp; Wright, 2012</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482A1B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125CCA8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CD303E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6495A6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171D348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5675BB9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46" w:type="dxa"/>
            <w:tcBorders>
              <w:top w:val="nil"/>
              <w:left w:val="nil"/>
              <w:bottom w:val="single" w:sz="4" w:space="0" w:color="auto"/>
              <w:right w:val="single" w:sz="4" w:space="0" w:color="auto"/>
            </w:tcBorders>
            <w:shd w:val="clear" w:color="000000" w:fill="9BC2E6"/>
            <w:noWrap/>
            <w:vAlign w:val="bottom"/>
            <w:hideMark/>
          </w:tcPr>
          <w:p w14:paraId="7DAB97A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AE5DA2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EEEE70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4E20ED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039981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1C8BC7C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97AE91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B4CF71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2B0F29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958847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43DFC19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7A12CCA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3E429DE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1CB082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3A87A14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043F8C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79" w:type="dxa"/>
            <w:tcBorders>
              <w:top w:val="nil"/>
              <w:left w:val="nil"/>
              <w:bottom w:val="single" w:sz="4" w:space="0" w:color="auto"/>
              <w:right w:val="single" w:sz="4" w:space="0" w:color="auto"/>
            </w:tcBorders>
            <w:shd w:val="clear" w:color="000000" w:fill="D9E1F2"/>
            <w:noWrap/>
            <w:vAlign w:val="bottom"/>
            <w:hideMark/>
          </w:tcPr>
          <w:p w14:paraId="4AAC33D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B4DFD3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9F76EF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467A5C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74EE2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859551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6213C7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418E85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A96F0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6B92921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70FB45E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559F812E" w14:textId="77777777" w:rsidTr="004D2DCA">
        <w:trPr>
          <w:trHeight w:val="111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697221A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Stone &amp; Wright, 2013</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5A82B24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883" w:type="dxa"/>
            <w:tcBorders>
              <w:top w:val="nil"/>
              <w:left w:val="nil"/>
              <w:bottom w:val="single" w:sz="4" w:space="0" w:color="auto"/>
              <w:right w:val="single" w:sz="4" w:space="0" w:color="auto"/>
            </w:tcBorders>
            <w:shd w:val="clear" w:color="000000" w:fill="DDEBF7"/>
            <w:noWrap/>
            <w:vAlign w:val="bottom"/>
            <w:hideMark/>
          </w:tcPr>
          <w:p w14:paraId="62FF269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71792B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5083DEF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6E0EB3C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4513BC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13900C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2DE94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4FF0E8C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81FB3B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233EA35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350CFFF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EC5A6B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F9A76F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3D3384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921CA8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3062E69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5D3446D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398F14E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4121B7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588FA8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2FF9E6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579" w:type="dxa"/>
            <w:tcBorders>
              <w:top w:val="nil"/>
              <w:left w:val="nil"/>
              <w:bottom w:val="single" w:sz="4" w:space="0" w:color="auto"/>
              <w:right w:val="single" w:sz="4" w:space="0" w:color="auto"/>
            </w:tcBorders>
            <w:shd w:val="clear" w:color="000000" w:fill="D9E1F2"/>
            <w:noWrap/>
            <w:vAlign w:val="bottom"/>
            <w:hideMark/>
          </w:tcPr>
          <w:p w14:paraId="136D9A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ED9B20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09059F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CD7357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572AD19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5" w:type="dxa"/>
            <w:tcBorders>
              <w:top w:val="nil"/>
              <w:left w:val="nil"/>
              <w:bottom w:val="single" w:sz="4" w:space="0" w:color="auto"/>
              <w:right w:val="single" w:sz="4" w:space="0" w:color="auto"/>
            </w:tcBorders>
            <w:shd w:val="clear" w:color="000000" w:fill="8EA9DB"/>
            <w:noWrap/>
            <w:vAlign w:val="bottom"/>
            <w:hideMark/>
          </w:tcPr>
          <w:p w14:paraId="20B6C8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F43FB8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E1479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283243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3C110EB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756F9B2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5083DB57" w14:textId="77777777" w:rsidTr="004D2DCA">
        <w:trPr>
          <w:trHeight w:val="64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632B98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Tartaglia et al., 2005</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1A7707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6374C09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10E040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61BD54D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376C7CD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57FE41E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46" w:type="dxa"/>
            <w:tcBorders>
              <w:top w:val="nil"/>
              <w:left w:val="nil"/>
              <w:bottom w:val="single" w:sz="4" w:space="0" w:color="auto"/>
              <w:right w:val="single" w:sz="4" w:space="0" w:color="auto"/>
            </w:tcBorders>
            <w:shd w:val="clear" w:color="000000" w:fill="9BC2E6"/>
            <w:noWrap/>
            <w:vAlign w:val="bottom"/>
            <w:hideMark/>
          </w:tcPr>
          <w:p w14:paraId="5033608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E0A45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4B1542A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09AAF06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7DD4D92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99ADF0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56A8B6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373887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524671E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38D7C3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15E44CF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726A40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02" w:type="dxa"/>
            <w:tcBorders>
              <w:top w:val="nil"/>
              <w:left w:val="nil"/>
              <w:bottom w:val="single" w:sz="4" w:space="0" w:color="auto"/>
              <w:right w:val="single" w:sz="4" w:space="0" w:color="auto"/>
            </w:tcBorders>
            <w:shd w:val="clear" w:color="000000" w:fill="D9E1F2"/>
            <w:noWrap/>
            <w:vAlign w:val="bottom"/>
            <w:hideMark/>
          </w:tcPr>
          <w:p w14:paraId="712B10F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1C37ECC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2882E4D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092949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525BB92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3D9F10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7B0011F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CBE706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0EAC51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99884A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3B2617C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3F6B9CC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415" w:type="dxa"/>
            <w:tcBorders>
              <w:top w:val="nil"/>
              <w:left w:val="nil"/>
              <w:bottom w:val="single" w:sz="4" w:space="0" w:color="auto"/>
              <w:right w:val="single" w:sz="4" w:space="0" w:color="auto"/>
            </w:tcBorders>
            <w:shd w:val="clear" w:color="000000" w:fill="8EA9DB"/>
            <w:noWrap/>
            <w:vAlign w:val="bottom"/>
            <w:hideMark/>
          </w:tcPr>
          <w:p w14:paraId="1E69D2C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5CC7483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642A943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6E4D148D" w14:textId="77777777" w:rsidTr="004D2DCA">
        <w:trPr>
          <w:trHeight w:val="66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6D8273A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Timms, 2013</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409B4F0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883" w:type="dxa"/>
            <w:tcBorders>
              <w:top w:val="nil"/>
              <w:left w:val="nil"/>
              <w:bottom w:val="single" w:sz="4" w:space="0" w:color="auto"/>
              <w:right w:val="single" w:sz="4" w:space="0" w:color="auto"/>
            </w:tcBorders>
            <w:shd w:val="clear" w:color="000000" w:fill="DDEBF7"/>
            <w:noWrap/>
            <w:vAlign w:val="bottom"/>
            <w:hideMark/>
          </w:tcPr>
          <w:p w14:paraId="213330C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3E34AD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01B9E57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53A46F7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6654869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46" w:type="dxa"/>
            <w:tcBorders>
              <w:top w:val="nil"/>
              <w:left w:val="nil"/>
              <w:bottom w:val="single" w:sz="4" w:space="0" w:color="auto"/>
              <w:right w:val="single" w:sz="4" w:space="0" w:color="auto"/>
            </w:tcBorders>
            <w:shd w:val="clear" w:color="000000" w:fill="9BC2E6"/>
            <w:noWrap/>
            <w:vAlign w:val="bottom"/>
            <w:hideMark/>
          </w:tcPr>
          <w:p w14:paraId="53BC2A5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74B1437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4F77043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3E9FB9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6266880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127C83A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DD2753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1DE825B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DFA8ED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4046363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609A44F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19550DB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02" w:type="dxa"/>
            <w:tcBorders>
              <w:top w:val="nil"/>
              <w:left w:val="nil"/>
              <w:bottom w:val="single" w:sz="4" w:space="0" w:color="auto"/>
              <w:right w:val="single" w:sz="4" w:space="0" w:color="auto"/>
            </w:tcBorders>
            <w:shd w:val="clear" w:color="000000" w:fill="D9E1F2"/>
            <w:noWrap/>
            <w:vAlign w:val="bottom"/>
            <w:hideMark/>
          </w:tcPr>
          <w:p w14:paraId="6EFC696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6465075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12D7439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748A7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693DD4E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41E3F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78420B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42E76E0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376190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4AB0AB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0C7F5C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22C126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0FCAEE1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771C6E5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18C23A8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1557D386" w14:textId="77777777" w:rsidTr="004D2DCA">
        <w:trPr>
          <w:trHeight w:val="96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1E1A638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Van Schijndel et al., 2015</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7569FB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7DE810E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ADE5D9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FB94FA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1332C0A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D154C2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516BE8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497CC0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2E7C29D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C5D5D5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54D2BCB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339E2706"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54BDEA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AA9A5D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94B84D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2134093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645360E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6DB9151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706A323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35168B8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3CF2AE0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94" w:type="dxa"/>
            <w:tcBorders>
              <w:top w:val="nil"/>
              <w:left w:val="nil"/>
              <w:bottom w:val="single" w:sz="4" w:space="0" w:color="auto"/>
              <w:right w:val="single" w:sz="4" w:space="0" w:color="auto"/>
            </w:tcBorders>
            <w:shd w:val="clear" w:color="000000" w:fill="D9E1F2"/>
            <w:noWrap/>
            <w:vAlign w:val="bottom"/>
            <w:hideMark/>
          </w:tcPr>
          <w:p w14:paraId="450A238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31027AC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472C80E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15AE82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788004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677F3F7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7B1AC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164179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8EB377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2BBC9B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19354FA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2D3CECD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r w:rsidR="004D2DCA" w:rsidRPr="004D2DCA" w14:paraId="72B72F85" w14:textId="77777777" w:rsidTr="004D2DCA">
        <w:trPr>
          <w:trHeight w:val="913"/>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655A6B1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Van Schijndel et al., 2015</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58CBEA2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21E4053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43A7BC6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14F4B86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0B54201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355FDAD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P</w:t>
            </w:r>
          </w:p>
        </w:tc>
        <w:tc>
          <w:tcPr>
            <w:tcW w:w="346" w:type="dxa"/>
            <w:tcBorders>
              <w:top w:val="nil"/>
              <w:left w:val="nil"/>
              <w:bottom w:val="single" w:sz="4" w:space="0" w:color="auto"/>
              <w:right w:val="single" w:sz="4" w:space="0" w:color="auto"/>
            </w:tcBorders>
            <w:shd w:val="clear" w:color="000000" w:fill="9BC2E6"/>
            <w:noWrap/>
            <w:vAlign w:val="bottom"/>
            <w:hideMark/>
          </w:tcPr>
          <w:p w14:paraId="395A29D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303F37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59A1398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92913E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57EDB50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605" w:type="dxa"/>
            <w:tcBorders>
              <w:top w:val="nil"/>
              <w:left w:val="nil"/>
              <w:bottom w:val="single" w:sz="4" w:space="0" w:color="auto"/>
              <w:right w:val="single" w:sz="4" w:space="0" w:color="auto"/>
            </w:tcBorders>
            <w:shd w:val="clear" w:color="000000" w:fill="9BC2E6"/>
            <w:noWrap/>
            <w:vAlign w:val="bottom"/>
            <w:hideMark/>
          </w:tcPr>
          <w:p w14:paraId="5545954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97D455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5DA3EC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20A70AC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12" w:type="dxa"/>
            <w:tcBorders>
              <w:top w:val="nil"/>
              <w:left w:val="nil"/>
              <w:bottom w:val="single" w:sz="4" w:space="0" w:color="auto"/>
              <w:right w:val="single" w:sz="4" w:space="0" w:color="auto"/>
            </w:tcBorders>
            <w:shd w:val="clear" w:color="000000" w:fill="9BC2E6"/>
            <w:noWrap/>
            <w:vAlign w:val="bottom"/>
            <w:hideMark/>
          </w:tcPr>
          <w:p w14:paraId="4355F7E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5414DAF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3F214BD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7B663DB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395" w:type="dxa"/>
            <w:tcBorders>
              <w:top w:val="nil"/>
              <w:left w:val="nil"/>
              <w:bottom w:val="single" w:sz="4" w:space="0" w:color="auto"/>
              <w:right w:val="single" w:sz="4" w:space="0" w:color="auto"/>
            </w:tcBorders>
            <w:shd w:val="clear" w:color="000000" w:fill="D9E1F2"/>
            <w:noWrap/>
            <w:vAlign w:val="bottom"/>
            <w:hideMark/>
          </w:tcPr>
          <w:p w14:paraId="1C5B209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EFE7C8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3FD077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0D1321D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3205F9E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A506FE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6AE2B79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16AA8D5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7FD79A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4230F23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AC89C5D"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D23961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4940F4C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r w:rsidRPr="004D2DCA">
              <w:rPr>
                <w:rFonts w:ascii="Calibri" w:eastAsia="Times New Roman" w:hAnsi="Calibri" w:cs="Calibri"/>
                <w:color w:val="auto"/>
              </w:rPr>
              <w:t>0</w:t>
            </w:r>
          </w:p>
        </w:tc>
        <w:tc>
          <w:tcPr>
            <w:tcW w:w="960" w:type="dxa"/>
            <w:tcBorders>
              <w:top w:val="nil"/>
              <w:left w:val="nil"/>
              <w:bottom w:val="nil"/>
              <w:right w:val="nil"/>
            </w:tcBorders>
            <w:shd w:val="clear" w:color="auto" w:fill="auto"/>
            <w:noWrap/>
            <w:vAlign w:val="bottom"/>
            <w:hideMark/>
          </w:tcPr>
          <w:p w14:paraId="5BFC222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color w:val="auto"/>
              </w:rPr>
            </w:pPr>
          </w:p>
        </w:tc>
      </w:tr>
      <w:tr w:rsidR="004D2DCA" w:rsidRPr="004D2DCA" w14:paraId="3FE54BDD" w14:textId="77777777" w:rsidTr="004D2DCA">
        <w:trPr>
          <w:trHeight w:val="520"/>
        </w:trPr>
        <w:tc>
          <w:tcPr>
            <w:tcW w:w="1940" w:type="dxa"/>
            <w:tcBorders>
              <w:top w:val="single" w:sz="4" w:space="0" w:color="auto"/>
              <w:left w:val="single" w:sz="4" w:space="0" w:color="auto"/>
              <w:bottom w:val="single" w:sz="4" w:space="0" w:color="auto"/>
              <w:right w:val="nil"/>
            </w:tcBorders>
            <w:shd w:val="clear" w:color="auto" w:fill="auto"/>
            <w:vAlign w:val="center"/>
            <w:hideMark/>
          </w:tcPr>
          <w:p w14:paraId="78A6FD1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Times New Roman" w:eastAsia="Times New Roman" w:hAnsi="Times New Roman" w:cs="Times New Roman"/>
                <w:sz w:val="20"/>
                <w:szCs w:val="20"/>
              </w:rPr>
            </w:pPr>
            <w:r w:rsidRPr="004D2DCA">
              <w:rPr>
                <w:rFonts w:ascii="Times New Roman" w:eastAsia="Times New Roman" w:hAnsi="Times New Roman" w:cs="Times New Roman"/>
                <w:sz w:val="20"/>
                <w:szCs w:val="20"/>
              </w:rPr>
              <w:t>Green-Armytage et al., 2018</w:t>
            </w:r>
          </w:p>
        </w:tc>
        <w:tc>
          <w:tcPr>
            <w:tcW w:w="877" w:type="dxa"/>
            <w:tcBorders>
              <w:top w:val="nil"/>
              <w:left w:val="single" w:sz="4" w:space="0" w:color="auto"/>
              <w:bottom w:val="single" w:sz="4" w:space="0" w:color="auto"/>
              <w:right w:val="single" w:sz="4" w:space="0" w:color="auto"/>
            </w:tcBorders>
            <w:shd w:val="clear" w:color="000000" w:fill="DDEBF7"/>
            <w:noWrap/>
            <w:vAlign w:val="bottom"/>
            <w:hideMark/>
          </w:tcPr>
          <w:p w14:paraId="3948849F"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883" w:type="dxa"/>
            <w:tcBorders>
              <w:top w:val="nil"/>
              <w:left w:val="nil"/>
              <w:bottom w:val="single" w:sz="4" w:space="0" w:color="auto"/>
              <w:right w:val="single" w:sz="4" w:space="0" w:color="auto"/>
            </w:tcBorders>
            <w:shd w:val="clear" w:color="000000" w:fill="DDEBF7"/>
            <w:noWrap/>
            <w:vAlign w:val="bottom"/>
            <w:hideMark/>
          </w:tcPr>
          <w:p w14:paraId="2E1487D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64AB8F1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520" w:type="dxa"/>
            <w:tcBorders>
              <w:top w:val="nil"/>
              <w:left w:val="nil"/>
              <w:bottom w:val="single" w:sz="4" w:space="0" w:color="auto"/>
              <w:right w:val="single" w:sz="4" w:space="0" w:color="auto"/>
            </w:tcBorders>
            <w:shd w:val="clear" w:color="000000" w:fill="BDD7EE"/>
            <w:noWrap/>
            <w:vAlign w:val="bottom"/>
            <w:hideMark/>
          </w:tcPr>
          <w:p w14:paraId="249DD66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7" w:type="dxa"/>
            <w:tcBorders>
              <w:top w:val="nil"/>
              <w:left w:val="nil"/>
              <w:bottom w:val="single" w:sz="4" w:space="0" w:color="auto"/>
              <w:right w:val="single" w:sz="4" w:space="0" w:color="auto"/>
            </w:tcBorders>
            <w:shd w:val="clear" w:color="000000" w:fill="9BC2E6"/>
            <w:noWrap/>
            <w:vAlign w:val="bottom"/>
            <w:hideMark/>
          </w:tcPr>
          <w:p w14:paraId="5636EDDB"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3" w:type="dxa"/>
            <w:tcBorders>
              <w:top w:val="nil"/>
              <w:left w:val="nil"/>
              <w:bottom w:val="single" w:sz="4" w:space="0" w:color="auto"/>
              <w:right w:val="single" w:sz="4" w:space="0" w:color="auto"/>
            </w:tcBorders>
            <w:shd w:val="clear" w:color="000000" w:fill="9BC2E6"/>
            <w:noWrap/>
            <w:vAlign w:val="bottom"/>
            <w:hideMark/>
          </w:tcPr>
          <w:p w14:paraId="144FCC7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46" w:type="dxa"/>
            <w:tcBorders>
              <w:top w:val="nil"/>
              <w:left w:val="nil"/>
              <w:bottom w:val="single" w:sz="4" w:space="0" w:color="auto"/>
              <w:right w:val="single" w:sz="4" w:space="0" w:color="auto"/>
            </w:tcBorders>
            <w:shd w:val="clear" w:color="000000" w:fill="9BC2E6"/>
            <w:noWrap/>
            <w:vAlign w:val="bottom"/>
            <w:hideMark/>
          </w:tcPr>
          <w:p w14:paraId="5464C0C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3843BB2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196F977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46" w:type="dxa"/>
            <w:tcBorders>
              <w:top w:val="nil"/>
              <w:left w:val="nil"/>
              <w:bottom w:val="single" w:sz="4" w:space="0" w:color="auto"/>
              <w:right w:val="single" w:sz="4" w:space="0" w:color="auto"/>
            </w:tcBorders>
            <w:shd w:val="clear" w:color="000000" w:fill="9BC2E6"/>
            <w:noWrap/>
            <w:vAlign w:val="bottom"/>
            <w:hideMark/>
          </w:tcPr>
          <w:p w14:paraId="69138BD2"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2DE7E95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605" w:type="dxa"/>
            <w:tcBorders>
              <w:top w:val="nil"/>
              <w:left w:val="nil"/>
              <w:bottom w:val="single" w:sz="4" w:space="0" w:color="auto"/>
              <w:right w:val="single" w:sz="4" w:space="0" w:color="auto"/>
            </w:tcBorders>
            <w:shd w:val="clear" w:color="000000" w:fill="9BC2E6"/>
            <w:noWrap/>
            <w:vAlign w:val="bottom"/>
            <w:hideMark/>
          </w:tcPr>
          <w:p w14:paraId="34EF26E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55B3B778"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6A924AB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2" w:type="dxa"/>
            <w:tcBorders>
              <w:top w:val="nil"/>
              <w:left w:val="nil"/>
              <w:bottom w:val="single" w:sz="4" w:space="0" w:color="auto"/>
              <w:right w:val="single" w:sz="4" w:space="0" w:color="auto"/>
            </w:tcBorders>
            <w:shd w:val="clear" w:color="000000" w:fill="9BC2E6"/>
            <w:noWrap/>
            <w:vAlign w:val="bottom"/>
            <w:hideMark/>
          </w:tcPr>
          <w:p w14:paraId="094A0DD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7901375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412" w:type="dxa"/>
            <w:tcBorders>
              <w:top w:val="nil"/>
              <w:left w:val="nil"/>
              <w:bottom w:val="single" w:sz="4" w:space="0" w:color="auto"/>
              <w:right w:val="single" w:sz="4" w:space="0" w:color="auto"/>
            </w:tcBorders>
            <w:shd w:val="clear" w:color="000000" w:fill="9BC2E6"/>
            <w:noWrap/>
            <w:vAlign w:val="bottom"/>
            <w:hideMark/>
          </w:tcPr>
          <w:p w14:paraId="3EB4B65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35C4B24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jc w:val="right"/>
              <w:rPr>
                <w:rFonts w:ascii="Calibri" w:eastAsia="Times New Roman" w:hAnsi="Calibri" w:cs="Calibri"/>
              </w:rPr>
            </w:pPr>
            <w:r w:rsidRPr="004D2DCA">
              <w:rPr>
                <w:rFonts w:ascii="Calibri" w:eastAsia="Times New Roman" w:hAnsi="Calibri" w:cs="Calibri"/>
              </w:rPr>
              <w:t>0</w:t>
            </w:r>
          </w:p>
        </w:tc>
        <w:tc>
          <w:tcPr>
            <w:tcW w:w="402" w:type="dxa"/>
            <w:tcBorders>
              <w:top w:val="nil"/>
              <w:left w:val="nil"/>
              <w:bottom w:val="single" w:sz="4" w:space="0" w:color="auto"/>
              <w:right w:val="single" w:sz="4" w:space="0" w:color="auto"/>
            </w:tcBorders>
            <w:shd w:val="clear" w:color="000000" w:fill="D9E1F2"/>
            <w:noWrap/>
            <w:vAlign w:val="bottom"/>
            <w:hideMark/>
          </w:tcPr>
          <w:p w14:paraId="55F812E0"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5" w:type="dxa"/>
            <w:tcBorders>
              <w:top w:val="nil"/>
              <w:left w:val="nil"/>
              <w:bottom w:val="single" w:sz="4" w:space="0" w:color="auto"/>
              <w:right w:val="single" w:sz="4" w:space="0" w:color="auto"/>
            </w:tcBorders>
            <w:shd w:val="clear" w:color="000000" w:fill="D9E1F2"/>
            <w:noWrap/>
            <w:vAlign w:val="bottom"/>
            <w:hideMark/>
          </w:tcPr>
          <w:p w14:paraId="28F9075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394" w:type="dxa"/>
            <w:tcBorders>
              <w:top w:val="nil"/>
              <w:left w:val="nil"/>
              <w:bottom w:val="single" w:sz="4" w:space="0" w:color="auto"/>
              <w:right w:val="single" w:sz="4" w:space="0" w:color="auto"/>
            </w:tcBorders>
            <w:shd w:val="clear" w:color="000000" w:fill="D9E1F2"/>
            <w:noWrap/>
            <w:vAlign w:val="bottom"/>
            <w:hideMark/>
          </w:tcPr>
          <w:p w14:paraId="749BB15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13EFC99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7115CED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6CAC18C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213F0653"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94" w:type="dxa"/>
            <w:tcBorders>
              <w:top w:val="nil"/>
              <w:left w:val="nil"/>
              <w:bottom w:val="single" w:sz="4" w:space="0" w:color="auto"/>
              <w:right w:val="single" w:sz="4" w:space="0" w:color="auto"/>
            </w:tcBorders>
            <w:shd w:val="clear" w:color="000000" w:fill="D9E1F2"/>
            <w:noWrap/>
            <w:vAlign w:val="bottom"/>
            <w:hideMark/>
          </w:tcPr>
          <w:p w14:paraId="09E26005"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N</w:t>
            </w:r>
          </w:p>
        </w:tc>
        <w:tc>
          <w:tcPr>
            <w:tcW w:w="579" w:type="dxa"/>
            <w:tcBorders>
              <w:top w:val="nil"/>
              <w:left w:val="nil"/>
              <w:bottom w:val="single" w:sz="4" w:space="0" w:color="auto"/>
              <w:right w:val="single" w:sz="4" w:space="0" w:color="auto"/>
            </w:tcBorders>
            <w:shd w:val="clear" w:color="000000" w:fill="D9E1F2"/>
            <w:noWrap/>
            <w:vAlign w:val="bottom"/>
            <w:hideMark/>
          </w:tcPr>
          <w:p w14:paraId="4C8A4654"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FB8EC4A"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244DC2AE"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563240FC"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415" w:type="dxa"/>
            <w:tcBorders>
              <w:top w:val="nil"/>
              <w:left w:val="nil"/>
              <w:bottom w:val="single" w:sz="4" w:space="0" w:color="auto"/>
              <w:right w:val="single" w:sz="4" w:space="0" w:color="auto"/>
            </w:tcBorders>
            <w:shd w:val="clear" w:color="000000" w:fill="8EA9DB"/>
            <w:noWrap/>
            <w:vAlign w:val="bottom"/>
            <w:hideMark/>
          </w:tcPr>
          <w:p w14:paraId="60F3F117"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rPr>
            </w:pPr>
            <w:r w:rsidRPr="004D2DCA">
              <w:rPr>
                <w:rFonts w:ascii="Calibri" w:eastAsia="Times New Roman" w:hAnsi="Calibri" w:cs="Calibri"/>
              </w:rPr>
              <w:t>X</w:t>
            </w:r>
          </w:p>
        </w:tc>
        <w:tc>
          <w:tcPr>
            <w:tcW w:w="380" w:type="dxa"/>
            <w:tcBorders>
              <w:top w:val="nil"/>
              <w:left w:val="nil"/>
              <w:bottom w:val="single" w:sz="4" w:space="0" w:color="auto"/>
              <w:right w:val="single" w:sz="4" w:space="0" w:color="auto"/>
            </w:tcBorders>
            <w:shd w:val="clear" w:color="000000" w:fill="8EA9DB"/>
            <w:noWrap/>
            <w:vAlign w:val="bottom"/>
            <w:hideMark/>
          </w:tcPr>
          <w:p w14:paraId="0974EEA1"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r w:rsidRPr="004D2DCA">
              <w:rPr>
                <w:rFonts w:ascii="Calibri" w:eastAsia="Times New Roman" w:hAnsi="Calibri" w:cs="Calibri"/>
                <w:color w:val="auto"/>
              </w:rPr>
              <w:t>X</w:t>
            </w:r>
          </w:p>
        </w:tc>
        <w:tc>
          <w:tcPr>
            <w:tcW w:w="960" w:type="dxa"/>
            <w:tcBorders>
              <w:top w:val="nil"/>
              <w:left w:val="nil"/>
              <w:bottom w:val="nil"/>
              <w:right w:val="nil"/>
            </w:tcBorders>
            <w:shd w:val="clear" w:color="auto" w:fill="auto"/>
            <w:noWrap/>
            <w:vAlign w:val="bottom"/>
            <w:hideMark/>
          </w:tcPr>
          <w:p w14:paraId="65F33FD9" w14:textId="77777777" w:rsidR="004D2DCA" w:rsidRPr="004D2DCA" w:rsidRDefault="004D2DCA" w:rsidP="004D2DCA">
            <w:pPr>
              <w:pBdr>
                <w:top w:val="none" w:sz="0" w:space="0" w:color="auto"/>
                <w:left w:val="none" w:sz="0" w:space="0" w:color="auto"/>
                <w:bottom w:val="none" w:sz="0" w:space="0" w:color="auto"/>
                <w:right w:val="none" w:sz="0" w:space="0" w:color="auto"/>
                <w:between w:val="none" w:sz="0" w:space="0" w:color="auto"/>
              </w:pBdr>
              <w:spacing w:after="0" w:line="240" w:lineRule="auto"/>
              <w:ind w:firstLine="0"/>
              <w:rPr>
                <w:rFonts w:ascii="Calibri" w:eastAsia="Times New Roman" w:hAnsi="Calibri" w:cs="Calibri"/>
                <w:color w:val="auto"/>
              </w:rPr>
            </w:pPr>
          </w:p>
        </w:tc>
      </w:tr>
    </w:tbl>
    <w:p w14:paraId="70613E0F" w14:textId="536050A0" w:rsidR="00570A59" w:rsidRDefault="00570A59" w:rsidP="00570A59">
      <w:pPr>
        <w:pStyle w:val="Heading1"/>
      </w:pPr>
    </w:p>
    <w:p w14:paraId="0F869A6E" w14:textId="39DF1DB1" w:rsidR="006C623E" w:rsidRDefault="006C623E" w:rsidP="006C623E">
      <w:pPr>
        <w:rPr>
          <w:lang w:eastAsia="en-US"/>
        </w:rPr>
      </w:pPr>
    </w:p>
    <w:p w14:paraId="3517E6E3" w14:textId="77777777" w:rsidR="004D2DCA" w:rsidRDefault="004D2DCA" w:rsidP="00570A59">
      <w:pPr>
        <w:keepNext/>
        <w:keepLines/>
        <w:spacing w:before="240" w:after="120" w:line="276" w:lineRule="auto"/>
        <w:ind w:firstLine="0"/>
        <w:jc w:val="center"/>
        <w:outlineLvl w:val="1"/>
        <w:rPr>
          <w:lang w:eastAsia="en-US"/>
        </w:rPr>
        <w:sectPr w:rsidR="004D2DCA" w:rsidSect="006C623E">
          <w:pgSz w:w="16838" w:h="11906" w:orient="landscape" w:code="9"/>
          <w:pgMar w:top="2268" w:right="1134" w:bottom="1134" w:left="1134" w:header="709" w:footer="709" w:gutter="0"/>
          <w:cols w:space="720"/>
          <w:docGrid w:linePitch="326"/>
        </w:sectPr>
      </w:pPr>
    </w:p>
    <w:p w14:paraId="5D96C2CE" w14:textId="6D66895A" w:rsidR="00570A59" w:rsidRPr="00570A59" w:rsidRDefault="004D2DCA" w:rsidP="00570A59">
      <w:pPr>
        <w:keepNext/>
        <w:keepLines/>
        <w:spacing w:before="240" w:after="120" w:line="276" w:lineRule="auto"/>
        <w:ind w:firstLine="0"/>
        <w:jc w:val="center"/>
        <w:outlineLvl w:val="1"/>
        <w:rPr>
          <w:b/>
          <w:color w:val="auto"/>
          <w:lang w:eastAsia="en-US"/>
        </w:rPr>
      </w:pPr>
      <w:r>
        <w:rPr>
          <w:b/>
          <w:color w:val="auto"/>
          <w:lang w:eastAsia="en-US"/>
        </w:rPr>
        <w:lastRenderedPageBreak/>
        <w:t>Ap</w:t>
      </w:r>
      <w:r w:rsidR="00570A59" w:rsidRPr="00570A59">
        <w:rPr>
          <w:b/>
          <w:color w:val="auto"/>
          <w:lang w:eastAsia="en-US"/>
        </w:rPr>
        <w:t>pendix 3A- Departmental ethical approval for study 1</w:t>
      </w:r>
    </w:p>
    <w:p w14:paraId="7BBC2E53" w14:textId="3EA0018F" w:rsidR="00570A59" w:rsidRPr="00570A59" w:rsidRDefault="00D02823" w:rsidP="00570A59">
      <w:pPr>
        <w:spacing w:line="276" w:lineRule="auto"/>
        <w:rPr>
          <w:lang w:eastAsia="en-US"/>
        </w:rPr>
      </w:pPr>
      <w:r>
        <w:rPr>
          <w:noProof/>
          <w:lang w:val="es-CO" w:eastAsia="es-CO"/>
        </w:rPr>
        <w:drawing>
          <wp:inline distT="0" distB="0" distL="0" distR="0" wp14:anchorId="5295A665" wp14:editId="2B88EAAF">
            <wp:extent cx="5728335" cy="3268980"/>
            <wp:effectExtent l="0" t="0" r="0" b="0"/>
            <wp:docPr id="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8335" cy="3268980"/>
                    </a:xfrm>
                    <a:prstGeom prst="rect">
                      <a:avLst/>
                    </a:prstGeom>
                    <a:noFill/>
                    <a:ln>
                      <a:noFill/>
                    </a:ln>
                  </pic:spPr>
                </pic:pic>
              </a:graphicData>
            </a:graphic>
          </wp:inline>
        </w:drawing>
      </w:r>
    </w:p>
    <w:p w14:paraId="7D4A3004" w14:textId="77777777" w:rsidR="00570A59" w:rsidRPr="00570A59" w:rsidRDefault="00570A59" w:rsidP="00570A59">
      <w:pPr>
        <w:spacing w:line="276" w:lineRule="auto"/>
        <w:rPr>
          <w:lang w:eastAsia="en-US"/>
        </w:rPr>
      </w:pPr>
    </w:p>
    <w:p w14:paraId="2221120D" w14:textId="77777777" w:rsidR="00570A59" w:rsidRPr="00570A59" w:rsidRDefault="00570A59" w:rsidP="00570A59">
      <w:pPr>
        <w:spacing w:line="276" w:lineRule="auto"/>
        <w:rPr>
          <w:lang w:eastAsia="en-US"/>
        </w:rPr>
      </w:pPr>
    </w:p>
    <w:p w14:paraId="5D0E4D46" w14:textId="77777777" w:rsidR="00570A59" w:rsidRPr="00570A59" w:rsidRDefault="00570A59" w:rsidP="00570A59">
      <w:pPr>
        <w:spacing w:line="276" w:lineRule="auto"/>
        <w:rPr>
          <w:lang w:eastAsia="en-US"/>
        </w:rPr>
      </w:pPr>
    </w:p>
    <w:p w14:paraId="08B76015" w14:textId="77777777" w:rsidR="00570A59" w:rsidRPr="00570A59" w:rsidRDefault="00570A59" w:rsidP="00570A59">
      <w:pPr>
        <w:keepNext/>
        <w:keepLines/>
        <w:spacing w:before="240" w:after="120" w:line="276" w:lineRule="auto"/>
        <w:ind w:firstLine="0"/>
        <w:jc w:val="center"/>
        <w:outlineLvl w:val="1"/>
        <w:rPr>
          <w:b/>
          <w:color w:val="auto"/>
          <w:lang w:eastAsia="en-US"/>
        </w:rPr>
      </w:pPr>
      <w:r w:rsidRPr="00570A59">
        <w:rPr>
          <w:b/>
          <w:color w:val="auto"/>
          <w:lang w:eastAsia="en-US"/>
        </w:rPr>
        <w:t>Appendix 3B- Demographic information page</w:t>
      </w:r>
    </w:p>
    <w:p w14:paraId="7DEDBD72" w14:textId="3238128C" w:rsidR="00570A59" w:rsidRPr="00570A59" w:rsidRDefault="00D02823" w:rsidP="00570A59">
      <w:pPr>
        <w:spacing w:line="276" w:lineRule="auto"/>
      </w:pPr>
      <w:r>
        <w:rPr>
          <w:noProof/>
          <w:lang w:val="es-CO" w:eastAsia="es-CO"/>
        </w:rPr>
        <w:drawing>
          <wp:inline distT="0" distB="0" distL="0" distR="0" wp14:anchorId="521D55EB" wp14:editId="2F3C2A86">
            <wp:extent cx="5738495" cy="3920490"/>
            <wp:effectExtent l="0" t="0" r="0" b="0"/>
            <wp:docPr id="1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8495" cy="3920490"/>
                    </a:xfrm>
                    <a:prstGeom prst="rect">
                      <a:avLst/>
                    </a:prstGeom>
                    <a:noFill/>
                    <a:ln>
                      <a:noFill/>
                    </a:ln>
                  </pic:spPr>
                </pic:pic>
              </a:graphicData>
            </a:graphic>
          </wp:inline>
        </w:drawing>
      </w:r>
    </w:p>
    <w:p w14:paraId="2489CAFB" w14:textId="77777777" w:rsidR="00570A59" w:rsidRPr="00570A59" w:rsidRDefault="00570A59" w:rsidP="00570A59">
      <w:pPr>
        <w:spacing w:line="276" w:lineRule="auto"/>
      </w:pPr>
    </w:p>
    <w:p w14:paraId="553CCFBB" w14:textId="77777777" w:rsidR="00570A59" w:rsidRPr="00570A59" w:rsidRDefault="00570A59" w:rsidP="00570A59">
      <w:pPr>
        <w:spacing w:line="276" w:lineRule="auto"/>
      </w:pPr>
    </w:p>
    <w:p w14:paraId="18FA1CE4" w14:textId="77777777" w:rsidR="00570A59" w:rsidRPr="00570A59" w:rsidRDefault="00570A59" w:rsidP="00570A59">
      <w:pPr>
        <w:spacing w:line="276" w:lineRule="auto"/>
      </w:pPr>
    </w:p>
    <w:p w14:paraId="4E331624" w14:textId="77777777" w:rsidR="00570A59" w:rsidRPr="00570A59" w:rsidRDefault="00570A59" w:rsidP="00570A59">
      <w:pPr>
        <w:spacing w:line="276" w:lineRule="auto"/>
      </w:pPr>
    </w:p>
    <w:p w14:paraId="18E54F94" w14:textId="77777777" w:rsidR="00570A59" w:rsidRPr="00570A59" w:rsidRDefault="00570A59" w:rsidP="00570A59">
      <w:pPr>
        <w:spacing w:line="276" w:lineRule="auto"/>
      </w:pPr>
    </w:p>
    <w:p w14:paraId="302A94D8" w14:textId="77777777" w:rsidR="00570A59" w:rsidRPr="00570A59" w:rsidRDefault="00570A59" w:rsidP="00570A59">
      <w:pPr>
        <w:spacing w:line="276" w:lineRule="auto"/>
      </w:pPr>
    </w:p>
    <w:p w14:paraId="6C9CDF29" w14:textId="77777777" w:rsidR="00570A59" w:rsidRPr="00570A59" w:rsidRDefault="00570A59" w:rsidP="00570A59">
      <w:pPr>
        <w:spacing w:line="276" w:lineRule="auto"/>
      </w:pPr>
    </w:p>
    <w:p w14:paraId="592A06AD" w14:textId="77777777" w:rsidR="00570A59" w:rsidRPr="00570A59" w:rsidRDefault="00570A59" w:rsidP="00570A59">
      <w:pPr>
        <w:spacing w:line="276" w:lineRule="auto"/>
      </w:pPr>
    </w:p>
    <w:p w14:paraId="3C4F1282" w14:textId="77777777" w:rsidR="00570A59" w:rsidRPr="00570A59" w:rsidRDefault="00570A59" w:rsidP="00570A59">
      <w:pPr>
        <w:spacing w:line="276" w:lineRule="auto"/>
      </w:pPr>
    </w:p>
    <w:p w14:paraId="4085E223" w14:textId="77777777" w:rsidR="00570A59" w:rsidRPr="00570A59" w:rsidRDefault="00570A59" w:rsidP="00570A59">
      <w:pPr>
        <w:spacing w:line="276" w:lineRule="auto"/>
      </w:pPr>
    </w:p>
    <w:p w14:paraId="6B413B8B" w14:textId="77777777" w:rsidR="00570A59" w:rsidRPr="00570A59" w:rsidRDefault="00570A59" w:rsidP="00570A59">
      <w:pPr>
        <w:spacing w:line="276" w:lineRule="auto"/>
      </w:pPr>
    </w:p>
    <w:p w14:paraId="409633BD" w14:textId="77777777" w:rsidR="00570A59" w:rsidRPr="00570A59" w:rsidRDefault="00570A59" w:rsidP="00570A59">
      <w:pPr>
        <w:spacing w:line="276" w:lineRule="auto"/>
      </w:pPr>
    </w:p>
    <w:p w14:paraId="5D4BB765" w14:textId="77777777" w:rsidR="00570A59" w:rsidRPr="00570A59" w:rsidRDefault="00570A59" w:rsidP="00570A59">
      <w:pPr>
        <w:spacing w:line="276" w:lineRule="auto"/>
      </w:pPr>
    </w:p>
    <w:p w14:paraId="3CC78073" w14:textId="77777777" w:rsidR="00570A59" w:rsidRPr="00570A59" w:rsidRDefault="00570A59" w:rsidP="00570A59">
      <w:pPr>
        <w:spacing w:line="276" w:lineRule="auto"/>
      </w:pPr>
    </w:p>
    <w:p w14:paraId="4C977EB0" w14:textId="77777777" w:rsidR="00570A59" w:rsidRPr="00570A59" w:rsidRDefault="00570A59" w:rsidP="00570A59">
      <w:pPr>
        <w:spacing w:line="276" w:lineRule="auto"/>
      </w:pPr>
    </w:p>
    <w:p w14:paraId="6AE407A4" w14:textId="77777777" w:rsidR="00570A59" w:rsidRPr="00570A59" w:rsidRDefault="00570A59" w:rsidP="00570A59">
      <w:pPr>
        <w:keepNext/>
        <w:keepLines/>
        <w:spacing w:before="240" w:after="120" w:line="276" w:lineRule="auto"/>
        <w:ind w:firstLine="0"/>
        <w:jc w:val="center"/>
        <w:outlineLvl w:val="1"/>
        <w:rPr>
          <w:b/>
          <w:color w:val="auto"/>
          <w:lang w:eastAsia="en-US"/>
        </w:rPr>
      </w:pPr>
      <w:r w:rsidRPr="00570A59">
        <w:rPr>
          <w:b/>
          <w:color w:val="auto"/>
          <w:lang w:eastAsia="en-US"/>
        </w:rPr>
        <w:t>Appendix 3C-The DS-R (Disgust Scale-Revised)</w:t>
      </w:r>
    </w:p>
    <w:p w14:paraId="49061963" w14:textId="776124EC" w:rsidR="00570A59" w:rsidRPr="00570A59" w:rsidRDefault="00570A59" w:rsidP="00570A59">
      <w:pPr>
        <w:spacing w:line="276" w:lineRule="auto"/>
        <w:ind w:firstLine="0"/>
        <w:rPr>
          <w:rFonts w:eastAsia="Arial Unicode MS"/>
          <w:lang w:val="en-US" w:eastAsia="en-US"/>
        </w:rPr>
      </w:pPr>
      <w:r w:rsidRPr="00570A59">
        <w:rPr>
          <w:rFonts w:eastAsia="Arial Unicode MS"/>
          <w:lang w:val="en-US" w:eastAsia="en-US"/>
        </w:rPr>
        <w:fldChar w:fldCharType="begin"/>
      </w:r>
      <w:r w:rsidRPr="00570A59">
        <w:rPr>
          <w:rFonts w:eastAsia="Arial Unicode MS"/>
          <w:lang w:val="en-US" w:eastAsia="en-US"/>
        </w:rPr>
        <w:instrText xml:space="preserve"> SEQ CHAPTER \h \r 1</w:instrText>
      </w:r>
      <w:r w:rsidRPr="00570A59">
        <w:rPr>
          <w:rFonts w:eastAsia="Arial Unicode MS"/>
          <w:lang w:val="en-US" w:eastAsia="en-US"/>
        </w:rPr>
        <w:fldChar w:fldCharType="end"/>
      </w:r>
      <w:r w:rsidRPr="00570A59">
        <w:rPr>
          <w:rFonts w:eastAsia="Arial Unicode MS"/>
          <w:lang w:val="en-US" w:eastAsia="en-US"/>
        </w:rPr>
        <w:t xml:space="preserve">Please indicate how much you agree with each of the following statements, or how true it is about you. Please write a number (0-4) to indicate your answer: </w:t>
      </w:r>
    </w:p>
    <w:p w14:paraId="0A08B9B8"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0</w:t>
      </w:r>
      <w:r w:rsidRPr="00570A59">
        <w:rPr>
          <w:rFonts w:eastAsia="Arial Unicode MS"/>
          <w:lang w:val="en-US" w:eastAsia="en-US"/>
        </w:rPr>
        <w:t xml:space="preserve"> = Strongly disagree (very untrue about me)</w:t>
      </w:r>
    </w:p>
    <w:p w14:paraId="0BC977A7"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 xml:space="preserve">        1</w:t>
      </w:r>
      <w:r w:rsidRPr="00570A59">
        <w:rPr>
          <w:rFonts w:eastAsia="Arial Unicode MS"/>
          <w:lang w:val="en-US" w:eastAsia="en-US"/>
        </w:rPr>
        <w:t xml:space="preserve"> = Mildly disagree (somewhat untrue about me)</w:t>
      </w:r>
    </w:p>
    <w:p w14:paraId="4AFFF0CC"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2</w:t>
      </w:r>
      <w:r w:rsidRPr="00570A59">
        <w:rPr>
          <w:rFonts w:eastAsia="Arial Unicode MS"/>
          <w:lang w:val="en-US" w:eastAsia="en-US"/>
        </w:rPr>
        <w:t xml:space="preserve"> = Neither agree nor disagree</w:t>
      </w:r>
    </w:p>
    <w:p w14:paraId="57C5A59D"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 xml:space="preserve">                        3</w:t>
      </w:r>
      <w:r w:rsidRPr="00570A59">
        <w:rPr>
          <w:rFonts w:eastAsia="Arial Unicode MS"/>
          <w:lang w:val="en-US" w:eastAsia="en-US"/>
        </w:rPr>
        <w:t xml:space="preserve"> = Mildly agree (somewhat true about me)</w:t>
      </w:r>
    </w:p>
    <w:p w14:paraId="546F5A44"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 xml:space="preserve">                                4</w:t>
      </w:r>
      <w:r w:rsidRPr="00570A59">
        <w:rPr>
          <w:rFonts w:eastAsia="Arial Unicode MS"/>
          <w:lang w:val="en-US" w:eastAsia="en-US"/>
        </w:rPr>
        <w:t xml:space="preserve"> = Strongly agree (very true about me)</w:t>
      </w:r>
    </w:p>
    <w:p w14:paraId="4EE6C190"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____1. I might be willing to try eating monkey meat, under some circumstances. </w:t>
      </w:r>
    </w:p>
    <w:p w14:paraId="059C8982"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____2. It would bother me to be in a science class, and to see a human hand preserved in a jar. </w:t>
      </w:r>
    </w:p>
    <w:p w14:paraId="6153EBAF"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____3. It bothers me to hear someone clear a throat full of mucous. </w:t>
      </w:r>
    </w:p>
    <w:p w14:paraId="6B857FE6"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____4. I never let any part of my body touch the toilet seat in public restrooms. </w:t>
      </w:r>
    </w:p>
    <w:p w14:paraId="7B8886E6"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____5. I would go out of my way to avoid walking through a graveyard. </w:t>
      </w:r>
    </w:p>
    <w:p w14:paraId="3FAC1892"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____6. Seeing a cockroach in someone else's house doesn't bother me. </w:t>
      </w:r>
    </w:p>
    <w:p w14:paraId="48376BFC"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____7. It would bother me tremendously to touch a dead body. </w:t>
      </w:r>
    </w:p>
    <w:p w14:paraId="11367F50"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____8. If I see someone vomit, it makes me sick to my stomach. </w:t>
      </w:r>
    </w:p>
    <w:p w14:paraId="72BECE97"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____9. I probably would not go to my favorite restaurant if I found out that the cook had a cold. </w:t>
      </w:r>
    </w:p>
    <w:p w14:paraId="1D086F58"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lastRenderedPageBreak/>
        <w:t xml:space="preserve">____10. It would not upset me at all to watch a person with a glass eye take the eye </w:t>
      </w:r>
    </w:p>
    <w:p w14:paraId="67A43971" w14:textId="77777777" w:rsidR="00570A59" w:rsidRPr="00570A59" w:rsidRDefault="00570A59" w:rsidP="00570A59">
      <w:pPr>
        <w:widowControl w:val="0"/>
        <w:autoSpaceDE w:val="0"/>
        <w:autoSpaceDN w:val="0"/>
        <w:adjustRightInd w:val="0"/>
        <w:spacing w:line="276" w:lineRule="auto"/>
        <w:ind w:firstLine="1440"/>
        <w:rPr>
          <w:rFonts w:eastAsia="Arial Unicode MS"/>
          <w:lang w:val="en-US" w:eastAsia="en-US"/>
        </w:rPr>
      </w:pPr>
      <w:r w:rsidRPr="00570A59">
        <w:rPr>
          <w:rFonts w:eastAsia="Arial Unicode MS"/>
          <w:lang w:val="en-US" w:eastAsia="en-US"/>
        </w:rPr>
        <w:t xml:space="preserve">out of the socket.  </w:t>
      </w:r>
    </w:p>
    <w:p w14:paraId="223C7FEA"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____11. It would bother me to see a rat run across my path in a park. </w:t>
      </w:r>
    </w:p>
    <w:p w14:paraId="06040203"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____12. I would rather eat a piece of fruit than a piece of paper </w:t>
      </w:r>
    </w:p>
    <w:p w14:paraId="62CDE3F0"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____13. Even if I was hungry, I would not drink a bowl of my favorite soup if it had been</w:t>
      </w:r>
    </w:p>
    <w:p w14:paraId="0FAE4688" w14:textId="77777777" w:rsidR="00570A59" w:rsidRPr="00570A59" w:rsidRDefault="00570A59" w:rsidP="00570A59">
      <w:pPr>
        <w:widowControl w:val="0"/>
        <w:autoSpaceDE w:val="0"/>
        <w:autoSpaceDN w:val="0"/>
        <w:adjustRightInd w:val="0"/>
        <w:spacing w:line="276" w:lineRule="auto"/>
        <w:ind w:firstLine="1440"/>
        <w:rPr>
          <w:rFonts w:eastAsia="Arial Unicode MS"/>
          <w:lang w:val="en-US" w:eastAsia="en-US"/>
        </w:rPr>
      </w:pPr>
      <w:r w:rsidRPr="00570A59">
        <w:rPr>
          <w:rFonts w:eastAsia="Arial Unicode MS"/>
          <w:lang w:val="en-US" w:eastAsia="en-US"/>
        </w:rPr>
        <w:t xml:space="preserve">stirred by a used but thoroughly washed flyswatter. </w:t>
      </w:r>
    </w:p>
    <w:p w14:paraId="2BD488CE"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____14. It would bother me to sleep in a nice hotel room if I knew that a man had died of a</w:t>
      </w:r>
    </w:p>
    <w:p w14:paraId="1390FF8F" w14:textId="77777777" w:rsidR="00570A59" w:rsidRPr="00570A59" w:rsidRDefault="00570A59" w:rsidP="00570A59">
      <w:pPr>
        <w:widowControl w:val="0"/>
        <w:autoSpaceDE w:val="0"/>
        <w:autoSpaceDN w:val="0"/>
        <w:adjustRightInd w:val="0"/>
        <w:spacing w:line="276" w:lineRule="auto"/>
        <w:ind w:firstLine="1440"/>
        <w:rPr>
          <w:rFonts w:eastAsia="Arial Unicode MS"/>
          <w:lang w:val="en-US" w:eastAsia="en-US"/>
        </w:rPr>
      </w:pPr>
      <w:r w:rsidRPr="00570A59">
        <w:rPr>
          <w:rFonts w:eastAsia="Arial Unicode MS"/>
          <w:lang w:val="en-US" w:eastAsia="en-US"/>
        </w:rPr>
        <w:t xml:space="preserve">heart attack in that room the night before. </w:t>
      </w:r>
    </w:p>
    <w:p w14:paraId="3CA8D7AF" w14:textId="77777777" w:rsidR="00570A59" w:rsidRPr="00570A59" w:rsidRDefault="00570A59" w:rsidP="00570A59">
      <w:pPr>
        <w:widowControl w:val="0"/>
        <w:autoSpaceDE w:val="0"/>
        <w:autoSpaceDN w:val="0"/>
        <w:adjustRightInd w:val="0"/>
        <w:spacing w:line="276" w:lineRule="auto"/>
        <w:ind w:firstLine="0"/>
        <w:rPr>
          <w:rFonts w:eastAsia="Arial Unicode MS"/>
          <w:b/>
          <w:lang w:val="en-US" w:eastAsia="en-US"/>
        </w:rPr>
      </w:pPr>
      <w:r w:rsidRPr="00570A59">
        <w:rPr>
          <w:rFonts w:eastAsia="Arial Unicode MS"/>
          <w:b/>
          <w:lang w:val="en-US" w:eastAsia="en-US"/>
        </w:rPr>
        <w:t xml:space="preserve">How disgusting would you find each of the following experiences? Please write a </w:t>
      </w:r>
    </w:p>
    <w:p w14:paraId="34671A09"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b/>
          <w:lang w:val="en-US" w:eastAsia="en-US"/>
        </w:rPr>
        <w:t xml:space="preserve">number (0-4) to indicate your answer: </w:t>
      </w:r>
      <w:r w:rsidRPr="00570A59">
        <w:rPr>
          <w:rFonts w:eastAsia="Arial Unicode MS"/>
          <w:lang w:val="en-US" w:eastAsia="en-US"/>
        </w:rPr>
        <w:t xml:space="preserve"> </w:t>
      </w:r>
    </w:p>
    <w:p w14:paraId="725E8D5B"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0</w:t>
      </w:r>
      <w:r w:rsidRPr="00570A59">
        <w:rPr>
          <w:rFonts w:eastAsia="Arial Unicode MS"/>
          <w:lang w:val="en-US" w:eastAsia="en-US"/>
        </w:rPr>
        <w:t xml:space="preserve"> = Not disgusting at all</w:t>
      </w:r>
    </w:p>
    <w:p w14:paraId="3061BDD7"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1</w:t>
      </w:r>
      <w:r w:rsidRPr="00570A59">
        <w:rPr>
          <w:rFonts w:eastAsia="Arial Unicode MS"/>
          <w:lang w:val="en-US" w:eastAsia="en-US"/>
        </w:rPr>
        <w:t xml:space="preserve"> = Slightly disgusting</w:t>
      </w:r>
      <w:r w:rsidRPr="00570A59">
        <w:rPr>
          <w:rFonts w:eastAsia="Arial Unicode MS"/>
          <w:lang w:val="en-US" w:eastAsia="en-US"/>
        </w:rPr>
        <w:tab/>
      </w:r>
      <w:r w:rsidRPr="00570A59">
        <w:rPr>
          <w:rFonts w:eastAsia="Arial Unicode MS"/>
          <w:lang w:val="en-US" w:eastAsia="en-US"/>
        </w:rPr>
        <w:tab/>
      </w:r>
      <w:r w:rsidRPr="00570A59">
        <w:rPr>
          <w:rFonts w:eastAsia="Arial Unicode MS"/>
          <w:lang w:val="en-US" w:eastAsia="en-US"/>
        </w:rPr>
        <w:tab/>
      </w:r>
      <w:r w:rsidRPr="00570A59">
        <w:rPr>
          <w:rFonts w:eastAsia="Arial Unicode MS"/>
          <w:lang w:val="en-US" w:eastAsia="en-US"/>
        </w:rPr>
        <w:tab/>
        <w:t xml:space="preserve"> </w:t>
      </w:r>
    </w:p>
    <w:p w14:paraId="30BCBC98"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 xml:space="preserve">     2</w:t>
      </w:r>
      <w:r w:rsidRPr="00570A59">
        <w:rPr>
          <w:rFonts w:eastAsia="Arial Unicode MS"/>
          <w:lang w:val="en-US" w:eastAsia="en-US"/>
        </w:rPr>
        <w:t xml:space="preserve"> = Moderately disgusting</w:t>
      </w:r>
      <w:r w:rsidRPr="00570A59">
        <w:rPr>
          <w:rFonts w:eastAsia="Arial Unicode MS"/>
          <w:lang w:val="en-US" w:eastAsia="en-US"/>
        </w:rPr>
        <w:tab/>
      </w:r>
      <w:r w:rsidRPr="00570A59">
        <w:rPr>
          <w:rFonts w:eastAsia="Arial Unicode MS"/>
          <w:lang w:val="en-US" w:eastAsia="en-US"/>
        </w:rPr>
        <w:tab/>
      </w:r>
      <w:r w:rsidRPr="00570A59">
        <w:rPr>
          <w:rFonts w:eastAsia="Arial Unicode MS"/>
          <w:lang w:val="en-US" w:eastAsia="en-US"/>
        </w:rPr>
        <w:tab/>
      </w:r>
    </w:p>
    <w:p w14:paraId="539BE4BD"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3</w:t>
      </w:r>
      <w:r w:rsidRPr="00570A59">
        <w:rPr>
          <w:rFonts w:eastAsia="Arial Unicode MS"/>
          <w:lang w:val="en-US" w:eastAsia="en-US"/>
        </w:rPr>
        <w:t xml:space="preserve"> = Very disgusting</w:t>
      </w:r>
    </w:p>
    <w:p w14:paraId="1EA3187B"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ab/>
      </w:r>
      <w:r w:rsidRPr="00570A59">
        <w:rPr>
          <w:rFonts w:eastAsia="Arial Unicode MS"/>
          <w:lang w:val="en-US" w:eastAsia="en-US"/>
        </w:rPr>
        <w:tab/>
        <w:t xml:space="preserve">           </w:t>
      </w:r>
      <w:r w:rsidRPr="00570A59">
        <w:rPr>
          <w:rFonts w:eastAsia="Arial Unicode MS"/>
          <w:b/>
          <w:lang w:val="en-US" w:eastAsia="en-US"/>
        </w:rPr>
        <w:t>4</w:t>
      </w:r>
      <w:r w:rsidRPr="00570A59">
        <w:rPr>
          <w:rFonts w:eastAsia="Arial Unicode MS"/>
          <w:lang w:val="en-US" w:eastAsia="en-US"/>
        </w:rPr>
        <w:t xml:space="preserve"> = Extremely disgusting</w:t>
      </w:r>
      <w:r w:rsidRPr="00570A59">
        <w:rPr>
          <w:rFonts w:eastAsia="Arial Unicode MS"/>
          <w:lang w:val="en-US" w:eastAsia="en-US"/>
        </w:rPr>
        <w:tab/>
      </w:r>
      <w:r w:rsidRPr="00570A59">
        <w:rPr>
          <w:rFonts w:eastAsia="Arial Unicode MS"/>
          <w:lang w:val="en-US" w:eastAsia="en-US"/>
        </w:rPr>
        <w:tab/>
      </w:r>
      <w:r w:rsidRPr="00570A59">
        <w:rPr>
          <w:rFonts w:eastAsia="Arial Unicode MS"/>
          <w:lang w:val="en-US" w:eastAsia="en-US"/>
        </w:rPr>
        <w:tab/>
        <w:t xml:space="preserve">  </w:t>
      </w:r>
    </w:p>
    <w:p w14:paraId="71EED6C9"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____15. You see maggots on a piece of meat in an outdoor garbage pail. </w:t>
      </w:r>
    </w:p>
    <w:p w14:paraId="72B2CE62"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____16. You see a person eating an apple with a knife and fork</w:t>
      </w:r>
    </w:p>
    <w:p w14:paraId="50A47F0F"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____17. While you are walking through a tunnel under a railroad track, you smell urine. </w:t>
      </w:r>
    </w:p>
    <w:p w14:paraId="51AB4D39"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____18. You take a sip of soda, and then realize that you drank from the glass that an</w:t>
      </w:r>
    </w:p>
    <w:p w14:paraId="33BE5754"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lang w:val="en-US" w:eastAsia="en-US"/>
        </w:rPr>
        <w:tab/>
      </w:r>
      <w:r w:rsidRPr="00570A59">
        <w:rPr>
          <w:rFonts w:eastAsia="Arial Unicode MS"/>
          <w:lang w:val="en-US" w:eastAsia="en-US"/>
        </w:rPr>
        <w:tab/>
        <w:t xml:space="preserve">acquaintance of yours had been drinking from. </w:t>
      </w:r>
    </w:p>
    <w:p w14:paraId="28290044"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____19. Your friend's pet cat dies, and you have to pick up the dead body with your bare hands.  </w:t>
      </w:r>
    </w:p>
    <w:p w14:paraId="47FC06DF"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____20. You see someone put ketchup on vanilla ice cream, and eat it. </w:t>
      </w:r>
    </w:p>
    <w:p w14:paraId="2AA06E82"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____21. You see a man with his intestines exposed after an accident. </w:t>
      </w:r>
    </w:p>
    <w:p w14:paraId="67BC2E5E"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____22. You discover that a friend of yours changes underwear only once a week. </w:t>
      </w:r>
    </w:p>
    <w:p w14:paraId="394BAE61"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____23. A friend offers you a piece of chocolate shaped like dog</w:t>
      </w:r>
      <w:r w:rsidRPr="00570A59">
        <w:rPr>
          <w:rFonts w:eastAsia="Arial Unicode MS"/>
          <w:lang w:val="en-US" w:eastAsia="en-US"/>
        </w:rPr>
        <w:noBreakHyphen/>
        <w:t xml:space="preserve">doo. </w:t>
      </w:r>
    </w:p>
    <w:p w14:paraId="276D9E19"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____24. You accidentally touch the ashes of a person who has been cremated. </w:t>
      </w:r>
    </w:p>
    <w:p w14:paraId="3356FD46"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____25. You are about to drink a glass of milk when you smell that it is spoiled. </w:t>
      </w:r>
    </w:p>
    <w:p w14:paraId="2B3F3841"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____26. As part of a sex education class, you are required to inflate a new unlubricated</w:t>
      </w:r>
    </w:p>
    <w:p w14:paraId="335DD694"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ab/>
      </w:r>
      <w:r w:rsidRPr="00570A59">
        <w:rPr>
          <w:rFonts w:eastAsia="Arial Unicode MS"/>
          <w:lang w:val="en-US" w:eastAsia="en-US"/>
        </w:rPr>
        <w:tab/>
        <w:t xml:space="preserve">condom, using your mouth. </w:t>
      </w:r>
    </w:p>
    <w:p w14:paraId="31FDB1C0" w14:textId="77777777" w:rsidR="00570A59" w:rsidRPr="00570A59" w:rsidRDefault="00570A59" w:rsidP="00570A59">
      <w:pPr>
        <w:widowControl w:val="0"/>
        <w:pBdr>
          <w:bottom w:val="single" w:sz="12" w:space="1" w:color="auto"/>
        </w:pBdr>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____27. You are walking barefoot on concrete, and you step on an earthworm. </w:t>
      </w:r>
    </w:p>
    <w:p w14:paraId="6C98DF40"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The DS-R (Disgust Scale-Revised), Haidt, McCauley, &amp; Rozin, 1994; Modified by </w:t>
      </w:r>
      <w:r w:rsidRPr="00570A59">
        <w:rPr>
          <w:rFonts w:eastAsia="Arial Unicode MS"/>
          <w:lang w:val="en-US" w:eastAsia="en-US"/>
        </w:rPr>
        <w:lastRenderedPageBreak/>
        <w:t xml:space="preserve">Olatunji et al., 2007. </w:t>
      </w:r>
    </w:p>
    <w:p w14:paraId="3FB9858C"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To calculate your score: First, put an X through your responses to items 12 and 16 (these items don’t count). Then “reverse” your score on items 1,6, and 10 by subtracting what you wrote from the number 4, and write those numbers in the margin. Finally, add up your responses to all 25 items (using your “reversed” scores on 1, 6, and 10). The total will be a number between 0-100.  </w:t>
      </w:r>
    </w:p>
    <w:p w14:paraId="4B4529E5" w14:textId="77777777" w:rsidR="00570A59" w:rsidRPr="00570A59" w:rsidRDefault="00570A59" w:rsidP="00570A59">
      <w:pPr>
        <w:widowControl w:val="0"/>
        <w:autoSpaceDE w:val="0"/>
        <w:autoSpaceDN w:val="0"/>
        <w:adjustRightInd w:val="0"/>
        <w:spacing w:line="276" w:lineRule="auto"/>
        <w:ind w:firstLine="0"/>
        <w:jc w:val="center"/>
        <w:rPr>
          <w:rFonts w:eastAsia="Arial Unicode MS"/>
          <w:lang w:val="en-US" w:eastAsia="en-US"/>
        </w:rPr>
      </w:pPr>
    </w:p>
    <w:p w14:paraId="37650E75" w14:textId="0CB72242" w:rsidR="00570A59" w:rsidRDefault="00570A59" w:rsidP="00570A59">
      <w:pPr>
        <w:widowControl w:val="0"/>
        <w:autoSpaceDE w:val="0"/>
        <w:autoSpaceDN w:val="0"/>
        <w:adjustRightInd w:val="0"/>
        <w:spacing w:line="276" w:lineRule="auto"/>
        <w:ind w:firstLine="0"/>
        <w:jc w:val="center"/>
        <w:rPr>
          <w:rFonts w:eastAsia="Arial Unicode MS"/>
          <w:lang w:val="en-US" w:eastAsia="en-US"/>
        </w:rPr>
      </w:pPr>
    </w:p>
    <w:p w14:paraId="68AA06BB" w14:textId="5DD11C15"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3A2F3DE7" w14:textId="41668C74"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16270733" w14:textId="724BE6D2"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64E30870" w14:textId="74C79E28"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290B4CD5" w14:textId="318F5B3A"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63AB7D5C" w14:textId="44F52297"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0B3CD17A" w14:textId="373CE7E6"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36992D56" w14:textId="2D6CFA5C"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48CD6527" w14:textId="0AAE58D2"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5D9226FC" w14:textId="4AEE8250"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3B0A1F10" w14:textId="0E568727"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288B8A95" w14:textId="0C503E70"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7D780D06" w14:textId="0198A42E"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57DF3C12" w14:textId="2A1063B2"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51CD6AD8" w14:textId="5088CFBD"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2B965563" w14:textId="415674A2"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2CC53123" w14:textId="23FACDBB"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67B33362" w14:textId="60C71622"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50A906E5" w14:textId="7F7A5249"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12B3A538" w14:textId="10D62200"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01E30683" w14:textId="7D7D7F04"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527EBBD5" w14:textId="62F8C334"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7C658026" w14:textId="5CF21EF9"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4F9B2952" w14:textId="0E8D1A17" w:rsidR="004D2DCA"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562E9C07" w14:textId="77777777" w:rsidR="004D2DCA" w:rsidRPr="00570A59" w:rsidRDefault="004D2DCA" w:rsidP="00570A59">
      <w:pPr>
        <w:widowControl w:val="0"/>
        <w:autoSpaceDE w:val="0"/>
        <w:autoSpaceDN w:val="0"/>
        <w:adjustRightInd w:val="0"/>
        <w:spacing w:line="276" w:lineRule="auto"/>
        <w:ind w:firstLine="0"/>
        <w:jc w:val="center"/>
        <w:rPr>
          <w:rFonts w:eastAsia="Arial Unicode MS"/>
          <w:lang w:val="en-US" w:eastAsia="en-US"/>
        </w:rPr>
      </w:pPr>
    </w:p>
    <w:p w14:paraId="3C2E68F5" w14:textId="00170498" w:rsidR="00570A59" w:rsidRPr="00570A59" w:rsidRDefault="00570A59" w:rsidP="00570A59">
      <w:pPr>
        <w:widowControl w:val="0"/>
        <w:autoSpaceDE w:val="0"/>
        <w:autoSpaceDN w:val="0"/>
        <w:adjustRightInd w:val="0"/>
        <w:spacing w:line="276" w:lineRule="auto"/>
        <w:ind w:firstLine="0"/>
        <w:jc w:val="center"/>
        <w:rPr>
          <w:lang w:val="en-US"/>
        </w:rPr>
      </w:pPr>
      <w:r w:rsidRPr="00570A59">
        <w:rPr>
          <w:b/>
        </w:rPr>
        <w:lastRenderedPageBreak/>
        <w:t>Appendix 3D-</w:t>
      </w:r>
      <w:r w:rsidRPr="00570A59">
        <w:rPr>
          <w:b/>
          <w:lang w:eastAsia="en-US"/>
        </w:rPr>
        <w:t>The Internal and External Motivation Scale (IMS/EMS)</w:t>
      </w:r>
      <w:r w:rsidRPr="00570A59" w:rsidDel="005219AF">
        <w:rPr>
          <w:b/>
        </w:rPr>
        <w:t xml:space="preserve"> </w:t>
      </w:r>
      <w:r w:rsidR="00D02823">
        <w:rPr>
          <w:noProof/>
          <w:lang w:val="es-CO" w:eastAsia="es-CO"/>
        </w:rPr>
        <w:drawing>
          <wp:inline distT="0" distB="0" distL="0" distR="0" wp14:anchorId="4A76016C" wp14:editId="4707AE51">
            <wp:extent cx="6220800" cy="8719185"/>
            <wp:effectExtent l="0" t="0" r="8890" b="5715"/>
            <wp:docPr id="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0927" cy="8747396"/>
                    </a:xfrm>
                    <a:prstGeom prst="rect">
                      <a:avLst/>
                    </a:prstGeom>
                    <a:noFill/>
                    <a:ln>
                      <a:noFill/>
                    </a:ln>
                  </pic:spPr>
                </pic:pic>
              </a:graphicData>
            </a:graphic>
          </wp:inline>
        </w:drawing>
      </w:r>
    </w:p>
    <w:p w14:paraId="5B7D4523" w14:textId="77777777" w:rsidR="00570A59" w:rsidRPr="00570A59" w:rsidRDefault="00570A59" w:rsidP="00570A59">
      <w:pPr>
        <w:spacing w:line="276" w:lineRule="auto"/>
        <w:ind w:firstLine="0"/>
        <w:jc w:val="center"/>
        <w:rPr>
          <w:rFonts w:eastAsia="Arial Unicode MS"/>
          <w:lang w:val="en-US" w:eastAsia="en-US"/>
        </w:rPr>
      </w:pPr>
    </w:p>
    <w:p w14:paraId="6FD22A27" w14:textId="77777777" w:rsidR="00570A59" w:rsidRPr="00570A59" w:rsidRDefault="00570A59" w:rsidP="00570A59">
      <w:pPr>
        <w:spacing w:line="276" w:lineRule="auto"/>
        <w:ind w:firstLine="0"/>
        <w:jc w:val="center"/>
        <w:rPr>
          <w:rFonts w:eastAsia="Arial Unicode MS"/>
          <w:lang w:val="en-US" w:eastAsia="en-US"/>
        </w:rPr>
      </w:pPr>
    </w:p>
    <w:p w14:paraId="03AA52A5" w14:textId="6285373D"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r w:rsidRPr="00570A59">
        <w:rPr>
          <w:b/>
          <w:color w:val="auto"/>
          <w:lang w:val="en-US" w:eastAsia="en-US"/>
        </w:rPr>
        <w:t xml:space="preserve">Appendix 3E- </w:t>
      </w:r>
      <w:r w:rsidR="00656768" w:rsidRPr="00656768">
        <w:rPr>
          <w:b/>
          <w:color w:val="auto"/>
          <w:lang w:val="en-US" w:eastAsia="en-US"/>
        </w:rPr>
        <w:t>Centre for Appearance Research Valence scale</w:t>
      </w:r>
      <w:r w:rsidR="00656768" w:rsidRPr="00656768" w:rsidDel="00656768">
        <w:rPr>
          <w:b/>
          <w:color w:val="auto"/>
          <w:lang w:val="en-US" w:eastAsia="en-US"/>
        </w:rPr>
        <w:t xml:space="preserve"> </w:t>
      </w:r>
      <w:r w:rsidRPr="00570A59">
        <w:rPr>
          <w:b/>
          <w:color w:val="auto"/>
          <w:lang w:val="en-US" w:eastAsia="en-US"/>
        </w:rPr>
        <w:t xml:space="preserve"> (CARVAL) and </w:t>
      </w:r>
      <w:r w:rsidR="00656768" w:rsidRPr="00656768">
        <w:rPr>
          <w:b/>
          <w:color w:val="auto"/>
          <w:lang w:val="en-US" w:eastAsia="en-US"/>
        </w:rPr>
        <w:t xml:space="preserve">Centre for Appearance Research </w:t>
      </w:r>
      <w:r w:rsidR="00656768">
        <w:rPr>
          <w:b/>
          <w:color w:val="auto"/>
          <w:lang w:val="en-US" w:eastAsia="en-US"/>
        </w:rPr>
        <w:t>Salience</w:t>
      </w:r>
      <w:r w:rsidR="00656768" w:rsidRPr="00656768">
        <w:rPr>
          <w:b/>
          <w:color w:val="auto"/>
          <w:lang w:val="en-US" w:eastAsia="en-US"/>
        </w:rPr>
        <w:t xml:space="preserve"> scale</w:t>
      </w:r>
      <w:r w:rsidRPr="00570A59">
        <w:rPr>
          <w:b/>
          <w:color w:val="auto"/>
          <w:lang w:val="en-US" w:eastAsia="en-US"/>
        </w:rPr>
        <w:t xml:space="preserve"> (CARSAL)</w:t>
      </w:r>
    </w:p>
    <w:p w14:paraId="38313CD0" w14:textId="781F194B" w:rsidR="00570A59" w:rsidRPr="00570A59" w:rsidRDefault="00570A59" w:rsidP="00570A59">
      <w:pPr>
        <w:spacing w:line="276" w:lineRule="auto"/>
        <w:ind w:firstLine="0"/>
        <w:rPr>
          <w:rFonts w:eastAsia="Arial Unicode MS"/>
          <w:lang w:val="en-US" w:eastAsia="en-US"/>
        </w:rPr>
      </w:pPr>
      <w:r w:rsidRPr="00570A59">
        <w:rPr>
          <w:rFonts w:eastAsia="Arial Unicode MS"/>
          <w:lang w:val="en-US" w:eastAsia="en-US"/>
        </w:rPr>
        <w:fldChar w:fldCharType="begin"/>
      </w:r>
      <w:r w:rsidRPr="00570A59">
        <w:rPr>
          <w:rFonts w:eastAsia="Arial Unicode MS"/>
          <w:lang w:val="en-US" w:eastAsia="en-US"/>
        </w:rPr>
        <w:instrText xml:space="preserve"> SEQ CHAPTER \h \r 1</w:instrText>
      </w:r>
      <w:r w:rsidRPr="00570A59">
        <w:rPr>
          <w:rFonts w:eastAsia="Arial Unicode MS"/>
          <w:lang w:val="en-US" w:eastAsia="en-US"/>
        </w:rPr>
        <w:fldChar w:fldCharType="end"/>
      </w:r>
      <w:r w:rsidRPr="00570A59">
        <w:rPr>
          <w:rFonts w:eastAsia="Arial Unicode MS"/>
          <w:lang w:val="en-US" w:eastAsia="en-US"/>
        </w:rPr>
        <w:t xml:space="preserve">Please indicate how much you agree with each of the following statements, or how true it is about you. Please write a number (1-6) to indicate your answer: </w:t>
      </w:r>
    </w:p>
    <w:p w14:paraId="53F6CC3B"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1</w:t>
      </w:r>
      <w:r w:rsidRPr="00570A59">
        <w:rPr>
          <w:rFonts w:eastAsia="Arial Unicode MS"/>
          <w:lang w:val="en-US" w:eastAsia="en-US"/>
        </w:rPr>
        <w:t xml:space="preserve"> = strongly disagree </w:t>
      </w:r>
    </w:p>
    <w:p w14:paraId="3E05D704"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 xml:space="preserve">        2</w:t>
      </w:r>
      <w:r w:rsidRPr="00570A59">
        <w:rPr>
          <w:rFonts w:eastAsia="Arial Unicode MS"/>
          <w:lang w:val="en-US" w:eastAsia="en-US"/>
        </w:rPr>
        <w:t xml:space="preserve"> = Disagree </w:t>
      </w:r>
    </w:p>
    <w:p w14:paraId="0116774B"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3</w:t>
      </w:r>
      <w:r w:rsidRPr="00570A59">
        <w:rPr>
          <w:rFonts w:eastAsia="Arial Unicode MS"/>
          <w:lang w:val="en-US" w:eastAsia="en-US"/>
        </w:rPr>
        <w:t xml:space="preserve"> = Slightly disagree</w:t>
      </w:r>
    </w:p>
    <w:p w14:paraId="55EB2C9F"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 xml:space="preserve">                        4</w:t>
      </w:r>
      <w:r w:rsidRPr="00570A59">
        <w:rPr>
          <w:rFonts w:eastAsia="Arial Unicode MS"/>
          <w:lang w:val="en-US" w:eastAsia="en-US"/>
        </w:rPr>
        <w:t xml:space="preserve"> = slightly agree </w:t>
      </w:r>
    </w:p>
    <w:p w14:paraId="3A1BA854" w14:textId="77777777" w:rsidR="00570A59" w:rsidRPr="00570A59" w:rsidRDefault="00570A59" w:rsidP="00570A59">
      <w:pPr>
        <w:widowControl w:val="0"/>
        <w:autoSpaceDE w:val="0"/>
        <w:autoSpaceDN w:val="0"/>
        <w:adjustRightInd w:val="0"/>
        <w:spacing w:line="276" w:lineRule="auto"/>
        <w:ind w:firstLine="0"/>
        <w:rPr>
          <w:rFonts w:eastAsia="Arial Unicode MS"/>
          <w:lang w:val="en-US" w:eastAsia="en-US"/>
        </w:rPr>
      </w:pPr>
      <w:r w:rsidRPr="00570A59">
        <w:rPr>
          <w:rFonts w:eastAsia="Arial Unicode MS"/>
          <w:lang w:val="en-US" w:eastAsia="en-US"/>
        </w:rPr>
        <w:t xml:space="preserve">     </w:t>
      </w:r>
      <w:r w:rsidRPr="00570A59">
        <w:rPr>
          <w:rFonts w:eastAsia="Arial Unicode MS"/>
          <w:b/>
          <w:lang w:val="en-US" w:eastAsia="en-US"/>
        </w:rPr>
        <w:t xml:space="preserve">                                5</w:t>
      </w:r>
      <w:r w:rsidRPr="00570A59">
        <w:rPr>
          <w:rFonts w:eastAsia="Arial Unicode MS"/>
          <w:lang w:val="en-US" w:eastAsia="en-US"/>
        </w:rPr>
        <w:t xml:space="preserve"> = Agree </w:t>
      </w:r>
    </w:p>
    <w:p w14:paraId="52157847" w14:textId="77777777" w:rsidR="00570A59" w:rsidRPr="00570A59" w:rsidRDefault="00570A59" w:rsidP="00570A59">
      <w:pPr>
        <w:widowControl w:val="0"/>
        <w:autoSpaceDE w:val="0"/>
        <w:autoSpaceDN w:val="0"/>
        <w:adjustRightInd w:val="0"/>
        <w:spacing w:line="276" w:lineRule="auto"/>
        <w:ind w:left="2160" w:firstLine="0"/>
        <w:rPr>
          <w:rFonts w:eastAsia="Arial Unicode MS"/>
          <w:b/>
          <w:lang w:val="en-US" w:eastAsia="en-US"/>
        </w:rPr>
      </w:pPr>
      <w:r w:rsidRPr="00570A59">
        <w:rPr>
          <w:rFonts w:eastAsia="Arial Unicode MS"/>
          <w:b/>
          <w:lang w:val="en-US" w:eastAsia="en-US"/>
        </w:rPr>
        <w:t xml:space="preserve">     6= </w:t>
      </w:r>
      <w:r w:rsidRPr="00570A59">
        <w:rPr>
          <w:rFonts w:eastAsia="Arial Unicode MS"/>
          <w:lang w:val="en-US" w:eastAsia="en-US"/>
        </w:rPr>
        <w:t>Strongly Agree</w:t>
      </w:r>
    </w:p>
    <w:p w14:paraId="1CB42CDD" w14:textId="77777777" w:rsidR="00570A59" w:rsidRPr="00570A59" w:rsidRDefault="00570A59" w:rsidP="00570A59">
      <w:pPr>
        <w:spacing w:line="276" w:lineRule="auto"/>
        <w:ind w:firstLine="0"/>
        <w:rPr>
          <w:rFonts w:eastAsia="Calibri"/>
          <w:lang w:eastAsia="en-US"/>
        </w:rPr>
      </w:pPr>
      <w:r w:rsidRPr="00570A59">
        <w:rPr>
          <w:rFonts w:eastAsia="Calibri"/>
          <w:lang w:eastAsia="en-US"/>
        </w:rPr>
        <w:t>CARVAL</w:t>
      </w:r>
    </w:p>
    <w:p w14:paraId="4729D16F" w14:textId="77777777" w:rsidR="00570A59" w:rsidRPr="00570A59" w:rsidRDefault="00570A59" w:rsidP="00570A59">
      <w:pPr>
        <w:spacing w:line="276" w:lineRule="auto"/>
        <w:ind w:firstLine="0"/>
        <w:rPr>
          <w:rFonts w:eastAsia="Calibri"/>
          <w:lang w:eastAsia="en-US"/>
        </w:rPr>
      </w:pPr>
      <w:r w:rsidRPr="00570A59">
        <w:rPr>
          <w:rFonts w:eastAsia="Calibri"/>
          <w:lang w:eastAsia="en-US"/>
        </w:rPr>
        <w:t xml:space="preserve">___1. The way I look makes me unattractive </w:t>
      </w:r>
    </w:p>
    <w:p w14:paraId="2A545D2D" w14:textId="77777777" w:rsidR="00570A59" w:rsidRPr="00570A59" w:rsidRDefault="00570A59" w:rsidP="00570A59">
      <w:pPr>
        <w:spacing w:line="276" w:lineRule="auto"/>
        <w:ind w:firstLine="0"/>
        <w:rPr>
          <w:rFonts w:eastAsia="Calibri"/>
          <w:lang w:eastAsia="en-US"/>
        </w:rPr>
      </w:pPr>
      <w:r w:rsidRPr="00570A59">
        <w:rPr>
          <w:rFonts w:eastAsia="Calibri"/>
          <w:lang w:eastAsia="en-US"/>
        </w:rPr>
        <w:t>___2. The way I look makes me feel good about myself</w:t>
      </w:r>
      <w:r w:rsidRPr="004D2DCA">
        <w:rPr>
          <w:rStyle w:val="FootnoteReference"/>
        </w:rPr>
        <w:footnoteReference w:id="4"/>
      </w:r>
    </w:p>
    <w:p w14:paraId="018756A0" w14:textId="77777777" w:rsidR="00570A59" w:rsidRPr="00570A59" w:rsidRDefault="00570A59" w:rsidP="00570A59">
      <w:pPr>
        <w:spacing w:line="276" w:lineRule="auto"/>
        <w:ind w:firstLine="0"/>
        <w:rPr>
          <w:rFonts w:eastAsia="Calibri"/>
          <w:lang w:eastAsia="en-US"/>
        </w:rPr>
      </w:pPr>
      <w:r w:rsidRPr="00570A59">
        <w:rPr>
          <w:rFonts w:eastAsia="Calibri"/>
          <w:lang w:eastAsia="en-US"/>
        </w:rPr>
        <w:t xml:space="preserve">___3. I feel bad about my body and appearance </w:t>
      </w:r>
    </w:p>
    <w:p w14:paraId="4012F258" w14:textId="77777777" w:rsidR="00570A59" w:rsidRPr="00570A59" w:rsidRDefault="00570A59" w:rsidP="00570A59">
      <w:pPr>
        <w:spacing w:line="276" w:lineRule="auto"/>
        <w:ind w:firstLine="0"/>
        <w:rPr>
          <w:rFonts w:eastAsia="Calibri"/>
          <w:lang w:eastAsia="en-US"/>
        </w:rPr>
      </w:pPr>
      <w:r w:rsidRPr="00570A59">
        <w:rPr>
          <w:rFonts w:eastAsia="Calibri"/>
          <w:lang w:eastAsia="en-US"/>
        </w:rPr>
        <w:t>___4. I am satisfied with my physical appearance*</w:t>
      </w:r>
    </w:p>
    <w:p w14:paraId="31E7F8FB" w14:textId="77777777" w:rsidR="00570A59" w:rsidRPr="00570A59" w:rsidRDefault="00570A59" w:rsidP="00570A59">
      <w:pPr>
        <w:spacing w:line="276" w:lineRule="auto"/>
        <w:ind w:firstLine="0"/>
        <w:rPr>
          <w:rFonts w:eastAsia="Calibri"/>
          <w:lang w:eastAsia="en-US"/>
        </w:rPr>
      </w:pPr>
      <w:r w:rsidRPr="00570A59">
        <w:rPr>
          <w:rFonts w:eastAsia="Calibri"/>
          <w:lang w:eastAsia="en-US"/>
        </w:rPr>
        <w:t>___5. My body and face look pretty much the way I would like*</w:t>
      </w:r>
    </w:p>
    <w:p w14:paraId="2B47806A" w14:textId="77777777" w:rsidR="00570A59" w:rsidRPr="00570A59" w:rsidRDefault="00570A59" w:rsidP="00570A59">
      <w:pPr>
        <w:spacing w:line="276" w:lineRule="auto"/>
        <w:ind w:firstLine="0"/>
        <w:rPr>
          <w:rFonts w:eastAsia="Calibri"/>
          <w:lang w:eastAsia="en-US"/>
        </w:rPr>
      </w:pPr>
      <w:r w:rsidRPr="00570A59">
        <w:rPr>
          <w:rFonts w:eastAsia="Calibri"/>
          <w:lang w:eastAsia="en-US"/>
        </w:rPr>
        <w:t>___6. I don’t like the way I look?</w:t>
      </w:r>
    </w:p>
    <w:p w14:paraId="71162411" w14:textId="77777777" w:rsidR="00570A59" w:rsidRPr="00570A59" w:rsidRDefault="00570A59" w:rsidP="00570A59">
      <w:pPr>
        <w:spacing w:line="276" w:lineRule="auto"/>
        <w:ind w:firstLine="0"/>
        <w:rPr>
          <w:rFonts w:eastAsia="Calibri"/>
          <w:lang w:eastAsia="en-US"/>
        </w:rPr>
      </w:pPr>
    </w:p>
    <w:p w14:paraId="79729DE7" w14:textId="77777777" w:rsidR="00570A59" w:rsidRPr="00570A59" w:rsidRDefault="00570A59" w:rsidP="00570A59">
      <w:pPr>
        <w:spacing w:line="276" w:lineRule="auto"/>
        <w:ind w:firstLine="0"/>
        <w:rPr>
          <w:rFonts w:eastAsia="Calibri"/>
          <w:lang w:eastAsia="en-US"/>
        </w:rPr>
      </w:pPr>
      <w:r w:rsidRPr="00570A59">
        <w:rPr>
          <w:rFonts w:eastAsia="Calibri"/>
          <w:lang w:eastAsia="en-US"/>
        </w:rPr>
        <w:t>CARSAL</w:t>
      </w:r>
    </w:p>
    <w:p w14:paraId="3D209F54" w14:textId="77777777" w:rsidR="00570A59" w:rsidRPr="00570A59" w:rsidRDefault="00570A59" w:rsidP="00570A59">
      <w:pPr>
        <w:spacing w:line="276" w:lineRule="auto"/>
        <w:ind w:firstLine="0"/>
        <w:rPr>
          <w:rFonts w:eastAsia="Calibri"/>
          <w:lang w:eastAsia="en-US"/>
        </w:rPr>
      </w:pPr>
    </w:p>
    <w:p w14:paraId="278D2F76" w14:textId="77777777" w:rsidR="00570A59" w:rsidRPr="00570A59" w:rsidRDefault="00570A59" w:rsidP="00570A59">
      <w:pPr>
        <w:spacing w:line="276" w:lineRule="auto"/>
        <w:ind w:firstLine="0"/>
        <w:rPr>
          <w:rFonts w:eastAsia="Calibri"/>
          <w:lang w:eastAsia="en-US"/>
        </w:rPr>
      </w:pPr>
      <w:r w:rsidRPr="00570A59">
        <w:rPr>
          <w:rFonts w:eastAsia="Calibri"/>
          <w:lang w:eastAsia="en-US"/>
        </w:rPr>
        <w:t>___1. In most situations, I find myself aware of the way my face and body look</w:t>
      </w:r>
    </w:p>
    <w:p w14:paraId="6E628274" w14:textId="77777777" w:rsidR="00570A59" w:rsidRPr="00570A59" w:rsidRDefault="00570A59" w:rsidP="00570A59">
      <w:pPr>
        <w:spacing w:line="276" w:lineRule="auto"/>
        <w:ind w:firstLine="0"/>
        <w:rPr>
          <w:rFonts w:eastAsia="Calibri"/>
          <w:lang w:eastAsia="en-US"/>
        </w:rPr>
      </w:pPr>
      <w:r w:rsidRPr="00570A59">
        <w:rPr>
          <w:rFonts w:eastAsia="Calibri"/>
          <w:lang w:eastAsia="en-US"/>
        </w:rPr>
        <w:t>___2. I am often aware of the way I look to other people</w:t>
      </w:r>
    </w:p>
    <w:p w14:paraId="54338C02" w14:textId="77777777" w:rsidR="00570A59" w:rsidRPr="00570A59" w:rsidRDefault="00570A59" w:rsidP="00570A59">
      <w:pPr>
        <w:spacing w:line="276" w:lineRule="auto"/>
        <w:ind w:firstLine="0"/>
        <w:rPr>
          <w:rFonts w:eastAsia="Calibri"/>
          <w:lang w:eastAsia="en-US"/>
        </w:rPr>
      </w:pPr>
      <w:r w:rsidRPr="00570A59">
        <w:rPr>
          <w:rFonts w:eastAsia="Calibri"/>
          <w:lang w:eastAsia="en-US"/>
        </w:rPr>
        <w:t>___3. I often think about the impression that the appearance of my face and body make</w:t>
      </w:r>
    </w:p>
    <w:p w14:paraId="588F09E8" w14:textId="77777777" w:rsidR="00570A59" w:rsidRPr="00570A59" w:rsidRDefault="00570A59" w:rsidP="00570A59">
      <w:pPr>
        <w:spacing w:line="276" w:lineRule="auto"/>
        <w:ind w:firstLine="0"/>
        <w:rPr>
          <w:rFonts w:eastAsia="Calibri"/>
          <w:lang w:eastAsia="en-US"/>
        </w:rPr>
      </w:pPr>
      <w:r w:rsidRPr="00570A59">
        <w:rPr>
          <w:rFonts w:eastAsia="Calibri"/>
          <w:lang w:eastAsia="en-US"/>
        </w:rPr>
        <w:t>___4. I am usually conscious of my appearance</w:t>
      </w:r>
    </w:p>
    <w:p w14:paraId="027BF9AE" w14:textId="77777777" w:rsidR="00570A59" w:rsidRPr="00570A59" w:rsidRDefault="00570A59" w:rsidP="00570A59">
      <w:pPr>
        <w:spacing w:line="276" w:lineRule="auto"/>
        <w:ind w:firstLine="0"/>
        <w:rPr>
          <w:rFonts w:eastAsia="Calibri"/>
          <w:lang w:eastAsia="en-US"/>
        </w:rPr>
      </w:pPr>
      <w:r w:rsidRPr="00570A59">
        <w:rPr>
          <w:rFonts w:eastAsia="Calibri"/>
          <w:lang w:eastAsia="en-US"/>
        </w:rPr>
        <w:t>___ 5. For me, my appearance is an important part of who I am</w:t>
      </w:r>
    </w:p>
    <w:p w14:paraId="69262701" w14:textId="77777777" w:rsidR="00570A59" w:rsidRPr="00570A59" w:rsidRDefault="00570A59" w:rsidP="00570A59">
      <w:pPr>
        <w:spacing w:line="276" w:lineRule="auto"/>
        <w:ind w:firstLine="0"/>
        <w:rPr>
          <w:rFonts w:eastAsia="Calibri"/>
          <w:lang w:eastAsia="en-US"/>
        </w:rPr>
      </w:pPr>
    </w:p>
    <w:p w14:paraId="77B3444D" w14:textId="77777777" w:rsidR="00570A59" w:rsidRPr="00570A59" w:rsidRDefault="00570A59" w:rsidP="00570A59">
      <w:pPr>
        <w:spacing w:line="276" w:lineRule="auto"/>
        <w:ind w:firstLine="0"/>
        <w:rPr>
          <w:rFonts w:eastAsia="Calibri"/>
          <w:lang w:eastAsia="en-US"/>
        </w:rPr>
      </w:pPr>
    </w:p>
    <w:p w14:paraId="3350473E" w14:textId="77777777" w:rsidR="00570A59" w:rsidRPr="00570A59" w:rsidRDefault="00570A59" w:rsidP="00570A59">
      <w:pPr>
        <w:spacing w:line="276" w:lineRule="auto"/>
        <w:ind w:firstLine="0"/>
        <w:rPr>
          <w:rFonts w:eastAsia="Calibri"/>
          <w:lang w:eastAsia="en-US"/>
        </w:rPr>
      </w:pPr>
    </w:p>
    <w:p w14:paraId="29C9E65F" w14:textId="77777777" w:rsidR="00570A59" w:rsidRPr="00570A59" w:rsidRDefault="00570A59" w:rsidP="00570A59">
      <w:pPr>
        <w:spacing w:line="276" w:lineRule="auto"/>
        <w:ind w:firstLine="0"/>
        <w:rPr>
          <w:rFonts w:eastAsia="Calibri"/>
          <w:lang w:eastAsia="en-US"/>
        </w:rPr>
      </w:pPr>
    </w:p>
    <w:p w14:paraId="4197A3FA" w14:textId="77777777" w:rsidR="00570A59" w:rsidRPr="00570A59" w:rsidRDefault="00570A59" w:rsidP="00570A59">
      <w:pPr>
        <w:spacing w:line="276" w:lineRule="auto"/>
        <w:ind w:firstLine="0"/>
        <w:rPr>
          <w:lang w:val="en-US"/>
        </w:rPr>
      </w:pPr>
    </w:p>
    <w:p w14:paraId="717A8303"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r w:rsidRPr="00570A59">
        <w:rPr>
          <w:b/>
          <w:color w:val="auto"/>
          <w:lang w:val="en-US" w:eastAsia="en-US"/>
        </w:rPr>
        <w:t>Appendix 3F-Introduction page IAT</w:t>
      </w:r>
    </w:p>
    <w:p w14:paraId="0400F817" w14:textId="45EE493F" w:rsidR="00570A59" w:rsidRPr="00570A59" w:rsidRDefault="00D02823" w:rsidP="00570A59">
      <w:pPr>
        <w:spacing w:line="276" w:lineRule="auto"/>
        <w:ind w:firstLine="0"/>
        <w:rPr>
          <w:noProof/>
        </w:rPr>
      </w:pPr>
      <w:r>
        <w:rPr>
          <w:noProof/>
          <w:lang w:val="es-CO" w:eastAsia="es-CO"/>
        </w:rPr>
        <w:drawing>
          <wp:inline distT="0" distB="0" distL="0" distR="0" wp14:anchorId="2C21590A" wp14:editId="0CC39315">
            <wp:extent cx="5622925" cy="7640955"/>
            <wp:effectExtent l="0" t="0" r="0" b="0"/>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2925" cy="7640955"/>
                    </a:xfrm>
                    <a:prstGeom prst="rect">
                      <a:avLst/>
                    </a:prstGeom>
                    <a:noFill/>
                    <a:ln>
                      <a:noFill/>
                    </a:ln>
                  </pic:spPr>
                </pic:pic>
              </a:graphicData>
            </a:graphic>
          </wp:inline>
        </w:drawing>
      </w:r>
    </w:p>
    <w:p w14:paraId="343A3058" w14:textId="77777777" w:rsidR="00570A59" w:rsidRPr="00570A59" w:rsidRDefault="00570A59" w:rsidP="00570A59">
      <w:pPr>
        <w:spacing w:line="276" w:lineRule="auto"/>
        <w:ind w:firstLine="0"/>
        <w:jc w:val="center"/>
        <w:rPr>
          <w:lang w:val="en-US"/>
        </w:rPr>
      </w:pPr>
    </w:p>
    <w:p w14:paraId="375D7D55" w14:textId="02CBE7C1" w:rsidR="00570A59" w:rsidRDefault="00570A59" w:rsidP="00570A59">
      <w:pPr>
        <w:spacing w:line="276" w:lineRule="auto"/>
        <w:ind w:firstLine="0"/>
        <w:jc w:val="center"/>
        <w:rPr>
          <w:lang w:val="en-US"/>
        </w:rPr>
      </w:pPr>
    </w:p>
    <w:p w14:paraId="63867AB4" w14:textId="77777777" w:rsidR="00656768" w:rsidRPr="00570A59" w:rsidRDefault="00656768" w:rsidP="00570A59">
      <w:pPr>
        <w:spacing w:line="276" w:lineRule="auto"/>
        <w:ind w:firstLine="0"/>
        <w:jc w:val="center"/>
        <w:rPr>
          <w:lang w:val="en-US"/>
        </w:rPr>
      </w:pPr>
    </w:p>
    <w:p w14:paraId="7C857442" w14:textId="77777777" w:rsidR="00570A59" w:rsidRPr="00570A59" w:rsidRDefault="00570A59" w:rsidP="00570A59">
      <w:pPr>
        <w:spacing w:line="276" w:lineRule="auto"/>
        <w:ind w:firstLine="0"/>
      </w:pPr>
    </w:p>
    <w:p w14:paraId="26CA0E2D" w14:textId="77777777" w:rsidR="00570A59" w:rsidRPr="00570A59" w:rsidRDefault="00570A59" w:rsidP="00570A59">
      <w:pPr>
        <w:spacing w:line="276" w:lineRule="auto"/>
        <w:ind w:firstLine="0"/>
      </w:pPr>
    </w:p>
    <w:p w14:paraId="308E941D"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eastAsia="en-US"/>
        </w:rPr>
        <w:t>Appendix 3H- Screenshot of stimuli presentation</w:t>
      </w:r>
    </w:p>
    <w:p w14:paraId="68D4E61D" w14:textId="02CA9FF6" w:rsidR="00570A59" w:rsidRPr="00570A59" w:rsidRDefault="00570A59" w:rsidP="00570A59">
      <w:pPr>
        <w:spacing w:line="276" w:lineRule="auto"/>
        <w:ind w:firstLine="0"/>
        <w:jc w:val="center"/>
        <w:rPr>
          <w:noProof/>
        </w:rPr>
      </w:pPr>
      <w:r w:rsidRPr="00570A59">
        <w:rPr>
          <w:noProof/>
        </w:rPr>
        <w:t xml:space="preserve"> </w:t>
      </w:r>
      <w:r w:rsidR="00D02823">
        <w:rPr>
          <w:noProof/>
          <w:lang w:val="es-CO" w:eastAsia="es-CO"/>
        </w:rPr>
        <w:drawing>
          <wp:inline distT="0" distB="0" distL="0" distR="0" wp14:anchorId="16618F14" wp14:editId="0A8A9D8B">
            <wp:extent cx="5738495" cy="3216275"/>
            <wp:effectExtent l="0" t="0" r="0" b="0"/>
            <wp:docPr id="1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8495" cy="3216275"/>
                    </a:xfrm>
                    <a:prstGeom prst="rect">
                      <a:avLst/>
                    </a:prstGeom>
                    <a:noFill/>
                    <a:ln>
                      <a:noFill/>
                    </a:ln>
                  </pic:spPr>
                </pic:pic>
              </a:graphicData>
            </a:graphic>
          </wp:inline>
        </w:drawing>
      </w:r>
    </w:p>
    <w:p w14:paraId="4A8CCE9C" w14:textId="77777777" w:rsidR="00570A59" w:rsidRPr="00570A59" w:rsidRDefault="00570A59" w:rsidP="00570A59">
      <w:pPr>
        <w:spacing w:line="276" w:lineRule="auto"/>
        <w:ind w:firstLine="0"/>
        <w:rPr>
          <w:noProof/>
        </w:rPr>
      </w:pPr>
    </w:p>
    <w:p w14:paraId="16DF1BFA" w14:textId="77777777" w:rsidR="00570A59" w:rsidRPr="00570A59" w:rsidRDefault="00570A59" w:rsidP="00570A59">
      <w:pPr>
        <w:spacing w:line="276" w:lineRule="auto"/>
        <w:ind w:firstLine="0"/>
        <w:rPr>
          <w:noProof/>
        </w:rPr>
      </w:pPr>
    </w:p>
    <w:p w14:paraId="08410F7B" w14:textId="1B1E1964" w:rsidR="00570A59" w:rsidRPr="00570A59" w:rsidRDefault="00D02823" w:rsidP="00570A59">
      <w:pPr>
        <w:spacing w:line="276" w:lineRule="auto"/>
        <w:ind w:firstLine="0"/>
      </w:pPr>
      <w:r>
        <w:rPr>
          <w:noProof/>
          <w:lang w:val="es-CO" w:eastAsia="es-CO"/>
        </w:rPr>
        <w:drawing>
          <wp:inline distT="0" distB="0" distL="0" distR="0" wp14:anchorId="37BABFD1" wp14:editId="0C5B06BC">
            <wp:extent cx="5728335" cy="3195320"/>
            <wp:effectExtent l="0" t="0" r="0" b="0"/>
            <wp:docPr id="1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8335" cy="3195320"/>
                    </a:xfrm>
                    <a:prstGeom prst="rect">
                      <a:avLst/>
                    </a:prstGeom>
                    <a:noFill/>
                    <a:ln>
                      <a:noFill/>
                    </a:ln>
                  </pic:spPr>
                </pic:pic>
              </a:graphicData>
            </a:graphic>
          </wp:inline>
        </w:drawing>
      </w:r>
    </w:p>
    <w:p w14:paraId="42FB8400" w14:textId="77777777" w:rsidR="00570A59" w:rsidRPr="00570A59" w:rsidRDefault="00570A59" w:rsidP="00570A59">
      <w:pPr>
        <w:spacing w:line="276" w:lineRule="auto"/>
        <w:ind w:firstLine="0"/>
      </w:pPr>
    </w:p>
    <w:p w14:paraId="4603D52F" w14:textId="77777777" w:rsidR="00570A59" w:rsidRPr="00570A59" w:rsidRDefault="00570A59" w:rsidP="00570A59">
      <w:pPr>
        <w:spacing w:line="276" w:lineRule="auto"/>
        <w:ind w:firstLine="0"/>
        <w:jc w:val="center"/>
      </w:pPr>
    </w:p>
    <w:p w14:paraId="1C16361B"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eastAsia="en-US"/>
        </w:rPr>
        <w:t>Appendix 3I: Error presentation</w:t>
      </w:r>
    </w:p>
    <w:p w14:paraId="1B266EF8" w14:textId="1847F573" w:rsidR="00570A59" w:rsidRPr="00570A59" w:rsidRDefault="00D02823" w:rsidP="00570A59">
      <w:pPr>
        <w:spacing w:line="276" w:lineRule="auto"/>
        <w:ind w:firstLine="0"/>
      </w:pPr>
      <w:r>
        <w:rPr>
          <w:noProof/>
          <w:lang w:val="es-CO" w:eastAsia="es-CO"/>
        </w:rPr>
        <w:lastRenderedPageBreak/>
        <w:drawing>
          <wp:inline distT="0" distB="0" distL="0" distR="0" wp14:anchorId="125D8EB1" wp14:editId="4DD8FBFD">
            <wp:extent cx="5728335" cy="3195320"/>
            <wp:effectExtent l="0" t="0" r="0" b="0"/>
            <wp:docPr id="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8335" cy="3195320"/>
                    </a:xfrm>
                    <a:prstGeom prst="rect">
                      <a:avLst/>
                    </a:prstGeom>
                    <a:noFill/>
                    <a:ln>
                      <a:noFill/>
                    </a:ln>
                  </pic:spPr>
                </pic:pic>
              </a:graphicData>
            </a:graphic>
          </wp:inline>
        </w:drawing>
      </w:r>
    </w:p>
    <w:p w14:paraId="2C7BECAC" w14:textId="77777777" w:rsidR="00570A59" w:rsidRPr="00570A59" w:rsidRDefault="00570A59" w:rsidP="00570A59">
      <w:pPr>
        <w:spacing w:line="276" w:lineRule="auto"/>
        <w:ind w:firstLine="0"/>
      </w:pPr>
    </w:p>
    <w:p w14:paraId="29334E63" w14:textId="77777777" w:rsidR="00570A59" w:rsidRPr="00570A59" w:rsidRDefault="00570A59" w:rsidP="00570A59">
      <w:pPr>
        <w:spacing w:line="276" w:lineRule="auto"/>
        <w:ind w:firstLine="0"/>
        <w:jc w:val="center"/>
        <w:rPr>
          <w:lang w:val="en-US"/>
        </w:rPr>
      </w:pPr>
    </w:p>
    <w:p w14:paraId="305305E1" w14:textId="77777777" w:rsidR="00570A59" w:rsidRPr="00570A59" w:rsidRDefault="00570A59" w:rsidP="00570A59">
      <w:pPr>
        <w:spacing w:line="276" w:lineRule="auto"/>
        <w:ind w:firstLine="0"/>
        <w:jc w:val="center"/>
        <w:rPr>
          <w:lang w:val="en-US"/>
        </w:rPr>
      </w:pPr>
    </w:p>
    <w:p w14:paraId="7C156160" w14:textId="77777777" w:rsidR="00570A59" w:rsidRPr="00570A59" w:rsidRDefault="00570A59" w:rsidP="00570A59">
      <w:pPr>
        <w:spacing w:line="276" w:lineRule="auto"/>
        <w:ind w:firstLine="0"/>
        <w:jc w:val="center"/>
        <w:rPr>
          <w:lang w:val="en-US"/>
        </w:rPr>
      </w:pPr>
    </w:p>
    <w:p w14:paraId="5B459B81" w14:textId="77777777" w:rsidR="00570A59" w:rsidRPr="00570A59" w:rsidRDefault="00570A59" w:rsidP="00570A59">
      <w:pPr>
        <w:spacing w:line="276" w:lineRule="auto"/>
        <w:ind w:firstLine="0"/>
        <w:jc w:val="center"/>
        <w:rPr>
          <w:lang w:val="en-US"/>
        </w:rPr>
      </w:pPr>
    </w:p>
    <w:p w14:paraId="186B98FB" w14:textId="77777777" w:rsidR="00570A59" w:rsidRPr="00570A59" w:rsidRDefault="00570A59" w:rsidP="00570A59">
      <w:pPr>
        <w:spacing w:line="276" w:lineRule="auto"/>
        <w:ind w:firstLine="0"/>
        <w:jc w:val="center"/>
        <w:rPr>
          <w:lang w:val="en-US"/>
        </w:rPr>
      </w:pPr>
    </w:p>
    <w:p w14:paraId="72D884FC" w14:textId="77777777" w:rsidR="00570A59" w:rsidRPr="00570A59" w:rsidRDefault="00570A59" w:rsidP="00570A59">
      <w:pPr>
        <w:spacing w:line="276" w:lineRule="auto"/>
        <w:ind w:firstLine="0"/>
        <w:jc w:val="center"/>
        <w:rPr>
          <w:lang w:val="en-US"/>
        </w:rPr>
      </w:pPr>
    </w:p>
    <w:p w14:paraId="7772B366" w14:textId="77777777" w:rsidR="00570A59" w:rsidRPr="00570A59" w:rsidRDefault="00570A59" w:rsidP="00570A59">
      <w:pPr>
        <w:spacing w:line="276" w:lineRule="auto"/>
        <w:ind w:firstLine="0"/>
        <w:jc w:val="center"/>
        <w:rPr>
          <w:lang w:val="en-US"/>
        </w:rPr>
      </w:pPr>
    </w:p>
    <w:p w14:paraId="06595A00" w14:textId="77777777" w:rsidR="00570A59" w:rsidRPr="00570A59" w:rsidRDefault="00570A59" w:rsidP="00570A59">
      <w:pPr>
        <w:spacing w:line="276" w:lineRule="auto"/>
        <w:ind w:firstLine="0"/>
        <w:jc w:val="center"/>
        <w:rPr>
          <w:lang w:val="en-US"/>
        </w:rPr>
      </w:pPr>
    </w:p>
    <w:p w14:paraId="2CDE74EA" w14:textId="77777777" w:rsidR="00570A59" w:rsidRPr="00570A59" w:rsidRDefault="00570A59" w:rsidP="00570A59">
      <w:pPr>
        <w:spacing w:line="276" w:lineRule="auto"/>
        <w:ind w:firstLine="0"/>
        <w:jc w:val="center"/>
        <w:rPr>
          <w:lang w:val="en-US"/>
        </w:rPr>
      </w:pPr>
    </w:p>
    <w:p w14:paraId="6D37F059" w14:textId="77777777" w:rsidR="00570A59" w:rsidRPr="00570A59" w:rsidRDefault="00570A59" w:rsidP="00570A59">
      <w:pPr>
        <w:spacing w:line="276" w:lineRule="auto"/>
        <w:ind w:firstLine="0"/>
        <w:jc w:val="center"/>
        <w:rPr>
          <w:lang w:val="en-US"/>
        </w:rPr>
      </w:pPr>
    </w:p>
    <w:p w14:paraId="160C8124" w14:textId="77777777" w:rsidR="00570A59" w:rsidRPr="00570A59" w:rsidRDefault="00570A59" w:rsidP="00570A59">
      <w:pPr>
        <w:spacing w:line="276" w:lineRule="auto"/>
        <w:ind w:firstLine="0"/>
        <w:jc w:val="center"/>
        <w:rPr>
          <w:lang w:val="en-US"/>
        </w:rPr>
      </w:pPr>
    </w:p>
    <w:p w14:paraId="78C310D3" w14:textId="0A8CD72F" w:rsidR="00570A59" w:rsidRDefault="00570A59" w:rsidP="00570A59">
      <w:pPr>
        <w:spacing w:line="276" w:lineRule="auto"/>
        <w:ind w:firstLine="0"/>
        <w:jc w:val="center"/>
        <w:rPr>
          <w:lang w:val="en-US"/>
        </w:rPr>
      </w:pPr>
    </w:p>
    <w:p w14:paraId="5827ED08" w14:textId="77777777" w:rsidR="00656768" w:rsidRPr="00570A59" w:rsidRDefault="00656768" w:rsidP="00570A59">
      <w:pPr>
        <w:spacing w:line="276" w:lineRule="auto"/>
        <w:ind w:firstLine="0"/>
        <w:jc w:val="center"/>
        <w:rPr>
          <w:lang w:val="en-US"/>
        </w:rPr>
      </w:pPr>
    </w:p>
    <w:p w14:paraId="6E696B2E" w14:textId="77777777" w:rsidR="00570A59" w:rsidRPr="00570A59" w:rsidRDefault="00570A59" w:rsidP="00570A59">
      <w:pPr>
        <w:spacing w:line="276" w:lineRule="auto"/>
        <w:ind w:firstLine="0"/>
        <w:jc w:val="center"/>
        <w:rPr>
          <w:lang w:val="en-US"/>
        </w:rPr>
      </w:pPr>
    </w:p>
    <w:p w14:paraId="5D41BFB7" w14:textId="77777777" w:rsidR="00570A59" w:rsidRPr="00570A59" w:rsidRDefault="00570A59" w:rsidP="00570A59">
      <w:pPr>
        <w:spacing w:line="276" w:lineRule="auto"/>
        <w:ind w:firstLine="0"/>
        <w:jc w:val="center"/>
        <w:rPr>
          <w:lang w:val="en-US"/>
        </w:rPr>
      </w:pPr>
    </w:p>
    <w:p w14:paraId="3E64C0FF" w14:textId="77777777" w:rsidR="00570A59" w:rsidRPr="00570A59" w:rsidRDefault="00570A59" w:rsidP="00570A59">
      <w:pPr>
        <w:spacing w:line="276" w:lineRule="auto"/>
        <w:ind w:firstLine="0"/>
        <w:jc w:val="center"/>
        <w:rPr>
          <w:lang w:val="en-US"/>
        </w:rPr>
      </w:pPr>
    </w:p>
    <w:p w14:paraId="3A4CD798" w14:textId="77777777" w:rsidR="00570A59" w:rsidRPr="00570A59" w:rsidRDefault="00570A59" w:rsidP="00570A59">
      <w:pPr>
        <w:spacing w:line="276" w:lineRule="auto"/>
        <w:ind w:firstLine="0"/>
        <w:jc w:val="center"/>
        <w:rPr>
          <w:lang w:val="en-US"/>
        </w:rPr>
      </w:pPr>
    </w:p>
    <w:p w14:paraId="30F7BDB5" w14:textId="77777777" w:rsidR="00570A59" w:rsidRPr="00570A59" w:rsidRDefault="00570A59" w:rsidP="00570A59">
      <w:pPr>
        <w:spacing w:line="276" w:lineRule="auto"/>
        <w:ind w:firstLine="0"/>
        <w:jc w:val="center"/>
        <w:rPr>
          <w:lang w:val="en-US"/>
        </w:rPr>
      </w:pPr>
    </w:p>
    <w:p w14:paraId="2B359A47" w14:textId="77777777" w:rsidR="00570A59" w:rsidRPr="00570A59" w:rsidRDefault="00570A59" w:rsidP="00570A59">
      <w:pPr>
        <w:spacing w:line="276" w:lineRule="auto"/>
        <w:ind w:firstLine="0"/>
        <w:jc w:val="center"/>
        <w:rPr>
          <w:lang w:val="en-US"/>
        </w:rPr>
      </w:pPr>
    </w:p>
    <w:p w14:paraId="426C613F"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r w:rsidRPr="00570A59">
        <w:rPr>
          <w:b/>
          <w:color w:val="auto"/>
          <w:lang w:val="en-US" w:eastAsia="en-US"/>
        </w:rPr>
        <w:lastRenderedPageBreak/>
        <w:t>Appendix 3J-Screen indicating end of IAT</w:t>
      </w:r>
    </w:p>
    <w:p w14:paraId="52DB845A" w14:textId="45AAC048" w:rsidR="00570A59" w:rsidRPr="00570A59" w:rsidRDefault="00D02823" w:rsidP="00570A59">
      <w:pPr>
        <w:spacing w:line="276" w:lineRule="auto"/>
        <w:ind w:firstLine="0"/>
        <w:rPr>
          <w:lang w:val="en-US"/>
        </w:rPr>
      </w:pPr>
      <w:r>
        <w:rPr>
          <w:noProof/>
          <w:lang w:val="es-CO" w:eastAsia="es-CO"/>
        </w:rPr>
        <w:drawing>
          <wp:inline distT="0" distB="0" distL="0" distR="0" wp14:anchorId="2A37E702" wp14:editId="20AA7081">
            <wp:extent cx="5728335" cy="2312035"/>
            <wp:effectExtent l="0" t="0" r="0" b="0"/>
            <wp:docPr id="2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8335" cy="2312035"/>
                    </a:xfrm>
                    <a:prstGeom prst="rect">
                      <a:avLst/>
                    </a:prstGeom>
                    <a:noFill/>
                    <a:ln>
                      <a:noFill/>
                    </a:ln>
                  </pic:spPr>
                </pic:pic>
              </a:graphicData>
            </a:graphic>
          </wp:inline>
        </w:drawing>
      </w:r>
    </w:p>
    <w:p w14:paraId="4A716210" w14:textId="77777777" w:rsidR="00570A59" w:rsidRPr="00570A59" w:rsidRDefault="00570A59" w:rsidP="00570A59">
      <w:pPr>
        <w:spacing w:line="276" w:lineRule="auto"/>
        <w:ind w:firstLine="0"/>
        <w:rPr>
          <w:lang w:val="en-US"/>
        </w:rPr>
      </w:pPr>
    </w:p>
    <w:p w14:paraId="7ACBD2D4" w14:textId="77777777" w:rsidR="00570A59" w:rsidRPr="00570A59" w:rsidRDefault="00570A59" w:rsidP="00570A59">
      <w:pPr>
        <w:spacing w:line="276" w:lineRule="auto"/>
        <w:ind w:firstLine="0"/>
        <w:rPr>
          <w:lang w:val="en-US"/>
        </w:rPr>
      </w:pPr>
    </w:p>
    <w:p w14:paraId="7864191B" w14:textId="77777777" w:rsidR="00570A59" w:rsidRPr="00570A59" w:rsidRDefault="00570A59" w:rsidP="00570A59">
      <w:pPr>
        <w:spacing w:line="276" w:lineRule="auto"/>
        <w:ind w:firstLine="0"/>
        <w:jc w:val="center"/>
        <w:rPr>
          <w:lang w:val="en-US"/>
        </w:rPr>
      </w:pPr>
    </w:p>
    <w:p w14:paraId="33241805" w14:textId="77777777" w:rsidR="00570A59" w:rsidRPr="00570A59" w:rsidRDefault="00570A59" w:rsidP="00570A59">
      <w:pPr>
        <w:spacing w:line="276" w:lineRule="auto"/>
        <w:ind w:firstLine="0"/>
        <w:jc w:val="center"/>
        <w:rPr>
          <w:lang w:val="en-US"/>
        </w:rPr>
      </w:pPr>
    </w:p>
    <w:p w14:paraId="0ABA515C" w14:textId="77777777" w:rsidR="00570A59" w:rsidRPr="00570A59" w:rsidRDefault="00570A59" w:rsidP="00570A59">
      <w:pPr>
        <w:spacing w:line="276" w:lineRule="auto"/>
        <w:ind w:firstLine="0"/>
        <w:jc w:val="center"/>
        <w:rPr>
          <w:lang w:val="en-US"/>
        </w:rPr>
      </w:pPr>
    </w:p>
    <w:p w14:paraId="28CFEC39" w14:textId="77777777" w:rsidR="00570A59" w:rsidRPr="00570A59" w:rsidRDefault="00570A59" w:rsidP="00570A59">
      <w:pPr>
        <w:spacing w:line="276" w:lineRule="auto"/>
        <w:ind w:firstLine="0"/>
        <w:jc w:val="center"/>
        <w:rPr>
          <w:lang w:val="en-US"/>
        </w:rPr>
      </w:pPr>
    </w:p>
    <w:p w14:paraId="4BA60A38" w14:textId="77777777" w:rsidR="00570A59" w:rsidRPr="00570A59" w:rsidRDefault="00570A59" w:rsidP="00570A59">
      <w:pPr>
        <w:spacing w:line="276" w:lineRule="auto"/>
        <w:ind w:firstLine="0"/>
        <w:jc w:val="center"/>
        <w:rPr>
          <w:lang w:val="en-US"/>
        </w:rPr>
      </w:pPr>
    </w:p>
    <w:p w14:paraId="3BE2D312" w14:textId="77777777" w:rsidR="00570A59" w:rsidRPr="00570A59" w:rsidRDefault="00570A59" w:rsidP="00570A59">
      <w:pPr>
        <w:spacing w:line="276" w:lineRule="auto"/>
        <w:ind w:firstLine="0"/>
        <w:jc w:val="center"/>
        <w:rPr>
          <w:lang w:val="en-US"/>
        </w:rPr>
      </w:pPr>
    </w:p>
    <w:p w14:paraId="07C83362" w14:textId="77777777" w:rsidR="00570A59" w:rsidRPr="00570A59" w:rsidRDefault="00570A59" w:rsidP="00570A59">
      <w:pPr>
        <w:spacing w:line="276" w:lineRule="auto"/>
        <w:ind w:firstLine="0"/>
        <w:jc w:val="center"/>
        <w:rPr>
          <w:lang w:val="en-US"/>
        </w:rPr>
      </w:pPr>
    </w:p>
    <w:p w14:paraId="2667E1E9" w14:textId="77777777" w:rsidR="00570A59" w:rsidRPr="00570A59" w:rsidRDefault="00570A59" w:rsidP="00570A59">
      <w:pPr>
        <w:spacing w:line="276" w:lineRule="auto"/>
        <w:ind w:firstLine="0"/>
        <w:jc w:val="center"/>
        <w:rPr>
          <w:lang w:val="en-US"/>
        </w:rPr>
      </w:pPr>
    </w:p>
    <w:p w14:paraId="7A528108" w14:textId="77777777" w:rsidR="00570A59" w:rsidRPr="00570A59" w:rsidRDefault="00570A59" w:rsidP="00570A59">
      <w:pPr>
        <w:spacing w:line="276" w:lineRule="auto"/>
        <w:ind w:firstLine="0"/>
        <w:jc w:val="center"/>
        <w:rPr>
          <w:lang w:val="en-US"/>
        </w:rPr>
      </w:pPr>
    </w:p>
    <w:p w14:paraId="4A2D047F" w14:textId="77777777" w:rsidR="00570A59" w:rsidRPr="00570A59" w:rsidRDefault="00570A59" w:rsidP="00570A59">
      <w:pPr>
        <w:spacing w:line="276" w:lineRule="auto"/>
        <w:ind w:firstLine="0"/>
        <w:jc w:val="center"/>
        <w:rPr>
          <w:lang w:val="en-US"/>
        </w:rPr>
      </w:pPr>
    </w:p>
    <w:p w14:paraId="3C1247E4" w14:textId="77777777" w:rsidR="00570A59" w:rsidRPr="00570A59" w:rsidRDefault="00570A59" w:rsidP="00570A59">
      <w:pPr>
        <w:spacing w:line="276" w:lineRule="auto"/>
        <w:ind w:firstLine="0"/>
        <w:jc w:val="center"/>
        <w:rPr>
          <w:lang w:val="en-US"/>
        </w:rPr>
      </w:pPr>
    </w:p>
    <w:p w14:paraId="245CC1CF" w14:textId="77777777" w:rsidR="00570A59" w:rsidRPr="00570A59" w:rsidRDefault="00570A59" w:rsidP="00570A59">
      <w:pPr>
        <w:spacing w:line="276" w:lineRule="auto"/>
        <w:ind w:firstLine="0"/>
        <w:jc w:val="center"/>
        <w:rPr>
          <w:lang w:val="en-US"/>
        </w:rPr>
      </w:pPr>
    </w:p>
    <w:p w14:paraId="1583DCB9" w14:textId="77777777" w:rsidR="00570A59" w:rsidRPr="00570A59" w:rsidRDefault="00570A59" w:rsidP="00570A59">
      <w:pPr>
        <w:spacing w:line="276" w:lineRule="auto"/>
        <w:ind w:firstLine="0"/>
        <w:jc w:val="center"/>
        <w:rPr>
          <w:lang w:val="en-US"/>
        </w:rPr>
      </w:pPr>
    </w:p>
    <w:p w14:paraId="7EB7535C" w14:textId="77777777" w:rsidR="00570A59" w:rsidRPr="00570A59" w:rsidRDefault="00570A59" w:rsidP="00570A59">
      <w:pPr>
        <w:spacing w:line="276" w:lineRule="auto"/>
        <w:ind w:firstLine="0"/>
        <w:jc w:val="center"/>
        <w:rPr>
          <w:lang w:val="en-US"/>
        </w:rPr>
      </w:pPr>
    </w:p>
    <w:p w14:paraId="5A05EC6D" w14:textId="77777777" w:rsidR="00570A59" w:rsidRPr="00570A59" w:rsidRDefault="00570A59" w:rsidP="00570A59">
      <w:pPr>
        <w:spacing w:line="276" w:lineRule="auto"/>
        <w:ind w:firstLine="0"/>
        <w:jc w:val="center"/>
        <w:rPr>
          <w:lang w:val="en-US"/>
        </w:rPr>
      </w:pPr>
    </w:p>
    <w:p w14:paraId="304C031E" w14:textId="77777777" w:rsidR="00570A59" w:rsidRDefault="00570A59" w:rsidP="00570A59">
      <w:pPr>
        <w:spacing w:line="276" w:lineRule="auto"/>
        <w:ind w:firstLine="0"/>
        <w:jc w:val="center"/>
        <w:rPr>
          <w:lang w:val="en-US"/>
        </w:rPr>
      </w:pPr>
    </w:p>
    <w:p w14:paraId="6F20507D" w14:textId="77777777" w:rsidR="00D1738B" w:rsidRDefault="00D1738B" w:rsidP="00570A59">
      <w:pPr>
        <w:spacing w:line="276" w:lineRule="auto"/>
        <w:ind w:firstLine="0"/>
        <w:jc w:val="center"/>
        <w:rPr>
          <w:lang w:val="en-US"/>
        </w:rPr>
      </w:pPr>
    </w:p>
    <w:p w14:paraId="45BCCD43" w14:textId="77777777" w:rsidR="00D1738B" w:rsidRDefault="00D1738B" w:rsidP="00570A59">
      <w:pPr>
        <w:spacing w:line="276" w:lineRule="auto"/>
        <w:ind w:firstLine="0"/>
        <w:jc w:val="center"/>
        <w:rPr>
          <w:lang w:val="en-US"/>
        </w:rPr>
      </w:pPr>
    </w:p>
    <w:p w14:paraId="771B54EF" w14:textId="77777777" w:rsidR="00D1738B" w:rsidRDefault="00D1738B" w:rsidP="00570A59">
      <w:pPr>
        <w:spacing w:line="276" w:lineRule="auto"/>
        <w:ind w:firstLine="0"/>
        <w:jc w:val="center"/>
        <w:rPr>
          <w:lang w:val="en-US"/>
        </w:rPr>
      </w:pPr>
    </w:p>
    <w:p w14:paraId="6E964D9B" w14:textId="77777777" w:rsidR="00D1738B" w:rsidRPr="00570A59" w:rsidRDefault="00D1738B" w:rsidP="00570A59">
      <w:pPr>
        <w:spacing w:line="276" w:lineRule="auto"/>
        <w:ind w:firstLine="0"/>
        <w:jc w:val="center"/>
        <w:rPr>
          <w:lang w:val="en-US"/>
        </w:rPr>
      </w:pPr>
    </w:p>
    <w:p w14:paraId="172C2C05" w14:textId="77777777" w:rsidR="00570A59" w:rsidRPr="00570A59" w:rsidRDefault="00570A59" w:rsidP="00570A59">
      <w:pPr>
        <w:spacing w:line="276" w:lineRule="auto"/>
        <w:ind w:firstLine="0"/>
        <w:jc w:val="center"/>
        <w:rPr>
          <w:lang w:val="en-US"/>
        </w:rPr>
      </w:pPr>
    </w:p>
    <w:p w14:paraId="14A18746" w14:textId="77777777" w:rsidR="00570A59" w:rsidRPr="00570A59" w:rsidRDefault="00570A59" w:rsidP="00570A59">
      <w:pPr>
        <w:spacing w:line="276" w:lineRule="auto"/>
        <w:ind w:firstLine="0"/>
        <w:jc w:val="center"/>
        <w:rPr>
          <w:lang w:val="en-US"/>
        </w:rPr>
      </w:pPr>
    </w:p>
    <w:p w14:paraId="13CF3889" w14:textId="59A8B7E2" w:rsidR="00570A59" w:rsidRPr="00570A59" w:rsidRDefault="00570A59" w:rsidP="00570A59">
      <w:pPr>
        <w:widowControl w:val="0"/>
        <w:autoSpaceDE w:val="0"/>
        <w:autoSpaceDN w:val="0"/>
        <w:adjustRightInd w:val="0"/>
        <w:spacing w:line="276" w:lineRule="auto"/>
        <w:ind w:firstLine="0"/>
        <w:jc w:val="center"/>
        <w:rPr>
          <w:color w:val="auto"/>
          <w:lang w:val="fr-FR" w:eastAsia="en-US"/>
        </w:rPr>
      </w:pPr>
      <w:r w:rsidRPr="00570A59">
        <w:rPr>
          <w:b/>
          <w:color w:val="auto"/>
          <w:lang w:val="fr-FR" w:eastAsia="en-US"/>
        </w:rPr>
        <w:t xml:space="preserve">Appendix 3K. Explicit attitude questionnaire </w:t>
      </w:r>
      <w:r w:rsidR="00D02823">
        <w:rPr>
          <w:noProof/>
          <w:color w:val="auto"/>
          <w:lang w:val="es-CO" w:eastAsia="es-CO"/>
        </w:rPr>
        <w:drawing>
          <wp:inline distT="0" distB="0" distL="0" distR="0" wp14:anchorId="3DA5EEE0" wp14:editId="48D976A0">
            <wp:extent cx="5601970" cy="8271510"/>
            <wp:effectExtent l="0" t="0" r="0" b="0"/>
            <wp:docPr id="2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1970" cy="8271510"/>
                    </a:xfrm>
                    <a:prstGeom prst="rect">
                      <a:avLst/>
                    </a:prstGeom>
                    <a:noFill/>
                    <a:ln>
                      <a:noFill/>
                    </a:ln>
                  </pic:spPr>
                </pic:pic>
              </a:graphicData>
            </a:graphic>
          </wp:inline>
        </w:drawing>
      </w:r>
    </w:p>
    <w:p w14:paraId="0FB8AAC7" w14:textId="2F103D12" w:rsidR="00570A59" w:rsidRPr="00570A59" w:rsidRDefault="00D02823" w:rsidP="00570A59">
      <w:pPr>
        <w:widowControl w:val="0"/>
        <w:autoSpaceDE w:val="0"/>
        <w:autoSpaceDN w:val="0"/>
        <w:adjustRightInd w:val="0"/>
        <w:spacing w:line="276" w:lineRule="auto"/>
        <w:ind w:firstLine="0"/>
        <w:jc w:val="center"/>
        <w:rPr>
          <w:b/>
          <w:color w:val="auto"/>
          <w:lang w:eastAsia="en-US"/>
        </w:rPr>
      </w:pPr>
      <w:r>
        <w:rPr>
          <w:noProof/>
          <w:lang w:val="es-CO" w:eastAsia="es-CO"/>
        </w:rPr>
        <w:lastRenderedPageBreak/>
        <w:drawing>
          <wp:anchor distT="0" distB="0" distL="114300" distR="114300" simplePos="0" relativeHeight="251661312" behindDoc="0" locked="0" layoutInCell="1" allowOverlap="1" wp14:anchorId="21C9D53A" wp14:editId="5C366D69">
            <wp:simplePos x="0" y="0"/>
            <wp:positionH relativeFrom="margin">
              <wp:align>center</wp:align>
            </wp:positionH>
            <wp:positionV relativeFrom="margin">
              <wp:posOffset>341630</wp:posOffset>
            </wp:positionV>
            <wp:extent cx="5731510" cy="5389880"/>
            <wp:effectExtent l="0" t="0" r="0" b="0"/>
            <wp:wrapTopAndBottom/>
            <wp:docPr id="5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5389880"/>
                    </a:xfrm>
                    <a:prstGeom prst="rect">
                      <a:avLst/>
                    </a:prstGeom>
                    <a:noFill/>
                  </pic:spPr>
                </pic:pic>
              </a:graphicData>
            </a:graphic>
            <wp14:sizeRelH relativeFrom="page">
              <wp14:pctWidth>0</wp14:pctWidth>
            </wp14:sizeRelH>
            <wp14:sizeRelV relativeFrom="page">
              <wp14:pctHeight>0</wp14:pctHeight>
            </wp14:sizeRelV>
          </wp:anchor>
        </w:drawing>
      </w:r>
      <w:r w:rsidR="00570A59" w:rsidRPr="00570A59">
        <w:rPr>
          <w:b/>
          <w:color w:val="auto"/>
          <w:lang w:val="en-US" w:eastAsia="en-US"/>
        </w:rPr>
        <w:t>Appendix 3L-Information sheet and consent item</w:t>
      </w:r>
    </w:p>
    <w:p w14:paraId="3A7C40F3" w14:textId="77777777" w:rsidR="00570A59" w:rsidRPr="00570A59" w:rsidRDefault="00570A59" w:rsidP="00570A59">
      <w:pPr>
        <w:spacing w:line="276" w:lineRule="auto"/>
        <w:jc w:val="center"/>
      </w:pPr>
    </w:p>
    <w:p w14:paraId="4BD48E02" w14:textId="77777777" w:rsidR="00570A59" w:rsidRPr="00570A59" w:rsidRDefault="00570A59" w:rsidP="00570A59">
      <w:pPr>
        <w:spacing w:line="276" w:lineRule="auto"/>
        <w:jc w:val="center"/>
      </w:pPr>
    </w:p>
    <w:p w14:paraId="3458B380" w14:textId="77777777" w:rsidR="00570A59" w:rsidRPr="00570A59" w:rsidRDefault="00570A59" w:rsidP="00570A59">
      <w:pPr>
        <w:spacing w:line="276" w:lineRule="auto"/>
        <w:jc w:val="center"/>
      </w:pPr>
    </w:p>
    <w:p w14:paraId="49EB07FF" w14:textId="77777777" w:rsidR="00570A59" w:rsidRPr="00570A59" w:rsidRDefault="00570A59" w:rsidP="00570A59">
      <w:pPr>
        <w:spacing w:line="276" w:lineRule="auto"/>
        <w:jc w:val="center"/>
      </w:pPr>
    </w:p>
    <w:p w14:paraId="589E9AF3" w14:textId="77777777" w:rsidR="00570A59" w:rsidRPr="00570A59" w:rsidRDefault="00570A59" w:rsidP="00570A59">
      <w:pPr>
        <w:spacing w:line="276" w:lineRule="auto"/>
        <w:jc w:val="center"/>
      </w:pPr>
    </w:p>
    <w:p w14:paraId="57AB49E5" w14:textId="77777777" w:rsidR="00570A59" w:rsidRPr="00570A59" w:rsidRDefault="00570A59" w:rsidP="00570A59">
      <w:pPr>
        <w:spacing w:line="276" w:lineRule="auto"/>
        <w:jc w:val="center"/>
      </w:pPr>
    </w:p>
    <w:p w14:paraId="613ECC6D" w14:textId="77777777" w:rsidR="00570A59" w:rsidRPr="00570A59" w:rsidRDefault="00570A59" w:rsidP="00570A59">
      <w:pPr>
        <w:spacing w:line="276" w:lineRule="auto"/>
        <w:jc w:val="center"/>
      </w:pPr>
    </w:p>
    <w:p w14:paraId="41356390" w14:textId="77777777" w:rsidR="00570A59" w:rsidRPr="00570A59" w:rsidRDefault="00570A59" w:rsidP="00570A59">
      <w:pPr>
        <w:spacing w:line="276" w:lineRule="auto"/>
        <w:jc w:val="center"/>
      </w:pPr>
    </w:p>
    <w:p w14:paraId="38396FB8" w14:textId="77777777" w:rsidR="00570A59" w:rsidRPr="00570A59" w:rsidRDefault="00570A59" w:rsidP="00570A59">
      <w:pPr>
        <w:spacing w:line="276" w:lineRule="auto"/>
        <w:jc w:val="center"/>
      </w:pPr>
    </w:p>
    <w:p w14:paraId="0E7FA89C" w14:textId="77777777" w:rsidR="00570A59" w:rsidRPr="00570A59" w:rsidRDefault="00570A59" w:rsidP="00570A59">
      <w:pPr>
        <w:spacing w:line="276" w:lineRule="auto"/>
        <w:jc w:val="center"/>
      </w:pPr>
    </w:p>
    <w:p w14:paraId="52741614" w14:textId="77777777" w:rsidR="00570A59" w:rsidRDefault="00570A59" w:rsidP="00570A59">
      <w:pPr>
        <w:spacing w:line="276" w:lineRule="auto"/>
        <w:jc w:val="center"/>
      </w:pPr>
    </w:p>
    <w:p w14:paraId="4A7FD9F4" w14:textId="77777777" w:rsidR="00D1738B" w:rsidRPr="00570A59" w:rsidRDefault="00D1738B" w:rsidP="00570A59">
      <w:pPr>
        <w:spacing w:line="276" w:lineRule="auto"/>
        <w:jc w:val="center"/>
      </w:pPr>
    </w:p>
    <w:p w14:paraId="25D93391"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r w:rsidRPr="00570A59">
        <w:rPr>
          <w:b/>
          <w:color w:val="auto"/>
          <w:lang w:val="en-US" w:eastAsia="en-US"/>
        </w:rPr>
        <w:lastRenderedPageBreak/>
        <w:t>Appendix 3M-Debrief message</w:t>
      </w:r>
    </w:p>
    <w:p w14:paraId="189C17EC"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374E6ED5"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56FEC0C3"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p>
    <w:p w14:paraId="0635DB73" w14:textId="40EFBEF1" w:rsidR="00570A59" w:rsidRPr="00570A59" w:rsidRDefault="00D02823" w:rsidP="00570A59">
      <w:pPr>
        <w:spacing w:line="276" w:lineRule="auto"/>
        <w:jc w:val="center"/>
      </w:pPr>
      <w:r>
        <w:rPr>
          <w:noProof/>
          <w:lang w:val="es-CO" w:eastAsia="es-CO"/>
        </w:rPr>
        <w:drawing>
          <wp:anchor distT="0" distB="0" distL="114300" distR="114300" simplePos="0" relativeHeight="251660288" behindDoc="0" locked="0" layoutInCell="1" allowOverlap="1" wp14:anchorId="5705E158" wp14:editId="11A6A40A">
            <wp:simplePos x="0" y="0"/>
            <wp:positionH relativeFrom="margin">
              <wp:posOffset>0</wp:posOffset>
            </wp:positionH>
            <wp:positionV relativeFrom="margin">
              <wp:posOffset>1009650</wp:posOffset>
            </wp:positionV>
            <wp:extent cx="5731510" cy="4767580"/>
            <wp:effectExtent l="0" t="0" r="0" b="0"/>
            <wp:wrapSquare wrapText="bothSides"/>
            <wp:docPr id="5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767580"/>
                    </a:xfrm>
                    <a:prstGeom prst="rect">
                      <a:avLst/>
                    </a:prstGeom>
                    <a:noFill/>
                  </pic:spPr>
                </pic:pic>
              </a:graphicData>
            </a:graphic>
            <wp14:sizeRelH relativeFrom="page">
              <wp14:pctWidth>0</wp14:pctWidth>
            </wp14:sizeRelH>
            <wp14:sizeRelV relativeFrom="page">
              <wp14:pctHeight>0</wp14:pctHeight>
            </wp14:sizeRelV>
          </wp:anchor>
        </w:drawing>
      </w:r>
    </w:p>
    <w:p w14:paraId="5B307FC0" w14:textId="77777777" w:rsidR="00570A59" w:rsidRPr="00570A59" w:rsidRDefault="00570A59" w:rsidP="00570A59">
      <w:pPr>
        <w:spacing w:line="276" w:lineRule="auto"/>
      </w:pPr>
    </w:p>
    <w:p w14:paraId="6EA1D2B2" w14:textId="77777777" w:rsidR="00570A59" w:rsidRPr="00570A59" w:rsidRDefault="00570A59" w:rsidP="00570A59">
      <w:pPr>
        <w:spacing w:line="276" w:lineRule="auto"/>
      </w:pPr>
    </w:p>
    <w:p w14:paraId="511CF0B9" w14:textId="77777777" w:rsidR="00570A59" w:rsidRPr="00570A59" w:rsidRDefault="00570A59" w:rsidP="00570A59">
      <w:pPr>
        <w:spacing w:line="276" w:lineRule="auto"/>
      </w:pPr>
    </w:p>
    <w:p w14:paraId="5E4BBF00" w14:textId="77777777" w:rsidR="00570A59" w:rsidRPr="00570A59" w:rsidRDefault="00570A59" w:rsidP="00570A59">
      <w:pPr>
        <w:spacing w:line="276" w:lineRule="auto"/>
      </w:pPr>
    </w:p>
    <w:p w14:paraId="1AEB3C04" w14:textId="77777777" w:rsidR="00570A59" w:rsidRPr="00570A59" w:rsidRDefault="00570A59" w:rsidP="00570A59">
      <w:pPr>
        <w:spacing w:line="276" w:lineRule="auto"/>
      </w:pPr>
    </w:p>
    <w:p w14:paraId="4D6A3733" w14:textId="77777777" w:rsidR="00570A59" w:rsidRPr="00570A59" w:rsidRDefault="00570A59" w:rsidP="00570A59">
      <w:pPr>
        <w:spacing w:line="276" w:lineRule="auto"/>
      </w:pPr>
    </w:p>
    <w:p w14:paraId="7ED47FE2" w14:textId="77777777" w:rsidR="00570A59" w:rsidRPr="00570A59" w:rsidRDefault="00570A59" w:rsidP="00570A59">
      <w:pPr>
        <w:spacing w:line="276" w:lineRule="auto"/>
      </w:pPr>
    </w:p>
    <w:p w14:paraId="393AF192" w14:textId="77777777" w:rsidR="00570A59" w:rsidRPr="00570A59" w:rsidRDefault="00570A59" w:rsidP="00570A59">
      <w:pPr>
        <w:spacing w:line="276" w:lineRule="auto"/>
      </w:pPr>
    </w:p>
    <w:p w14:paraId="25523A3E" w14:textId="77777777" w:rsidR="00570A59" w:rsidRPr="00570A59" w:rsidRDefault="00570A59" w:rsidP="00570A59">
      <w:pPr>
        <w:spacing w:line="276" w:lineRule="auto"/>
      </w:pPr>
    </w:p>
    <w:p w14:paraId="5E912BF2" w14:textId="77777777" w:rsidR="00570A59" w:rsidRPr="00570A59" w:rsidRDefault="00570A59" w:rsidP="00570A59">
      <w:pPr>
        <w:spacing w:line="276" w:lineRule="auto"/>
      </w:pPr>
    </w:p>
    <w:p w14:paraId="024FD170"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val="en-US" w:eastAsia="en-US"/>
        </w:rPr>
        <w:lastRenderedPageBreak/>
        <w:t>Appendix 4A-Ethical approval Study 2</w:t>
      </w:r>
    </w:p>
    <w:p w14:paraId="4B226617" w14:textId="77777777" w:rsidR="00570A59" w:rsidRPr="00570A59" w:rsidRDefault="00570A59" w:rsidP="00570A59">
      <w:pPr>
        <w:spacing w:line="276" w:lineRule="auto"/>
      </w:pPr>
    </w:p>
    <w:p w14:paraId="01B3673D" w14:textId="2C6B573A" w:rsidR="00570A59" w:rsidRPr="00570A59" w:rsidRDefault="00D02823" w:rsidP="00570A59">
      <w:pPr>
        <w:spacing w:line="276" w:lineRule="auto"/>
      </w:pPr>
      <w:r>
        <w:rPr>
          <w:noProof/>
          <w:lang w:val="es-CO" w:eastAsia="es-CO"/>
        </w:rPr>
        <w:drawing>
          <wp:inline distT="0" distB="0" distL="0" distR="0" wp14:anchorId="17A2CD8E" wp14:editId="2CF775B4">
            <wp:extent cx="5738495" cy="3289935"/>
            <wp:effectExtent l="0" t="0" r="0" b="0"/>
            <wp:docPr id="2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8495" cy="3289935"/>
                    </a:xfrm>
                    <a:prstGeom prst="rect">
                      <a:avLst/>
                    </a:prstGeom>
                    <a:noFill/>
                    <a:ln>
                      <a:noFill/>
                    </a:ln>
                  </pic:spPr>
                </pic:pic>
              </a:graphicData>
            </a:graphic>
          </wp:inline>
        </w:drawing>
      </w:r>
    </w:p>
    <w:p w14:paraId="5A8C4256" w14:textId="77777777" w:rsidR="00570A59" w:rsidRPr="00570A59" w:rsidRDefault="00570A59" w:rsidP="00570A59">
      <w:pPr>
        <w:spacing w:line="276" w:lineRule="auto"/>
      </w:pPr>
    </w:p>
    <w:p w14:paraId="51D9B968" w14:textId="77777777" w:rsidR="00570A59" w:rsidRPr="00570A59" w:rsidRDefault="00570A59" w:rsidP="00570A59">
      <w:pPr>
        <w:spacing w:line="276" w:lineRule="auto"/>
      </w:pPr>
    </w:p>
    <w:p w14:paraId="28AAA54C" w14:textId="77777777" w:rsidR="00570A59" w:rsidRPr="00570A59" w:rsidRDefault="00570A59" w:rsidP="00570A59">
      <w:pPr>
        <w:spacing w:line="276" w:lineRule="auto"/>
      </w:pPr>
    </w:p>
    <w:p w14:paraId="35941845" w14:textId="77777777" w:rsidR="00570A59" w:rsidRPr="00570A59" w:rsidRDefault="00570A59" w:rsidP="00570A59">
      <w:pPr>
        <w:spacing w:line="276" w:lineRule="auto"/>
      </w:pPr>
    </w:p>
    <w:p w14:paraId="0D73E9BC" w14:textId="77777777" w:rsidR="00570A59" w:rsidRPr="00570A59" w:rsidRDefault="00570A59" w:rsidP="00570A59">
      <w:pPr>
        <w:spacing w:line="276" w:lineRule="auto"/>
      </w:pPr>
    </w:p>
    <w:p w14:paraId="32DA7C88" w14:textId="77777777" w:rsidR="00570A59" w:rsidRPr="00570A59" w:rsidRDefault="00570A59" w:rsidP="00570A59">
      <w:pPr>
        <w:spacing w:line="276" w:lineRule="auto"/>
      </w:pPr>
    </w:p>
    <w:p w14:paraId="02E83FD5" w14:textId="77777777" w:rsidR="00570A59" w:rsidRPr="00570A59" w:rsidRDefault="00570A59" w:rsidP="00570A59">
      <w:pPr>
        <w:spacing w:line="276" w:lineRule="auto"/>
      </w:pPr>
    </w:p>
    <w:p w14:paraId="22E57A5D" w14:textId="77777777" w:rsidR="00570A59" w:rsidRPr="00570A59" w:rsidRDefault="00570A59" w:rsidP="00570A59">
      <w:pPr>
        <w:spacing w:line="276" w:lineRule="auto"/>
      </w:pPr>
    </w:p>
    <w:p w14:paraId="58940D2A" w14:textId="77777777" w:rsidR="00570A59" w:rsidRPr="00570A59" w:rsidRDefault="00570A59" w:rsidP="00570A59">
      <w:pPr>
        <w:spacing w:line="276" w:lineRule="auto"/>
      </w:pPr>
    </w:p>
    <w:p w14:paraId="42C9EAC3" w14:textId="77777777" w:rsidR="00570A59" w:rsidRPr="00570A59" w:rsidRDefault="00570A59" w:rsidP="00570A59">
      <w:pPr>
        <w:spacing w:line="276" w:lineRule="auto"/>
      </w:pPr>
    </w:p>
    <w:p w14:paraId="574000E6" w14:textId="77777777" w:rsidR="00570A59" w:rsidRPr="00570A59" w:rsidRDefault="00570A59" w:rsidP="00570A59">
      <w:pPr>
        <w:spacing w:line="276" w:lineRule="auto"/>
      </w:pPr>
    </w:p>
    <w:p w14:paraId="4D6F4B06" w14:textId="77777777" w:rsidR="00570A59" w:rsidRPr="00570A59" w:rsidRDefault="00570A59" w:rsidP="00570A59">
      <w:pPr>
        <w:spacing w:line="276" w:lineRule="auto"/>
      </w:pPr>
    </w:p>
    <w:p w14:paraId="419E0C5B" w14:textId="77777777" w:rsidR="00570A59" w:rsidRPr="00570A59" w:rsidRDefault="00570A59" w:rsidP="00570A59">
      <w:pPr>
        <w:spacing w:line="276" w:lineRule="auto"/>
      </w:pPr>
    </w:p>
    <w:p w14:paraId="674CDD77" w14:textId="77777777" w:rsidR="00570A59" w:rsidRPr="00570A59" w:rsidRDefault="00570A59" w:rsidP="00570A59">
      <w:pPr>
        <w:spacing w:line="276" w:lineRule="auto"/>
      </w:pPr>
    </w:p>
    <w:p w14:paraId="0AD91957" w14:textId="77777777" w:rsidR="00570A59" w:rsidRPr="00570A59" w:rsidRDefault="00570A59" w:rsidP="00570A59">
      <w:pPr>
        <w:spacing w:line="276" w:lineRule="auto"/>
      </w:pPr>
    </w:p>
    <w:p w14:paraId="45ADE2CA" w14:textId="77777777" w:rsidR="00570A59" w:rsidRDefault="00570A59" w:rsidP="00570A59">
      <w:pPr>
        <w:spacing w:line="276" w:lineRule="auto"/>
      </w:pPr>
    </w:p>
    <w:p w14:paraId="3AE24476" w14:textId="77777777" w:rsidR="00D1738B" w:rsidRPr="00570A59" w:rsidRDefault="00D1738B" w:rsidP="00570A59">
      <w:pPr>
        <w:spacing w:line="276" w:lineRule="auto"/>
      </w:pPr>
    </w:p>
    <w:p w14:paraId="15693DFC" w14:textId="77777777" w:rsidR="00570A59" w:rsidRPr="00570A59" w:rsidRDefault="00570A59" w:rsidP="00570A59">
      <w:pPr>
        <w:spacing w:line="276" w:lineRule="auto"/>
      </w:pPr>
    </w:p>
    <w:p w14:paraId="017B9B3B"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val="en-US" w:eastAsia="en-US"/>
        </w:rPr>
        <w:lastRenderedPageBreak/>
        <w:t>Appendix 4B-. Information message and consent item</w:t>
      </w:r>
    </w:p>
    <w:p w14:paraId="7DFEE020" w14:textId="77777777" w:rsidR="00570A59" w:rsidRPr="00570A59" w:rsidRDefault="00570A59" w:rsidP="00570A59">
      <w:pPr>
        <w:spacing w:line="276" w:lineRule="auto"/>
      </w:pPr>
    </w:p>
    <w:p w14:paraId="35E92696" w14:textId="77777777" w:rsidR="00570A59" w:rsidRPr="00570A59" w:rsidRDefault="00570A59" w:rsidP="00570A59">
      <w:pPr>
        <w:spacing w:line="276" w:lineRule="auto"/>
      </w:pPr>
    </w:p>
    <w:p w14:paraId="4C7A0A5B" w14:textId="19D74153" w:rsidR="00570A59" w:rsidRPr="00570A59" w:rsidRDefault="00D02823" w:rsidP="00570A59">
      <w:pPr>
        <w:spacing w:line="276" w:lineRule="auto"/>
        <w:jc w:val="center"/>
        <w:rPr>
          <w:b/>
          <w:bCs/>
        </w:rPr>
      </w:pPr>
      <w:r>
        <w:rPr>
          <w:noProof/>
          <w:lang w:val="es-CO" w:eastAsia="es-CO"/>
        </w:rPr>
        <w:drawing>
          <wp:inline distT="0" distB="0" distL="0" distR="0" wp14:anchorId="5BB4793B" wp14:editId="0313635B">
            <wp:extent cx="5738495" cy="5738495"/>
            <wp:effectExtent l="0" t="0" r="0" b="0"/>
            <wp:docPr id="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8495" cy="5738495"/>
                    </a:xfrm>
                    <a:prstGeom prst="rect">
                      <a:avLst/>
                    </a:prstGeom>
                    <a:noFill/>
                    <a:ln>
                      <a:noFill/>
                    </a:ln>
                  </pic:spPr>
                </pic:pic>
              </a:graphicData>
            </a:graphic>
          </wp:inline>
        </w:drawing>
      </w:r>
    </w:p>
    <w:p w14:paraId="00EC11F0" w14:textId="77777777" w:rsidR="00570A59" w:rsidRPr="00570A59" w:rsidRDefault="00570A59" w:rsidP="00570A59">
      <w:pPr>
        <w:spacing w:line="276" w:lineRule="auto"/>
        <w:jc w:val="center"/>
        <w:rPr>
          <w:b/>
          <w:bCs/>
        </w:rPr>
      </w:pPr>
    </w:p>
    <w:p w14:paraId="7B78E599" w14:textId="77777777" w:rsidR="00570A59" w:rsidRPr="00570A59" w:rsidRDefault="00570A59" w:rsidP="00570A59">
      <w:pPr>
        <w:spacing w:line="276" w:lineRule="auto"/>
        <w:jc w:val="center"/>
        <w:rPr>
          <w:b/>
          <w:bCs/>
        </w:rPr>
      </w:pPr>
    </w:p>
    <w:p w14:paraId="680D0E60" w14:textId="77777777" w:rsidR="00570A59" w:rsidRPr="00570A59" w:rsidRDefault="00570A59" w:rsidP="00570A59">
      <w:pPr>
        <w:spacing w:line="276" w:lineRule="auto"/>
        <w:jc w:val="center"/>
        <w:rPr>
          <w:b/>
          <w:bCs/>
        </w:rPr>
      </w:pPr>
    </w:p>
    <w:p w14:paraId="57ED5E8D" w14:textId="77777777" w:rsidR="00570A59" w:rsidRPr="00570A59" w:rsidRDefault="00570A59" w:rsidP="00570A59">
      <w:pPr>
        <w:spacing w:line="276" w:lineRule="auto"/>
        <w:jc w:val="center"/>
        <w:rPr>
          <w:b/>
          <w:bCs/>
        </w:rPr>
      </w:pPr>
    </w:p>
    <w:p w14:paraId="485133B8" w14:textId="77777777" w:rsidR="00570A59" w:rsidRDefault="00570A59" w:rsidP="00570A59">
      <w:pPr>
        <w:spacing w:line="276" w:lineRule="auto"/>
        <w:jc w:val="center"/>
        <w:rPr>
          <w:b/>
          <w:bCs/>
        </w:rPr>
      </w:pPr>
    </w:p>
    <w:p w14:paraId="6E39F448" w14:textId="77777777" w:rsidR="00D1738B" w:rsidRDefault="00D1738B" w:rsidP="00570A59">
      <w:pPr>
        <w:spacing w:line="276" w:lineRule="auto"/>
        <w:jc w:val="center"/>
        <w:rPr>
          <w:b/>
          <w:bCs/>
        </w:rPr>
      </w:pPr>
    </w:p>
    <w:p w14:paraId="405D5136" w14:textId="77777777" w:rsidR="00D1738B" w:rsidRDefault="00D1738B" w:rsidP="00570A59">
      <w:pPr>
        <w:spacing w:line="276" w:lineRule="auto"/>
        <w:jc w:val="center"/>
        <w:rPr>
          <w:b/>
          <w:bCs/>
        </w:rPr>
      </w:pPr>
    </w:p>
    <w:p w14:paraId="5701638D" w14:textId="77777777" w:rsidR="00D1738B" w:rsidRPr="00570A59" w:rsidRDefault="00D1738B" w:rsidP="00570A59">
      <w:pPr>
        <w:spacing w:line="276" w:lineRule="auto"/>
        <w:jc w:val="center"/>
        <w:rPr>
          <w:b/>
          <w:bCs/>
        </w:rPr>
      </w:pPr>
    </w:p>
    <w:p w14:paraId="6B54F761" w14:textId="77777777" w:rsidR="00570A59" w:rsidRPr="00570A59" w:rsidRDefault="00570A59" w:rsidP="00570A59">
      <w:pPr>
        <w:spacing w:line="276" w:lineRule="auto"/>
        <w:jc w:val="center"/>
        <w:rPr>
          <w:b/>
          <w:bCs/>
        </w:rPr>
      </w:pPr>
    </w:p>
    <w:p w14:paraId="35A3384E"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val="en-US" w:eastAsia="en-US"/>
        </w:rPr>
        <w:lastRenderedPageBreak/>
        <w:t xml:space="preserve">Appendix 4C-. Awareness message </w:t>
      </w:r>
    </w:p>
    <w:p w14:paraId="51B3C9BF" w14:textId="141BEF75" w:rsidR="00570A59" w:rsidRPr="00570A59" w:rsidRDefault="00D02823" w:rsidP="00570A59">
      <w:pPr>
        <w:spacing w:line="276" w:lineRule="auto"/>
      </w:pPr>
      <w:r>
        <w:rPr>
          <w:noProof/>
          <w:lang w:val="es-CO" w:eastAsia="es-CO"/>
        </w:rPr>
        <w:drawing>
          <wp:inline distT="0" distB="0" distL="0" distR="0" wp14:anchorId="359BB290" wp14:editId="31EE0AAA">
            <wp:extent cx="5066030" cy="3752215"/>
            <wp:effectExtent l="0" t="0" r="0" b="0"/>
            <wp:docPr id="2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66030" cy="3752215"/>
                    </a:xfrm>
                    <a:prstGeom prst="rect">
                      <a:avLst/>
                    </a:prstGeom>
                    <a:noFill/>
                    <a:ln>
                      <a:noFill/>
                    </a:ln>
                  </pic:spPr>
                </pic:pic>
              </a:graphicData>
            </a:graphic>
          </wp:inline>
        </w:drawing>
      </w:r>
    </w:p>
    <w:p w14:paraId="794F942D" w14:textId="557F4C1C" w:rsidR="00570A59" w:rsidRPr="00570A59" w:rsidRDefault="00D02823" w:rsidP="00570A59">
      <w:pPr>
        <w:spacing w:line="276" w:lineRule="auto"/>
      </w:pPr>
      <w:r>
        <w:rPr>
          <w:noProof/>
          <w:lang w:val="es-CO" w:eastAsia="es-CO"/>
        </w:rPr>
        <w:drawing>
          <wp:inline distT="0" distB="0" distL="0" distR="0" wp14:anchorId="311E07E5" wp14:editId="2CCD27DE">
            <wp:extent cx="5055235" cy="3741420"/>
            <wp:effectExtent l="0" t="0" r="0" b="0"/>
            <wp:docPr id="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55235" cy="3741420"/>
                    </a:xfrm>
                    <a:prstGeom prst="rect">
                      <a:avLst/>
                    </a:prstGeom>
                    <a:noFill/>
                    <a:ln>
                      <a:noFill/>
                    </a:ln>
                  </pic:spPr>
                </pic:pic>
              </a:graphicData>
            </a:graphic>
          </wp:inline>
        </w:drawing>
      </w:r>
    </w:p>
    <w:p w14:paraId="7CF482D9" w14:textId="77777777" w:rsidR="00570A59" w:rsidRPr="00570A59" w:rsidRDefault="00570A59" w:rsidP="00570A59">
      <w:pPr>
        <w:spacing w:line="276" w:lineRule="auto"/>
      </w:pPr>
    </w:p>
    <w:p w14:paraId="4B4CAC74" w14:textId="77777777" w:rsidR="00570A59" w:rsidRPr="00570A59" w:rsidRDefault="00570A59" w:rsidP="00570A59">
      <w:pPr>
        <w:spacing w:line="276" w:lineRule="auto"/>
      </w:pPr>
    </w:p>
    <w:p w14:paraId="5780AE17" w14:textId="77777777" w:rsidR="00570A59" w:rsidRPr="00570A59" w:rsidRDefault="00570A59" w:rsidP="00570A59">
      <w:pPr>
        <w:spacing w:line="276" w:lineRule="auto"/>
      </w:pPr>
    </w:p>
    <w:p w14:paraId="7EA37AEC" w14:textId="01490D75" w:rsidR="00570A59" w:rsidRPr="00570A59" w:rsidRDefault="00D02823" w:rsidP="00570A59">
      <w:pPr>
        <w:spacing w:line="276" w:lineRule="auto"/>
      </w:pPr>
      <w:r>
        <w:rPr>
          <w:noProof/>
          <w:lang w:val="es-CO" w:eastAsia="es-CO"/>
        </w:rPr>
        <w:lastRenderedPageBreak/>
        <w:drawing>
          <wp:inline distT="0" distB="0" distL="0" distR="0" wp14:anchorId="68219DE7" wp14:editId="4C7A0CC7">
            <wp:extent cx="5486400" cy="4140835"/>
            <wp:effectExtent l="0" t="0" r="0" b="0"/>
            <wp:docPr id="2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4140835"/>
                    </a:xfrm>
                    <a:prstGeom prst="rect">
                      <a:avLst/>
                    </a:prstGeom>
                    <a:noFill/>
                    <a:ln>
                      <a:noFill/>
                    </a:ln>
                  </pic:spPr>
                </pic:pic>
              </a:graphicData>
            </a:graphic>
          </wp:inline>
        </w:drawing>
      </w:r>
    </w:p>
    <w:p w14:paraId="60AFB661" w14:textId="331B5E6D" w:rsidR="00570A59" w:rsidRPr="00570A59" w:rsidRDefault="00D02823" w:rsidP="00570A59">
      <w:pPr>
        <w:spacing w:line="276" w:lineRule="auto"/>
      </w:pPr>
      <w:r>
        <w:rPr>
          <w:noProof/>
          <w:lang w:val="es-CO" w:eastAsia="es-CO"/>
        </w:rPr>
        <w:drawing>
          <wp:inline distT="0" distB="0" distL="0" distR="0" wp14:anchorId="6CB38C38" wp14:editId="0E3F7294">
            <wp:extent cx="5486400" cy="3657600"/>
            <wp:effectExtent l="0" t="0" r="0" b="0"/>
            <wp:docPr id="2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FF490D0" w14:textId="77777777" w:rsidR="00570A59" w:rsidRPr="00570A59" w:rsidRDefault="00570A59" w:rsidP="00570A59">
      <w:pPr>
        <w:spacing w:line="276" w:lineRule="auto"/>
      </w:pPr>
    </w:p>
    <w:p w14:paraId="746452C7" w14:textId="77777777" w:rsidR="00570A59" w:rsidRDefault="00570A59" w:rsidP="00570A59">
      <w:pPr>
        <w:spacing w:line="276" w:lineRule="auto"/>
      </w:pPr>
    </w:p>
    <w:p w14:paraId="47C8869E" w14:textId="77777777" w:rsidR="00D1738B" w:rsidRPr="00570A59" w:rsidRDefault="00D1738B" w:rsidP="00570A59">
      <w:pPr>
        <w:spacing w:line="276" w:lineRule="auto"/>
      </w:pPr>
    </w:p>
    <w:p w14:paraId="72E12BA5" w14:textId="77777777" w:rsidR="00570A59" w:rsidRPr="00570A59" w:rsidRDefault="00570A59" w:rsidP="00570A59">
      <w:pPr>
        <w:spacing w:line="276" w:lineRule="auto"/>
      </w:pPr>
    </w:p>
    <w:p w14:paraId="43544763"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val="en-US" w:eastAsia="en-US"/>
        </w:rPr>
        <w:lastRenderedPageBreak/>
        <w:t xml:space="preserve">Appendix 4D-. </w:t>
      </w:r>
      <w:r w:rsidR="00D1738B">
        <w:rPr>
          <w:b/>
          <w:color w:val="auto"/>
          <w:lang w:val="en-US" w:eastAsia="en-US"/>
        </w:rPr>
        <w:t>Transcript video clip awareness</w:t>
      </w:r>
      <w:r w:rsidRPr="00570A59">
        <w:rPr>
          <w:b/>
          <w:color w:val="auto"/>
          <w:lang w:val="en-US" w:eastAsia="en-US"/>
        </w:rPr>
        <w:t xml:space="preserve"> condition</w:t>
      </w:r>
    </w:p>
    <w:p w14:paraId="134370EB" w14:textId="77777777" w:rsidR="00570A59" w:rsidRPr="00570A59" w:rsidRDefault="00570A59" w:rsidP="00570A59">
      <w:pPr>
        <w:spacing w:line="276" w:lineRule="auto"/>
        <w:rPr>
          <w:lang w:val="pt-PT"/>
        </w:rPr>
      </w:pPr>
    </w:p>
    <w:p w14:paraId="1D4F9395" w14:textId="77777777" w:rsidR="00570A59" w:rsidRPr="00570A59" w:rsidRDefault="00570A59" w:rsidP="00570A59">
      <w:pPr>
        <w:spacing w:line="276" w:lineRule="auto"/>
        <w:rPr>
          <w:i/>
          <w:iCs/>
        </w:rPr>
      </w:pPr>
      <w:r w:rsidRPr="00570A59">
        <w:rPr>
          <w:i/>
          <w:iCs/>
        </w:rPr>
        <w:t>Transcript of text in the video:</w:t>
      </w:r>
    </w:p>
    <w:p w14:paraId="10DD750D" w14:textId="77777777" w:rsidR="00570A59" w:rsidRPr="00570A59" w:rsidRDefault="00570A59" w:rsidP="00570A59">
      <w:pPr>
        <w:spacing w:line="276" w:lineRule="auto"/>
      </w:pPr>
      <w:r w:rsidRPr="00570A59">
        <w:t xml:space="preserve">[00:00:00.00] Cherubism is a very rare medical condition and what it does is, it's caused by an over grown of the fibroses tissue in the face. Which basically means that instead of having lots of bones in my face or in my jaw I have this kind of tissue instead. </w:t>
      </w:r>
    </w:p>
    <w:p w14:paraId="1AE036DC" w14:textId="77777777" w:rsidR="00570A59" w:rsidRPr="00570A59" w:rsidRDefault="00570A59" w:rsidP="00570A59">
      <w:pPr>
        <w:spacing w:line="276" w:lineRule="auto"/>
      </w:pPr>
      <w:r w:rsidRPr="00570A59">
        <w:t xml:space="preserve">[00:00:19.08] I was about four years old when I was first diagnosed with Cherubism. The older I got, the more noticeably, visibly different I looked and I started to have, you know, much bigger chin, when I was about 12 or 13 the Cherubism started to affect my eyes and that combined with puberty meant that I had quite difficult teenage years. But it did teach me how to be strong and it did teach me that I'm lucky in some ways, and that the friends that I have are really good people because they will look passed my disfigurement and like me for who I am. </w:t>
      </w:r>
    </w:p>
    <w:p w14:paraId="26A5662C" w14:textId="77777777" w:rsidR="00570A59" w:rsidRPr="00570A59" w:rsidRDefault="00570A59" w:rsidP="00570A59">
      <w:pPr>
        <w:spacing w:line="276" w:lineRule="auto"/>
      </w:pPr>
      <w:r w:rsidRPr="00570A59">
        <w:t xml:space="preserve">[00:00:55.28] I'm quite lucky that Cherubism is a relatively painless condition but I do get eye strain and I do get headaches quite regularly and I do get a relative amount of pain in my jaw as well, but apart from that is mainly that I look very, very different; it is really the main issue that I face on a day to day basis. </w:t>
      </w:r>
    </w:p>
    <w:p w14:paraId="324D6E11" w14:textId="77777777" w:rsidR="00570A59" w:rsidRPr="00570A59" w:rsidRDefault="00570A59" w:rsidP="00570A59">
      <w:pPr>
        <w:spacing w:line="276" w:lineRule="auto"/>
      </w:pPr>
      <w:r w:rsidRPr="00570A59">
        <w:t xml:space="preserve">[00:01:15.08] Obviously looking very different means that I get stared at quite a lot. I learnt that, the best thing for me to do, if I notice that somebody is staring at me, is to look at them and smile back at them. Just because somebody is looking at me, it doesn't necessarily mean they are looking at me in a bad way. We are all curious and we all look at people who look different, but I'm a very nice person and I just want to show them that. </w:t>
      </w:r>
    </w:p>
    <w:p w14:paraId="5F8451F9" w14:textId="77777777" w:rsidR="00570A59" w:rsidRPr="00570A59" w:rsidRDefault="00570A59" w:rsidP="00570A59">
      <w:pPr>
        <w:spacing w:line="276" w:lineRule="auto"/>
      </w:pPr>
      <w:r w:rsidRPr="00570A59">
        <w:t>[00:01:40.00] Some people might think that if you have a facial disfigurement, then that means that all you do is stay at home feeling sorry for yourself and being miserable and not going out and that's not true. I'm a very confident person and I've had a really good, successful life. I mean, I've had to work at it, but I'm happy with who I am. I work and I also study part time for a law degree at University, which is great and I'm also happily married.</w:t>
      </w:r>
    </w:p>
    <w:p w14:paraId="7249A874" w14:textId="77777777" w:rsidR="00570A59" w:rsidRPr="00570A59" w:rsidRDefault="00570A59" w:rsidP="00570A59">
      <w:pPr>
        <w:spacing w:line="276" w:lineRule="auto"/>
      </w:pPr>
      <w:r w:rsidRPr="00570A59">
        <w:t xml:space="preserve">[00:02:09.15] I met my husband Colin when we were students at college; he asked me out on a date and eventually I said "yes, OK", and then it kind of went from there...we've been together for seven years now and married for just over two. </w:t>
      </w:r>
    </w:p>
    <w:p w14:paraId="0ED052AB" w14:textId="77777777" w:rsidR="00570A59" w:rsidRPr="00570A59" w:rsidRDefault="00570A59" w:rsidP="00570A59">
      <w:pPr>
        <w:spacing w:line="276" w:lineRule="auto"/>
      </w:pPr>
      <w:r w:rsidRPr="00570A59">
        <w:t xml:space="preserve">[00:02:24.03] I would advise to anybody who's got a visible difference, or a facial disfigurement, who think that they need some support and advice, to contact </w:t>
      </w:r>
      <w:r w:rsidRPr="00570A59">
        <w:rPr>
          <w:i/>
          <w:iCs/>
        </w:rPr>
        <w:t>Changing Faces</w:t>
      </w:r>
      <w:r w:rsidRPr="00570A59">
        <w:t xml:space="preserve">. I would love to see a world where people are accepted for what they look like, even if they look different and, one of the things that </w:t>
      </w:r>
      <w:r w:rsidRPr="00570A59">
        <w:rPr>
          <w:i/>
          <w:iCs/>
        </w:rPr>
        <w:t>Changing Faces</w:t>
      </w:r>
      <w:r w:rsidRPr="00570A59">
        <w:t xml:space="preserve"> is campaigning for is "Face equality" which is all about being accepted even if you have a facial disfigurement.</w:t>
      </w:r>
    </w:p>
    <w:p w14:paraId="69002C95" w14:textId="77777777" w:rsidR="00570A59" w:rsidRPr="00570A59" w:rsidRDefault="00570A59" w:rsidP="00570A59">
      <w:pPr>
        <w:spacing w:line="276" w:lineRule="auto"/>
      </w:pPr>
    </w:p>
    <w:p w14:paraId="46BB2E63" w14:textId="77777777" w:rsidR="00570A59" w:rsidRPr="00570A59" w:rsidRDefault="00570A59" w:rsidP="00570A59">
      <w:pPr>
        <w:spacing w:line="276" w:lineRule="auto"/>
      </w:pPr>
    </w:p>
    <w:p w14:paraId="15EF7923" w14:textId="77777777" w:rsidR="00570A59" w:rsidRPr="00570A59" w:rsidRDefault="00570A59" w:rsidP="00570A59">
      <w:pPr>
        <w:spacing w:line="276" w:lineRule="auto"/>
      </w:pPr>
    </w:p>
    <w:p w14:paraId="1F070025" w14:textId="77777777" w:rsidR="00570A59" w:rsidRPr="00570A59" w:rsidRDefault="00570A59" w:rsidP="00570A59">
      <w:pPr>
        <w:spacing w:line="276" w:lineRule="auto"/>
      </w:pPr>
    </w:p>
    <w:p w14:paraId="6A9D4968" w14:textId="77777777" w:rsidR="00570A59" w:rsidRPr="00570A59" w:rsidRDefault="00570A59" w:rsidP="00570A59">
      <w:pPr>
        <w:spacing w:line="276" w:lineRule="auto"/>
      </w:pPr>
    </w:p>
    <w:p w14:paraId="2F15FCF0" w14:textId="77777777" w:rsidR="00570A59" w:rsidRPr="00570A59" w:rsidRDefault="00570A59" w:rsidP="00570A59">
      <w:pPr>
        <w:spacing w:line="276" w:lineRule="auto"/>
      </w:pPr>
    </w:p>
    <w:p w14:paraId="23CF524D" w14:textId="77777777" w:rsidR="00656768" w:rsidRPr="00570A59" w:rsidRDefault="00656768" w:rsidP="00656768">
      <w:pPr>
        <w:widowControl w:val="0"/>
        <w:autoSpaceDE w:val="0"/>
        <w:autoSpaceDN w:val="0"/>
        <w:adjustRightInd w:val="0"/>
        <w:spacing w:line="276" w:lineRule="auto"/>
        <w:ind w:firstLine="0"/>
        <w:jc w:val="center"/>
        <w:rPr>
          <w:b/>
          <w:color w:val="auto"/>
          <w:lang w:eastAsia="en-US"/>
        </w:rPr>
      </w:pPr>
      <w:r w:rsidRPr="00570A59">
        <w:rPr>
          <w:b/>
          <w:color w:val="auto"/>
          <w:lang w:val="en-US" w:eastAsia="en-US"/>
        </w:rPr>
        <w:t>Appendix 4</w:t>
      </w:r>
      <w:r>
        <w:rPr>
          <w:b/>
          <w:color w:val="auto"/>
          <w:lang w:val="en-US" w:eastAsia="en-US"/>
        </w:rPr>
        <w:t>E</w:t>
      </w:r>
      <w:r w:rsidRPr="00570A59">
        <w:rPr>
          <w:b/>
          <w:color w:val="auto"/>
          <w:lang w:val="en-US" w:eastAsia="en-US"/>
        </w:rPr>
        <w:t xml:space="preserve">-. Screen shot of introduction page to </w:t>
      </w:r>
      <w:r>
        <w:rPr>
          <w:b/>
          <w:color w:val="auto"/>
          <w:lang w:val="en-US" w:eastAsia="en-US"/>
        </w:rPr>
        <w:t>control awareness condition</w:t>
      </w:r>
    </w:p>
    <w:p w14:paraId="63950D84" w14:textId="77777777" w:rsidR="00656768" w:rsidRPr="00570A59" w:rsidRDefault="00656768" w:rsidP="00656768">
      <w:pPr>
        <w:spacing w:line="276" w:lineRule="auto"/>
      </w:pPr>
      <w:r>
        <w:rPr>
          <w:noProof/>
          <w:lang w:val="es-CO" w:eastAsia="es-CO"/>
        </w:rPr>
        <w:drawing>
          <wp:inline distT="0" distB="0" distL="0" distR="0" wp14:anchorId="295E0248" wp14:editId="168A56CE">
            <wp:extent cx="5400675" cy="2780665"/>
            <wp:effectExtent l="0" t="0" r="9525" b="635"/>
            <wp:docPr id="1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675" cy="2780665"/>
                    </a:xfrm>
                    <a:prstGeom prst="rect">
                      <a:avLst/>
                    </a:prstGeom>
                  </pic:spPr>
                </pic:pic>
              </a:graphicData>
            </a:graphic>
          </wp:inline>
        </w:drawing>
      </w:r>
    </w:p>
    <w:p w14:paraId="68346DF9" w14:textId="77777777" w:rsidR="00656768" w:rsidRPr="00570A59" w:rsidRDefault="00656768" w:rsidP="00656768">
      <w:pPr>
        <w:spacing w:line="276" w:lineRule="auto"/>
      </w:pPr>
    </w:p>
    <w:p w14:paraId="3E6BCE50" w14:textId="77777777" w:rsidR="00656768" w:rsidRPr="00570A59" w:rsidRDefault="00656768" w:rsidP="00656768">
      <w:pPr>
        <w:spacing w:line="276" w:lineRule="auto"/>
      </w:pPr>
      <w:r>
        <w:rPr>
          <w:noProof/>
          <w:lang w:val="es-CO" w:eastAsia="es-CO"/>
        </w:rPr>
        <w:drawing>
          <wp:inline distT="0" distB="0" distL="0" distR="0" wp14:anchorId="5430DDB9" wp14:editId="71B6E795">
            <wp:extent cx="5400675" cy="2961005"/>
            <wp:effectExtent l="0" t="0" r="9525" b="0"/>
            <wp:docPr id="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675" cy="2961005"/>
                    </a:xfrm>
                    <a:prstGeom prst="rect">
                      <a:avLst/>
                    </a:prstGeom>
                  </pic:spPr>
                </pic:pic>
              </a:graphicData>
            </a:graphic>
          </wp:inline>
        </w:drawing>
      </w:r>
    </w:p>
    <w:p w14:paraId="48D69945" w14:textId="77777777" w:rsidR="00656768" w:rsidRPr="00570A59" w:rsidRDefault="00656768" w:rsidP="00656768">
      <w:pPr>
        <w:widowControl w:val="0"/>
        <w:autoSpaceDE w:val="0"/>
        <w:autoSpaceDN w:val="0"/>
        <w:adjustRightInd w:val="0"/>
        <w:spacing w:line="276" w:lineRule="auto"/>
        <w:ind w:firstLine="0"/>
        <w:jc w:val="center"/>
        <w:rPr>
          <w:b/>
          <w:color w:val="auto"/>
          <w:lang w:val="en-US" w:eastAsia="en-US"/>
        </w:rPr>
      </w:pPr>
    </w:p>
    <w:p w14:paraId="6BC2CD79" w14:textId="77777777" w:rsidR="00656768" w:rsidRPr="00570A59" w:rsidRDefault="00656768" w:rsidP="00656768">
      <w:pPr>
        <w:widowControl w:val="0"/>
        <w:autoSpaceDE w:val="0"/>
        <w:autoSpaceDN w:val="0"/>
        <w:adjustRightInd w:val="0"/>
        <w:spacing w:line="276" w:lineRule="auto"/>
        <w:ind w:firstLine="0"/>
        <w:jc w:val="center"/>
        <w:rPr>
          <w:b/>
          <w:color w:val="auto"/>
          <w:lang w:val="en-US" w:eastAsia="en-US"/>
        </w:rPr>
      </w:pPr>
    </w:p>
    <w:p w14:paraId="2B5179E5" w14:textId="77777777" w:rsidR="00656768" w:rsidRPr="00570A59" w:rsidRDefault="00656768" w:rsidP="00656768">
      <w:pPr>
        <w:widowControl w:val="0"/>
        <w:autoSpaceDE w:val="0"/>
        <w:autoSpaceDN w:val="0"/>
        <w:adjustRightInd w:val="0"/>
        <w:spacing w:line="276" w:lineRule="auto"/>
        <w:ind w:firstLine="0"/>
        <w:jc w:val="center"/>
        <w:rPr>
          <w:b/>
          <w:color w:val="auto"/>
          <w:lang w:val="en-US" w:eastAsia="en-US"/>
        </w:rPr>
      </w:pPr>
    </w:p>
    <w:p w14:paraId="6FBDFF0F" w14:textId="77777777" w:rsidR="00656768" w:rsidRPr="00570A59" w:rsidRDefault="00656768" w:rsidP="00656768">
      <w:pPr>
        <w:widowControl w:val="0"/>
        <w:autoSpaceDE w:val="0"/>
        <w:autoSpaceDN w:val="0"/>
        <w:adjustRightInd w:val="0"/>
        <w:spacing w:line="276" w:lineRule="auto"/>
        <w:ind w:firstLine="0"/>
        <w:jc w:val="center"/>
        <w:rPr>
          <w:b/>
          <w:color w:val="auto"/>
          <w:lang w:val="en-US" w:eastAsia="en-US"/>
        </w:rPr>
      </w:pPr>
    </w:p>
    <w:p w14:paraId="66EEDD7B" w14:textId="77777777" w:rsidR="00656768" w:rsidRPr="00570A59" w:rsidRDefault="00656768" w:rsidP="00656768">
      <w:pPr>
        <w:widowControl w:val="0"/>
        <w:autoSpaceDE w:val="0"/>
        <w:autoSpaceDN w:val="0"/>
        <w:adjustRightInd w:val="0"/>
        <w:spacing w:line="276" w:lineRule="auto"/>
        <w:ind w:firstLine="0"/>
        <w:jc w:val="center"/>
        <w:rPr>
          <w:b/>
          <w:color w:val="auto"/>
          <w:lang w:val="en-US" w:eastAsia="en-US"/>
        </w:rPr>
      </w:pPr>
    </w:p>
    <w:p w14:paraId="74B39B69" w14:textId="77777777" w:rsidR="00656768" w:rsidRPr="00570A59" w:rsidRDefault="00656768" w:rsidP="00656768">
      <w:pPr>
        <w:widowControl w:val="0"/>
        <w:autoSpaceDE w:val="0"/>
        <w:autoSpaceDN w:val="0"/>
        <w:adjustRightInd w:val="0"/>
        <w:spacing w:line="276" w:lineRule="auto"/>
        <w:ind w:firstLine="0"/>
        <w:jc w:val="center"/>
        <w:rPr>
          <w:b/>
          <w:color w:val="auto"/>
          <w:lang w:val="en-US" w:eastAsia="en-US"/>
        </w:rPr>
      </w:pPr>
    </w:p>
    <w:p w14:paraId="2D685752" w14:textId="16EABBB5" w:rsidR="00656768" w:rsidRDefault="00656768" w:rsidP="00570A59">
      <w:pPr>
        <w:widowControl w:val="0"/>
        <w:autoSpaceDE w:val="0"/>
        <w:autoSpaceDN w:val="0"/>
        <w:adjustRightInd w:val="0"/>
        <w:spacing w:line="276" w:lineRule="auto"/>
        <w:ind w:firstLine="0"/>
        <w:jc w:val="center"/>
        <w:rPr>
          <w:b/>
          <w:color w:val="auto"/>
          <w:lang w:val="en-US" w:eastAsia="en-US"/>
        </w:rPr>
      </w:pPr>
    </w:p>
    <w:p w14:paraId="462FDD34" w14:textId="3545F48D" w:rsidR="00656768" w:rsidRDefault="00656768" w:rsidP="00570A59">
      <w:pPr>
        <w:widowControl w:val="0"/>
        <w:autoSpaceDE w:val="0"/>
        <w:autoSpaceDN w:val="0"/>
        <w:adjustRightInd w:val="0"/>
        <w:spacing w:line="276" w:lineRule="auto"/>
        <w:ind w:firstLine="0"/>
        <w:jc w:val="center"/>
        <w:rPr>
          <w:b/>
          <w:color w:val="auto"/>
          <w:lang w:val="en-US" w:eastAsia="en-US"/>
        </w:rPr>
      </w:pPr>
    </w:p>
    <w:p w14:paraId="57C384D6" w14:textId="77777777" w:rsidR="00656768" w:rsidRPr="00570A59" w:rsidRDefault="00656768" w:rsidP="00570A59">
      <w:pPr>
        <w:widowControl w:val="0"/>
        <w:autoSpaceDE w:val="0"/>
        <w:autoSpaceDN w:val="0"/>
        <w:adjustRightInd w:val="0"/>
        <w:spacing w:line="276" w:lineRule="auto"/>
        <w:ind w:firstLine="0"/>
        <w:jc w:val="center"/>
        <w:rPr>
          <w:b/>
          <w:color w:val="auto"/>
          <w:lang w:eastAsia="en-US"/>
        </w:rPr>
      </w:pPr>
    </w:p>
    <w:p w14:paraId="52D29A1D"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746F3F58"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6ADE19FD"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6597E509"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0F3A7A4A"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51723190"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24E4427F"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63D7CC2A" w14:textId="77777777" w:rsidR="00570A59" w:rsidRDefault="00570A59" w:rsidP="00570A59">
      <w:pPr>
        <w:widowControl w:val="0"/>
        <w:autoSpaceDE w:val="0"/>
        <w:autoSpaceDN w:val="0"/>
        <w:adjustRightInd w:val="0"/>
        <w:spacing w:line="276" w:lineRule="auto"/>
        <w:ind w:firstLine="0"/>
        <w:jc w:val="center"/>
        <w:rPr>
          <w:b/>
          <w:color w:val="auto"/>
          <w:lang w:val="en-US" w:eastAsia="en-US"/>
        </w:rPr>
      </w:pPr>
    </w:p>
    <w:p w14:paraId="68C052C7" w14:textId="77777777" w:rsidR="006D318E" w:rsidRDefault="006D318E" w:rsidP="00570A59">
      <w:pPr>
        <w:widowControl w:val="0"/>
        <w:autoSpaceDE w:val="0"/>
        <w:autoSpaceDN w:val="0"/>
        <w:adjustRightInd w:val="0"/>
        <w:spacing w:line="276" w:lineRule="auto"/>
        <w:ind w:firstLine="0"/>
        <w:jc w:val="center"/>
        <w:rPr>
          <w:b/>
          <w:color w:val="auto"/>
          <w:lang w:val="en-US" w:eastAsia="en-US"/>
        </w:rPr>
      </w:pPr>
    </w:p>
    <w:p w14:paraId="35348F3C" w14:textId="77777777" w:rsidR="006D318E" w:rsidRDefault="006D318E" w:rsidP="00570A59">
      <w:pPr>
        <w:widowControl w:val="0"/>
        <w:autoSpaceDE w:val="0"/>
        <w:autoSpaceDN w:val="0"/>
        <w:adjustRightInd w:val="0"/>
        <w:spacing w:line="276" w:lineRule="auto"/>
        <w:ind w:firstLine="0"/>
        <w:jc w:val="center"/>
        <w:rPr>
          <w:b/>
          <w:color w:val="auto"/>
          <w:lang w:val="en-US" w:eastAsia="en-US"/>
        </w:rPr>
      </w:pPr>
    </w:p>
    <w:p w14:paraId="3C67BCB3" w14:textId="77777777" w:rsidR="006D318E" w:rsidRPr="00570A59" w:rsidRDefault="006D318E" w:rsidP="00570A59">
      <w:pPr>
        <w:widowControl w:val="0"/>
        <w:autoSpaceDE w:val="0"/>
        <w:autoSpaceDN w:val="0"/>
        <w:adjustRightInd w:val="0"/>
        <w:spacing w:line="276" w:lineRule="auto"/>
        <w:ind w:firstLine="0"/>
        <w:jc w:val="center"/>
        <w:rPr>
          <w:b/>
          <w:color w:val="auto"/>
          <w:lang w:val="en-US" w:eastAsia="en-US"/>
        </w:rPr>
      </w:pPr>
    </w:p>
    <w:p w14:paraId="72BEF8F0"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23610E31"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5D6A4325"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509EB802"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74060F32" w14:textId="2D6D1A87" w:rsidR="00570A59" w:rsidRDefault="00570A59" w:rsidP="00570A59">
      <w:pPr>
        <w:widowControl w:val="0"/>
        <w:autoSpaceDE w:val="0"/>
        <w:autoSpaceDN w:val="0"/>
        <w:adjustRightInd w:val="0"/>
        <w:spacing w:line="276" w:lineRule="auto"/>
        <w:ind w:firstLine="0"/>
        <w:jc w:val="center"/>
        <w:rPr>
          <w:b/>
          <w:color w:val="auto"/>
          <w:lang w:val="en-US" w:eastAsia="en-US"/>
        </w:rPr>
      </w:pPr>
    </w:p>
    <w:p w14:paraId="4D9F79FE" w14:textId="7A17F404"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03F92921" w14:textId="08AB8B38"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3808879C" w14:textId="3A474237"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5AC409F3" w14:textId="2DBEA48B"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05BB263E" w14:textId="77B6BF68"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38DA0366" w14:textId="1EC13B65"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76105546" w14:textId="6BA4587C"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1AE38935" w14:textId="261368FB"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51AF3DE6" w14:textId="4AE67CCB"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074E423B" w14:textId="604F73AD"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63158E0F" w14:textId="4CF7C9F6"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590BCD83" w14:textId="34D8110D"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6013003B" w14:textId="77777777" w:rsidR="000A7152" w:rsidRPr="00570A59" w:rsidRDefault="000A7152" w:rsidP="00570A59">
      <w:pPr>
        <w:widowControl w:val="0"/>
        <w:autoSpaceDE w:val="0"/>
        <w:autoSpaceDN w:val="0"/>
        <w:adjustRightInd w:val="0"/>
        <w:spacing w:line="276" w:lineRule="auto"/>
        <w:ind w:firstLine="0"/>
        <w:jc w:val="center"/>
        <w:rPr>
          <w:b/>
          <w:color w:val="auto"/>
          <w:lang w:val="en-US" w:eastAsia="en-US"/>
        </w:rPr>
      </w:pPr>
    </w:p>
    <w:p w14:paraId="2781F5A4"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val="en-US" w:eastAsia="en-US"/>
        </w:rPr>
        <w:lastRenderedPageBreak/>
        <w:t>Appendix 4</w:t>
      </w:r>
      <w:r w:rsidR="00D1738B">
        <w:rPr>
          <w:b/>
          <w:color w:val="auto"/>
          <w:lang w:val="en-US" w:eastAsia="en-US"/>
        </w:rPr>
        <w:t>F</w:t>
      </w:r>
      <w:r w:rsidRPr="00570A59">
        <w:rPr>
          <w:b/>
          <w:color w:val="auto"/>
          <w:lang w:val="en-US" w:eastAsia="en-US"/>
        </w:rPr>
        <w:t>-. Screen shots IC conditions</w:t>
      </w:r>
    </w:p>
    <w:p w14:paraId="3FB94D73" w14:textId="77777777" w:rsidR="00570A59" w:rsidRPr="00570A59" w:rsidRDefault="00570A59" w:rsidP="00570A59">
      <w:pPr>
        <w:spacing w:line="276" w:lineRule="auto"/>
      </w:pPr>
    </w:p>
    <w:p w14:paraId="42DD0972" w14:textId="77777777" w:rsidR="00570A59" w:rsidRPr="00570A59" w:rsidRDefault="00570A59" w:rsidP="00570A59">
      <w:pPr>
        <w:spacing w:line="276" w:lineRule="auto"/>
      </w:pPr>
      <w:r w:rsidRPr="00570A59">
        <w:t>Intergroup contact:</w:t>
      </w:r>
    </w:p>
    <w:p w14:paraId="34C03DFF" w14:textId="1E8D00A7" w:rsidR="00570A59" w:rsidRPr="00570A59" w:rsidRDefault="00D02823" w:rsidP="00570A59">
      <w:pPr>
        <w:spacing w:line="276" w:lineRule="auto"/>
      </w:pPr>
      <w:r>
        <w:rPr>
          <w:noProof/>
          <w:lang w:val="es-CO" w:eastAsia="es-CO"/>
        </w:rPr>
        <w:drawing>
          <wp:inline distT="0" distB="0" distL="0" distR="0" wp14:anchorId="25559C94" wp14:editId="176BD311">
            <wp:extent cx="5738495" cy="1513205"/>
            <wp:effectExtent l="0" t="0" r="0" b="0"/>
            <wp:docPr id="3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8495" cy="1513205"/>
                    </a:xfrm>
                    <a:prstGeom prst="rect">
                      <a:avLst/>
                    </a:prstGeom>
                    <a:noFill/>
                    <a:ln>
                      <a:noFill/>
                    </a:ln>
                  </pic:spPr>
                </pic:pic>
              </a:graphicData>
            </a:graphic>
          </wp:inline>
        </w:drawing>
      </w:r>
    </w:p>
    <w:p w14:paraId="4E172279" w14:textId="25A9F365" w:rsidR="00570A59" w:rsidRPr="00570A59" w:rsidRDefault="00D02823" w:rsidP="006D318E">
      <w:pPr>
        <w:spacing w:line="276" w:lineRule="auto"/>
      </w:pPr>
      <w:r>
        <w:rPr>
          <w:noProof/>
          <w:lang w:val="es-CO" w:eastAsia="es-CO"/>
        </w:rPr>
        <w:drawing>
          <wp:inline distT="0" distB="0" distL="0" distR="0" wp14:anchorId="6064AD3C" wp14:editId="3EB7A10B">
            <wp:extent cx="5738495" cy="2616835"/>
            <wp:effectExtent l="0" t="0" r="0" b="0"/>
            <wp:docPr id="3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8495" cy="2616835"/>
                    </a:xfrm>
                    <a:prstGeom prst="rect">
                      <a:avLst/>
                    </a:prstGeom>
                    <a:noFill/>
                    <a:ln>
                      <a:noFill/>
                    </a:ln>
                  </pic:spPr>
                </pic:pic>
              </a:graphicData>
            </a:graphic>
          </wp:inline>
        </w:drawing>
      </w:r>
    </w:p>
    <w:p w14:paraId="689256B1" w14:textId="77777777" w:rsidR="00570A59" w:rsidRPr="00570A59" w:rsidRDefault="00570A59" w:rsidP="00570A59">
      <w:pPr>
        <w:spacing w:line="276" w:lineRule="auto"/>
      </w:pPr>
      <w:r w:rsidRPr="00570A59">
        <w:t>Control condition:</w:t>
      </w:r>
    </w:p>
    <w:p w14:paraId="5114C33B" w14:textId="0EB67CB4" w:rsidR="00570A59" w:rsidRPr="00570A59" w:rsidRDefault="00D02823" w:rsidP="00570A59">
      <w:pPr>
        <w:spacing w:line="276" w:lineRule="auto"/>
      </w:pPr>
      <w:r>
        <w:rPr>
          <w:noProof/>
          <w:lang w:val="es-CO" w:eastAsia="es-CO"/>
        </w:rPr>
        <w:drawing>
          <wp:inline distT="0" distB="0" distL="0" distR="0" wp14:anchorId="1156BDFA" wp14:editId="67965E8F">
            <wp:extent cx="5728335" cy="1324610"/>
            <wp:effectExtent l="0" t="0" r="0" b="0"/>
            <wp:docPr id="3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8335" cy="1324610"/>
                    </a:xfrm>
                    <a:prstGeom prst="rect">
                      <a:avLst/>
                    </a:prstGeom>
                    <a:noFill/>
                    <a:ln>
                      <a:noFill/>
                    </a:ln>
                  </pic:spPr>
                </pic:pic>
              </a:graphicData>
            </a:graphic>
          </wp:inline>
        </w:drawing>
      </w:r>
    </w:p>
    <w:p w14:paraId="24927CBC" w14:textId="7A5A91C9" w:rsidR="00570A59" w:rsidRPr="00570A59" w:rsidRDefault="00D02823" w:rsidP="00570A59">
      <w:pPr>
        <w:spacing w:line="276" w:lineRule="auto"/>
      </w:pPr>
      <w:r>
        <w:rPr>
          <w:noProof/>
          <w:lang w:val="es-CO" w:eastAsia="es-CO"/>
        </w:rPr>
        <w:drawing>
          <wp:inline distT="0" distB="0" distL="0" distR="0" wp14:anchorId="47C2D7DE" wp14:editId="3FDC1D3D">
            <wp:extent cx="5728335" cy="1618615"/>
            <wp:effectExtent l="0" t="0" r="0" b="0"/>
            <wp:docPr id="3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8335" cy="1618615"/>
                    </a:xfrm>
                    <a:prstGeom prst="rect">
                      <a:avLst/>
                    </a:prstGeom>
                    <a:noFill/>
                    <a:ln>
                      <a:noFill/>
                    </a:ln>
                  </pic:spPr>
                </pic:pic>
              </a:graphicData>
            </a:graphic>
          </wp:inline>
        </w:drawing>
      </w:r>
    </w:p>
    <w:p w14:paraId="22C80B05" w14:textId="77777777" w:rsidR="00570A59" w:rsidRPr="00570A59" w:rsidRDefault="00570A59" w:rsidP="00570A59">
      <w:pPr>
        <w:spacing w:line="276" w:lineRule="auto"/>
        <w:rPr>
          <w:b/>
          <w:bCs/>
        </w:rPr>
      </w:pPr>
    </w:p>
    <w:p w14:paraId="6F5B86AC" w14:textId="77777777" w:rsidR="00570A59" w:rsidRPr="00570A59" w:rsidRDefault="00570A59" w:rsidP="00570A59">
      <w:pPr>
        <w:spacing w:line="276" w:lineRule="auto"/>
        <w:rPr>
          <w:b/>
          <w:bCs/>
        </w:rPr>
      </w:pPr>
    </w:p>
    <w:p w14:paraId="254A55BE"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r w:rsidRPr="00570A59">
        <w:rPr>
          <w:b/>
          <w:color w:val="auto"/>
          <w:lang w:val="en-US" w:eastAsia="en-US"/>
        </w:rPr>
        <w:lastRenderedPageBreak/>
        <w:t>Appendix 4</w:t>
      </w:r>
      <w:r w:rsidR="00D1738B">
        <w:rPr>
          <w:b/>
          <w:color w:val="auto"/>
          <w:lang w:val="en-US" w:eastAsia="en-US"/>
        </w:rPr>
        <w:t>G</w:t>
      </w:r>
      <w:r w:rsidRPr="00570A59">
        <w:rPr>
          <w:b/>
          <w:color w:val="auto"/>
          <w:lang w:val="en-US" w:eastAsia="en-US"/>
        </w:rPr>
        <w:t>-. Intergroup anxiety questionnaire</w:t>
      </w:r>
    </w:p>
    <w:p w14:paraId="2FC82B2C" w14:textId="0F1BD0C5" w:rsidR="00570A59" w:rsidRPr="00570A59" w:rsidRDefault="00D02823" w:rsidP="00570A59">
      <w:pPr>
        <w:widowControl w:val="0"/>
        <w:autoSpaceDE w:val="0"/>
        <w:autoSpaceDN w:val="0"/>
        <w:adjustRightInd w:val="0"/>
        <w:spacing w:line="276" w:lineRule="auto"/>
        <w:ind w:firstLine="0"/>
        <w:jc w:val="center"/>
        <w:rPr>
          <w:b/>
          <w:color w:val="auto"/>
          <w:lang w:eastAsia="en-US"/>
        </w:rPr>
      </w:pPr>
      <w:r>
        <w:rPr>
          <w:b/>
          <w:noProof/>
          <w:color w:val="auto"/>
          <w:lang w:val="es-CO" w:eastAsia="es-CO"/>
        </w:rPr>
        <w:drawing>
          <wp:inline distT="0" distB="0" distL="0" distR="0" wp14:anchorId="18E03465" wp14:editId="4277F5C1">
            <wp:extent cx="5728335" cy="3941445"/>
            <wp:effectExtent l="0" t="0" r="0" b="0"/>
            <wp:docPr id="3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8335" cy="3941445"/>
                    </a:xfrm>
                    <a:prstGeom prst="rect">
                      <a:avLst/>
                    </a:prstGeom>
                    <a:noFill/>
                    <a:ln>
                      <a:noFill/>
                    </a:ln>
                  </pic:spPr>
                </pic:pic>
              </a:graphicData>
            </a:graphic>
          </wp:inline>
        </w:drawing>
      </w:r>
    </w:p>
    <w:p w14:paraId="2D2D05F6"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334A7314"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4A2D8F65"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50E2FA52"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2EA9F375"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48ED96E9"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5DC34674"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2772B9DE"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7751386F"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01EF02C6"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494A1090"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396A4BB7"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3DE78F6F"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77767B00" w14:textId="53FCAF79" w:rsidR="00570A59" w:rsidRDefault="00570A59" w:rsidP="00570A59">
      <w:pPr>
        <w:widowControl w:val="0"/>
        <w:autoSpaceDE w:val="0"/>
        <w:autoSpaceDN w:val="0"/>
        <w:adjustRightInd w:val="0"/>
        <w:spacing w:line="276" w:lineRule="auto"/>
        <w:ind w:firstLine="0"/>
        <w:jc w:val="center"/>
        <w:rPr>
          <w:b/>
          <w:color w:val="auto"/>
          <w:lang w:val="en-US" w:eastAsia="en-US"/>
        </w:rPr>
      </w:pPr>
    </w:p>
    <w:p w14:paraId="1FE49F35" w14:textId="77777777" w:rsidR="000A7152" w:rsidRDefault="000A7152" w:rsidP="00570A59">
      <w:pPr>
        <w:widowControl w:val="0"/>
        <w:autoSpaceDE w:val="0"/>
        <w:autoSpaceDN w:val="0"/>
        <w:adjustRightInd w:val="0"/>
        <w:spacing w:line="276" w:lineRule="auto"/>
        <w:ind w:firstLine="0"/>
        <w:jc w:val="center"/>
        <w:rPr>
          <w:b/>
          <w:color w:val="auto"/>
          <w:lang w:val="en-US" w:eastAsia="en-US"/>
        </w:rPr>
      </w:pPr>
    </w:p>
    <w:p w14:paraId="17599B80" w14:textId="77777777" w:rsidR="006D318E" w:rsidRDefault="006D318E" w:rsidP="00570A59">
      <w:pPr>
        <w:widowControl w:val="0"/>
        <w:autoSpaceDE w:val="0"/>
        <w:autoSpaceDN w:val="0"/>
        <w:adjustRightInd w:val="0"/>
        <w:spacing w:line="276" w:lineRule="auto"/>
        <w:ind w:firstLine="0"/>
        <w:jc w:val="center"/>
        <w:rPr>
          <w:b/>
          <w:color w:val="auto"/>
          <w:lang w:val="en-US" w:eastAsia="en-US"/>
        </w:rPr>
      </w:pPr>
    </w:p>
    <w:p w14:paraId="63AF3193" w14:textId="77777777" w:rsidR="006D318E" w:rsidRPr="00570A59" w:rsidRDefault="006D318E" w:rsidP="00570A59">
      <w:pPr>
        <w:widowControl w:val="0"/>
        <w:autoSpaceDE w:val="0"/>
        <w:autoSpaceDN w:val="0"/>
        <w:adjustRightInd w:val="0"/>
        <w:spacing w:line="276" w:lineRule="auto"/>
        <w:ind w:firstLine="0"/>
        <w:jc w:val="center"/>
        <w:rPr>
          <w:b/>
          <w:color w:val="auto"/>
          <w:lang w:val="en-US" w:eastAsia="en-US"/>
        </w:rPr>
      </w:pPr>
    </w:p>
    <w:p w14:paraId="530DB775"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r w:rsidRPr="00570A59">
        <w:rPr>
          <w:b/>
          <w:color w:val="auto"/>
          <w:lang w:val="en-US" w:eastAsia="en-US"/>
        </w:rPr>
        <w:lastRenderedPageBreak/>
        <w:t>Appendix 4</w:t>
      </w:r>
      <w:r w:rsidR="00D1738B">
        <w:rPr>
          <w:b/>
          <w:color w:val="auto"/>
          <w:lang w:val="en-US" w:eastAsia="en-US"/>
        </w:rPr>
        <w:t>H</w:t>
      </w:r>
      <w:r w:rsidRPr="00570A59">
        <w:rPr>
          <w:b/>
          <w:color w:val="auto"/>
          <w:lang w:val="en-US" w:eastAsia="en-US"/>
        </w:rPr>
        <w:t>-. Intended avoidance questionnaire</w:t>
      </w:r>
    </w:p>
    <w:p w14:paraId="5043E24A" w14:textId="427873CA" w:rsidR="00570A59" w:rsidRPr="00570A59" w:rsidRDefault="00D02823" w:rsidP="00570A59">
      <w:pPr>
        <w:widowControl w:val="0"/>
        <w:autoSpaceDE w:val="0"/>
        <w:autoSpaceDN w:val="0"/>
        <w:adjustRightInd w:val="0"/>
        <w:spacing w:line="276" w:lineRule="auto"/>
        <w:ind w:firstLine="0"/>
        <w:jc w:val="center"/>
        <w:rPr>
          <w:b/>
          <w:color w:val="auto"/>
          <w:lang w:val="en-US" w:eastAsia="en-US"/>
        </w:rPr>
      </w:pPr>
      <w:r>
        <w:rPr>
          <w:b/>
          <w:noProof/>
          <w:color w:val="auto"/>
          <w:lang w:val="es-CO" w:eastAsia="es-CO"/>
        </w:rPr>
        <w:drawing>
          <wp:inline distT="0" distB="0" distL="0" distR="0" wp14:anchorId="6C46CAE0" wp14:editId="3DC4D050">
            <wp:extent cx="5160645" cy="4498340"/>
            <wp:effectExtent l="0" t="0" r="0" b="0"/>
            <wp:docPr id="3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60645" cy="4498340"/>
                    </a:xfrm>
                    <a:prstGeom prst="rect">
                      <a:avLst/>
                    </a:prstGeom>
                    <a:noFill/>
                    <a:ln>
                      <a:noFill/>
                    </a:ln>
                  </pic:spPr>
                </pic:pic>
              </a:graphicData>
            </a:graphic>
          </wp:inline>
        </w:drawing>
      </w:r>
    </w:p>
    <w:p w14:paraId="574D021B"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40569BC0"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55A1FBB3"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4241F1E5"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76E9BF4C"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005CB00A"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7EDA129F"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0F09574D"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7466D84C"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2884C5B6"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08A19264"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3979AD71"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0BFF9ADA"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67E445A8" w14:textId="77777777" w:rsidR="00570A59" w:rsidRPr="00570A59" w:rsidRDefault="00570A59" w:rsidP="00570A59">
      <w:pPr>
        <w:widowControl w:val="0"/>
        <w:autoSpaceDE w:val="0"/>
        <w:autoSpaceDN w:val="0"/>
        <w:adjustRightInd w:val="0"/>
        <w:spacing w:line="276" w:lineRule="auto"/>
        <w:ind w:firstLine="0"/>
        <w:jc w:val="center"/>
        <w:rPr>
          <w:bCs/>
          <w:color w:val="auto"/>
          <w:lang w:val="en-US" w:eastAsia="en-US"/>
        </w:rPr>
      </w:pPr>
    </w:p>
    <w:p w14:paraId="3B511B2B"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p>
    <w:p w14:paraId="318C11FF"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r w:rsidRPr="00570A59">
        <w:rPr>
          <w:b/>
          <w:color w:val="auto"/>
          <w:lang w:val="en-US" w:eastAsia="en-US"/>
        </w:rPr>
        <w:lastRenderedPageBreak/>
        <w:t>Appendix 4</w:t>
      </w:r>
      <w:r w:rsidR="00D1738B">
        <w:rPr>
          <w:b/>
          <w:color w:val="auto"/>
          <w:lang w:val="en-US" w:eastAsia="en-US"/>
        </w:rPr>
        <w:t>I</w:t>
      </w:r>
      <w:r w:rsidRPr="00570A59">
        <w:rPr>
          <w:b/>
          <w:color w:val="auto"/>
          <w:lang w:val="en-US" w:eastAsia="en-US"/>
        </w:rPr>
        <w:t>-. Debrief message</w:t>
      </w:r>
    </w:p>
    <w:p w14:paraId="659B2127" w14:textId="2C974C2A" w:rsidR="00570A59" w:rsidRPr="00570A59" w:rsidRDefault="00D02823" w:rsidP="00570A59">
      <w:pPr>
        <w:widowControl w:val="0"/>
        <w:autoSpaceDE w:val="0"/>
        <w:autoSpaceDN w:val="0"/>
        <w:adjustRightInd w:val="0"/>
        <w:spacing w:line="276" w:lineRule="auto"/>
        <w:ind w:firstLine="0"/>
        <w:jc w:val="center"/>
        <w:rPr>
          <w:b/>
          <w:color w:val="auto"/>
          <w:lang w:val="en-US" w:eastAsia="en-US"/>
        </w:rPr>
      </w:pPr>
      <w:r>
        <w:rPr>
          <w:b/>
          <w:noProof/>
          <w:color w:val="auto"/>
          <w:lang w:val="es-CO" w:eastAsia="es-CO"/>
        </w:rPr>
        <w:drawing>
          <wp:inline distT="0" distB="0" distL="0" distR="0" wp14:anchorId="72E1D873" wp14:editId="352020CE">
            <wp:extent cx="5717540" cy="5822950"/>
            <wp:effectExtent l="0" t="0" r="0" b="0"/>
            <wp:docPr id="3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7540" cy="5822950"/>
                    </a:xfrm>
                    <a:prstGeom prst="rect">
                      <a:avLst/>
                    </a:prstGeom>
                    <a:noFill/>
                    <a:ln>
                      <a:noFill/>
                    </a:ln>
                  </pic:spPr>
                </pic:pic>
              </a:graphicData>
            </a:graphic>
          </wp:inline>
        </w:drawing>
      </w:r>
    </w:p>
    <w:p w14:paraId="0B53B3E2"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252888FF"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1F1C5257" w14:textId="77777777" w:rsidR="00570A59" w:rsidRDefault="00570A59" w:rsidP="00570A59">
      <w:pPr>
        <w:widowControl w:val="0"/>
        <w:autoSpaceDE w:val="0"/>
        <w:autoSpaceDN w:val="0"/>
        <w:adjustRightInd w:val="0"/>
        <w:spacing w:line="276" w:lineRule="auto"/>
        <w:ind w:firstLine="0"/>
        <w:jc w:val="center"/>
        <w:rPr>
          <w:b/>
          <w:color w:val="auto"/>
          <w:lang w:val="en-US" w:eastAsia="en-US"/>
        </w:rPr>
      </w:pPr>
    </w:p>
    <w:p w14:paraId="1C8F93D2" w14:textId="77777777" w:rsidR="006D318E" w:rsidRDefault="006D318E" w:rsidP="00570A59">
      <w:pPr>
        <w:widowControl w:val="0"/>
        <w:autoSpaceDE w:val="0"/>
        <w:autoSpaceDN w:val="0"/>
        <w:adjustRightInd w:val="0"/>
        <w:spacing w:line="276" w:lineRule="auto"/>
        <w:ind w:firstLine="0"/>
        <w:jc w:val="center"/>
        <w:rPr>
          <w:b/>
          <w:color w:val="auto"/>
          <w:lang w:val="en-US" w:eastAsia="en-US"/>
        </w:rPr>
      </w:pPr>
    </w:p>
    <w:p w14:paraId="4B26AC51" w14:textId="77777777" w:rsidR="006D318E" w:rsidRPr="00570A59" w:rsidRDefault="006D318E" w:rsidP="00570A59">
      <w:pPr>
        <w:widowControl w:val="0"/>
        <w:autoSpaceDE w:val="0"/>
        <w:autoSpaceDN w:val="0"/>
        <w:adjustRightInd w:val="0"/>
        <w:spacing w:line="276" w:lineRule="auto"/>
        <w:ind w:firstLine="0"/>
        <w:jc w:val="center"/>
        <w:rPr>
          <w:b/>
          <w:color w:val="auto"/>
          <w:lang w:val="en-US" w:eastAsia="en-US"/>
        </w:rPr>
      </w:pPr>
    </w:p>
    <w:p w14:paraId="25AD6EC7"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097F897C"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7CCA0E91"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6E9DDD8A"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3948E38E"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3C4E9222"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35458D59"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r w:rsidRPr="00570A59">
        <w:rPr>
          <w:b/>
          <w:color w:val="auto"/>
          <w:lang w:val="en-US" w:eastAsia="en-US"/>
        </w:rPr>
        <w:t>Appendix 5A-. Ethical approval Study 3</w:t>
      </w:r>
    </w:p>
    <w:p w14:paraId="484C6713" w14:textId="406BBBB2" w:rsidR="00570A59" w:rsidRPr="00570A59" w:rsidRDefault="00D02823" w:rsidP="00570A59">
      <w:pPr>
        <w:spacing w:line="276" w:lineRule="auto"/>
      </w:pPr>
      <w:r>
        <w:rPr>
          <w:noProof/>
          <w:lang w:val="es-CO" w:eastAsia="es-CO"/>
        </w:rPr>
        <w:drawing>
          <wp:inline distT="0" distB="0" distL="0" distR="0" wp14:anchorId="09EE339B" wp14:editId="17089C95">
            <wp:extent cx="5728335" cy="3131820"/>
            <wp:effectExtent l="0" t="0" r="0" b="0"/>
            <wp:docPr id="4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8335" cy="3131820"/>
                    </a:xfrm>
                    <a:prstGeom prst="rect">
                      <a:avLst/>
                    </a:prstGeom>
                    <a:noFill/>
                    <a:ln>
                      <a:noFill/>
                    </a:ln>
                  </pic:spPr>
                </pic:pic>
              </a:graphicData>
            </a:graphic>
          </wp:inline>
        </w:drawing>
      </w:r>
    </w:p>
    <w:p w14:paraId="361B1247" w14:textId="77777777" w:rsidR="00570A59" w:rsidRPr="00570A59" w:rsidRDefault="00570A59" w:rsidP="00570A59">
      <w:pPr>
        <w:spacing w:line="276" w:lineRule="auto"/>
      </w:pPr>
    </w:p>
    <w:p w14:paraId="4799077B" w14:textId="77777777" w:rsidR="00570A59" w:rsidRPr="00570A59" w:rsidRDefault="00570A59" w:rsidP="00570A59">
      <w:pPr>
        <w:spacing w:line="276" w:lineRule="auto"/>
      </w:pPr>
    </w:p>
    <w:p w14:paraId="54C0E3C8" w14:textId="77777777" w:rsidR="00570A59" w:rsidRPr="00570A59" w:rsidRDefault="00570A59" w:rsidP="00570A59">
      <w:pPr>
        <w:spacing w:line="276" w:lineRule="auto"/>
      </w:pPr>
    </w:p>
    <w:p w14:paraId="06EF514B" w14:textId="77777777" w:rsidR="00570A59" w:rsidRPr="00570A59" w:rsidRDefault="00570A59" w:rsidP="00570A59">
      <w:pPr>
        <w:spacing w:line="276" w:lineRule="auto"/>
      </w:pPr>
    </w:p>
    <w:p w14:paraId="260E515C" w14:textId="77777777" w:rsidR="00570A59" w:rsidRPr="00570A59" w:rsidRDefault="00570A59" w:rsidP="00570A59">
      <w:pPr>
        <w:spacing w:line="276" w:lineRule="auto"/>
      </w:pPr>
    </w:p>
    <w:p w14:paraId="0E540939" w14:textId="77777777" w:rsidR="00570A59" w:rsidRPr="00570A59" w:rsidRDefault="00570A59" w:rsidP="00570A59">
      <w:pPr>
        <w:spacing w:line="276" w:lineRule="auto"/>
      </w:pPr>
    </w:p>
    <w:p w14:paraId="48F2782B" w14:textId="77777777" w:rsidR="00570A59" w:rsidRPr="00570A59" w:rsidRDefault="00570A59" w:rsidP="00570A59">
      <w:pPr>
        <w:spacing w:line="276" w:lineRule="auto"/>
      </w:pPr>
    </w:p>
    <w:p w14:paraId="18F8E6C2" w14:textId="77777777" w:rsidR="00570A59" w:rsidRPr="00570A59" w:rsidRDefault="00570A59" w:rsidP="00570A59">
      <w:pPr>
        <w:spacing w:line="276" w:lineRule="auto"/>
      </w:pPr>
    </w:p>
    <w:p w14:paraId="1FB971DA" w14:textId="77777777" w:rsidR="00570A59" w:rsidRPr="00570A59" w:rsidRDefault="00570A59" w:rsidP="00570A59">
      <w:pPr>
        <w:spacing w:line="276" w:lineRule="auto"/>
      </w:pPr>
    </w:p>
    <w:p w14:paraId="285175B7" w14:textId="77777777" w:rsidR="00570A59" w:rsidRPr="00570A59" w:rsidRDefault="00570A59" w:rsidP="00570A59">
      <w:pPr>
        <w:spacing w:line="276" w:lineRule="auto"/>
      </w:pPr>
    </w:p>
    <w:p w14:paraId="581DA5D3" w14:textId="77777777" w:rsidR="00570A59" w:rsidRPr="00570A59" w:rsidRDefault="00570A59" w:rsidP="00570A59">
      <w:pPr>
        <w:spacing w:line="276" w:lineRule="auto"/>
      </w:pPr>
    </w:p>
    <w:p w14:paraId="046F8046" w14:textId="77777777" w:rsidR="00570A59" w:rsidRPr="00570A59" w:rsidRDefault="00570A59" w:rsidP="00570A59">
      <w:pPr>
        <w:spacing w:line="276" w:lineRule="auto"/>
      </w:pPr>
    </w:p>
    <w:p w14:paraId="4498B121" w14:textId="77777777" w:rsidR="00570A59" w:rsidRPr="00570A59" w:rsidRDefault="00570A59" w:rsidP="00570A59">
      <w:pPr>
        <w:spacing w:line="276" w:lineRule="auto"/>
      </w:pPr>
    </w:p>
    <w:p w14:paraId="30D02591" w14:textId="77777777" w:rsidR="00570A59" w:rsidRPr="00570A59" w:rsidRDefault="00570A59" w:rsidP="00570A59">
      <w:pPr>
        <w:spacing w:line="276" w:lineRule="auto"/>
      </w:pPr>
    </w:p>
    <w:p w14:paraId="3C3DF8B4" w14:textId="77777777" w:rsidR="00570A59" w:rsidRPr="00570A59" w:rsidRDefault="00570A59" w:rsidP="00570A59">
      <w:pPr>
        <w:spacing w:line="276" w:lineRule="auto"/>
      </w:pPr>
    </w:p>
    <w:p w14:paraId="307AE0BE" w14:textId="77777777" w:rsidR="00570A59" w:rsidRPr="00570A59" w:rsidRDefault="00570A59" w:rsidP="00570A59">
      <w:pPr>
        <w:spacing w:line="276" w:lineRule="auto"/>
      </w:pPr>
    </w:p>
    <w:p w14:paraId="750C9A35" w14:textId="77777777" w:rsidR="00570A59" w:rsidRPr="00570A59" w:rsidRDefault="00570A59" w:rsidP="00570A59">
      <w:pPr>
        <w:spacing w:line="276" w:lineRule="auto"/>
      </w:pPr>
    </w:p>
    <w:p w14:paraId="7F84E480" w14:textId="77777777" w:rsidR="00570A59" w:rsidRPr="00570A59" w:rsidRDefault="00570A59" w:rsidP="00570A59">
      <w:pPr>
        <w:spacing w:line="276" w:lineRule="auto"/>
      </w:pPr>
    </w:p>
    <w:p w14:paraId="283F0F71" w14:textId="77777777" w:rsidR="00570A59" w:rsidRPr="00570A59" w:rsidRDefault="00570A59" w:rsidP="00570A59">
      <w:pPr>
        <w:spacing w:line="276" w:lineRule="auto"/>
      </w:pPr>
    </w:p>
    <w:p w14:paraId="16402F28" w14:textId="77777777" w:rsidR="00570A59" w:rsidRDefault="00570A59" w:rsidP="00570A59">
      <w:pPr>
        <w:widowControl w:val="0"/>
        <w:autoSpaceDE w:val="0"/>
        <w:autoSpaceDN w:val="0"/>
        <w:adjustRightInd w:val="0"/>
        <w:spacing w:line="276" w:lineRule="auto"/>
        <w:ind w:firstLine="0"/>
        <w:jc w:val="center"/>
        <w:rPr>
          <w:b/>
          <w:color w:val="auto"/>
          <w:lang w:val="en-US" w:eastAsia="en-US"/>
        </w:rPr>
      </w:pPr>
      <w:r w:rsidRPr="00570A59">
        <w:rPr>
          <w:b/>
          <w:color w:val="auto"/>
          <w:lang w:val="en-US" w:eastAsia="en-US"/>
        </w:rPr>
        <w:lastRenderedPageBreak/>
        <w:t xml:space="preserve">Appendix 5B-. </w:t>
      </w:r>
      <w:r w:rsidR="00D1738B">
        <w:rPr>
          <w:b/>
          <w:color w:val="auto"/>
          <w:lang w:val="en-US" w:eastAsia="en-US"/>
        </w:rPr>
        <w:t>Information page, consent item and demographics page</w:t>
      </w:r>
    </w:p>
    <w:p w14:paraId="375DC17C" w14:textId="77777777" w:rsidR="00D1738B" w:rsidRDefault="00D1738B" w:rsidP="00570A59">
      <w:pPr>
        <w:widowControl w:val="0"/>
        <w:autoSpaceDE w:val="0"/>
        <w:autoSpaceDN w:val="0"/>
        <w:adjustRightInd w:val="0"/>
        <w:spacing w:line="276" w:lineRule="auto"/>
        <w:ind w:firstLine="0"/>
        <w:jc w:val="center"/>
        <w:rPr>
          <w:noProof/>
        </w:rPr>
      </w:pPr>
    </w:p>
    <w:p w14:paraId="22D4957B" w14:textId="65DD7BB6" w:rsidR="00D1738B" w:rsidRPr="00570A59" w:rsidRDefault="00D02823" w:rsidP="00570A59">
      <w:pPr>
        <w:widowControl w:val="0"/>
        <w:autoSpaceDE w:val="0"/>
        <w:autoSpaceDN w:val="0"/>
        <w:adjustRightInd w:val="0"/>
        <w:spacing w:line="276" w:lineRule="auto"/>
        <w:ind w:firstLine="0"/>
        <w:jc w:val="center"/>
        <w:rPr>
          <w:b/>
          <w:color w:val="auto"/>
          <w:lang w:val="en-US" w:eastAsia="en-US"/>
        </w:rPr>
      </w:pPr>
      <w:r>
        <w:rPr>
          <w:noProof/>
          <w:lang w:val="es-CO" w:eastAsia="es-CO"/>
        </w:rPr>
        <w:drawing>
          <wp:inline distT="0" distB="0" distL="0" distR="0" wp14:anchorId="123E7DDB" wp14:editId="5DBAE484">
            <wp:extent cx="5402580" cy="540258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2580" cy="5402580"/>
                    </a:xfrm>
                    <a:prstGeom prst="rect">
                      <a:avLst/>
                    </a:prstGeom>
                    <a:noFill/>
                    <a:ln>
                      <a:noFill/>
                    </a:ln>
                  </pic:spPr>
                </pic:pic>
              </a:graphicData>
            </a:graphic>
          </wp:inline>
        </w:drawing>
      </w:r>
    </w:p>
    <w:p w14:paraId="50774495" w14:textId="0EE706B0" w:rsidR="00570A59" w:rsidRPr="00570A59" w:rsidRDefault="00D02823" w:rsidP="00570A59">
      <w:pPr>
        <w:spacing w:line="276" w:lineRule="auto"/>
        <w:rPr>
          <w:lang w:val="en-US"/>
        </w:rPr>
      </w:pPr>
      <w:r>
        <w:rPr>
          <w:noProof/>
          <w:lang w:val="es-CO" w:eastAsia="es-CO"/>
        </w:rPr>
        <w:lastRenderedPageBreak/>
        <w:drawing>
          <wp:inline distT="0" distB="0" distL="0" distR="0" wp14:anchorId="026EE50C" wp14:editId="734DE8C0">
            <wp:extent cx="4183380" cy="3184525"/>
            <wp:effectExtent l="0" t="0" r="0" b="0"/>
            <wp:docPr id="4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83380" cy="3184525"/>
                    </a:xfrm>
                    <a:prstGeom prst="rect">
                      <a:avLst/>
                    </a:prstGeom>
                    <a:noFill/>
                    <a:ln>
                      <a:noFill/>
                    </a:ln>
                  </pic:spPr>
                </pic:pic>
              </a:graphicData>
            </a:graphic>
          </wp:inline>
        </w:drawing>
      </w:r>
    </w:p>
    <w:p w14:paraId="0A8EEB1D" w14:textId="03DB7CA3" w:rsidR="00570A59" w:rsidRPr="00570A59" w:rsidRDefault="00D02823" w:rsidP="00570A59">
      <w:pPr>
        <w:spacing w:line="276" w:lineRule="auto"/>
        <w:rPr>
          <w:lang w:val="en-US"/>
        </w:rPr>
      </w:pPr>
      <w:r>
        <w:rPr>
          <w:noProof/>
          <w:lang w:val="es-CO" w:eastAsia="es-CO"/>
        </w:rPr>
        <w:drawing>
          <wp:inline distT="0" distB="0" distL="0" distR="0" wp14:anchorId="7355B075" wp14:editId="411954EA">
            <wp:extent cx="5255260" cy="2291080"/>
            <wp:effectExtent l="0" t="0" r="0" b="0"/>
            <wp:docPr id="4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5260" cy="2291080"/>
                    </a:xfrm>
                    <a:prstGeom prst="rect">
                      <a:avLst/>
                    </a:prstGeom>
                    <a:noFill/>
                    <a:ln>
                      <a:noFill/>
                    </a:ln>
                  </pic:spPr>
                </pic:pic>
              </a:graphicData>
            </a:graphic>
          </wp:inline>
        </w:drawing>
      </w:r>
    </w:p>
    <w:p w14:paraId="27DE68FD" w14:textId="77777777" w:rsidR="00570A59" w:rsidRPr="00570A59" w:rsidRDefault="00570A59" w:rsidP="00570A59">
      <w:pPr>
        <w:spacing w:line="276" w:lineRule="auto"/>
        <w:rPr>
          <w:lang w:val="en-US"/>
        </w:rPr>
      </w:pPr>
    </w:p>
    <w:p w14:paraId="1A6E8742" w14:textId="77777777" w:rsidR="00570A59" w:rsidRPr="00570A59" w:rsidRDefault="00570A59" w:rsidP="00570A59">
      <w:pPr>
        <w:spacing w:line="276" w:lineRule="auto"/>
      </w:pPr>
    </w:p>
    <w:p w14:paraId="1D479E2F" w14:textId="77777777" w:rsidR="00570A59" w:rsidRPr="00570A59" w:rsidRDefault="00570A59" w:rsidP="00570A59">
      <w:pPr>
        <w:spacing w:line="276" w:lineRule="auto"/>
      </w:pPr>
    </w:p>
    <w:p w14:paraId="5F8C352F" w14:textId="77777777" w:rsidR="00570A59" w:rsidRPr="00570A59" w:rsidRDefault="00570A59" w:rsidP="00570A59">
      <w:pPr>
        <w:spacing w:line="276" w:lineRule="auto"/>
      </w:pPr>
    </w:p>
    <w:p w14:paraId="20E12A30" w14:textId="77777777" w:rsidR="00570A59" w:rsidRPr="00570A59" w:rsidRDefault="00570A59" w:rsidP="00570A59">
      <w:pPr>
        <w:spacing w:line="276" w:lineRule="auto"/>
      </w:pPr>
    </w:p>
    <w:p w14:paraId="791C2C4E" w14:textId="77777777" w:rsidR="00570A59" w:rsidRDefault="00570A59" w:rsidP="00570A59">
      <w:pPr>
        <w:spacing w:line="276" w:lineRule="auto"/>
      </w:pPr>
    </w:p>
    <w:p w14:paraId="48DCA75E" w14:textId="77777777" w:rsidR="006D318E" w:rsidRDefault="006D318E" w:rsidP="00570A59">
      <w:pPr>
        <w:spacing w:line="276" w:lineRule="auto"/>
      </w:pPr>
    </w:p>
    <w:p w14:paraId="540DA4E1" w14:textId="77777777" w:rsidR="006D318E" w:rsidRPr="00570A59" w:rsidRDefault="006D318E" w:rsidP="00570A59">
      <w:pPr>
        <w:spacing w:line="276" w:lineRule="auto"/>
      </w:pPr>
    </w:p>
    <w:p w14:paraId="2A7B1C83" w14:textId="77777777" w:rsidR="00570A59" w:rsidRPr="00570A59" w:rsidRDefault="00570A59" w:rsidP="00570A59">
      <w:pPr>
        <w:spacing w:line="276" w:lineRule="auto"/>
      </w:pPr>
    </w:p>
    <w:p w14:paraId="5001A016" w14:textId="77777777" w:rsidR="00570A59" w:rsidRPr="00570A59" w:rsidRDefault="00570A59" w:rsidP="00570A59">
      <w:pPr>
        <w:spacing w:line="276" w:lineRule="auto"/>
      </w:pPr>
    </w:p>
    <w:p w14:paraId="6967454E" w14:textId="77777777" w:rsidR="00570A59" w:rsidRPr="00570A59" w:rsidRDefault="00570A59" w:rsidP="00570A59">
      <w:pPr>
        <w:spacing w:line="276" w:lineRule="auto"/>
      </w:pPr>
    </w:p>
    <w:p w14:paraId="39DAAEF5" w14:textId="77777777" w:rsidR="00570A59" w:rsidRPr="00570A59" w:rsidRDefault="00570A59" w:rsidP="00570A59">
      <w:pPr>
        <w:spacing w:line="276" w:lineRule="auto"/>
      </w:pPr>
    </w:p>
    <w:p w14:paraId="1576BCE1"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val="en-US" w:eastAsia="en-US"/>
        </w:rPr>
        <w:lastRenderedPageBreak/>
        <w:t xml:space="preserve">Appendix 5C-. </w:t>
      </w:r>
    </w:p>
    <w:p w14:paraId="0738CF58" w14:textId="5A28EAC3" w:rsidR="00570A59" w:rsidRPr="00570A59" w:rsidRDefault="00D02823" w:rsidP="00570A59">
      <w:pPr>
        <w:spacing w:line="276" w:lineRule="auto"/>
      </w:pPr>
      <w:r>
        <w:rPr>
          <w:noProof/>
          <w:lang w:val="es-CO" w:eastAsia="es-CO"/>
        </w:rPr>
        <w:drawing>
          <wp:inline distT="0" distB="0" distL="0" distR="0" wp14:anchorId="395F7410" wp14:editId="365446B2">
            <wp:extent cx="5728335" cy="2522220"/>
            <wp:effectExtent l="0" t="0" r="0" b="0"/>
            <wp:docPr id="4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8335" cy="2522220"/>
                    </a:xfrm>
                    <a:prstGeom prst="rect">
                      <a:avLst/>
                    </a:prstGeom>
                    <a:noFill/>
                    <a:ln>
                      <a:noFill/>
                    </a:ln>
                  </pic:spPr>
                </pic:pic>
              </a:graphicData>
            </a:graphic>
          </wp:inline>
        </w:drawing>
      </w:r>
    </w:p>
    <w:p w14:paraId="29772103" w14:textId="77777777" w:rsidR="00570A59" w:rsidRPr="00570A59" w:rsidRDefault="00570A59" w:rsidP="00570A59">
      <w:pPr>
        <w:spacing w:line="276" w:lineRule="auto"/>
        <w:jc w:val="center"/>
      </w:pPr>
      <w:r w:rsidRPr="00570A59">
        <w:t>Examples of severe facial disfigurement</w:t>
      </w:r>
    </w:p>
    <w:p w14:paraId="5A3A32DA" w14:textId="6A0F0207" w:rsidR="00570A59" w:rsidRPr="00570A59" w:rsidRDefault="00D02823" w:rsidP="00570A59">
      <w:pPr>
        <w:spacing w:line="276" w:lineRule="auto"/>
      </w:pPr>
      <w:r>
        <w:rPr>
          <w:noProof/>
          <w:lang w:val="es-CO" w:eastAsia="es-CO"/>
        </w:rPr>
        <w:drawing>
          <wp:inline distT="0" distB="0" distL="0" distR="0" wp14:anchorId="1DF46873" wp14:editId="6DD6F201">
            <wp:extent cx="5728335" cy="4634865"/>
            <wp:effectExtent l="0" t="0" r="0" b="0"/>
            <wp:docPr id="4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8335" cy="4634865"/>
                    </a:xfrm>
                    <a:prstGeom prst="rect">
                      <a:avLst/>
                    </a:prstGeom>
                    <a:noFill/>
                    <a:ln>
                      <a:noFill/>
                    </a:ln>
                  </pic:spPr>
                </pic:pic>
              </a:graphicData>
            </a:graphic>
          </wp:inline>
        </w:drawing>
      </w:r>
    </w:p>
    <w:p w14:paraId="05BDA8F8" w14:textId="77777777" w:rsidR="00570A59" w:rsidRPr="00570A59" w:rsidRDefault="00570A59" w:rsidP="00570A59">
      <w:pPr>
        <w:spacing w:line="276" w:lineRule="auto"/>
      </w:pPr>
    </w:p>
    <w:p w14:paraId="5807E86A" w14:textId="77777777" w:rsidR="00570A59" w:rsidRPr="00570A59" w:rsidRDefault="00570A59" w:rsidP="00570A59">
      <w:pPr>
        <w:spacing w:line="276" w:lineRule="auto"/>
      </w:pPr>
    </w:p>
    <w:p w14:paraId="426C1ECC" w14:textId="77777777" w:rsidR="00570A59" w:rsidRPr="00570A59" w:rsidRDefault="00570A59" w:rsidP="00570A59">
      <w:pPr>
        <w:spacing w:line="276" w:lineRule="auto"/>
      </w:pPr>
    </w:p>
    <w:p w14:paraId="48E64E5A" w14:textId="77777777" w:rsidR="00570A59" w:rsidRPr="00570A59" w:rsidRDefault="00570A59" w:rsidP="00570A59">
      <w:pPr>
        <w:spacing w:line="276" w:lineRule="auto"/>
      </w:pPr>
    </w:p>
    <w:p w14:paraId="4658AF28" w14:textId="77777777" w:rsidR="00570A59" w:rsidRPr="00570A59" w:rsidRDefault="00570A59" w:rsidP="00570A59">
      <w:pPr>
        <w:spacing w:line="276" w:lineRule="auto"/>
      </w:pPr>
    </w:p>
    <w:p w14:paraId="534470EA" w14:textId="77777777" w:rsidR="00570A59" w:rsidRPr="00570A59" w:rsidRDefault="00570A59" w:rsidP="00570A59">
      <w:pPr>
        <w:spacing w:line="276" w:lineRule="auto"/>
      </w:pPr>
    </w:p>
    <w:p w14:paraId="03ACA39E"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val="en-US" w:eastAsia="en-US"/>
        </w:rPr>
        <w:t xml:space="preserve">Appendix 5D-. </w:t>
      </w:r>
      <w:r w:rsidRPr="00570A59">
        <w:rPr>
          <w:b/>
          <w:color w:val="auto"/>
          <w:lang w:eastAsia="en-US"/>
        </w:rPr>
        <w:t>Preparation message prior photographs of individuals with FD</w:t>
      </w:r>
    </w:p>
    <w:p w14:paraId="110D9960" w14:textId="1415B232" w:rsidR="00570A59" w:rsidRPr="00570A59" w:rsidRDefault="00D02823" w:rsidP="00570A59">
      <w:pPr>
        <w:spacing w:line="276" w:lineRule="auto"/>
      </w:pPr>
      <w:r>
        <w:rPr>
          <w:noProof/>
          <w:lang w:val="es-CO" w:eastAsia="es-CO"/>
        </w:rPr>
        <w:drawing>
          <wp:inline distT="0" distB="0" distL="0" distR="0" wp14:anchorId="4457C710" wp14:editId="37E98164">
            <wp:extent cx="5738495" cy="4204335"/>
            <wp:effectExtent l="0" t="0" r="0" b="0"/>
            <wp:docPr id="4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8495" cy="4204335"/>
                    </a:xfrm>
                    <a:prstGeom prst="rect">
                      <a:avLst/>
                    </a:prstGeom>
                    <a:noFill/>
                    <a:ln>
                      <a:noFill/>
                    </a:ln>
                  </pic:spPr>
                </pic:pic>
              </a:graphicData>
            </a:graphic>
          </wp:inline>
        </w:drawing>
      </w:r>
    </w:p>
    <w:p w14:paraId="51C1BB76" w14:textId="77777777" w:rsidR="00570A59" w:rsidRPr="00570A59" w:rsidRDefault="00570A59" w:rsidP="00570A59">
      <w:pPr>
        <w:spacing w:line="276" w:lineRule="auto"/>
        <w:jc w:val="center"/>
      </w:pPr>
    </w:p>
    <w:p w14:paraId="10417191" w14:textId="77777777" w:rsidR="00570A59" w:rsidRPr="00570A59" w:rsidRDefault="00570A59" w:rsidP="00570A59">
      <w:pPr>
        <w:spacing w:line="276" w:lineRule="auto"/>
        <w:jc w:val="center"/>
      </w:pPr>
    </w:p>
    <w:p w14:paraId="39AE7708" w14:textId="77777777" w:rsidR="00570A59" w:rsidRPr="00570A59" w:rsidRDefault="00570A59" w:rsidP="00570A59">
      <w:pPr>
        <w:spacing w:line="276" w:lineRule="auto"/>
        <w:jc w:val="center"/>
      </w:pPr>
    </w:p>
    <w:p w14:paraId="75193FF3" w14:textId="77777777" w:rsidR="00570A59" w:rsidRPr="00570A59" w:rsidRDefault="00570A59" w:rsidP="00570A59">
      <w:pPr>
        <w:spacing w:line="276" w:lineRule="auto"/>
        <w:jc w:val="center"/>
      </w:pPr>
    </w:p>
    <w:p w14:paraId="64B74982" w14:textId="77777777" w:rsidR="00570A59" w:rsidRPr="00570A59" w:rsidRDefault="00570A59" w:rsidP="00570A59">
      <w:pPr>
        <w:spacing w:line="276" w:lineRule="auto"/>
        <w:jc w:val="center"/>
      </w:pPr>
    </w:p>
    <w:p w14:paraId="668BE05C" w14:textId="77777777" w:rsidR="00570A59" w:rsidRPr="00570A59" w:rsidRDefault="00570A59" w:rsidP="00570A59">
      <w:pPr>
        <w:spacing w:line="276" w:lineRule="auto"/>
        <w:jc w:val="center"/>
      </w:pPr>
    </w:p>
    <w:p w14:paraId="1F2B04FD" w14:textId="77777777" w:rsidR="00570A59" w:rsidRPr="00570A59" w:rsidRDefault="00570A59" w:rsidP="00570A59">
      <w:pPr>
        <w:spacing w:line="276" w:lineRule="auto"/>
        <w:jc w:val="center"/>
      </w:pPr>
    </w:p>
    <w:p w14:paraId="506B1009" w14:textId="77777777" w:rsidR="00570A59" w:rsidRPr="00570A59" w:rsidRDefault="00570A59" w:rsidP="00570A59">
      <w:pPr>
        <w:spacing w:line="276" w:lineRule="auto"/>
        <w:jc w:val="center"/>
      </w:pPr>
    </w:p>
    <w:p w14:paraId="365316F7" w14:textId="77777777" w:rsidR="00570A59" w:rsidRPr="00570A59" w:rsidRDefault="00570A59" w:rsidP="00570A59">
      <w:pPr>
        <w:spacing w:line="276" w:lineRule="auto"/>
        <w:jc w:val="center"/>
      </w:pPr>
    </w:p>
    <w:p w14:paraId="2CA4D893" w14:textId="77777777" w:rsidR="00570A59" w:rsidRPr="00570A59" w:rsidRDefault="00570A59" w:rsidP="00570A59">
      <w:pPr>
        <w:spacing w:line="276" w:lineRule="auto"/>
        <w:jc w:val="center"/>
      </w:pPr>
    </w:p>
    <w:p w14:paraId="4B1546E2" w14:textId="77777777" w:rsidR="00570A59" w:rsidRPr="00570A59" w:rsidRDefault="00570A59" w:rsidP="00570A59">
      <w:pPr>
        <w:spacing w:line="276" w:lineRule="auto"/>
        <w:jc w:val="center"/>
      </w:pPr>
    </w:p>
    <w:p w14:paraId="0A4D30E2" w14:textId="77777777" w:rsidR="00570A59" w:rsidRPr="00570A59" w:rsidRDefault="00570A59" w:rsidP="00570A59">
      <w:pPr>
        <w:spacing w:line="276" w:lineRule="auto"/>
        <w:jc w:val="center"/>
      </w:pPr>
    </w:p>
    <w:p w14:paraId="4E590D57" w14:textId="77777777" w:rsidR="00570A59" w:rsidRDefault="00570A59" w:rsidP="00570A59">
      <w:pPr>
        <w:spacing w:line="276" w:lineRule="auto"/>
        <w:jc w:val="center"/>
      </w:pPr>
    </w:p>
    <w:p w14:paraId="4961A822" w14:textId="77777777" w:rsidR="00D1738B" w:rsidRPr="00570A59" w:rsidRDefault="00D1738B" w:rsidP="00570A59">
      <w:pPr>
        <w:spacing w:line="276" w:lineRule="auto"/>
        <w:jc w:val="center"/>
      </w:pPr>
    </w:p>
    <w:p w14:paraId="427BFEE9"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val="en-US" w:eastAsia="en-US"/>
        </w:rPr>
        <w:lastRenderedPageBreak/>
        <w:t>Appendix 5E-Anti-stigma condition (awareness and IC)</w:t>
      </w:r>
    </w:p>
    <w:p w14:paraId="29EF1354" w14:textId="6802D227" w:rsidR="00570A59" w:rsidRPr="00570A59" w:rsidRDefault="00D02823" w:rsidP="00570A59">
      <w:pPr>
        <w:spacing w:line="276" w:lineRule="auto"/>
      </w:pPr>
      <w:r>
        <w:rPr>
          <w:noProof/>
          <w:lang w:val="es-CO" w:eastAsia="es-CO"/>
        </w:rPr>
        <w:drawing>
          <wp:inline distT="0" distB="0" distL="0" distR="0" wp14:anchorId="767C8EFF" wp14:editId="17BDD0E0">
            <wp:extent cx="5360035" cy="3489325"/>
            <wp:effectExtent l="0" t="0" r="0" b="0"/>
            <wp:docPr id="4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60035" cy="3489325"/>
                    </a:xfrm>
                    <a:prstGeom prst="rect">
                      <a:avLst/>
                    </a:prstGeom>
                    <a:noFill/>
                    <a:ln>
                      <a:noFill/>
                    </a:ln>
                  </pic:spPr>
                </pic:pic>
              </a:graphicData>
            </a:graphic>
          </wp:inline>
        </w:drawing>
      </w:r>
    </w:p>
    <w:p w14:paraId="53C53975" w14:textId="77777777" w:rsidR="00570A59" w:rsidRPr="00570A59" w:rsidRDefault="00570A59" w:rsidP="00570A59">
      <w:pPr>
        <w:spacing w:line="276" w:lineRule="auto"/>
      </w:pPr>
    </w:p>
    <w:p w14:paraId="503A2355" w14:textId="16B14D8D" w:rsidR="00570A59" w:rsidRPr="00570A59" w:rsidRDefault="00D02823" w:rsidP="00570A59">
      <w:pPr>
        <w:spacing w:line="276" w:lineRule="auto"/>
      </w:pPr>
      <w:r>
        <w:rPr>
          <w:noProof/>
          <w:lang w:val="es-CO" w:eastAsia="es-CO"/>
        </w:rPr>
        <w:drawing>
          <wp:inline distT="0" distB="0" distL="0" distR="0" wp14:anchorId="2386B2D7" wp14:editId="1C16185C">
            <wp:extent cx="5328920" cy="2743200"/>
            <wp:effectExtent l="0" t="0" r="0" b="0"/>
            <wp:docPr id="4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28920" cy="2743200"/>
                    </a:xfrm>
                    <a:prstGeom prst="rect">
                      <a:avLst/>
                    </a:prstGeom>
                    <a:noFill/>
                    <a:ln>
                      <a:noFill/>
                    </a:ln>
                  </pic:spPr>
                </pic:pic>
              </a:graphicData>
            </a:graphic>
          </wp:inline>
        </w:drawing>
      </w:r>
    </w:p>
    <w:p w14:paraId="616A47F2" w14:textId="77777777" w:rsidR="00570A59" w:rsidRPr="00570A59" w:rsidRDefault="00570A59" w:rsidP="00570A59">
      <w:pPr>
        <w:spacing w:line="276" w:lineRule="auto"/>
      </w:pPr>
    </w:p>
    <w:p w14:paraId="45570779" w14:textId="77777777" w:rsidR="00570A59" w:rsidRPr="00570A59" w:rsidRDefault="00570A59" w:rsidP="00570A59">
      <w:pPr>
        <w:spacing w:line="276" w:lineRule="auto"/>
      </w:pPr>
    </w:p>
    <w:p w14:paraId="36C690C3" w14:textId="77777777" w:rsidR="00570A59" w:rsidRPr="00570A59" w:rsidRDefault="00570A59" w:rsidP="00570A59">
      <w:pPr>
        <w:spacing w:line="276" w:lineRule="auto"/>
      </w:pPr>
    </w:p>
    <w:p w14:paraId="7AAC6094" w14:textId="77777777" w:rsidR="00570A59" w:rsidRPr="00570A59" w:rsidRDefault="00570A59" w:rsidP="00570A59">
      <w:pPr>
        <w:spacing w:line="276" w:lineRule="auto"/>
      </w:pPr>
    </w:p>
    <w:p w14:paraId="42020281" w14:textId="77777777" w:rsidR="00570A59" w:rsidRPr="00570A59" w:rsidRDefault="00570A59" w:rsidP="00570A59">
      <w:pPr>
        <w:spacing w:line="276" w:lineRule="auto"/>
      </w:pPr>
    </w:p>
    <w:p w14:paraId="6226E8B3" w14:textId="77777777" w:rsidR="00570A59" w:rsidRPr="00570A59" w:rsidRDefault="00570A59" w:rsidP="00570A59">
      <w:pPr>
        <w:spacing w:line="276" w:lineRule="auto"/>
      </w:pPr>
    </w:p>
    <w:p w14:paraId="09BA1311" w14:textId="77777777" w:rsidR="00570A59" w:rsidRPr="00570A59" w:rsidRDefault="00570A59" w:rsidP="00570A59">
      <w:pPr>
        <w:spacing w:line="276" w:lineRule="auto"/>
      </w:pPr>
    </w:p>
    <w:p w14:paraId="427A2634" w14:textId="0139B2D5" w:rsidR="00570A59" w:rsidRPr="00570A59" w:rsidRDefault="00D02823" w:rsidP="00570A59">
      <w:pPr>
        <w:spacing w:line="276" w:lineRule="auto"/>
      </w:pPr>
      <w:r>
        <w:rPr>
          <w:noProof/>
          <w:lang w:val="es-CO" w:eastAsia="es-CO"/>
        </w:rPr>
        <w:lastRenderedPageBreak/>
        <w:drawing>
          <wp:inline distT="0" distB="0" distL="0" distR="0" wp14:anchorId="0187B2A8" wp14:editId="2FAFAAD6">
            <wp:extent cx="5728335" cy="3352800"/>
            <wp:effectExtent l="0" t="0" r="0" b="0"/>
            <wp:docPr id="4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8335" cy="3352800"/>
                    </a:xfrm>
                    <a:prstGeom prst="rect">
                      <a:avLst/>
                    </a:prstGeom>
                    <a:noFill/>
                    <a:ln>
                      <a:noFill/>
                    </a:ln>
                  </pic:spPr>
                </pic:pic>
              </a:graphicData>
            </a:graphic>
          </wp:inline>
        </w:drawing>
      </w:r>
    </w:p>
    <w:p w14:paraId="6318671D" w14:textId="77777777" w:rsidR="00570A59" w:rsidRPr="00570A59" w:rsidRDefault="00570A59" w:rsidP="00570A59">
      <w:pPr>
        <w:spacing w:line="276" w:lineRule="auto"/>
      </w:pPr>
    </w:p>
    <w:p w14:paraId="3A38B5A7" w14:textId="77777777" w:rsidR="00570A59" w:rsidRPr="00570A59" w:rsidRDefault="00570A59" w:rsidP="00570A59">
      <w:pPr>
        <w:spacing w:line="276" w:lineRule="auto"/>
      </w:pPr>
    </w:p>
    <w:p w14:paraId="2C9D93A6" w14:textId="77777777" w:rsidR="00570A59" w:rsidRPr="00570A59" w:rsidRDefault="00570A59" w:rsidP="00570A59">
      <w:pPr>
        <w:spacing w:line="276" w:lineRule="auto"/>
      </w:pPr>
    </w:p>
    <w:p w14:paraId="343601D3" w14:textId="77777777" w:rsidR="00570A59" w:rsidRPr="00570A59" w:rsidRDefault="00570A59" w:rsidP="00570A59">
      <w:pPr>
        <w:spacing w:line="276" w:lineRule="auto"/>
        <w:jc w:val="center"/>
      </w:pPr>
    </w:p>
    <w:p w14:paraId="16F0D02D" w14:textId="77777777" w:rsidR="00570A59" w:rsidRPr="00570A59" w:rsidRDefault="00570A59" w:rsidP="00570A59">
      <w:pPr>
        <w:spacing w:line="276" w:lineRule="auto"/>
        <w:jc w:val="center"/>
      </w:pPr>
    </w:p>
    <w:p w14:paraId="2F6EFDA1" w14:textId="77777777" w:rsidR="00570A59" w:rsidRPr="00570A59" w:rsidRDefault="00570A59" w:rsidP="00570A59">
      <w:pPr>
        <w:spacing w:line="276" w:lineRule="auto"/>
        <w:jc w:val="center"/>
      </w:pPr>
    </w:p>
    <w:p w14:paraId="5004D491" w14:textId="77777777" w:rsidR="00570A59" w:rsidRPr="00570A59" w:rsidRDefault="00570A59" w:rsidP="00570A59">
      <w:pPr>
        <w:spacing w:line="276" w:lineRule="auto"/>
        <w:jc w:val="center"/>
      </w:pPr>
    </w:p>
    <w:p w14:paraId="645B98AA" w14:textId="77777777" w:rsidR="00570A59" w:rsidRDefault="00570A59" w:rsidP="00570A59">
      <w:pPr>
        <w:spacing w:line="276" w:lineRule="auto"/>
        <w:jc w:val="center"/>
      </w:pPr>
    </w:p>
    <w:p w14:paraId="28FC915E" w14:textId="77777777" w:rsidR="006D318E" w:rsidRDefault="006D318E" w:rsidP="00570A59">
      <w:pPr>
        <w:spacing w:line="276" w:lineRule="auto"/>
        <w:jc w:val="center"/>
      </w:pPr>
    </w:p>
    <w:p w14:paraId="7C61944B" w14:textId="77777777" w:rsidR="006D318E" w:rsidRDefault="006D318E" w:rsidP="00570A59">
      <w:pPr>
        <w:spacing w:line="276" w:lineRule="auto"/>
        <w:jc w:val="center"/>
      </w:pPr>
    </w:p>
    <w:p w14:paraId="4682F695" w14:textId="77777777" w:rsidR="006D318E" w:rsidRPr="00570A59" w:rsidRDefault="006D318E" w:rsidP="00570A59">
      <w:pPr>
        <w:spacing w:line="276" w:lineRule="auto"/>
        <w:jc w:val="center"/>
      </w:pPr>
    </w:p>
    <w:p w14:paraId="293A9D5A" w14:textId="77777777" w:rsidR="00570A59" w:rsidRPr="00570A59" w:rsidRDefault="00570A59" w:rsidP="00570A59">
      <w:pPr>
        <w:spacing w:line="276" w:lineRule="auto"/>
        <w:jc w:val="center"/>
      </w:pPr>
    </w:p>
    <w:p w14:paraId="48B35CC3" w14:textId="77777777" w:rsidR="00570A59" w:rsidRPr="00570A59" w:rsidRDefault="00570A59" w:rsidP="00570A59">
      <w:pPr>
        <w:spacing w:line="276" w:lineRule="auto"/>
        <w:jc w:val="center"/>
      </w:pPr>
    </w:p>
    <w:p w14:paraId="23FA813A" w14:textId="77777777" w:rsidR="00570A59" w:rsidRPr="00570A59" w:rsidRDefault="00570A59" w:rsidP="00570A59">
      <w:pPr>
        <w:spacing w:line="276" w:lineRule="auto"/>
        <w:jc w:val="center"/>
      </w:pPr>
    </w:p>
    <w:p w14:paraId="5C3C667C" w14:textId="77777777" w:rsidR="00570A59" w:rsidRPr="00570A59" w:rsidRDefault="00570A59" w:rsidP="00570A59">
      <w:pPr>
        <w:spacing w:line="276" w:lineRule="auto"/>
        <w:jc w:val="center"/>
      </w:pPr>
    </w:p>
    <w:p w14:paraId="143489C7" w14:textId="77777777" w:rsidR="00570A59" w:rsidRPr="00570A59" w:rsidRDefault="00570A59" w:rsidP="00570A59">
      <w:pPr>
        <w:spacing w:line="276" w:lineRule="auto"/>
        <w:jc w:val="center"/>
      </w:pPr>
    </w:p>
    <w:p w14:paraId="3E964BE5" w14:textId="77777777" w:rsidR="00570A59" w:rsidRPr="00570A59" w:rsidRDefault="00570A59" w:rsidP="00570A59">
      <w:pPr>
        <w:spacing w:line="276" w:lineRule="auto"/>
        <w:jc w:val="center"/>
      </w:pPr>
    </w:p>
    <w:p w14:paraId="26EA574D" w14:textId="77777777" w:rsidR="00570A59" w:rsidRPr="00570A59" w:rsidRDefault="00570A59" w:rsidP="00570A59">
      <w:pPr>
        <w:spacing w:line="276" w:lineRule="auto"/>
        <w:jc w:val="center"/>
      </w:pPr>
    </w:p>
    <w:p w14:paraId="0723E6EA" w14:textId="77777777" w:rsidR="00570A59" w:rsidRPr="00570A59" w:rsidRDefault="00570A59" w:rsidP="00570A59">
      <w:pPr>
        <w:spacing w:line="276" w:lineRule="auto"/>
      </w:pPr>
    </w:p>
    <w:p w14:paraId="075E4C7E" w14:textId="77777777" w:rsidR="00570A59" w:rsidRPr="00570A59" w:rsidRDefault="00570A59" w:rsidP="00570A59">
      <w:pPr>
        <w:spacing w:line="276" w:lineRule="auto"/>
      </w:pPr>
    </w:p>
    <w:p w14:paraId="47A93B11"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color w:val="auto"/>
          <w:lang w:val="en-US" w:eastAsia="en-US"/>
        </w:rPr>
        <w:lastRenderedPageBreak/>
        <w:t>Appendix 5F-Control condition (Neutral message)</w:t>
      </w:r>
    </w:p>
    <w:p w14:paraId="424BC4FB" w14:textId="77777777" w:rsidR="00570A59" w:rsidRPr="00570A59" w:rsidRDefault="00570A59" w:rsidP="00570A59">
      <w:pPr>
        <w:spacing w:line="276" w:lineRule="auto"/>
      </w:pPr>
    </w:p>
    <w:p w14:paraId="6FD0A7CC" w14:textId="0198C368" w:rsidR="00570A59" w:rsidRPr="00570A59" w:rsidRDefault="00D02823" w:rsidP="00570A59">
      <w:pPr>
        <w:spacing w:line="276" w:lineRule="auto"/>
        <w:jc w:val="center"/>
      </w:pPr>
      <w:r>
        <w:rPr>
          <w:noProof/>
          <w:lang w:val="es-CO" w:eastAsia="es-CO"/>
        </w:rPr>
        <w:drawing>
          <wp:inline distT="0" distB="0" distL="0" distR="0" wp14:anchorId="4DDD949F" wp14:editId="018FB82A">
            <wp:extent cx="4771390" cy="3195320"/>
            <wp:effectExtent l="0" t="0" r="0" b="0"/>
            <wp:docPr id="50"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71390" cy="3195320"/>
                    </a:xfrm>
                    <a:prstGeom prst="rect">
                      <a:avLst/>
                    </a:prstGeom>
                    <a:noFill/>
                    <a:ln>
                      <a:noFill/>
                    </a:ln>
                  </pic:spPr>
                </pic:pic>
              </a:graphicData>
            </a:graphic>
          </wp:inline>
        </w:drawing>
      </w:r>
    </w:p>
    <w:p w14:paraId="32C23C6A" w14:textId="2A7A8C83" w:rsidR="00570A59" w:rsidRPr="00570A59" w:rsidRDefault="00D02823" w:rsidP="00570A59">
      <w:pPr>
        <w:spacing w:line="276" w:lineRule="auto"/>
      </w:pPr>
      <w:r>
        <w:rPr>
          <w:noProof/>
          <w:lang w:val="es-CO" w:eastAsia="es-CO"/>
        </w:rPr>
        <w:drawing>
          <wp:inline distT="0" distB="0" distL="0" distR="0" wp14:anchorId="489B7D71" wp14:editId="109B222B">
            <wp:extent cx="5738495" cy="3731260"/>
            <wp:effectExtent l="0" t="0" r="0" b="0"/>
            <wp:docPr id="5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8495" cy="3731260"/>
                    </a:xfrm>
                    <a:prstGeom prst="rect">
                      <a:avLst/>
                    </a:prstGeom>
                    <a:noFill/>
                    <a:ln>
                      <a:noFill/>
                    </a:ln>
                  </pic:spPr>
                </pic:pic>
              </a:graphicData>
            </a:graphic>
          </wp:inline>
        </w:drawing>
      </w:r>
    </w:p>
    <w:p w14:paraId="6094795C" w14:textId="77777777" w:rsidR="00570A59" w:rsidRPr="00570A59" w:rsidRDefault="00570A59" w:rsidP="00570A59">
      <w:pPr>
        <w:spacing w:line="276" w:lineRule="auto"/>
        <w:jc w:val="center"/>
      </w:pPr>
      <w:r w:rsidRPr="00570A59">
        <w:t>Control imagined contact</w:t>
      </w:r>
    </w:p>
    <w:p w14:paraId="3B00A9DF" w14:textId="77777777" w:rsidR="00570A59" w:rsidRPr="00570A59" w:rsidRDefault="00570A59" w:rsidP="00570A59">
      <w:pPr>
        <w:spacing w:line="276" w:lineRule="auto"/>
      </w:pPr>
    </w:p>
    <w:p w14:paraId="2381959F" w14:textId="77777777" w:rsidR="00570A59" w:rsidRPr="00570A59" w:rsidRDefault="00570A59" w:rsidP="00570A59">
      <w:pPr>
        <w:spacing w:line="276" w:lineRule="auto"/>
      </w:pPr>
    </w:p>
    <w:p w14:paraId="3D55C4C9" w14:textId="77777777" w:rsidR="00570A59" w:rsidRPr="00570A59" w:rsidRDefault="00570A59" w:rsidP="00570A59">
      <w:pPr>
        <w:spacing w:line="276" w:lineRule="auto"/>
      </w:pPr>
    </w:p>
    <w:p w14:paraId="1E6B2C90" w14:textId="77777777" w:rsidR="00570A59" w:rsidRPr="00570A59" w:rsidRDefault="00570A59" w:rsidP="00570A59">
      <w:pPr>
        <w:spacing w:line="276" w:lineRule="auto"/>
        <w:rPr>
          <w:b/>
          <w:bCs/>
        </w:rPr>
      </w:pPr>
      <w:r w:rsidRPr="00570A59">
        <w:rPr>
          <w:b/>
          <w:bCs/>
          <w:lang w:val="en-US"/>
        </w:rPr>
        <w:lastRenderedPageBreak/>
        <w:t>Appendix 5F-</w:t>
      </w:r>
      <w:r w:rsidRPr="00570A59">
        <w:rPr>
          <w:b/>
          <w:bCs/>
        </w:rPr>
        <w:t xml:space="preserve"> Job advert displayed for both experimental and control groups</w:t>
      </w:r>
    </w:p>
    <w:p w14:paraId="1099461D" w14:textId="1A030CFF" w:rsidR="00570A59" w:rsidRPr="00570A59" w:rsidRDefault="00D02823" w:rsidP="00570A59">
      <w:pPr>
        <w:widowControl w:val="0"/>
        <w:autoSpaceDE w:val="0"/>
        <w:autoSpaceDN w:val="0"/>
        <w:adjustRightInd w:val="0"/>
        <w:spacing w:line="276" w:lineRule="auto"/>
        <w:ind w:firstLine="0"/>
        <w:jc w:val="center"/>
        <w:rPr>
          <w:b/>
          <w:color w:val="auto"/>
          <w:lang w:eastAsia="en-US"/>
        </w:rPr>
      </w:pPr>
      <w:r>
        <w:rPr>
          <w:b/>
          <w:noProof/>
          <w:color w:val="auto"/>
          <w:lang w:val="es-CO" w:eastAsia="es-CO"/>
        </w:rPr>
        <w:drawing>
          <wp:inline distT="0" distB="0" distL="0" distR="0" wp14:anchorId="102829A7" wp14:editId="6EBB1434">
            <wp:extent cx="5738495" cy="4634865"/>
            <wp:effectExtent l="0" t="0" r="0" b="0"/>
            <wp:docPr id="5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8495" cy="4634865"/>
                    </a:xfrm>
                    <a:prstGeom prst="rect">
                      <a:avLst/>
                    </a:prstGeom>
                    <a:noFill/>
                    <a:ln>
                      <a:noFill/>
                    </a:ln>
                  </pic:spPr>
                </pic:pic>
              </a:graphicData>
            </a:graphic>
          </wp:inline>
        </w:drawing>
      </w:r>
    </w:p>
    <w:p w14:paraId="63238A0B" w14:textId="77777777" w:rsidR="00570A59" w:rsidRPr="00570A59" w:rsidRDefault="00570A59" w:rsidP="00570A59">
      <w:pPr>
        <w:spacing w:line="276" w:lineRule="auto"/>
      </w:pPr>
    </w:p>
    <w:p w14:paraId="6573BB16" w14:textId="77777777" w:rsidR="00570A59" w:rsidRPr="00570A59" w:rsidRDefault="00570A59" w:rsidP="00570A59">
      <w:pPr>
        <w:spacing w:line="276" w:lineRule="auto"/>
      </w:pPr>
    </w:p>
    <w:p w14:paraId="23DD14D5" w14:textId="77777777" w:rsidR="00570A59" w:rsidRPr="00570A59" w:rsidRDefault="00570A59" w:rsidP="00570A59">
      <w:pPr>
        <w:spacing w:line="276" w:lineRule="auto"/>
      </w:pPr>
    </w:p>
    <w:p w14:paraId="7375010C" w14:textId="77777777" w:rsidR="00570A59" w:rsidRPr="00570A59" w:rsidRDefault="00570A59" w:rsidP="00570A59">
      <w:pPr>
        <w:spacing w:line="276" w:lineRule="auto"/>
      </w:pPr>
    </w:p>
    <w:p w14:paraId="6AB6291C" w14:textId="77777777" w:rsidR="00570A59" w:rsidRPr="00570A59" w:rsidRDefault="00570A59" w:rsidP="00570A59">
      <w:pPr>
        <w:spacing w:line="276" w:lineRule="auto"/>
      </w:pPr>
    </w:p>
    <w:p w14:paraId="69540BD5" w14:textId="77777777" w:rsidR="00570A59" w:rsidRPr="00570A59" w:rsidRDefault="00570A59" w:rsidP="00570A59">
      <w:pPr>
        <w:spacing w:line="276" w:lineRule="auto"/>
      </w:pPr>
    </w:p>
    <w:p w14:paraId="5856E376" w14:textId="77777777" w:rsidR="00570A59" w:rsidRPr="00570A59" w:rsidRDefault="00570A59" w:rsidP="00570A59">
      <w:pPr>
        <w:spacing w:line="276" w:lineRule="auto"/>
      </w:pPr>
    </w:p>
    <w:p w14:paraId="18611417" w14:textId="77777777" w:rsidR="00570A59" w:rsidRPr="00570A59" w:rsidRDefault="00570A59" w:rsidP="00570A59">
      <w:pPr>
        <w:spacing w:line="276" w:lineRule="auto"/>
      </w:pPr>
    </w:p>
    <w:p w14:paraId="5F4C713F" w14:textId="77777777" w:rsidR="00570A59" w:rsidRPr="00570A59" w:rsidRDefault="00570A59" w:rsidP="00570A59">
      <w:pPr>
        <w:spacing w:line="276" w:lineRule="auto"/>
      </w:pPr>
    </w:p>
    <w:p w14:paraId="12A17540" w14:textId="77777777" w:rsidR="00570A59" w:rsidRPr="00570A59" w:rsidRDefault="00570A59" w:rsidP="00570A59">
      <w:pPr>
        <w:spacing w:line="276" w:lineRule="auto"/>
      </w:pPr>
    </w:p>
    <w:p w14:paraId="571BD949" w14:textId="77777777" w:rsidR="00570A59" w:rsidRPr="00570A59" w:rsidRDefault="00570A59" w:rsidP="00570A59">
      <w:pPr>
        <w:spacing w:line="276" w:lineRule="auto"/>
      </w:pPr>
    </w:p>
    <w:p w14:paraId="626BB8D5" w14:textId="77777777" w:rsidR="00570A59" w:rsidRPr="00570A59" w:rsidRDefault="00570A59" w:rsidP="00570A59">
      <w:pPr>
        <w:spacing w:line="276" w:lineRule="auto"/>
      </w:pPr>
    </w:p>
    <w:p w14:paraId="599EB21F" w14:textId="77777777" w:rsidR="00570A59" w:rsidRPr="00570A59" w:rsidRDefault="00570A59" w:rsidP="00570A59">
      <w:pPr>
        <w:spacing w:line="276" w:lineRule="auto"/>
      </w:pPr>
    </w:p>
    <w:p w14:paraId="38243AEF" w14:textId="77777777" w:rsidR="00570A59" w:rsidRPr="00570A59" w:rsidRDefault="00570A59" w:rsidP="00570A59">
      <w:pPr>
        <w:spacing w:line="276" w:lineRule="auto"/>
      </w:pPr>
    </w:p>
    <w:p w14:paraId="60F5BD56"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bCs/>
          <w:color w:val="auto"/>
          <w:lang w:val="en-US" w:eastAsia="en-US"/>
        </w:rPr>
        <w:lastRenderedPageBreak/>
        <w:t>Appendix 5G-</w:t>
      </w:r>
      <w:r w:rsidRPr="00570A59">
        <w:rPr>
          <w:b/>
          <w:bCs/>
          <w:color w:val="auto"/>
          <w:lang w:eastAsia="en-US"/>
        </w:rPr>
        <w:t xml:space="preserve"> </w:t>
      </w:r>
      <w:r w:rsidRPr="00570A59">
        <w:rPr>
          <w:b/>
          <w:color w:val="auto"/>
          <w:lang w:eastAsia="en-US"/>
        </w:rPr>
        <w:t>Applicant’s rating questionnaire</w:t>
      </w:r>
    </w:p>
    <w:p w14:paraId="4E6D7644" w14:textId="637F7447" w:rsidR="00570A59" w:rsidRPr="00570A59" w:rsidRDefault="00D02823" w:rsidP="00570A59">
      <w:pPr>
        <w:spacing w:line="276" w:lineRule="auto"/>
      </w:pPr>
      <w:r>
        <w:rPr>
          <w:noProof/>
          <w:lang w:val="es-CO" w:eastAsia="es-CO"/>
        </w:rPr>
        <w:drawing>
          <wp:inline distT="0" distB="0" distL="0" distR="0" wp14:anchorId="6FD297B9" wp14:editId="4482A84D">
            <wp:extent cx="5728335" cy="4655820"/>
            <wp:effectExtent l="0" t="0" r="0" b="0"/>
            <wp:docPr id="5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8335" cy="4655820"/>
                    </a:xfrm>
                    <a:prstGeom prst="rect">
                      <a:avLst/>
                    </a:prstGeom>
                    <a:noFill/>
                    <a:ln>
                      <a:noFill/>
                    </a:ln>
                  </pic:spPr>
                </pic:pic>
              </a:graphicData>
            </a:graphic>
          </wp:inline>
        </w:drawing>
      </w:r>
    </w:p>
    <w:p w14:paraId="585EE95D" w14:textId="0B9DCEBC" w:rsidR="00570A59" w:rsidRPr="00570A59" w:rsidRDefault="00570A59" w:rsidP="00570A59">
      <w:pPr>
        <w:spacing w:line="276" w:lineRule="auto"/>
      </w:pPr>
      <w:r w:rsidRPr="00570A59">
        <w:t xml:space="preserve">       </w:t>
      </w:r>
      <w:r w:rsidR="00D02823">
        <w:rPr>
          <w:noProof/>
          <w:lang w:val="es-CO" w:eastAsia="es-CO"/>
        </w:rPr>
        <w:drawing>
          <wp:inline distT="0" distB="0" distL="0" distR="0" wp14:anchorId="7D138CEA" wp14:editId="101B8A85">
            <wp:extent cx="5601970" cy="1839595"/>
            <wp:effectExtent l="0" t="0" r="0" b="0"/>
            <wp:docPr id="5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1970" cy="1839595"/>
                    </a:xfrm>
                    <a:prstGeom prst="rect">
                      <a:avLst/>
                    </a:prstGeom>
                    <a:noFill/>
                    <a:ln>
                      <a:noFill/>
                    </a:ln>
                  </pic:spPr>
                </pic:pic>
              </a:graphicData>
            </a:graphic>
          </wp:inline>
        </w:drawing>
      </w:r>
    </w:p>
    <w:p w14:paraId="4C2B8CBF" w14:textId="77777777" w:rsidR="00570A59" w:rsidRPr="00570A59" w:rsidRDefault="00570A59" w:rsidP="00570A59">
      <w:pPr>
        <w:spacing w:line="276" w:lineRule="auto"/>
      </w:pPr>
    </w:p>
    <w:p w14:paraId="3DC34DCF" w14:textId="77777777" w:rsidR="00570A59" w:rsidRPr="00570A59" w:rsidRDefault="00570A59" w:rsidP="00570A59">
      <w:pPr>
        <w:spacing w:line="276" w:lineRule="auto"/>
      </w:pPr>
    </w:p>
    <w:p w14:paraId="088CD08D" w14:textId="77777777" w:rsidR="00570A59" w:rsidRPr="00570A59" w:rsidRDefault="00570A59" w:rsidP="00570A59">
      <w:pPr>
        <w:spacing w:line="276" w:lineRule="auto"/>
      </w:pPr>
    </w:p>
    <w:p w14:paraId="1D29563D" w14:textId="77777777" w:rsidR="00570A59" w:rsidRPr="00570A59" w:rsidRDefault="00570A59" w:rsidP="00570A59">
      <w:pPr>
        <w:spacing w:line="276" w:lineRule="auto"/>
      </w:pPr>
    </w:p>
    <w:p w14:paraId="55DE31A8" w14:textId="77777777" w:rsidR="00570A59" w:rsidRPr="00570A59" w:rsidRDefault="00570A59" w:rsidP="00570A59">
      <w:pPr>
        <w:spacing w:line="276" w:lineRule="auto"/>
      </w:pPr>
    </w:p>
    <w:p w14:paraId="4823EF85" w14:textId="77777777" w:rsidR="00570A59" w:rsidRPr="00570A59" w:rsidRDefault="00570A59" w:rsidP="00570A59">
      <w:pPr>
        <w:spacing w:line="276" w:lineRule="auto"/>
      </w:pPr>
    </w:p>
    <w:p w14:paraId="25A893F7" w14:textId="77777777" w:rsidR="00570A59" w:rsidRPr="00570A59" w:rsidRDefault="00570A59" w:rsidP="00570A59">
      <w:pPr>
        <w:spacing w:line="276" w:lineRule="auto"/>
      </w:pPr>
    </w:p>
    <w:p w14:paraId="4F412B9E" w14:textId="77777777" w:rsidR="00570A59" w:rsidRPr="00570A59" w:rsidRDefault="00570A59" w:rsidP="00570A59">
      <w:pPr>
        <w:spacing w:line="276" w:lineRule="auto"/>
      </w:pPr>
      <w:r w:rsidRPr="00570A59">
        <w:rPr>
          <w:b/>
          <w:bCs/>
          <w:lang w:val="en-US"/>
        </w:rPr>
        <w:lastRenderedPageBreak/>
        <w:t>Appendix 5H-</w:t>
      </w:r>
      <w:r w:rsidRPr="00570A59">
        <w:rPr>
          <w:b/>
          <w:bCs/>
        </w:rPr>
        <w:t xml:space="preserve"> Memory recall instrument</w:t>
      </w:r>
    </w:p>
    <w:p w14:paraId="123331C8" w14:textId="5129B755" w:rsidR="00570A59" w:rsidRPr="00570A59" w:rsidRDefault="00D02823" w:rsidP="00570A59">
      <w:pPr>
        <w:spacing w:line="276" w:lineRule="auto"/>
      </w:pPr>
      <w:r>
        <w:rPr>
          <w:noProof/>
          <w:lang w:val="es-CO" w:eastAsia="es-CO"/>
        </w:rPr>
        <w:drawing>
          <wp:inline distT="0" distB="0" distL="0" distR="0" wp14:anchorId="7211DED2" wp14:editId="296635C6">
            <wp:extent cx="5265420" cy="4351020"/>
            <wp:effectExtent l="0" t="0" r="0" b="0"/>
            <wp:docPr id="5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65420" cy="4351020"/>
                    </a:xfrm>
                    <a:prstGeom prst="rect">
                      <a:avLst/>
                    </a:prstGeom>
                    <a:noFill/>
                    <a:ln>
                      <a:noFill/>
                    </a:ln>
                  </pic:spPr>
                </pic:pic>
              </a:graphicData>
            </a:graphic>
          </wp:inline>
        </w:drawing>
      </w:r>
    </w:p>
    <w:p w14:paraId="51096FEA" w14:textId="17717FE3" w:rsidR="00570A59" w:rsidRPr="00570A59" w:rsidRDefault="00D02823" w:rsidP="00570A59">
      <w:pPr>
        <w:spacing w:line="276" w:lineRule="auto"/>
      </w:pPr>
      <w:r>
        <w:rPr>
          <w:noProof/>
          <w:lang w:val="es-CO" w:eastAsia="es-CO"/>
        </w:rPr>
        <w:drawing>
          <wp:inline distT="0" distB="0" distL="0" distR="0" wp14:anchorId="329E1B32" wp14:editId="2CCEDFEE">
            <wp:extent cx="6631940" cy="3142615"/>
            <wp:effectExtent l="0" t="0" r="0" b="0"/>
            <wp:docPr id="5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31940" cy="3142615"/>
                    </a:xfrm>
                    <a:prstGeom prst="rect">
                      <a:avLst/>
                    </a:prstGeom>
                    <a:noFill/>
                    <a:ln>
                      <a:noFill/>
                    </a:ln>
                  </pic:spPr>
                </pic:pic>
              </a:graphicData>
            </a:graphic>
          </wp:inline>
        </w:drawing>
      </w:r>
    </w:p>
    <w:p w14:paraId="72174EEE" w14:textId="77777777" w:rsidR="00570A59" w:rsidRPr="00570A59" w:rsidRDefault="00570A59" w:rsidP="00570A59">
      <w:pPr>
        <w:widowControl w:val="0"/>
        <w:autoSpaceDE w:val="0"/>
        <w:autoSpaceDN w:val="0"/>
        <w:adjustRightInd w:val="0"/>
        <w:spacing w:line="276" w:lineRule="auto"/>
        <w:ind w:firstLine="0"/>
        <w:jc w:val="center"/>
        <w:rPr>
          <w:b/>
          <w:bCs/>
          <w:color w:val="auto"/>
          <w:lang w:val="en-US" w:eastAsia="en-US"/>
        </w:rPr>
      </w:pPr>
    </w:p>
    <w:p w14:paraId="033BE206" w14:textId="77777777" w:rsidR="00570A59" w:rsidRDefault="00570A59" w:rsidP="00570A59">
      <w:pPr>
        <w:widowControl w:val="0"/>
        <w:autoSpaceDE w:val="0"/>
        <w:autoSpaceDN w:val="0"/>
        <w:adjustRightInd w:val="0"/>
        <w:spacing w:line="276" w:lineRule="auto"/>
        <w:ind w:firstLine="0"/>
        <w:jc w:val="center"/>
        <w:rPr>
          <w:b/>
          <w:bCs/>
          <w:color w:val="auto"/>
          <w:lang w:val="en-US" w:eastAsia="en-US"/>
        </w:rPr>
      </w:pPr>
    </w:p>
    <w:p w14:paraId="2B5AA07A" w14:textId="77777777" w:rsidR="006D318E" w:rsidRDefault="006D318E" w:rsidP="00570A59">
      <w:pPr>
        <w:widowControl w:val="0"/>
        <w:autoSpaceDE w:val="0"/>
        <w:autoSpaceDN w:val="0"/>
        <w:adjustRightInd w:val="0"/>
        <w:spacing w:line="276" w:lineRule="auto"/>
        <w:ind w:firstLine="0"/>
        <w:jc w:val="center"/>
        <w:rPr>
          <w:b/>
          <w:bCs/>
          <w:color w:val="auto"/>
          <w:lang w:val="en-US" w:eastAsia="en-US"/>
        </w:rPr>
      </w:pPr>
    </w:p>
    <w:p w14:paraId="4ECB26D0" w14:textId="77777777" w:rsidR="006D318E" w:rsidRPr="00570A59" w:rsidRDefault="006D318E" w:rsidP="00570A59">
      <w:pPr>
        <w:widowControl w:val="0"/>
        <w:autoSpaceDE w:val="0"/>
        <w:autoSpaceDN w:val="0"/>
        <w:adjustRightInd w:val="0"/>
        <w:spacing w:line="276" w:lineRule="auto"/>
        <w:ind w:firstLine="0"/>
        <w:jc w:val="center"/>
        <w:rPr>
          <w:b/>
          <w:bCs/>
          <w:color w:val="auto"/>
          <w:lang w:val="en-US" w:eastAsia="en-US"/>
        </w:rPr>
      </w:pPr>
    </w:p>
    <w:p w14:paraId="629CD6C6" w14:textId="77777777" w:rsidR="00570A59" w:rsidRPr="00570A59" w:rsidRDefault="00570A59" w:rsidP="00570A59">
      <w:pPr>
        <w:widowControl w:val="0"/>
        <w:autoSpaceDE w:val="0"/>
        <w:autoSpaceDN w:val="0"/>
        <w:adjustRightInd w:val="0"/>
        <w:spacing w:line="276" w:lineRule="auto"/>
        <w:ind w:firstLine="0"/>
        <w:jc w:val="center"/>
        <w:rPr>
          <w:b/>
          <w:color w:val="auto"/>
          <w:lang w:eastAsia="en-US"/>
        </w:rPr>
      </w:pPr>
      <w:r w:rsidRPr="00570A59">
        <w:rPr>
          <w:b/>
          <w:bCs/>
          <w:color w:val="auto"/>
          <w:lang w:val="en-US" w:eastAsia="en-US"/>
        </w:rPr>
        <w:lastRenderedPageBreak/>
        <w:t>Appendix 5I-</w:t>
      </w:r>
      <w:r w:rsidRPr="00570A59">
        <w:rPr>
          <w:b/>
          <w:bCs/>
          <w:color w:val="auto"/>
          <w:lang w:eastAsia="en-US"/>
        </w:rPr>
        <w:t xml:space="preserve"> D</w:t>
      </w:r>
      <w:r w:rsidRPr="00570A59">
        <w:rPr>
          <w:b/>
          <w:color w:val="auto"/>
          <w:lang w:eastAsia="en-US"/>
        </w:rPr>
        <w:t>ebrief message Study 3</w:t>
      </w:r>
    </w:p>
    <w:p w14:paraId="35E84245" w14:textId="0D4605EF" w:rsidR="00570A59" w:rsidRPr="00570A59" w:rsidRDefault="00D02823" w:rsidP="00570A59">
      <w:pPr>
        <w:widowControl w:val="0"/>
        <w:autoSpaceDE w:val="0"/>
        <w:autoSpaceDN w:val="0"/>
        <w:adjustRightInd w:val="0"/>
        <w:spacing w:line="276" w:lineRule="auto"/>
        <w:ind w:firstLine="0"/>
        <w:jc w:val="center"/>
        <w:rPr>
          <w:b/>
          <w:color w:val="auto"/>
          <w:lang w:eastAsia="en-US"/>
        </w:rPr>
      </w:pPr>
      <w:r>
        <w:rPr>
          <w:b/>
          <w:noProof/>
          <w:color w:val="auto"/>
          <w:lang w:val="es-CO" w:eastAsia="es-CO"/>
        </w:rPr>
        <w:drawing>
          <wp:inline distT="0" distB="0" distL="0" distR="0" wp14:anchorId="76861F35" wp14:editId="16531B2B">
            <wp:extent cx="5728335" cy="4445635"/>
            <wp:effectExtent l="0" t="0" r="0" b="0"/>
            <wp:docPr id="5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8335" cy="4445635"/>
                    </a:xfrm>
                    <a:prstGeom prst="rect">
                      <a:avLst/>
                    </a:prstGeom>
                    <a:noFill/>
                    <a:ln>
                      <a:noFill/>
                    </a:ln>
                  </pic:spPr>
                </pic:pic>
              </a:graphicData>
            </a:graphic>
          </wp:inline>
        </w:drawing>
      </w:r>
    </w:p>
    <w:p w14:paraId="2A4330D4" w14:textId="77777777" w:rsidR="00570A59" w:rsidRPr="00570A59" w:rsidRDefault="00570A59" w:rsidP="00570A59">
      <w:pPr>
        <w:widowControl w:val="0"/>
        <w:autoSpaceDE w:val="0"/>
        <w:autoSpaceDN w:val="0"/>
        <w:adjustRightInd w:val="0"/>
        <w:spacing w:line="276" w:lineRule="auto"/>
        <w:ind w:firstLine="0"/>
        <w:jc w:val="center"/>
        <w:rPr>
          <w:b/>
          <w:color w:val="auto"/>
          <w:lang w:val="en-US" w:eastAsia="en-US"/>
        </w:rPr>
      </w:pPr>
    </w:p>
    <w:p w14:paraId="6EB4EDBC" w14:textId="77777777" w:rsidR="00570A59" w:rsidRPr="00570A59" w:rsidRDefault="00570A59" w:rsidP="00570A59">
      <w:pPr>
        <w:rPr>
          <w:lang w:eastAsia="en-US"/>
        </w:rPr>
      </w:pPr>
    </w:p>
    <w:sectPr w:rsidR="00570A59" w:rsidRPr="00570A59" w:rsidSect="004D2DCA">
      <w:pgSz w:w="11906" w:h="16838" w:code="9"/>
      <w:pgMar w:top="1134" w:right="1134" w:bottom="1134" w:left="2268"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5DDDE" w14:textId="77777777" w:rsidR="004D2DCA" w:rsidRDefault="004D2DCA" w:rsidP="0025530F">
      <w:r>
        <w:separator/>
      </w:r>
    </w:p>
  </w:endnote>
  <w:endnote w:type="continuationSeparator" w:id="0">
    <w:p w14:paraId="558B22AB" w14:textId="77777777" w:rsidR="004D2DCA" w:rsidRDefault="004D2DCA" w:rsidP="00255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dvOT863180fb">
    <w:altName w:val="Cambria"/>
    <w:panose1 w:val="00000000000000000000"/>
    <w:charset w:val="00"/>
    <w:family w:val="roman"/>
    <w:notTrueType/>
    <w:pitch w:val="default"/>
  </w:font>
  <w:font w:name="AdvOT46dcae81+fb">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FC762" w14:textId="7FD0F5F1" w:rsidR="004D2DCA" w:rsidRDefault="004D2DCA">
    <w:pPr>
      <w:pStyle w:val="Footer"/>
    </w:pPr>
    <w:r>
      <w:fldChar w:fldCharType="begin"/>
    </w:r>
    <w:r>
      <w:instrText xml:space="preserve"> PAGE   \* MERGEFORMAT </w:instrText>
    </w:r>
    <w:r>
      <w:fldChar w:fldCharType="separate"/>
    </w:r>
    <w:r>
      <w:rPr>
        <w:noProof/>
      </w:rPr>
      <w:t>133</w:t>
    </w:r>
    <w:r>
      <w:rPr>
        <w:noProof/>
      </w:rPr>
      <w:fldChar w:fldCharType="end"/>
    </w:r>
  </w:p>
  <w:p w14:paraId="10A0DF02" w14:textId="77777777" w:rsidR="004D2DCA" w:rsidRDefault="004D2DCA" w:rsidP="00255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A192F" w14:textId="77777777" w:rsidR="004D2DCA" w:rsidRDefault="004D2DCA" w:rsidP="00DB6322">
    <w:pPr>
      <w:pStyle w:val="Footer"/>
    </w:pPr>
  </w:p>
  <w:p w14:paraId="0574D667" w14:textId="77777777" w:rsidR="004D2DCA" w:rsidRDefault="004D2D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4776D" w14:textId="76122E27" w:rsidR="004D2DCA" w:rsidRDefault="004D2DCA" w:rsidP="00DB6322">
    <w:pPr>
      <w:pStyle w:val="Footer"/>
    </w:pPr>
    <w:r>
      <w:fldChar w:fldCharType="begin"/>
    </w:r>
    <w:r>
      <w:instrText xml:space="preserve"> PAGE   \* MERGEFORMAT </w:instrText>
    </w:r>
    <w:r>
      <w:fldChar w:fldCharType="separate"/>
    </w:r>
    <w:r>
      <w:rPr>
        <w:noProof/>
      </w:rPr>
      <w:t>38</w:t>
    </w:r>
    <w:r>
      <w:rPr>
        <w:noProof/>
      </w:rPr>
      <w:fldChar w:fldCharType="end"/>
    </w:r>
  </w:p>
  <w:p w14:paraId="2D466D23" w14:textId="77777777" w:rsidR="004D2DCA" w:rsidRDefault="004D2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8E210" w14:textId="77777777" w:rsidR="004D2DCA" w:rsidRDefault="004D2DCA" w:rsidP="0025530F">
      <w:r>
        <w:separator/>
      </w:r>
    </w:p>
  </w:footnote>
  <w:footnote w:type="continuationSeparator" w:id="0">
    <w:p w14:paraId="19774E65" w14:textId="77777777" w:rsidR="004D2DCA" w:rsidRDefault="004D2DCA" w:rsidP="0025530F">
      <w:r>
        <w:continuationSeparator/>
      </w:r>
    </w:p>
  </w:footnote>
  <w:footnote w:id="1">
    <w:p w14:paraId="2CC01717" w14:textId="77777777" w:rsidR="004D2DCA" w:rsidRDefault="004D2DCA" w:rsidP="000F1616">
      <w:pPr>
        <w:pStyle w:val="FootnoteText"/>
      </w:pPr>
      <w:r w:rsidRPr="007B6C77">
        <w:rPr>
          <w:rStyle w:val="FootnoteReference"/>
        </w:rPr>
        <w:footnoteRef/>
      </w:r>
      <w:r>
        <w:t xml:space="preserve"> </w:t>
      </w:r>
      <w:r w:rsidRPr="004D2DCA">
        <w:rPr>
          <w:rFonts w:ascii="Arial" w:hAnsi="Arial"/>
        </w:rPr>
        <w:t>Please note that values were reflected for parametric analysis</w:t>
      </w:r>
    </w:p>
  </w:footnote>
  <w:footnote w:id="2">
    <w:p w14:paraId="5A5A43EF" w14:textId="7762B15B" w:rsidR="004D2DCA" w:rsidRPr="004D2DCA" w:rsidRDefault="004D2DCA">
      <w:pPr>
        <w:pStyle w:val="FootnoteText"/>
        <w:rPr>
          <w:rFonts w:ascii="Arial" w:hAnsi="Arial"/>
        </w:rPr>
      </w:pPr>
      <w:r w:rsidRPr="00774F56">
        <w:rPr>
          <w:rStyle w:val="FootnoteReference"/>
        </w:rPr>
        <w:footnoteRef/>
      </w:r>
      <w:r>
        <w:t xml:space="preserve"> </w:t>
      </w:r>
      <w:r w:rsidRPr="004D2DCA">
        <w:rPr>
          <w:rFonts w:ascii="Arial" w:hAnsi="Arial"/>
        </w:rPr>
        <w:t xml:space="preserve">Please note that values for intended avoidance were log transformed to meet assumptions for parametric analysis and values are reversed. </w:t>
      </w:r>
    </w:p>
  </w:footnote>
  <w:footnote w:id="3">
    <w:p w14:paraId="3AB97AB4" w14:textId="51E43B47" w:rsidR="004D2DCA" w:rsidRPr="004D2DCA" w:rsidRDefault="004D2DCA">
      <w:pPr>
        <w:pStyle w:val="FootnoteText"/>
      </w:pPr>
      <w:r>
        <w:rPr>
          <w:rStyle w:val="FootnoteReference"/>
        </w:rPr>
        <w:footnoteRef/>
      </w:r>
      <w:r>
        <w:t xml:space="preserve"> The number in N </w:t>
      </w:r>
      <w:r w:rsidRPr="00A4047B">
        <w:t>exclud</w:t>
      </w:r>
      <w:r>
        <w:t>es</w:t>
      </w:r>
      <w:r w:rsidRPr="00A4047B">
        <w:t xml:space="preserve"> </w:t>
      </w:r>
      <w:r w:rsidRPr="00A4047B">
        <w:rPr>
          <w:noProof/>
        </w:rPr>
        <w:t>Tartaglia, McMahon, West, &amp; Belongia, 2005</w:t>
      </w:r>
      <w:r>
        <w:rPr>
          <w:noProof/>
        </w:rPr>
        <w:t xml:space="preserve"> which data was not source directly from participants but from </w:t>
      </w:r>
      <w:r w:rsidRPr="00232F75">
        <w:rPr>
          <w:noProof/>
        </w:rPr>
        <w:t>751</w:t>
      </w:r>
      <w:r>
        <w:rPr>
          <w:noProof/>
        </w:rPr>
        <w:t xml:space="preserve"> discrimination allegation cases.</w:t>
      </w:r>
    </w:p>
  </w:footnote>
  <w:footnote w:id="4">
    <w:p w14:paraId="6042A47F" w14:textId="77777777" w:rsidR="004D2DCA" w:rsidRDefault="004D2DCA" w:rsidP="00570A59">
      <w:pPr>
        <w:pStyle w:val="FootnoteText"/>
      </w:pPr>
      <w:r w:rsidRPr="00774F56">
        <w:rPr>
          <w:rStyle w:val="FootnoteReference"/>
        </w:rPr>
        <w:footnoteRef/>
      </w:r>
      <w:r>
        <w:t xml:space="preserve"> Reverse scored items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D2E1C"/>
    <w:multiLevelType w:val="multilevel"/>
    <w:tmpl w:val="551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97472"/>
    <w:multiLevelType w:val="hybridMultilevel"/>
    <w:tmpl w:val="308A8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1A3683"/>
    <w:multiLevelType w:val="hybridMultilevel"/>
    <w:tmpl w:val="1520C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0042AE"/>
    <w:multiLevelType w:val="hybridMultilevel"/>
    <w:tmpl w:val="ADC29D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738E5CB9"/>
    <w:multiLevelType w:val="multilevel"/>
    <w:tmpl w:val="9A5AFEE8"/>
    <w:lvl w:ilvl="0">
      <w:start w:val="1"/>
      <w:numFmt w:val="decimal"/>
      <w:lvlText w:val="%1."/>
      <w:lvlJc w:val="left"/>
      <w:pPr>
        <w:tabs>
          <w:tab w:val="num" w:pos="720"/>
        </w:tabs>
        <w:ind w:left="720" w:hanging="360"/>
      </w:pPr>
      <w:rPr>
        <w:rFonts w:hint="default"/>
      </w:rPr>
    </w:lvl>
    <w:lvl w:ilvl="1">
      <w:start w:val="1"/>
      <w:numFmt w:val="decimal"/>
      <w:lvlText w:val="%2."/>
      <w:lvlJc w:val="left"/>
      <w:pPr>
        <w:ind w:left="1271"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num w:numId="1">
    <w:abstractNumId w:val="2"/>
  </w:num>
  <w:num w:numId="2">
    <w:abstractNumId w:val="4"/>
  </w:num>
  <w:num w:numId="3">
    <w:abstractNumId w:val="3"/>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mirrorMargins/>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zNDA0tDQ2NbKwNDdT0lEKTi0uzszPAykwqgUAkn7NcCwAAAA="/>
  </w:docVars>
  <w:rsids>
    <w:rsidRoot w:val="00C30DDD"/>
    <w:rsid w:val="000011EF"/>
    <w:rsid w:val="00001779"/>
    <w:rsid w:val="00003B8A"/>
    <w:rsid w:val="00004AB6"/>
    <w:rsid w:val="000056F0"/>
    <w:rsid w:val="00005A90"/>
    <w:rsid w:val="00006550"/>
    <w:rsid w:val="00006E90"/>
    <w:rsid w:val="000074F5"/>
    <w:rsid w:val="00011808"/>
    <w:rsid w:val="0001442B"/>
    <w:rsid w:val="00014EE0"/>
    <w:rsid w:val="000151F7"/>
    <w:rsid w:val="00015324"/>
    <w:rsid w:val="00015D00"/>
    <w:rsid w:val="000160BC"/>
    <w:rsid w:val="00017F61"/>
    <w:rsid w:val="00020944"/>
    <w:rsid w:val="000215FF"/>
    <w:rsid w:val="00021634"/>
    <w:rsid w:val="000216C3"/>
    <w:rsid w:val="00022BAE"/>
    <w:rsid w:val="000231D2"/>
    <w:rsid w:val="000232B1"/>
    <w:rsid w:val="000238CC"/>
    <w:rsid w:val="00023F40"/>
    <w:rsid w:val="000251FB"/>
    <w:rsid w:val="000253A1"/>
    <w:rsid w:val="000255A2"/>
    <w:rsid w:val="000259FE"/>
    <w:rsid w:val="000267C1"/>
    <w:rsid w:val="0003077B"/>
    <w:rsid w:val="00030935"/>
    <w:rsid w:val="00030B4C"/>
    <w:rsid w:val="000319EC"/>
    <w:rsid w:val="00031ACE"/>
    <w:rsid w:val="00031E82"/>
    <w:rsid w:val="00032078"/>
    <w:rsid w:val="000324C3"/>
    <w:rsid w:val="00032A7D"/>
    <w:rsid w:val="00032BDD"/>
    <w:rsid w:val="00033734"/>
    <w:rsid w:val="00034C60"/>
    <w:rsid w:val="00035B4F"/>
    <w:rsid w:val="000361B4"/>
    <w:rsid w:val="00036370"/>
    <w:rsid w:val="000375FF"/>
    <w:rsid w:val="000378A5"/>
    <w:rsid w:val="0004056A"/>
    <w:rsid w:val="00040C53"/>
    <w:rsid w:val="000410CB"/>
    <w:rsid w:val="000411C2"/>
    <w:rsid w:val="00041939"/>
    <w:rsid w:val="00042BA3"/>
    <w:rsid w:val="000431FF"/>
    <w:rsid w:val="0004443B"/>
    <w:rsid w:val="0004617A"/>
    <w:rsid w:val="00047A58"/>
    <w:rsid w:val="00052B17"/>
    <w:rsid w:val="00052C9D"/>
    <w:rsid w:val="00053776"/>
    <w:rsid w:val="00053B4F"/>
    <w:rsid w:val="00053C9B"/>
    <w:rsid w:val="00054482"/>
    <w:rsid w:val="00054A41"/>
    <w:rsid w:val="00055307"/>
    <w:rsid w:val="00055544"/>
    <w:rsid w:val="0005671D"/>
    <w:rsid w:val="00056E43"/>
    <w:rsid w:val="000573D1"/>
    <w:rsid w:val="0005752E"/>
    <w:rsid w:val="000575AA"/>
    <w:rsid w:val="000608A0"/>
    <w:rsid w:val="00060ED7"/>
    <w:rsid w:val="00061688"/>
    <w:rsid w:val="00062E2C"/>
    <w:rsid w:val="00063177"/>
    <w:rsid w:val="00063BA7"/>
    <w:rsid w:val="000648D9"/>
    <w:rsid w:val="00066B9D"/>
    <w:rsid w:val="0006718E"/>
    <w:rsid w:val="000720F0"/>
    <w:rsid w:val="00072700"/>
    <w:rsid w:val="00072BEF"/>
    <w:rsid w:val="000731FC"/>
    <w:rsid w:val="000733CD"/>
    <w:rsid w:val="00074951"/>
    <w:rsid w:val="00075B7E"/>
    <w:rsid w:val="00075E7C"/>
    <w:rsid w:val="00076794"/>
    <w:rsid w:val="00076D4D"/>
    <w:rsid w:val="00077704"/>
    <w:rsid w:val="00077837"/>
    <w:rsid w:val="00082924"/>
    <w:rsid w:val="00083272"/>
    <w:rsid w:val="00083396"/>
    <w:rsid w:val="00083F75"/>
    <w:rsid w:val="00084A25"/>
    <w:rsid w:val="00084C19"/>
    <w:rsid w:val="000852E6"/>
    <w:rsid w:val="0008554D"/>
    <w:rsid w:val="00086778"/>
    <w:rsid w:val="00087B42"/>
    <w:rsid w:val="00087B46"/>
    <w:rsid w:val="00090EBB"/>
    <w:rsid w:val="00091E27"/>
    <w:rsid w:val="00093E12"/>
    <w:rsid w:val="00094392"/>
    <w:rsid w:val="000945DB"/>
    <w:rsid w:val="00094C8B"/>
    <w:rsid w:val="0009554F"/>
    <w:rsid w:val="00095F3A"/>
    <w:rsid w:val="000960CE"/>
    <w:rsid w:val="00096F37"/>
    <w:rsid w:val="00097586"/>
    <w:rsid w:val="00097C34"/>
    <w:rsid w:val="000A20DA"/>
    <w:rsid w:val="000A2283"/>
    <w:rsid w:val="000A2F6E"/>
    <w:rsid w:val="000A3194"/>
    <w:rsid w:val="000A3514"/>
    <w:rsid w:val="000A3AAC"/>
    <w:rsid w:val="000A5913"/>
    <w:rsid w:val="000A5B34"/>
    <w:rsid w:val="000A6271"/>
    <w:rsid w:val="000A6594"/>
    <w:rsid w:val="000A689A"/>
    <w:rsid w:val="000A6947"/>
    <w:rsid w:val="000A7152"/>
    <w:rsid w:val="000A7C85"/>
    <w:rsid w:val="000B10F5"/>
    <w:rsid w:val="000B17B1"/>
    <w:rsid w:val="000B253C"/>
    <w:rsid w:val="000B3801"/>
    <w:rsid w:val="000B4347"/>
    <w:rsid w:val="000B4415"/>
    <w:rsid w:val="000B4482"/>
    <w:rsid w:val="000B46E3"/>
    <w:rsid w:val="000B47E0"/>
    <w:rsid w:val="000B4C89"/>
    <w:rsid w:val="000B594C"/>
    <w:rsid w:val="000B613C"/>
    <w:rsid w:val="000B695D"/>
    <w:rsid w:val="000B6ED0"/>
    <w:rsid w:val="000B7230"/>
    <w:rsid w:val="000C06F4"/>
    <w:rsid w:val="000C0863"/>
    <w:rsid w:val="000C0B7C"/>
    <w:rsid w:val="000C0F0D"/>
    <w:rsid w:val="000C2552"/>
    <w:rsid w:val="000C2BC7"/>
    <w:rsid w:val="000C331C"/>
    <w:rsid w:val="000C3D95"/>
    <w:rsid w:val="000C49C5"/>
    <w:rsid w:val="000C5598"/>
    <w:rsid w:val="000C74F1"/>
    <w:rsid w:val="000C76AB"/>
    <w:rsid w:val="000D0114"/>
    <w:rsid w:val="000D19F3"/>
    <w:rsid w:val="000D277C"/>
    <w:rsid w:val="000D27D3"/>
    <w:rsid w:val="000D2B3D"/>
    <w:rsid w:val="000D3027"/>
    <w:rsid w:val="000D5B03"/>
    <w:rsid w:val="000D5BD9"/>
    <w:rsid w:val="000D629C"/>
    <w:rsid w:val="000D6B3B"/>
    <w:rsid w:val="000D6E63"/>
    <w:rsid w:val="000E0BEA"/>
    <w:rsid w:val="000E2252"/>
    <w:rsid w:val="000E2CD3"/>
    <w:rsid w:val="000E30C8"/>
    <w:rsid w:val="000E46E2"/>
    <w:rsid w:val="000E6D47"/>
    <w:rsid w:val="000E6E4B"/>
    <w:rsid w:val="000E6EF1"/>
    <w:rsid w:val="000F05C1"/>
    <w:rsid w:val="000F0692"/>
    <w:rsid w:val="000F0A4D"/>
    <w:rsid w:val="000F11A6"/>
    <w:rsid w:val="000F1219"/>
    <w:rsid w:val="000F1616"/>
    <w:rsid w:val="000F2BC8"/>
    <w:rsid w:val="000F2CF9"/>
    <w:rsid w:val="000F2FE1"/>
    <w:rsid w:val="000F4615"/>
    <w:rsid w:val="000F464F"/>
    <w:rsid w:val="000F4D5F"/>
    <w:rsid w:val="000F67C2"/>
    <w:rsid w:val="00100DBE"/>
    <w:rsid w:val="00101B31"/>
    <w:rsid w:val="00101D35"/>
    <w:rsid w:val="0010212F"/>
    <w:rsid w:val="00103E94"/>
    <w:rsid w:val="00104265"/>
    <w:rsid w:val="00105A18"/>
    <w:rsid w:val="00105EA9"/>
    <w:rsid w:val="00106832"/>
    <w:rsid w:val="00106D27"/>
    <w:rsid w:val="00106DC0"/>
    <w:rsid w:val="0010772F"/>
    <w:rsid w:val="00107BDD"/>
    <w:rsid w:val="00110C06"/>
    <w:rsid w:val="00110F47"/>
    <w:rsid w:val="0011131E"/>
    <w:rsid w:val="00111688"/>
    <w:rsid w:val="001124D4"/>
    <w:rsid w:val="0011275A"/>
    <w:rsid w:val="00112F91"/>
    <w:rsid w:val="00113D98"/>
    <w:rsid w:val="00114CEF"/>
    <w:rsid w:val="00114D18"/>
    <w:rsid w:val="00116465"/>
    <w:rsid w:val="00116591"/>
    <w:rsid w:val="0011756A"/>
    <w:rsid w:val="00117A7D"/>
    <w:rsid w:val="001205C6"/>
    <w:rsid w:val="001214E8"/>
    <w:rsid w:val="00121959"/>
    <w:rsid w:val="00121A80"/>
    <w:rsid w:val="00123CA6"/>
    <w:rsid w:val="001246FF"/>
    <w:rsid w:val="00125BF8"/>
    <w:rsid w:val="00125F07"/>
    <w:rsid w:val="001269D2"/>
    <w:rsid w:val="00126B9E"/>
    <w:rsid w:val="00127B9C"/>
    <w:rsid w:val="0013353C"/>
    <w:rsid w:val="00134319"/>
    <w:rsid w:val="001351EE"/>
    <w:rsid w:val="00137C0E"/>
    <w:rsid w:val="00141173"/>
    <w:rsid w:val="00142542"/>
    <w:rsid w:val="00143628"/>
    <w:rsid w:val="00144092"/>
    <w:rsid w:val="0014441F"/>
    <w:rsid w:val="001450D0"/>
    <w:rsid w:val="00146848"/>
    <w:rsid w:val="00150173"/>
    <w:rsid w:val="00152951"/>
    <w:rsid w:val="00152AF0"/>
    <w:rsid w:val="001532FC"/>
    <w:rsid w:val="0015334F"/>
    <w:rsid w:val="0015527D"/>
    <w:rsid w:val="00155DF8"/>
    <w:rsid w:val="001571F6"/>
    <w:rsid w:val="00161D2E"/>
    <w:rsid w:val="00162F16"/>
    <w:rsid w:val="0016304D"/>
    <w:rsid w:val="0016326B"/>
    <w:rsid w:val="00164594"/>
    <w:rsid w:val="001656F2"/>
    <w:rsid w:val="00165934"/>
    <w:rsid w:val="0017039C"/>
    <w:rsid w:val="00171868"/>
    <w:rsid w:val="00172902"/>
    <w:rsid w:val="00172D52"/>
    <w:rsid w:val="00173142"/>
    <w:rsid w:val="001732F8"/>
    <w:rsid w:val="001739D9"/>
    <w:rsid w:val="00173DD6"/>
    <w:rsid w:val="001774CF"/>
    <w:rsid w:val="0017750A"/>
    <w:rsid w:val="001776A9"/>
    <w:rsid w:val="0018048B"/>
    <w:rsid w:val="00180917"/>
    <w:rsid w:val="00180A8C"/>
    <w:rsid w:val="00182882"/>
    <w:rsid w:val="001831F3"/>
    <w:rsid w:val="001841CB"/>
    <w:rsid w:val="0018434F"/>
    <w:rsid w:val="00184613"/>
    <w:rsid w:val="001863E3"/>
    <w:rsid w:val="00186E58"/>
    <w:rsid w:val="001871E7"/>
    <w:rsid w:val="001873C1"/>
    <w:rsid w:val="001905D3"/>
    <w:rsid w:val="001910BC"/>
    <w:rsid w:val="0019164E"/>
    <w:rsid w:val="00191D55"/>
    <w:rsid w:val="00192204"/>
    <w:rsid w:val="001925B6"/>
    <w:rsid w:val="0019274F"/>
    <w:rsid w:val="001937AA"/>
    <w:rsid w:val="00194EFF"/>
    <w:rsid w:val="0019721C"/>
    <w:rsid w:val="001A1005"/>
    <w:rsid w:val="001A1256"/>
    <w:rsid w:val="001A1B28"/>
    <w:rsid w:val="001A33BF"/>
    <w:rsid w:val="001A3F8D"/>
    <w:rsid w:val="001A4C54"/>
    <w:rsid w:val="001A540C"/>
    <w:rsid w:val="001A54AB"/>
    <w:rsid w:val="001A5A0B"/>
    <w:rsid w:val="001A61ED"/>
    <w:rsid w:val="001A6FDE"/>
    <w:rsid w:val="001A746A"/>
    <w:rsid w:val="001B1980"/>
    <w:rsid w:val="001B25CE"/>
    <w:rsid w:val="001B2AD8"/>
    <w:rsid w:val="001B3264"/>
    <w:rsid w:val="001B3ECA"/>
    <w:rsid w:val="001B4396"/>
    <w:rsid w:val="001B4CDF"/>
    <w:rsid w:val="001B59BA"/>
    <w:rsid w:val="001B5A07"/>
    <w:rsid w:val="001B5B41"/>
    <w:rsid w:val="001B645B"/>
    <w:rsid w:val="001B6780"/>
    <w:rsid w:val="001B721C"/>
    <w:rsid w:val="001B79E1"/>
    <w:rsid w:val="001C04B7"/>
    <w:rsid w:val="001C0D47"/>
    <w:rsid w:val="001C1054"/>
    <w:rsid w:val="001C1358"/>
    <w:rsid w:val="001C1696"/>
    <w:rsid w:val="001C19BA"/>
    <w:rsid w:val="001C1B5D"/>
    <w:rsid w:val="001C1DFC"/>
    <w:rsid w:val="001C29EA"/>
    <w:rsid w:val="001C2FAD"/>
    <w:rsid w:val="001C300F"/>
    <w:rsid w:val="001C41EA"/>
    <w:rsid w:val="001C4672"/>
    <w:rsid w:val="001C575A"/>
    <w:rsid w:val="001C6935"/>
    <w:rsid w:val="001C7323"/>
    <w:rsid w:val="001C738E"/>
    <w:rsid w:val="001C7EE4"/>
    <w:rsid w:val="001D09AC"/>
    <w:rsid w:val="001D15F5"/>
    <w:rsid w:val="001D2F13"/>
    <w:rsid w:val="001D36CC"/>
    <w:rsid w:val="001D3D62"/>
    <w:rsid w:val="001D40F9"/>
    <w:rsid w:val="001D4479"/>
    <w:rsid w:val="001D50A8"/>
    <w:rsid w:val="001D5E9E"/>
    <w:rsid w:val="001D613F"/>
    <w:rsid w:val="001D6315"/>
    <w:rsid w:val="001D74A1"/>
    <w:rsid w:val="001D7A4B"/>
    <w:rsid w:val="001E0012"/>
    <w:rsid w:val="001E1FFD"/>
    <w:rsid w:val="001E2A59"/>
    <w:rsid w:val="001E2A88"/>
    <w:rsid w:val="001E36DF"/>
    <w:rsid w:val="001E382F"/>
    <w:rsid w:val="001E7DF3"/>
    <w:rsid w:val="001F30B3"/>
    <w:rsid w:val="001F42DA"/>
    <w:rsid w:val="001F4F14"/>
    <w:rsid w:val="001F5BD6"/>
    <w:rsid w:val="001F64EE"/>
    <w:rsid w:val="00201D67"/>
    <w:rsid w:val="002024EE"/>
    <w:rsid w:val="002028BD"/>
    <w:rsid w:val="00203F8D"/>
    <w:rsid w:val="00204A1A"/>
    <w:rsid w:val="00204DA8"/>
    <w:rsid w:val="0020515D"/>
    <w:rsid w:val="00205B9A"/>
    <w:rsid w:val="00210946"/>
    <w:rsid w:val="00210ABA"/>
    <w:rsid w:val="002118BE"/>
    <w:rsid w:val="00212639"/>
    <w:rsid w:val="00212AE3"/>
    <w:rsid w:val="00213376"/>
    <w:rsid w:val="002169F2"/>
    <w:rsid w:val="002170C4"/>
    <w:rsid w:val="00217891"/>
    <w:rsid w:val="00222B4F"/>
    <w:rsid w:val="00223FB0"/>
    <w:rsid w:val="0022425B"/>
    <w:rsid w:val="002255C1"/>
    <w:rsid w:val="00225D30"/>
    <w:rsid w:val="00226A56"/>
    <w:rsid w:val="002270D3"/>
    <w:rsid w:val="0022735E"/>
    <w:rsid w:val="002274E3"/>
    <w:rsid w:val="002274F2"/>
    <w:rsid w:val="00230ABC"/>
    <w:rsid w:val="00232F75"/>
    <w:rsid w:val="0023348D"/>
    <w:rsid w:val="002339FB"/>
    <w:rsid w:val="0023468C"/>
    <w:rsid w:val="00234EA1"/>
    <w:rsid w:val="00236A72"/>
    <w:rsid w:val="00237C55"/>
    <w:rsid w:val="0024033F"/>
    <w:rsid w:val="00240458"/>
    <w:rsid w:val="0024062F"/>
    <w:rsid w:val="0024094F"/>
    <w:rsid w:val="00240A71"/>
    <w:rsid w:val="002410DA"/>
    <w:rsid w:val="00241707"/>
    <w:rsid w:val="0024237B"/>
    <w:rsid w:val="00242D98"/>
    <w:rsid w:val="00245041"/>
    <w:rsid w:val="00245666"/>
    <w:rsid w:val="0024583B"/>
    <w:rsid w:val="00246486"/>
    <w:rsid w:val="00246636"/>
    <w:rsid w:val="00247120"/>
    <w:rsid w:val="0024759B"/>
    <w:rsid w:val="00247CAB"/>
    <w:rsid w:val="00247CE1"/>
    <w:rsid w:val="002508BE"/>
    <w:rsid w:val="0025289E"/>
    <w:rsid w:val="00253957"/>
    <w:rsid w:val="002540B0"/>
    <w:rsid w:val="00254813"/>
    <w:rsid w:val="0025530F"/>
    <w:rsid w:val="00255F1F"/>
    <w:rsid w:val="0025744D"/>
    <w:rsid w:val="00257450"/>
    <w:rsid w:val="00260BA8"/>
    <w:rsid w:val="00261402"/>
    <w:rsid w:val="002619B3"/>
    <w:rsid w:val="00261E92"/>
    <w:rsid w:val="002643E4"/>
    <w:rsid w:val="00264A6E"/>
    <w:rsid w:val="0026512E"/>
    <w:rsid w:val="0027060E"/>
    <w:rsid w:val="00272397"/>
    <w:rsid w:val="00273127"/>
    <w:rsid w:val="002731BE"/>
    <w:rsid w:val="00273853"/>
    <w:rsid w:val="0027430D"/>
    <w:rsid w:val="00274824"/>
    <w:rsid w:val="00275A88"/>
    <w:rsid w:val="002774DD"/>
    <w:rsid w:val="00280BE8"/>
    <w:rsid w:val="002831BA"/>
    <w:rsid w:val="002845F6"/>
    <w:rsid w:val="00284F1A"/>
    <w:rsid w:val="002879D5"/>
    <w:rsid w:val="0029117B"/>
    <w:rsid w:val="00291EEF"/>
    <w:rsid w:val="00291F68"/>
    <w:rsid w:val="00292C44"/>
    <w:rsid w:val="00293363"/>
    <w:rsid w:val="00293899"/>
    <w:rsid w:val="00293A6B"/>
    <w:rsid w:val="002942F1"/>
    <w:rsid w:val="002944D1"/>
    <w:rsid w:val="00294C33"/>
    <w:rsid w:val="002969B9"/>
    <w:rsid w:val="00297136"/>
    <w:rsid w:val="002A20D4"/>
    <w:rsid w:val="002A2AC2"/>
    <w:rsid w:val="002A2C99"/>
    <w:rsid w:val="002A5048"/>
    <w:rsid w:val="002A5080"/>
    <w:rsid w:val="002A6A48"/>
    <w:rsid w:val="002A6CCA"/>
    <w:rsid w:val="002A6EBD"/>
    <w:rsid w:val="002A701A"/>
    <w:rsid w:val="002A7D95"/>
    <w:rsid w:val="002B02AB"/>
    <w:rsid w:val="002B09C5"/>
    <w:rsid w:val="002B1251"/>
    <w:rsid w:val="002B1B2F"/>
    <w:rsid w:val="002B2E05"/>
    <w:rsid w:val="002B2E55"/>
    <w:rsid w:val="002B2FFD"/>
    <w:rsid w:val="002B694A"/>
    <w:rsid w:val="002B73EA"/>
    <w:rsid w:val="002B7DBE"/>
    <w:rsid w:val="002C038A"/>
    <w:rsid w:val="002C05E1"/>
    <w:rsid w:val="002C23A4"/>
    <w:rsid w:val="002C3A29"/>
    <w:rsid w:val="002C4AC3"/>
    <w:rsid w:val="002C5893"/>
    <w:rsid w:val="002C59E8"/>
    <w:rsid w:val="002C5B67"/>
    <w:rsid w:val="002C7631"/>
    <w:rsid w:val="002C7D98"/>
    <w:rsid w:val="002D012B"/>
    <w:rsid w:val="002D0A7D"/>
    <w:rsid w:val="002D2326"/>
    <w:rsid w:val="002D3888"/>
    <w:rsid w:val="002D3AD3"/>
    <w:rsid w:val="002D5648"/>
    <w:rsid w:val="002D6FA2"/>
    <w:rsid w:val="002E0708"/>
    <w:rsid w:val="002E129B"/>
    <w:rsid w:val="002E13B2"/>
    <w:rsid w:val="002E16E9"/>
    <w:rsid w:val="002E1CBC"/>
    <w:rsid w:val="002E261E"/>
    <w:rsid w:val="002E43DC"/>
    <w:rsid w:val="002E4ADB"/>
    <w:rsid w:val="002E4ED7"/>
    <w:rsid w:val="002E6892"/>
    <w:rsid w:val="002E6E16"/>
    <w:rsid w:val="002E739D"/>
    <w:rsid w:val="002E7BA9"/>
    <w:rsid w:val="002E7E23"/>
    <w:rsid w:val="002F01BC"/>
    <w:rsid w:val="002F02B2"/>
    <w:rsid w:val="002F031A"/>
    <w:rsid w:val="002F0A17"/>
    <w:rsid w:val="002F0C05"/>
    <w:rsid w:val="002F1C50"/>
    <w:rsid w:val="002F2550"/>
    <w:rsid w:val="002F28F0"/>
    <w:rsid w:val="002F43CC"/>
    <w:rsid w:val="002F62C2"/>
    <w:rsid w:val="002F6728"/>
    <w:rsid w:val="002F682B"/>
    <w:rsid w:val="002F6B93"/>
    <w:rsid w:val="002F7635"/>
    <w:rsid w:val="002F77EE"/>
    <w:rsid w:val="00300A3F"/>
    <w:rsid w:val="00300BE2"/>
    <w:rsid w:val="00302896"/>
    <w:rsid w:val="00302BB2"/>
    <w:rsid w:val="0030309D"/>
    <w:rsid w:val="003033D5"/>
    <w:rsid w:val="00303F49"/>
    <w:rsid w:val="003059F6"/>
    <w:rsid w:val="00306174"/>
    <w:rsid w:val="00306A56"/>
    <w:rsid w:val="00306ECD"/>
    <w:rsid w:val="003072EC"/>
    <w:rsid w:val="0031083B"/>
    <w:rsid w:val="003110EC"/>
    <w:rsid w:val="00311CF9"/>
    <w:rsid w:val="00312361"/>
    <w:rsid w:val="00312764"/>
    <w:rsid w:val="00312E49"/>
    <w:rsid w:val="0031336E"/>
    <w:rsid w:val="00314262"/>
    <w:rsid w:val="00315B2A"/>
    <w:rsid w:val="00315B5F"/>
    <w:rsid w:val="003161D9"/>
    <w:rsid w:val="00316C3C"/>
    <w:rsid w:val="00317387"/>
    <w:rsid w:val="00317D06"/>
    <w:rsid w:val="00320906"/>
    <w:rsid w:val="00321541"/>
    <w:rsid w:val="0032295F"/>
    <w:rsid w:val="00322A3C"/>
    <w:rsid w:val="00323394"/>
    <w:rsid w:val="003237C1"/>
    <w:rsid w:val="00323A0D"/>
    <w:rsid w:val="00323AE6"/>
    <w:rsid w:val="0032400C"/>
    <w:rsid w:val="00324A73"/>
    <w:rsid w:val="0032675E"/>
    <w:rsid w:val="00326817"/>
    <w:rsid w:val="003318C4"/>
    <w:rsid w:val="00333A68"/>
    <w:rsid w:val="00336115"/>
    <w:rsid w:val="00336DAA"/>
    <w:rsid w:val="003372ED"/>
    <w:rsid w:val="00337DBE"/>
    <w:rsid w:val="00340732"/>
    <w:rsid w:val="00341D0E"/>
    <w:rsid w:val="00342241"/>
    <w:rsid w:val="003432C7"/>
    <w:rsid w:val="003443CB"/>
    <w:rsid w:val="0034446A"/>
    <w:rsid w:val="0034523D"/>
    <w:rsid w:val="003458B6"/>
    <w:rsid w:val="00345CFD"/>
    <w:rsid w:val="003471B3"/>
    <w:rsid w:val="003474CA"/>
    <w:rsid w:val="0035039E"/>
    <w:rsid w:val="00350BDF"/>
    <w:rsid w:val="003532A6"/>
    <w:rsid w:val="0035641E"/>
    <w:rsid w:val="00356BC3"/>
    <w:rsid w:val="00360599"/>
    <w:rsid w:val="0036059E"/>
    <w:rsid w:val="00362916"/>
    <w:rsid w:val="003637E3"/>
    <w:rsid w:val="00363B98"/>
    <w:rsid w:val="003641EC"/>
    <w:rsid w:val="0036613A"/>
    <w:rsid w:val="00370EE0"/>
    <w:rsid w:val="00372DF1"/>
    <w:rsid w:val="00375949"/>
    <w:rsid w:val="0037639E"/>
    <w:rsid w:val="0038155F"/>
    <w:rsid w:val="00381F2F"/>
    <w:rsid w:val="00382C3A"/>
    <w:rsid w:val="00382C61"/>
    <w:rsid w:val="00382D91"/>
    <w:rsid w:val="00383195"/>
    <w:rsid w:val="00383E5C"/>
    <w:rsid w:val="003842BC"/>
    <w:rsid w:val="0038461D"/>
    <w:rsid w:val="00384AFD"/>
    <w:rsid w:val="00385171"/>
    <w:rsid w:val="00385388"/>
    <w:rsid w:val="00385A69"/>
    <w:rsid w:val="0038670D"/>
    <w:rsid w:val="003871DA"/>
    <w:rsid w:val="0038758F"/>
    <w:rsid w:val="0039102F"/>
    <w:rsid w:val="00391353"/>
    <w:rsid w:val="0039151C"/>
    <w:rsid w:val="003916E9"/>
    <w:rsid w:val="00392197"/>
    <w:rsid w:val="003923F7"/>
    <w:rsid w:val="00392640"/>
    <w:rsid w:val="00393139"/>
    <w:rsid w:val="00393298"/>
    <w:rsid w:val="0039364A"/>
    <w:rsid w:val="00394544"/>
    <w:rsid w:val="0039456E"/>
    <w:rsid w:val="00394613"/>
    <w:rsid w:val="00394992"/>
    <w:rsid w:val="003958E9"/>
    <w:rsid w:val="00396014"/>
    <w:rsid w:val="00397383"/>
    <w:rsid w:val="003A0283"/>
    <w:rsid w:val="003A1FD2"/>
    <w:rsid w:val="003A3C57"/>
    <w:rsid w:val="003A3C8A"/>
    <w:rsid w:val="003A609A"/>
    <w:rsid w:val="003A60AF"/>
    <w:rsid w:val="003A6C2C"/>
    <w:rsid w:val="003A7A94"/>
    <w:rsid w:val="003A7CD9"/>
    <w:rsid w:val="003B2407"/>
    <w:rsid w:val="003B3EB3"/>
    <w:rsid w:val="003B4687"/>
    <w:rsid w:val="003B4E72"/>
    <w:rsid w:val="003B5A90"/>
    <w:rsid w:val="003B73E4"/>
    <w:rsid w:val="003B791A"/>
    <w:rsid w:val="003B7D3E"/>
    <w:rsid w:val="003C043C"/>
    <w:rsid w:val="003C053D"/>
    <w:rsid w:val="003C0AAB"/>
    <w:rsid w:val="003C1B6F"/>
    <w:rsid w:val="003C1EF9"/>
    <w:rsid w:val="003C1F43"/>
    <w:rsid w:val="003C2E3B"/>
    <w:rsid w:val="003C350F"/>
    <w:rsid w:val="003C3D19"/>
    <w:rsid w:val="003C4496"/>
    <w:rsid w:val="003C51BB"/>
    <w:rsid w:val="003C5A7D"/>
    <w:rsid w:val="003C5D24"/>
    <w:rsid w:val="003C603E"/>
    <w:rsid w:val="003C706C"/>
    <w:rsid w:val="003C71BA"/>
    <w:rsid w:val="003C75CB"/>
    <w:rsid w:val="003C771F"/>
    <w:rsid w:val="003D019F"/>
    <w:rsid w:val="003D1D85"/>
    <w:rsid w:val="003D2039"/>
    <w:rsid w:val="003D2188"/>
    <w:rsid w:val="003D23AD"/>
    <w:rsid w:val="003D24D7"/>
    <w:rsid w:val="003D2B68"/>
    <w:rsid w:val="003D4BEC"/>
    <w:rsid w:val="003D59DD"/>
    <w:rsid w:val="003E0B5C"/>
    <w:rsid w:val="003E11D2"/>
    <w:rsid w:val="003E12DC"/>
    <w:rsid w:val="003E1465"/>
    <w:rsid w:val="003E1EEA"/>
    <w:rsid w:val="003E3D64"/>
    <w:rsid w:val="003E4231"/>
    <w:rsid w:val="003E4504"/>
    <w:rsid w:val="003E4558"/>
    <w:rsid w:val="003E685E"/>
    <w:rsid w:val="003F01F6"/>
    <w:rsid w:val="003F60DC"/>
    <w:rsid w:val="003F6ADE"/>
    <w:rsid w:val="003F77D5"/>
    <w:rsid w:val="00401604"/>
    <w:rsid w:val="00402797"/>
    <w:rsid w:val="00402F01"/>
    <w:rsid w:val="00403084"/>
    <w:rsid w:val="004038EB"/>
    <w:rsid w:val="0040580D"/>
    <w:rsid w:val="00405E00"/>
    <w:rsid w:val="00406947"/>
    <w:rsid w:val="00406D16"/>
    <w:rsid w:val="00410F21"/>
    <w:rsid w:val="00411346"/>
    <w:rsid w:val="00411CBA"/>
    <w:rsid w:val="00411E60"/>
    <w:rsid w:val="00412291"/>
    <w:rsid w:val="004135D2"/>
    <w:rsid w:val="00413B29"/>
    <w:rsid w:val="00413D9E"/>
    <w:rsid w:val="00415518"/>
    <w:rsid w:val="0041651E"/>
    <w:rsid w:val="00417052"/>
    <w:rsid w:val="0042012F"/>
    <w:rsid w:val="004214F2"/>
    <w:rsid w:val="004226C3"/>
    <w:rsid w:val="00422A5A"/>
    <w:rsid w:val="00422D39"/>
    <w:rsid w:val="00423D99"/>
    <w:rsid w:val="004246E2"/>
    <w:rsid w:val="00424C21"/>
    <w:rsid w:val="00424E8B"/>
    <w:rsid w:val="00424FE3"/>
    <w:rsid w:val="00425BF8"/>
    <w:rsid w:val="0042609E"/>
    <w:rsid w:val="004263F7"/>
    <w:rsid w:val="00433346"/>
    <w:rsid w:val="004336BC"/>
    <w:rsid w:val="00434EB9"/>
    <w:rsid w:val="00435B31"/>
    <w:rsid w:val="004364F8"/>
    <w:rsid w:val="00437919"/>
    <w:rsid w:val="00440B5F"/>
    <w:rsid w:val="00440C56"/>
    <w:rsid w:val="00441751"/>
    <w:rsid w:val="004426C3"/>
    <w:rsid w:val="00443EF3"/>
    <w:rsid w:val="004447AD"/>
    <w:rsid w:val="004450AC"/>
    <w:rsid w:val="00445177"/>
    <w:rsid w:val="004455DA"/>
    <w:rsid w:val="00445D2B"/>
    <w:rsid w:val="00446533"/>
    <w:rsid w:val="004474CD"/>
    <w:rsid w:val="00447558"/>
    <w:rsid w:val="00447FD8"/>
    <w:rsid w:val="00450244"/>
    <w:rsid w:val="004505EB"/>
    <w:rsid w:val="00452813"/>
    <w:rsid w:val="00454FF8"/>
    <w:rsid w:val="00455727"/>
    <w:rsid w:val="00456449"/>
    <w:rsid w:val="00456CC8"/>
    <w:rsid w:val="004570BF"/>
    <w:rsid w:val="004615B7"/>
    <w:rsid w:val="00461701"/>
    <w:rsid w:val="00461D39"/>
    <w:rsid w:val="00461FF1"/>
    <w:rsid w:val="00462468"/>
    <w:rsid w:val="00465200"/>
    <w:rsid w:val="00466B74"/>
    <w:rsid w:val="00466FD5"/>
    <w:rsid w:val="00467135"/>
    <w:rsid w:val="00467348"/>
    <w:rsid w:val="0046751E"/>
    <w:rsid w:val="004678FE"/>
    <w:rsid w:val="00467FB5"/>
    <w:rsid w:val="00470C27"/>
    <w:rsid w:val="00471559"/>
    <w:rsid w:val="00471FBA"/>
    <w:rsid w:val="0047235F"/>
    <w:rsid w:val="004734DA"/>
    <w:rsid w:val="00473DE4"/>
    <w:rsid w:val="00474045"/>
    <w:rsid w:val="00474ABD"/>
    <w:rsid w:val="00474C33"/>
    <w:rsid w:val="00474CAC"/>
    <w:rsid w:val="004753F4"/>
    <w:rsid w:val="00475441"/>
    <w:rsid w:val="0047692E"/>
    <w:rsid w:val="00480CCF"/>
    <w:rsid w:val="00482325"/>
    <w:rsid w:val="00483663"/>
    <w:rsid w:val="00483D1C"/>
    <w:rsid w:val="00484C37"/>
    <w:rsid w:val="00485055"/>
    <w:rsid w:val="004858F3"/>
    <w:rsid w:val="00485E4E"/>
    <w:rsid w:val="00490FBC"/>
    <w:rsid w:val="00492561"/>
    <w:rsid w:val="0049334A"/>
    <w:rsid w:val="00493986"/>
    <w:rsid w:val="0049491F"/>
    <w:rsid w:val="004971DC"/>
    <w:rsid w:val="00497333"/>
    <w:rsid w:val="004A021D"/>
    <w:rsid w:val="004A1361"/>
    <w:rsid w:val="004A1390"/>
    <w:rsid w:val="004A2C0E"/>
    <w:rsid w:val="004A457F"/>
    <w:rsid w:val="004A4678"/>
    <w:rsid w:val="004A4854"/>
    <w:rsid w:val="004A51DA"/>
    <w:rsid w:val="004A54CE"/>
    <w:rsid w:val="004A7591"/>
    <w:rsid w:val="004A7DDA"/>
    <w:rsid w:val="004B0E69"/>
    <w:rsid w:val="004B15F3"/>
    <w:rsid w:val="004B26F3"/>
    <w:rsid w:val="004B2C86"/>
    <w:rsid w:val="004B35E4"/>
    <w:rsid w:val="004B3AC5"/>
    <w:rsid w:val="004B4606"/>
    <w:rsid w:val="004B48F0"/>
    <w:rsid w:val="004B4D8A"/>
    <w:rsid w:val="004B525B"/>
    <w:rsid w:val="004B6161"/>
    <w:rsid w:val="004B62E2"/>
    <w:rsid w:val="004B659B"/>
    <w:rsid w:val="004B6953"/>
    <w:rsid w:val="004B6E28"/>
    <w:rsid w:val="004C0960"/>
    <w:rsid w:val="004C0C1E"/>
    <w:rsid w:val="004C12A0"/>
    <w:rsid w:val="004C1EEA"/>
    <w:rsid w:val="004C3DA0"/>
    <w:rsid w:val="004C41D6"/>
    <w:rsid w:val="004C424B"/>
    <w:rsid w:val="004C426A"/>
    <w:rsid w:val="004C4CC6"/>
    <w:rsid w:val="004C54F2"/>
    <w:rsid w:val="004C71DE"/>
    <w:rsid w:val="004C74A1"/>
    <w:rsid w:val="004C7830"/>
    <w:rsid w:val="004D23DA"/>
    <w:rsid w:val="004D251D"/>
    <w:rsid w:val="004D2DCA"/>
    <w:rsid w:val="004D364F"/>
    <w:rsid w:val="004D5897"/>
    <w:rsid w:val="004D5E49"/>
    <w:rsid w:val="004D64B5"/>
    <w:rsid w:val="004D64E1"/>
    <w:rsid w:val="004E004E"/>
    <w:rsid w:val="004E0420"/>
    <w:rsid w:val="004E0665"/>
    <w:rsid w:val="004E161A"/>
    <w:rsid w:val="004E1F69"/>
    <w:rsid w:val="004E2036"/>
    <w:rsid w:val="004E4369"/>
    <w:rsid w:val="004E4D83"/>
    <w:rsid w:val="004E6184"/>
    <w:rsid w:val="004E68E3"/>
    <w:rsid w:val="004E7719"/>
    <w:rsid w:val="004E79AE"/>
    <w:rsid w:val="004F055C"/>
    <w:rsid w:val="004F16EE"/>
    <w:rsid w:val="004F18D1"/>
    <w:rsid w:val="004F2032"/>
    <w:rsid w:val="004F2A03"/>
    <w:rsid w:val="004F2CC5"/>
    <w:rsid w:val="004F2FD6"/>
    <w:rsid w:val="004F385B"/>
    <w:rsid w:val="004F3976"/>
    <w:rsid w:val="004F402B"/>
    <w:rsid w:val="004F40E7"/>
    <w:rsid w:val="004F452B"/>
    <w:rsid w:val="004F47C0"/>
    <w:rsid w:val="004F4B67"/>
    <w:rsid w:val="004F4CFB"/>
    <w:rsid w:val="004F6589"/>
    <w:rsid w:val="004F68DF"/>
    <w:rsid w:val="0050041B"/>
    <w:rsid w:val="00500ED3"/>
    <w:rsid w:val="00501BE0"/>
    <w:rsid w:val="00501CC5"/>
    <w:rsid w:val="00503E7B"/>
    <w:rsid w:val="0050541B"/>
    <w:rsid w:val="00505DA7"/>
    <w:rsid w:val="0050639B"/>
    <w:rsid w:val="00510322"/>
    <w:rsid w:val="00511756"/>
    <w:rsid w:val="0051216E"/>
    <w:rsid w:val="005124DC"/>
    <w:rsid w:val="005125F9"/>
    <w:rsid w:val="00512CEB"/>
    <w:rsid w:val="00512ECE"/>
    <w:rsid w:val="0051336E"/>
    <w:rsid w:val="005142CB"/>
    <w:rsid w:val="005143C0"/>
    <w:rsid w:val="005146CA"/>
    <w:rsid w:val="00514E66"/>
    <w:rsid w:val="00514F1E"/>
    <w:rsid w:val="00516A37"/>
    <w:rsid w:val="00516B6F"/>
    <w:rsid w:val="00516C63"/>
    <w:rsid w:val="00517871"/>
    <w:rsid w:val="00517C72"/>
    <w:rsid w:val="00520015"/>
    <w:rsid w:val="00520456"/>
    <w:rsid w:val="005212EC"/>
    <w:rsid w:val="00521B89"/>
    <w:rsid w:val="00523B06"/>
    <w:rsid w:val="00523E76"/>
    <w:rsid w:val="00523F69"/>
    <w:rsid w:val="00525C4E"/>
    <w:rsid w:val="00525DEF"/>
    <w:rsid w:val="00527590"/>
    <w:rsid w:val="0052760E"/>
    <w:rsid w:val="00530587"/>
    <w:rsid w:val="00530C57"/>
    <w:rsid w:val="00532417"/>
    <w:rsid w:val="005347F7"/>
    <w:rsid w:val="00534972"/>
    <w:rsid w:val="00534BBE"/>
    <w:rsid w:val="00535433"/>
    <w:rsid w:val="00535A39"/>
    <w:rsid w:val="005366EA"/>
    <w:rsid w:val="005404CD"/>
    <w:rsid w:val="00542138"/>
    <w:rsid w:val="0054275F"/>
    <w:rsid w:val="005429B3"/>
    <w:rsid w:val="00542DB9"/>
    <w:rsid w:val="00543230"/>
    <w:rsid w:val="005437CB"/>
    <w:rsid w:val="00543A37"/>
    <w:rsid w:val="005449A2"/>
    <w:rsid w:val="005459C4"/>
    <w:rsid w:val="0054663D"/>
    <w:rsid w:val="0054679C"/>
    <w:rsid w:val="00546B1E"/>
    <w:rsid w:val="00547C54"/>
    <w:rsid w:val="005506E4"/>
    <w:rsid w:val="005521A9"/>
    <w:rsid w:val="0055242F"/>
    <w:rsid w:val="00552A34"/>
    <w:rsid w:val="00552A88"/>
    <w:rsid w:val="00553224"/>
    <w:rsid w:val="005538F2"/>
    <w:rsid w:val="00553BA5"/>
    <w:rsid w:val="00554A12"/>
    <w:rsid w:val="00554C84"/>
    <w:rsid w:val="00554CDD"/>
    <w:rsid w:val="0055682B"/>
    <w:rsid w:val="0055690D"/>
    <w:rsid w:val="00556E7D"/>
    <w:rsid w:val="00557213"/>
    <w:rsid w:val="0055734A"/>
    <w:rsid w:val="00557C06"/>
    <w:rsid w:val="0056056A"/>
    <w:rsid w:val="00562BAB"/>
    <w:rsid w:val="00564924"/>
    <w:rsid w:val="00564E3E"/>
    <w:rsid w:val="00565AB6"/>
    <w:rsid w:val="005668C4"/>
    <w:rsid w:val="0056694A"/>
    <w:rsid w:val="00567136"/>
    <w:rsid w:val="00567E8A"/>
    <w:rsid w:val="00570485"/>
    <w:rsid w:val="00570A59"/>
    <w:rsid w:val="0057100D"/>
    <w:rsid w:val="005710A3"/>
    <w:rsid w:val="0057140D"/>
    <w:rsid w:val="005715AB"/>
    <w:rsid w:val="005717D9"/>
    <w:rsid w:val="005722BB"/>
    <w:rsid w:val="005740E4"/>
    <w:rsid w:val="00574D8F"/>
    <w:rsid w:val="00575DB1"/>
    <w:rsid w:val="00577F37"/>
    <w:rsid w:val="00580752"/>
    <w:rsid w:val="00580957"/>
    <w:rsid w:val="0058187B"/>
    <w:rsid w:val="00582216"/>
    <w:rsid w:val="005833DF"/>
    <w:rsid w:val="00583DA9"/>
    <w:rsid w:val="00584B7D"/>
    <w:rsid w:val="00584FD9"/>
    <w:rsid w:val="00585309"/>
    <w:rsid w:val="00585C35"/>
    <w:rsid w:val="00586053"/>
    <w:rsid w:val="005862B6"/>
    <w:rsid w:val="00586545"/>
    <w:rsid w:val="00587D7F"/>
    <w:rsid w:val="00587F4F"/>
    <w:rsid w:val="00590FB6"/>
    <w:rsid w:val="00592FDB"/>
    <w:rsid w:val="00593199"/>
    <w:rsid w:val="00593C83"/>
    <w:rsid w:val="00593E07"/>
    <w:rsid w:val="00593E21"/>
    <w:rsid w:val="00594F93"/>
    <w:rsid w:val="00595952"/>
    <w:rsid w:val="00595EBD"/>
    <w:rsid w:val="00596671"/>
    <w:rsid w:val="00596BDB"/>
    <w:rsid w:val="00597A48"/>
    <w:rsid w:val="00597F72"/>
    <w:rsid w:val="005A0D69"/>
    <w:rsid w:val="005A1065"/>
    <w:rsid w:val="005A1194"/>
    <w:rsid w:val="005A1D0A"/>
    <w:rsid w:val="005A2B3D"/>
    <w:rsid w:val="005A30A1"/>
    <w:rsid w:val="005A30E5"/>
    <w:rsid w:val="005A4743"/>
    <w:rsid w:val="005A4960"/>
    <w:rsid w:val="005A4AA1"/>
    <w:rsid w:val="005A504F"/>
    <w:rsid w:val="005A552E"/>
    <w:rsid w:val="005A5DFB"/>
    <w:rsid w:val="005B0E6D"/>
    <w:rsid w:val="005B1964"/>
    <w:rsid w:val="005B4A15"/>
    <w:rsid w:val="005B5ED5"/>
    <w:rsid w:val="005B6DE0"/>
    <w:rsid w:val="005B7370"/>
    <w:rsid w:val="005C1294"/>
    <w:rsid w:val="005C2502"/>
    <w:rsid w:val="005C2518"/>
    <w:rsid w:val="005C50E6"/>
    <w:rsid w:val="005C5558"/>
    <w:rsid w:val="005C5BC7"/>
    <w:rsid w:val="005C69F5"/>
    <w:rsid w:val="005C6E97"/>
    <w:rsid w:val="005C766A"/>
    <w:rsid w:val="005C7A09"/>
    <w:rsid w:val="005D0D10"/>
    <w:rsid w:val="005D1FC4"/>
    <w:rsid w:val="005D28D1"/>
    <w:rsid w:val="005D3463"/>
    <w:rsid w:val="005D40B2"/>
    <w:rsid w:val="005D47FB"/>
    <w:rsid w:val="005D4FF3"/>
    <w:rsid w:val="005D5BF0"/>
    <w:rsid w:val="005D5E1D"/>
    <w:rsid w:val="005D5E8D"/>
    <w:rsid w:val="005E0034"/>
    <w:rsid w:val="005E1D2B"/>
    <w:rsid w:val="005E2B26"/>
    <w:rsid w:val="005E488E"/>
    <w:rsid w:val="005E4CD2"/>
    <w:rsid w:val="005E5919"/>
    <w:rsid w:val="005F0A56"/>
    <w:rsid w:val="005F19B6"/>
    <w:rsid w:val="005F1CCC"/>
    <w:rsid w:val="005F2D5F"/>
    <w:rsid w:val="005F4834"/>
    <w:rsid w:val="005F5761"/>
    <w:rsid w:val="005F5AB1"/>
    <w:rsid w:val="005F5CE5"/>
    <w:rsid w:val="005F7A54"/>
    <w:rsid w:val="005F7B73"/>
    <w:rsid w:val="00600B79"/>
    <w:rsid w:val="00600EE0"/>
    <w:rsid w:val="00600F21"/>
    <w:rsid w:val="006015F6"/>
    <w:rsid w:val="00601F89"/>
    <w:rsid w:val="0060374D"/>
    <w:rsid w:val="00603AAD"/>
    <w:rsid w:val="00604332"/>
    <w:rsid w:val="006047EF"/>
    <w:rsid w:val="00605B14"/>
    <w:rsid w:val="00605C26"/>
    <w:rsid w:val="00607B2F"/>
    <w:rsid w:val="00610A6C"/>
    <w:rsid w:val="00610E56"/>
    <w:rsid w:val="00610F87"/>
    <w:rsid w:val="00611BEF"/>
    <w:rsid w:val="00613681"/>
    <w:rsid w:val="00614D62"/>
    <w:rsid w:val="006153EF"/>
    <w:rsid w:val="00615829"/>
    <w:rsid w:val="00615A5D"/>
    <w:rsid w:val="00616367"/>
    <w:rsid w:val="00617FFE"/>
    <w:rsid w:val="00620DB9"/>
    <w:rsid w:val="0062169D"/>
    <w:rsid w:val="00623168"/>
    <w:rsid w:val="0062318F"/>
    <w:rsid w:val="00623270"/>
    <w:rsid w:val="006238E2"/>
    <w:rsid w:val="00624948"/>
    <w:rsid w:val="00625309"/>
    <w:rsid w:val="00625665"/>
    <w:rsid w:val="00625ED9"/>
    <w:rsid w:val="00627870"/>
    <w:rsid w:val="00630718"/>
    <w:rsid w:val="00631109"/>
    <w:rsid w:val="00631335"/>
    <w:rsid w:val="00631C17"/>
    <w:rsid w:val="00631EE1"/>
    <w:rsid w:val="00632EFA"/>
    <w:rsid w:val="00633FE4"/>
    <w:rsid w:val="00635630"/>
    <w:rsid w:val="006361A6"/>
    <w:rsid w:val="00636F05"/>
    <w:rsid w:val="006372E9"/>
    <w:rsid w:val="00637876"/>
    <w:rsid w:val="00637FEE"/>
    <w:rsid w:val="0064001C"/>
    <w:rsid w:val="00641401"/>
    <w:rsid w:val="006425BF"/>
    <w:rsid w:val="00642A05"/>
    <w:rsid w:val="00642E7F"/>
    <w:rsid w:val="0064361C"/>
    <w:rsid w:val="00643FAC"/>
    <w:rsid w:val="00644319"/>
    <w:rsid w:val="00645325"/>
    <w:rsid w:val="006471F0"/>
    <w:rsid w:val="006473C0"/>
    <w:rsid w:val="00647683"/>
    <w:rsid w:val="006500F7"/>
    <w:rsid w:val="006511F8"/>
    <w:rsid w:val="00652D22"/>
    <w:rsid w:val="0065499C"/>
    <w:rsid w:val="00655E1D"/>
    <w:rsid w:val="006562BD"/>
    <w:rsid w:val="00656768"/>
    <w:rsid w:val="006578D3"/>
    <w:rsid w:val="00660427"/>
    <w:rsid w:val="00662C1B"/>
    <w:rsid w:val="0066396A"/>
    <w:rsid w:val="00663DB5"/>
    <w:rsid w:val="006660A4"/>
    <w:rsid w:val="006660E4"/>
    <w:rsid w:val="006667D3"/>
    <w:rsid w:val="00666EEF"/>
    <w:rsid w:val="00667E71"/>
    <w:rsid w:val="00670DE1"/>
    <w:rsid w:val="006730E4"/>
    <w:rsid w:val="00673577"/>
    <w:rsid w:val="006741A6"/>
    <w:rsid w:val="00674717"/>
    <w:rsid w:val="00674F49"/>
    <w:rsid w:val="0067542C"/>
    <w:rsid w:val="006763BA"/>
    <w:rsid w:val="0067727F"/>
    <w:rsid w:val="00680205"/>
    <w:rsid w:val="00683538"/>
    <w:rsid w:val="00684864"/>
    <w:rsid w:val="00684FA9"/>
    <w:rsid w:val="0068531F"/>
    <w:rsid w:val="00685740"/>
    <w:rsid w:val="00685A7E"/>
    <w:rsid w:val="00691169"/>
    <w:rsid w:val="00691F50"/>
    <w:rsid w:val="006929CA"/>
    <w:rsid w:val="00693398"/>
    <w:rsid w:val="006939DD"/>
    <w:rsid w:val="00696333"/>
    <w:rsid w:val="00696657"/>
    <w:rsid w:val="006972BA"/>
    <w:rsid w:val="00697A2F"/>
    <w:rsid w:val="00697FC5"/>
    <w:rsid w:val="006A0A34"/>
    <w:rsid w:val="006A19B6"/>
    <w:rsid w:val="006A252C"/>
    <w:rsid w:val="006A3E8F"/>
    <w:rsid w:val="006A4539"/>
    <w:rsid w:val="006A4E30"/>
    <w:rsid w:val="006A4F50"/>
    <w:rsid w:val="006A7632"/>
    <w:rsid w:val="006A7920"/>
    <w:rsid w:val="006B1B18"/>
    <w:rsid w:val="006B3668"/>
    <w:rsid w:val="006B3813"/>
    <w:rsid w:val="006B403F"/>
    <w:rsid w:val="006B4C05"/>
    <w:rsid w:val="006B62CA"/>
    <w:rsid w:val="006B6616"/>
    <w:rsid w:val="006C09FE"/>
    <w:rsid w:val="006C10CD"/>
    <w:rsid w:val="006C17C3"/>
    <w:rsid w:val="006C3460"/>
    <w:rsid w:val="006C623E"/>
    <w:rsid w:val="006D04D9"/>
    <w:rsid w:val="006D2833"/>
    <w:rsid w:val="006D2BAE"/>
    <w:rsid w:val="006D318E"/>
    <w:rsid w:val="006D33DF"/>
    <w:rsid w:val="006D4505"/>
    <w:rsid w:val="006D5613"/>
    <w:rsid w:val="006D5C4C"/>
    <w:rsid w:val="006D647D"/>
    <w:rsid w:val="006D7242"/>
    <w:rsid w:val="006E10EB"/>
    <w:rsid w:val="006E161E"/>
    <w:rsid w:val="006E28B4"/>
    <w:rsid w:val="006E326F"/>
    <w:rsid w:val="006F0795"/>
    <w:rsid w:val="006F0A13"/>
    <w:rsid w:val="006F1563"/>
    <w:rsid w:val="006F1D51"/>
    <w:rsid w:val="006F277D"/>
    <w:rsid w:val="006F319D"/>
    <w:rsid w:val="006F3AD8"/>
    <w:rsid w:val="006F5072"/>
    <w:rsid w:val="006F6A17"/>
    <w:rsid w:val="006F6CDC"/>
    <w:rsid w:val="006F7DBC"/>
    <w:rsid w:val="00700998"/>
    <w:rsid w:val="00700F7C"/>
    <w:rsid w:val="00701357"/>
    <w:rsid w:val="007014BC"/>
    <w:rsid w:val="0070199E"/>
    <w:rsid w:val="007042D1"/>
    <w:rsid w:val="00704544"/>
    <w:rsid w:val="007107EC"/>
    <w:rsid w:val="007109A9"/>
    <w:rsid w:val="00710F6E"/>
    <w:rsid w:val="00713CA8"/>
    <w:rsid w:val="00714DDD"/>
    <w:rsid w:val="007150F8"/>
    <w:rsid w:val="007151B9"/>
    <w:rsid w:val="007154E2"/>
    <w:rsid w:val="00715A9B"/>
    <w:rsid w:val="0071635C"/>
    <w:rsid w:val="0071641F"/>
    <w:rsid w:val="0071652F"/>
    <w:rsid w:val="00716ED3"/>
    <w:rsid w:val="00716EEA"/>
    <w:rsid w:val="00717784"/>
    <w:rsid w:val="00717D40"/>
    <w:rsid w:val="0072185F"/>
    <w:rsid w:val="00721D6C"/>
    <w:rsid w:val="007225D7"/>
    <w:rsid w:val="00722740"/>
    <w:rsid w:val="00723123"/>
    <w:rsid w:val="00724A44"/>
    <w:rsid w:val="00724B97"/>
    <w:rsid w:val="00724DBA"/>
    <w:rsid w:val="007250AB"/>
    <w:rsid w:val="00725238"/>
    <w:rsid w:val="007252CE"/>
    <w:rsid w:val="00725A25"/>
    <w:rsid w:val="0072622E"/>
    <w:rsid w:val="007268FD"/>
    <w:rsid w:val="00726E87"/>
    <w:rsid w:val="00730521"/>
    <w:rsid w:val="00733335"/>
    <w:rsid w:val="007334AE"/>
    <w:rsid w:val="007354EE"/>
    <w:rsid w:val="00735676"/>
    <w:rsid w:val="00735BF7"/>
    <w:rsid w:val="00735D92"/>
    <w:rsid w:val="00735DC2"/>
    <w:rsid w:val="00735E4D"/>
    <w:rsid w:val="00735F00"/>
    <w:rsid w:val="007366B9"/>
    <w:rsid w:val="00736AB4"/>
    <w:rsid w:val="00737030"/>
    <w:rsid w:val="007371B5"/>
    <w:rsid w:val="007373D9"/>
    <w:rsid w:val="00737830"/>
    <w:rsid w:val="00737B9A"/>
    <w:rsid w:val="00737D5D"/>
    <w:rsid w:val="00740D93"/>
    <w:rsid w:val="00741653"/>
    <w:rsid w:val="00741841"/>
    <w:rsid w:val="0074337E"/>
    <w:rsid w:val="007435B4"/>
    <w:rsid w:val="00743A42"/>
    <w:rsid w:val="0074417D"/>
    <w:rsid w:val="00744EC4"/>
    <w:rsid w:val="0074577B"/>
    <w:rsid w:val="00745B12"/>
    <w:rsid w:val="00745F27"/>
    <w:rsid w:val="007463C6"/>
    <w:rsid w:val="00746813"/>
    <w:rsid w:val="007475A3"/>
    <w:rsid w:val="00747C75"/>
    <w:rsid w:val="00750F71"/>
    <w:rsid w:val="00751A7C"/>
    <w:rsid w:val="0075209C"/>
    <w:rsid w:val="007520DE"/>
    <w:rsid w:val="00752BC3"/>
    <w:rsid w:val="007537F4"/>
    <w:rsid w:val="007559C0"/>
    <w:rsid w:val="00755BDE"/>
    <w:rsid w:val="00756A8B"/>
    <w:rsid w:val="00756B08"/>
    <w:rsid w:val="00757A9E"/>
    <w:rsid w:val="00760B21"/>
    <w:rsid w:val="00761B8A"/>
    <w:rsid w:val="00761EE9"/>
    <w:rsid w:val="00762C10"/>
    <w:rsid w:val="00762DB1"/>
    <w:rsid w:val="00762FF7"/>
    <w:rsid w:val="00763CE7"/>
    <w:rsid w:val="00764D23"/>
    <w:rsid w:val="00764D84"/>
    <w:rsid w:val="007651DE"/>
    <w:rsid w:val="007665F5"/>
    <w:rsid w:val="00766AE9"/>
    <w:rsid w:val="00766CA9"/>
    <w:rsid w:val="00767206"/>
    <w:rsid w:val="00767A5A"/>
    <w:rsid w:val="00767D7A"/>
    <w:rsid w:val="00771E7F"/>
    <w:rsid w:val="00771E96"/>
    <w:rsid w:val="00771F63"/>
    <w:rsid w:val="007720F0"/>
    <w:rsid w:val="00772B4F"/>
    <w:rsid w:val="0077321A"/>
    <w:rsid w:val="00773BA9"/>
    <w:rsid w:val="007740BF"/>
    <w:rsid w:val="00774F56"/>
    <w:rsid w:val="0077558C"/>
    <w:rsid w:val="00776AF4"/>
    <w:rsid w:val="00776B79"/>
    <w:rsid w:val="00776F7B"/>
    <w:rsid w:val="00780A34"/>
    <w:rsid w:val="00781C12"/>
    <w:rsid w:val="00782C9D"/>
    <w:rsid w:val="00783BD0"/>
    <w:rsid w:val="00784268"/>
    <w:rsid w:val="0078520C"/>
    <w:rsid w:val="0078550F"/>
    <w:rsid w:val="00785678"/>
    <w:rsid w:val="00785753"/>
    <w:rsid w:val="00786E56"/>
    <w:rsid w:val="0078787F"/>
    <w:rsid w:val="00790231"/>
    <w:rsid w:val="00790289"/>
    <w:rsid w:val="007902DC"/>
    <w:rsid w:val="007905B4"/>
    <w:rsid w:val="00790D81"/>
    <w:rsid w:val="00792528"/>
    <w:rsid w:val="007937A2"/>
    <w:rsid w:val="00793806"/>
    <w:rsid w:val="00793C19"/>
    <w:rsid w:val="00794616"/>
    <w:rsid w:val="00794B72"/>
    <w:rsid w:val="00795A06"/>
    <w:rsid w:val="00795FF6"/>
    <w:rsid w:val="00796140"/>
    <w:rsid w:val="007963AF"/>
    <w:rsid w:val="00797056"/>
    <w:rsid w:val="00797B0B"/>
    <w:rsid w:val="007A094C"/>
    <w:rsid w:val="007A0979"/>
    <w:rsid w:val="007A0CDE"/>
    <w:rsid w:val="007A1D63"/>
    <w:rsid w:val="007A2A85"/>
    <w:rsid w:val="007A3BDA"/>
    <w:rsid w:val="007A3FE4"/>
    <w:rsid w:val="007A4B97"/>
    <w:rsid w:val="007A56F2"/>
    <w:rsid w:val="007A6DF8"/>
    <w:rsid w:val="007A7E2E"/>
    <w:rsid w:val="007B008F"/>
    <w:rsid w:val="007B0317"/>
    <w:rsid w:val="007B0B0F"/>
    <w:rsid w:val="007B1329"/>
    <w:rsid w:val="007B2E56"/>
    <w:rsid w:val="007B3593"/>
    <w:rsid w:val="007B40D8"/>
    <w:rsid w:val="007B531D"/>
    <w:rsid w:val="007B54B5"/>
    <w:rsid w:val="007B5F2B"/>
    <w:rsid w:val="007B604E"/>
    <w:rsid w:val="007B6C77"/>
    <w:rsid w:val="007B6E93"/>
    <w:rsid w:val="007C10A0"/>
    <w:rsid w:val="007C1DA8"/>
    <w:rsid w:val="007C30E5"/>
    <w:rsid w:val="007C39AF"/>
    <w:rsid w:val="007C4CED"/>
    <w:rsid w:val="007C4EB4"/>
    <w:rsid w:val="007C6028"/>
    <w:rsid w:val="007C71A8"/>
    <w:rsid w:val="007C7FBE"/>
    <w:rsid w:val="007D02CE"/>
    <w:rsid w:val="007D13B8"/>
    <w:rsid w:val="007D1C51"/>
    <w:rsid w:val="007D2603"/>
    <w:rsid w:val="007D28D1"/>
    <w:rsid w:val="007D3154"/>
    <w:rsid w:val="007D4006"/>
    <w:rsid w:val="007D4ADA"/>
    <w:rsid w:val="007D5236"/>
    <w:rsid w:val="007D68C3"/>
    <w:rsid w:val="007D69EC"/>
    <w:rsid w:val="007D7584"/>
    <w:rsid w:val="007D7CED"/>
    <w:rsid w:val="007E0E01"/>
    <w:rsid w:val="007E1835"/>
    <w:rsid w:val="007E3401"/>
    <w:rsid w:val="007E4F47"/>
    <w:rsid w:val="007E5AAA"/>
    <w:rsid w:val="007E66DB"/>
    <w:rsid w:val="007E6E0D"/>
    <w:rsid w:val="007E7137"/>
    <w:rsid w:val="007F229E"/>
    <w:rsid w:val="007F2A46"/>
    <w:rsid w:val="007F42D7"/>
    <w:rsid w:val="007F5178"/>
    <w:rsid w:val="007F536E"/>
    <w:rsid w:val="007F6349"/>
    <w:rsid w:val="007F7BEE"/>
    <w:rsid w:val="00801AA9"/>
    <w:rsid w:val="00801F04"/>
    <w:rsid w:val="0080275C"/>
    <w:rsid w:val="008028F5"/>
    <w:rsid w:val="00803EC3"/>
    <w:rsid w:val="00803EFA"/>
    <w:rsid w:val="00805062"/>
    <w:rsid w:val="008062B8"/>
    <w:rsid w:val="00806DE2"/>
    <w:rsid w:val="0080721A"/>
    <w:rsid w:val="008072BB"/>
    <w:rsid w:val="00807608"/>
    <w:rsid w:val="0081013F"/>
    <w:rsid w:val="0081114D"/>
    <w:rsid w:val="008138C1"/>
    <w:rsid w:val="008141E8"/>
    <w:rsid w:val="008149C3"/>
    <w:rsid w:val="008152F4"/>
    <w:rsid w:val="008157CA"/>
    <w:rsid w:val="00815EC4"/>
    <w:rsid w:val="008163FB"/>
    <w:rsid w:val="00816636"/>
    <w:rsid w:val="00816E38"/>
    <w:rsid w:val="00820F63"/>
    <w:rsid w:val="008228FF"/>
    <w:rsid w:val="008248DB"/>
    <w:rsid w:val="00824B7E"/>
    <w:rsid w:val="008250DA"/>
    <w:rsid w:val="008266F6"/>
    <w:rsid w:val="00826BA0"/>
    <w:rsid w:val="00826BC2"/>
    <w:rsid w:val="0082742D"/>
    <w:rsid w:val="00833037"/>
    <w:rsid w:val="008330F5"/>
    <w:rsid w:val="00833BF3"/>
    <w:rsid w:val="00834068"/>
    <w:rsid w:val="0083535C"/>
    <w:rsid w:val="00835470"/>
    <w:rsid w:val="008354ED"/>
    <w:rsid w:val="00835552"/>
    <w:rsid w:val="00835EDA"/>
    <w:rsid w:val="0083637F"/>
    <w:rsid w:val="00837A80"/>
    <w:rsid w:val="00837CD9"/>
    <w:rsid w:val="00840A1D"/>
    <w:rsid w:val="00840AAD"/>
    <w:rsid w:val="00840CC7"/>
    <w:rsid w:val="00840CF3"/>
    <w:rsid w:val="00842777"/>
    <w:rsid w:val="0084591A"/>
    <w:rsid w:val="0084661F"/>
    <w:rsid w:val="008471FC"/>
    <w:rsid w:val="0085056F"/>
    <w:rsid w:val="00850ECB"/>
    <w:rsid w:val="00851EF8"/>
    <w:rsid w:val="00852585"/>
    <w:rsid w:val="0085292F"/>
    <w:rsid w:val="00853317"/>
    <w:rsid w:val="00853412"/>
    <w:rsid w:val="00862A05"/>
    <w:rsid w:val="00862D4F"/>
    <w:rsid w:val="00864181"/>
    <w:rsid w:val="00864703"/>
    <w:rsid w:val="00864D52"/>
    <w:rsid w:val="008654D7"/>
    <w:rsid w:val="00865E70"/>
    <w:rsid w:val="00866C0D"/>
    <w:rsid w:val="00867584"/>
    <w:rsid w:val="00867F98"/>
    <w:rsid w:val="00870750"/>
    <w:rsid w:val="00870988"/>
    <w:rsid w:val="00870FE3"/>
    <w:rsid w:val="0087191C"/>
    <w:rsid w:val="00871ACF"/>
    <w:rsid w:val="008751C5"/>
    <w:rsid w:val="00875A12"/>
    <w:rsid w:val="008764CB"/>
    <w:rsid w:val="008773F8"/>
    <w:rsid w:val="008778EF"/>
    <w:rsid w:val="008779FC"/>
    <w:rsid w:val="00880492"/>
    <w:rsid w:val="008805F1"/>
    <w:rsid w:val="00880B6A"/>
    <w:rsid w:val="00881C18"/>
    <w:rsid w:val="00882108"/>
    <w:rsid w:val="00882B92"/>
    <w:rsid w:val="00884A8E"/>
    <w:rsid w:val="0088512A"/>
    <w:rsid w:val="0088574C"/>
    <w:rsid w:val="008869FE"/>
    <w:rsid w:val="008943D4"/>
    <w:rsid w:val="008946A3"/>
    <w:rsid w:val="00894DFA"/>
    <w:rsid w:val="008A0A7C"/>
    <w:rsid w:val="008A0DB0"/>
    <w:rsid w:val="008A1553"/>
    <w:rsid w:val="008A28AD"/>
    <w:rsid w:val="008A307A"/>
    <w:rsid w:val="008A30D4"/>
    <w:rsid w:val="008A3514"/>
    <w:rsid w:val="008A5088"/>
    <w:rsid w:val="008A5660"/>
    <w:rsid w:val="008A6291"/>
    <w:rsid w:val="008A6347"/>
    <w:rsid w:val="008A64CB"/>
    <w:rsid w:val="008A6941"/>
    <w:rsid w:val="008B3664"/>
    <w:rsid w:val="008B3DA3"/>
    <w:rsid w:val="008B3F38"/>
    <w:rsid w:val="008B5910"/>
    <w:rsid w:val="008B6AF5"/>
    <w:rsid w:val="008C33E8"/>
    <w:rsid w:val="008C4639"/>
    <w:rsid w:val="008C6FC2"/>
    <w:rsid w:val="008C6FDA"/>
    <w:rsid w:val="008C735B"/>
    <w:rsid w:val="008C73CA"/>
    <w:rsid w:val="008C7584"/>
    <w:rsid w:val="008D0287"/>
    <w:rsid w:val="008D060B"/>
    <w:rsid w:val="008D0649"/>
    <w:rsid w:val="008D1048"/>
    <w:rsid w:val="008D13C7"/>
    <w:rsid w:val="008D196E"/>
    <w:rsid w:val="008D1F4E"/>
    <w:rsid w:val="008D3C94"/>
    <w:rsid w:val="008D4785"/>
    <w:rsid w:val="008D4937"/>
    <w:rsid w:val="008D58F0"/>
    <w:rsid w:val="008D5D7F"/>
    <w:rsid w:val="008D7390"/>
    <w:rsid w:val="008D7407"/>
    <w:rsid w:val="008D7E8C"/>
    <w:rsid w:val="008E08AF"/>
    <w:rsid w:val="008E0935"/>
    <w:rsid w:val="008E0C33"/>
    <w:rsid w:val="008E1166"/>
    <w:rsid w:val="008E167F"/>
    <w:rsid w:val="008E18BF"/>
    <w:rsid w:val="008E2265"/>
    <w:rsid w:val="008E259A"/>
    <w:rsid w:val="008E491F"/>
    <w:rsid w:val="008E583A"/>
    <w:rsid w:val="008E5ADB"/>
    <w:rsid w:val="008E5D60"/>
    <w:rsid w:val="008E7662"/>
    <w:rsid w:val="008E7849"/>
    <w:rsid w:val="008E7A2E"/>
    <w:rsid w:val="008E7E3E"/>
    <w:rsid w:val="008F01B4"/>
    <w:rsid w:val="008F0612"/>
    <w:rsid w:val="008F0616"/>
    <w:rsid w:val="008F086F"/>
    <w:rsid w:val="008F41CD"/>
    <w:rsid w:val="008F4533"/>
    <w:rsid w:val="008F48B3"/>
    <w:rsid w:val="008F4A84"/>
    <w:rsid w:val="008F5AFE"/>
    <w:rsid w:val="008F5F99"/>
    <w:rsid w:val="00900491"/>
    <w:rsid w:val="00903C08"/>
    <w:rsid w:val="009040D5"/>
    <w:rsid w:val="0090494E"/>
    <w:rsid w:val="00905DFB"/>
    <w:rsid w:val="0090657B"/>
    <w:rsid w:val="009070D8"/>
    <w:rsid w:val="00907447"/>
    <w:rsid w:val="0091112B"/>
    <w:rsid w:val="00911236"/>
    <w:rsid w:val="00911F03"/>
    <w:rsid w:val="009123CE"/>
    <w:rsid w:val="00912670"/>
    <w:rsid w:val="00913C0F"/>
    <w:rsid w:val="00914BF3"/>
    <w:rsid w:val="0091552D"/>
    <w:rsid w:val="00915F43"/>
    <w:rsid w:val="009162B4"/>
    <w:rsid w:val="009171BA"/>
    <w:rsid w:val="009178F5"/>
    <w:rsid w:val="00917909"/>
    <w:rsid w:val="009201DF"/>
    <w:rsid w:val="009204E8"/>
    <w:rsid w:val="009206BF"/>
    <w:rsid w:val="00921CCA"/>
    <w:rsid w:val="0092326A"/>
    <w:rsid w:val="0092357B"/>
    <w:rsid w:val="00923F86"/>
    <w:rsid w:val="00925CE0"/>
    <w:rsid w:val="009275C7"/>
    <w:rsid w:val="00927D2B"/>
    <w:rsid w:val="009309FE"/>
    <w:rsid w:val="00930AE7"/>
    <w:rsid w:val="0093174C"/>
    <w:rsid w:val="009318C5"/>
    <w:rsid w:val="00932757"/>
    <w:rsid w:val="00932999"/>
    <w:rsid w:val="00936441"/>
    <w:rsid w:val="0093701F"/>
    <w:rsid w:val="009400A0"/>
    <w:rsid w:val="00941C42"/>
    <w:rsid w:val="00941FA2"/>
    <w:rsid w:val="0094249F"/>
    <w:rsid w:val="00943E51"/>
    <w:rsid w:val="00943E84"/>
    <w:rsid w:val="00944953"/>
    <w:rsid w:val="00944D1F"/>
    <w:rsid w:val="009453EC"/>
    <w:rsid w:val="00945FC0"/>
    <w:rsid w:val="00947169"/>
    <w:rsid w:val="009476AB"/>
    <w:rsid w:val="00947957"/>
    <w:rsid w:val="00947CE1"/>
    <w:rsid w:val="00950017"/>
    <w:rsid w:val="009514CF"/>
    <w:rsid w:val="00952F09"/>
    <w:rsid w:val="0095385C"/>
    <w:rsid w:val="0095385D"/>
    <w:rsid w:val="0095524E"/>
    <w:rsid w:val="0095579E"/>
    <w:rsid w:val="00955E71"/>
    <w:rsid w:val="00956A01"/>
    <w:rsid w:val="009577D3"/>
    <w:rsid w:val="00960365"/>
    <w:rsid w:val="00960464"/>
    <w:rsid w:val="00960DBB"/>
    <w:rsid w:val="009617CE"/>
    <w:rsid w:val="009617E3"/>
    <w:rsid w:val="009618A9"/>
    <w:rsid w:val="0096475C"/>
    <w:rsid w:val="00964EA8"/>
    <w:rsid w:val="00966622"/>
    <w:rsid w:val="00966C44"/>
    <w:rsid w:val="009670D9"/>
    <w:rsid w:val="00967D0A"/>
    <w:rsid w:val="0097004A"/>
    <w:rsid w:val="00970408"/>
    <w:rsid w:val="00970BEC"/>
    <w:rsid w:val="00973836"/>
    <w:rsid w:val="009739F8"/>
    <w:rsid w:val="00973C23"/>
    <w:rsid w:val="00975F6D"/>
    <w:rsid w:val="009763D1"/>
    <w:rsid w:val="00976475"/>
    <w:rsid w:val="009778DF"/>
    <w:rsid w:val="00977AA7"/>
    <w:rsid w:val="00977B70"/>
    <w:rsid w:val="00980830"/>
    <w:rsid w:val="00980B21"/>
    <w:rsid w:val="00981F58"/>
    <w:rsid w:val="00982627"/>
    <w:rsid w:val="00982A86"/>
    <w:rsid w:val="00983B1C"/>
    <w:rsid w:val="00984802"/>
    <w:rsid w:val="00984EEF"/>
    <w:rsid w:val="00985435"/>
    <w:rsid w:val="00985A2E"/>
    <w:rsid w:val="00985DDE"/>
    <w:rsid w:val="00987220"/>
    <w:rsid w:val="009874E4"/>
    <w:rsid w:val="00990B9F"/>
    <w:rsid w:val="00991157"/>
    <w:rsid w:val="00991831"/>
    <w:rsid w:val="00991D83"/>
    <w:rsid w:val="0099248D"/>
    <w:rsid w:val="0099272D"/>
    <w:rsid w:val="00992CB1"/>
    <w:rsid w:val="00993692"/>
    <w:rsid w:val="0099407B"/>
    <w:rsid w:val="0099427D"/>
    <w:rsid w:val="009942D0"/>
    <w:rsid w:val="00994B84"/>
    <w:rsid w:val="00994C93"/>
    <w:rsid w:val="00995453"/>
    <w:rsid w:val="00995965"/>
    <w:rsid w:val="00995C98"/>
    <w:rsid w:val="0099612E"/>
    <w:rsid w:val="0099613E"/>
    <w:rsid w:val="009A0BF7"/>
    <w:rsid w:val="009A0F23"/>
    <w:rsid w:val="009A1D06"/>
    <w:rsid w:val="009A29AD"/>
    <w:rsid w:val="009A501D"/>
    <w:rsid w:val="009A5766"/>
    <w:rsid w:val="009A5A93"/>
    <w:rsid w:val="009A5D17"/>
    <w:rsid w:val="009A7F97"/>
    <w:rsid w:val="009B2A69"/>
    <w:rsid w:val="009B3517"/>
    <w:rsid w:val="009B37BB"/>
    <w:rsid w:val="009B389A"/>
    <w:rsid w:val="009B431F"/>
    <w:rsid w:val="009B5B95"/>
    <w:rsid w:val="009B6DD3"/>
    <w:rsid w:val="009B747C"/>
    <w:rsid w:val="009B76A1"/>
    <w:rsid w:val="009B7EFB"/>
    <w:rsid w:val="009C0131"/>
    <w:rsid w:val="009C2B4D"/>
    <w:rsid w:val="009C34C0"/>
    <w:rsid w:val="009C35CF"/>
    <w:rsid w:val="009C36BC"/>
    <w:rsid w:val="009C5363"/>
    <w:rsid w:val="009C5930"/>
    <w:rsid w:val="009C7456"/>
    <w:rsid w:val="009C7FAD"/>
    <w:rsid w:val="009D07FA"/>
    <w:rsid w:val="009D0EC9"/>
    <w:rsid w:val="009D3928"/>
    <w:rsid w:val="009D3C33"/>
    <w:rsid w:val="009D3CFA"/>
    <w:rsid w:val="009D5886"/>
    <w:rsid w:val="009D6055"/>
    <w:rsid w:val="009D6A13"/>
    <w:rsid w:val="009D6C62"/>
    <w:rsid w:val="009E095F"/>
    <w:rsid w:val="009E0A0B"/>
    <w:rsid w:val="009E0E48"/>
    <w:rsid w:val="009E16B1"/>
    <w:rsid w:val="009E21E3"/>
    <w:rsid w:val="009E2F16"/>
    <w:rsid w:val="009E3B4A"/>
    <w:rsid w:val="009E487B"/>
    <w:rsid w:val="009E49A6"/>
    <w:rsid w:val="009E5766"/>
    <w:rsid w:val="009E60FF"/>
    <w:rsid w:val="009E658B"/>
    <w:rsid w:val="009E69AB"/>
    <w:rsid w:val="009E6D33"/>
    <w:rsid w:val="009F09BF"/>
    <w:rsid w:val="009F1184"/>
    <w:rsid w:val="009F19D2"/>
    <w:rsid w:val="009F2997"/>
    <w:rsid w:val="009F39F0"/>
    <w:rsid w:val="009F57C8"/>
    <w:rsid w:val="009F636F"/>
    <w:rsid w:val="009F7519"/>
    <w:rsid w:val="009F7608"/>
    <w:rsid w:val="00A01621"/>
    <w:rsid w:val="00A021F4"/>
    <w:rsid w:val="00A02454"/>
    <w:rsid w:val="00A02668"/>
    <w:rsid w:val="00A02751"/>
    <w:rsid w:val="00A02C6A"/>
    <w:rsid w:val="00A02E6A"/>
    <w:rsid w:val="00A03BF5"/>
    <w:rsid w:val="00A05913"/>
    <w:rsid w:val="00A06437"/>
    <w:rsid w:val="00A075AD"/>
    <w:rsid w:val="00A07E3E"/>
    <w:rsid w:val="00A07FC1"/>
    <w:rsid w:val="00A11A9F"/>
    <w:rsid w:val="00A11BDE"/>
    <w:rsid w:val="00A15121"/>
    <w:rsid w:val="00A155A9"/>
    <w:rsid w:val="00A155B4"/>
    <w:rsid w:val="00A161EC"/>
    <w:rsid w:val="00A16F57"/>
    <w:rsid w:val="00A1762A"/>
    <w:rsid w:val="00A20B81"/>
    <w:rsid w:val="00A20C83"/>
    <w:rsid w:val="00A20DF5"/>
    <w:rsid w:val="00A214E4"/>
    <w:rsid w:val="00A23365"/>
    <w:rsid w:val="00A236DB"/>
    <w:rsid w:val="00A241AD"/>
    <w:rsid w:val="00A265AB"/>
    <w:rsid w:val="00A2691E"/>
    <w:rsid w:val="00A30CFA"/>
    <w:rsid w:val="00A31FD9"/>
    <w:rsid w:val="00A32C5C"/>
    <w:rsid w:val="00A3318F"/>
    <w:rsid w:val="00A3342F"/>
    <w:rsid w:val="00A34217"/>
    <w:rsid w:val="00A34B7B"/>
    <w:rsid w:val="00A34CA5"/>
    <w:rsid w:val="00A354E8"/>
    <w:rsid w:val="00A3586A"/>
    <w:rsid w:val="00A35C10"/>
    <w:rsid w:val="00A36D31"/>
    <w:rsid w:val="00A37754"/>
    <w:rsid w:val="00A37B6D"/>
    <w:rsid w:val="00A37FE4"/>
    <w:rsid w:val="00A4028A"/>
    <w:rsid w:val="00A40909"/>
    <w:rsid w:val="00A40ADE"/>
    <w:rsid w:val="00A41D9B"/>
    <w:rsid w:val="00A42210"/>
    <w:rsid w:val="00A427E8"/>
    <w:rsid w:val="00A44964"/>
    <w:rsid w:val="00A45A74"/>
    <w:rsid w:val="00A468C1"/>
    <w:rsid w:val="00A4698B"/>
    <w:rsid w:val="00A46D33"/>
    <w:rsid w:val="00A47BBE"/>
    <w:rsid w:val="00A47DA9"/>
    <w:rsid w:val="00A47E72"/>
    <w:rsid w:val="00A50998"/>
    <w:rsid w:val="00A5154B"/>
    <w:rsid w:val="00A54BAE"/>
    <w:rsid w:val="00A5558B"/>
    <w:rsid w:val="00A55D0C"/>
    <w:rsid w:val="00A560E9"/>
    <w:rsid w:val="00A561DE"/>
    <w:rsid w:val="00A56ED6"/>
    <w:rsid w:val="00A57AFA"/>
    <w:rsid w:val="00A608E1"/>
    <w:rsid w:val="00A621E1"/>
    <w:rsid w:val="00A629EC"/>
    <w:rsid w:val="00A65908"/>
    <w:rsid w:val="00A65A25"/>
    <w:rsid w:val="00A65FA3"/>
    <w:rsid w:val="00A70250"/>
    <w:rsid w:val="00A71617"/>
    <w:rsid w:val="00A717DD"/>
    <w:rsid w:val="00A721C8"/>
    <w:rsid w:val="00A727AD"/>
    <w:rsid w:val="00A73628"/>
    <w:rsid w:val="00A743BC"/>
    <w:rsid w:val="00A76347"/>
    <w:rsid w:val="00A76E68"/>
    <w:rsid w:val="00A77079"/>
    <w:rsid w:val="00A77C04"/>
    <w:rsid w:val="00A80FE4"/>
    <w:rsid w:val="00A826F8"/>
    <w:rsid w:val="00A83365"/>
    <w:rsid w:val="00A848BD"/>
    <w:rsid w:val="00A85B4B"/>
    <w:rsid w:val="00A861CC"/>
    <w:rsid w:val="00A86B4D"/>
    <w:rsid w:val="00A904FA"/>
    <w:rsid w:val="00A90617"/>
    <w:rsid w:val="00A90C8A"/>
    <w:rsid w:val="00A90D5A"/>
    <w:rsid w:val="00A911F7"/>
    <w:rsid w:val="00A916A0"/>
    <w:rsid w:val="00A9200C"/>
    <w:rsid w:val="00A939E8"/>
    <w:rsid w:val="00A93DFE"/>
    <w:rsid w:val="00A942A6"/>
    <w:rsid w:val="00A944A3"/>
    <w:rsid w:val="00A94BF0"/>
    <w:rsid w:val="00A94F83"/>
    <w:rsid w:val="00A94FFD"/>
    <w:rsid w:val="00A95998"/>
    <w:rsid w:val="00A9614F"/>
    <w:rsid w:val="00A965E4"/>
    <w:rsid w:val="00A9700D"/>
    <w:rsid w:val="00A971DF"/>
    <w:rsid w:val="00A97451"/>
    <w:rsid w:val="00AA0A96"/>
    <w:rsid w:val="00AA3462"/>
    <w:rsid w:val="00AA3C36"/>
    <w:rsid w:val="00AA4CAE"/>
    <w:rsid w:val="00AA4D9A"/>
    <w:rsid w:val="00AA5729"/>
    <w:rsid w:val="00AA6557"/>
    <w:rsid w:val="00AA67A6"/>
    <w:rsid w:val="00AA6E95"/>
    <w:rsid w:val="00AB1947"/>
    <w:rsid w:val="00AB36DA"/>
    <w:rsid w:val="00AB3CBF"/>
    <w:rsid w:val="00AB5EC2"/>
    <w:rsid w:val="00AB63F4"/>
    <w:rsid w:val="00AB69A6"/>
    <w:rsid w:val="00AB7545"/>
    <w:rsid w:val="00AB7EFC"/>
    <w:rsid w:val="00AC0837"/>
    <w:rsid w:val="00AC11EF"/>
    <w:rsid w:val="00AC1C33"/>
    <w:rsid w:val="00AC23C2"/>
    <w:rsid w:val="00AC27AD"/>
    <w:rsid w:val="00AC3559"/>
    <w:rsid w:val="00AC4A73"/>
    <w:rsid w:val="00AC4D13"/>
    <w:rsid w:val="00AC60CD"/>
    <w:rsid w:val="00AC61B1"/>
    <w:rsid w:val="00AC65C0"/>
    <w:rsid w:val="00AC7C14"/>
    <w:rsid w:val="00AC7D10"/>
    <w:rsid w:val="00AC7D3D"/>
    <w:rsid w:val="00AD0AAB"/>
    <w:rsid w:val="00AD1FA3"/>
    <w:rsid w:val="00AD5598"/>
    <w:rsid w:val="00AD6317"/>
    <w:rsid w:val="00AD6D4C"/>
    <w:rsid w:val="00AD77E4"/>
    <w:rsid w:val="00AD7A7B"/>
    <w:rsid w:val="00AE013C"/>
    <w:rsid w:val="00AE1957"/>
    <w:rsid w:val="00AE2502"/>
    <w:rsid w:val="00AE494D"/>
    <w:rsid w:val="00AE581D"/>
    <w:rsid w:val="00AE5ECB"/>
    <w:rsid w:val="00AE6452"/>
    <w:rsid w:val="00AE648F"/>
    <w:rsid w:val="00AE6973"/>
    <w:rsid w:val="00AE7274"/>
    <w:rsid w:val="00AE7A88"/>
    <w:rsid w:val="00AE7E24"/>
    <w:rsid w:val="00AF0642"/>
    <w:rsid w:val="00AF28F8"/>
    <w:rsid w:val="00AF2ED7"/>
    <w:rsid w:val="00AF4271"/>
    <w:rsid w:val="00AF4E83"/>
    <w:rsid w:val="00AF546A"/>
    <w:rsid w:val="00AF5D65"/>
    <w:rsid w:val="00AF756E"/>
    <w:rsid w:val="00AF76F3"/>
    <w:rsid w:val="00AF776D"/>
    <w:rsid w:val="00B00599"/>
    <w:rsid w:val="00B00C9C"/>
    <w:rsid w:val="00B0204D"/>
    <w:rsid w:val="00B02495"/>
    <w:rsid w:val="00B03988"/>
    <w:rsid w:val="00B03B06"/>
    <w:rsid w:val="00B04190"/>
    <w:rsid w:val="00B056E9"/>
    <w:rsid w:val="00B05F06"/>
    <w:rsid w:val="00B079CC"/>
    <w:rsid w:val="00B07A4F"/>
    <w:rsid w:val="00B1081A"/>
    <w:rsid w:val="00B10DD4"/>
    <w:rsid w:val="00B13C71"/>
    <w:rsid w:val="00B14681"/>
    <w:rsid w:val="00B15B8C"/>
    <w:rsid w:val="00B2000E"/>
    <w:rsid w:val="00B20A3D"/>
    <w:rsid w:val="00B20F40"/>
    <w:rsid w:val="00B213B1"/>
    <w:rsid w:val="00B2234C"/>
    <w:rsid w:val="00B2277F"/>
    <w:rsid w:val="00B239FF"/>
    <w:rsid w:val="00B248E8"/>
    <w:rsid w:val="00B26692"/>
    <w:rsid w:val="00B27A6D"/>
    <w:rsid w:val="00B309E2"/>
    <w:rsid w:val="00B30DB2"/>
    <w:rsid w:val="00B32CA8"/>
    <w:rsid w:val="00B32D9C"/>
    <w:rsid w:val="00B346FD"/>
    <w:rsid w:val="00B35F7B"/>
    <w:rsid w:val="00B37038"/>
    <w:rsid w:val="00B37C3B"/>
    <w:rsid w:val="00B37FD7"/>
    <w:rsid w:val="00B41080"/>
    <w:rsid w:val="00B41D63"/>
    <w:rsid w:val="00B4218E"/>
    <w:rsid w:val="00B4220C"/>
    <w:rsid w:val="00B4318C"/>
    <w:rsid w:val="00B432CE"/>
    <w:rsid w:val="00B43EEC"/>
    <w:rsid w:val="00B45064"/>
    <w:rsid w:val="00B451DF"/>
    <w:rsid w:val="00B46420"/>
    <w:rsid w:val="00B46896"/>
    <w:rsid w:val="00B46BBA"/>
    <w:rsid w:val="00B47265"/>
    <w:rsid w:val="00B47682"/>
    <w:rsid w:val="00B4790E"/>
    <w:rsid w:val="00B502B3"/>
    <w:rsid w:val="00B51FDD"/>
    <w:rsid w:val="00B52857"/>
    <w:rsid w:val="00B539C6"/>
    <w:rsid w:val="00B5419F"/>
    <w:rsid w:val="00B54334"/>
    <w:rsid w:val="00B54513"/>
    <w:rsid w:val="00B54D5A"/>
    <w:rsid w:val="00B5551C"/>
    <w:rsid w:val="00B55785"/>
    <w:rsid w:val="00B56BE0"/>
    <w:rsid w:val="00B576AE"/>
    <w:rsid w:val="00B60D1E"/>
    <w:rsid w:val="00B62E5C"/>
    <w:rsid w:val="00B62F96"/>
    <w:rsid w:val="00B6390E"/>
    <w:rsid w:val="00B63B48"/>
    <w:rsid w:val="00B63C81"/>
    <w:rsid w:val="00B64007"/>
    <w:rsid w:val="00B64518"/>
    <w:rsid w:val="00B64B30"/>
    <w:rsid w:val="00B65260"/>
    <w:rsid w:val="00B6602C"/>
    <w:rsid w:val="00B715C3"/>
    <w:rsid w:val="00B71F1A"/>
    <w:rsid w:val="00B735E8"/>
    <w:rsid w:val="00B74F3D"/>
    <w:rsid w:val="00B7507D"/>
    <w:rsid w:val="00B752CF"/>
    <w:rsid w:val="00B7681F"/>
    <w:rsid w:val="00B8198C"/>
    <w:rsid w:val="00B82819"/>
    <w:rsid w:val="00B83F8F"/>
    <w:rsid w:val="00B85523"/>
    <w:rsid w:val="00B85792"/>
    <w:rsid w:val="00B8587C"/>
    <w:rsid w:val="00B873CA"/>
    <w:rsid w:val="00B8781A"/>
    <w:rsid w:val="00B91E7F"/>
    <w:rsid w:val="00B92775"/>
    <w:rsid w:val="00B93EEF"/>
    <w:rsid w:val="00B945C7"/>
    <w:rsid w:val="00B94B4A"/>
    <w:rsid w:val="00B95633"/>
    <w:rsid w:val="00B95FE0"/>
    <w:rsid w:val="00B9742E"/>
    <w:rsid w:val="00BA0F72"/>
    <w:rsid w:val="00BA2B48"/>
    <w:rsid w:val="00BA3C31"/>
    <w:rsid w:val="00BA5134"/>
    <w:rsid w:val="00BA5E71"/>
    <w:rsid w:val="00BA5FDD"/>
    <w:rsid w:val="00BA6379"/>
    <w:rsid w:val="00BA74A4"/>
    <w:rsid w:val="00BA78A6"/>
    <w:rsid w:val="00BB0103"/>
    <w:rsid w:val="00BB02A6"/>
    <w:rsid w:val="00BB05F9"/>
    <w:rsid w:val="00BB11B8"/>
    <w:rsid w:val="00BB19D6"/>
    <w:rsid w:val="00BB1F2F"/>
    <w:rsid w:val="00BB24E9"/>
    <w:rsid w:val="00BB276C"/>
    <w:rsid w:val="00BB3EA5"/>
    <w:rsid w:val="00BB479E"/>
    <w:rsid w:val="00BB52BA"/>
    <w:rsid w:val="00BB719A"/>
    <w:rsid w:val="00BC2D53"/>
    <w:rsid w:val="00BC31D1"/>
    <w:rsid w:val="00BC5232"/>
    <w:rsid w:val="00BC5FDF"/>
    <w:rsid w:val="00BD12C4"/>
    <w:rsid w:val="00BD375B"/>
    <w:rsid w:val="00BD4661"/>
    <w:rsid w:val="00BD50EB"/>
    <w:rsid w:val="00BD6009"/>
    <w:rsid w:val="00BD60BD"/>
    <w:rsid w:val="00BD6324"/>
    <w:rsid w:val="00BD7360"/>
    <w:rsid w:val="00BD7506"/>
    <w:rsid w:val="00BD77BE"/>
    <w:rsid w:val="00BE05AC"/>
    <w:rsid w:val="00BE0DF8"/>
    <w:rsid w:val="00BE245C"/>
    <w:rsid w:val="00BE26DE"/>
    <w:rsid w:val="00BE28A4"/>
    <w:rsid w:val="00BE3CAF"/>
    <w:rsid w:val="00BE41C5"/>
    <w:rsid w:val="00BE4324"/>
    <w:rsid w:val="00BE4671"/>
    <w:rsid w:val="00BE4BC7"/>
    <w:rsid w:val="00BE5578"/>
    <w:rsid w:val="00BE55CC"/>
    <w:rsid w:val="00BE6171"/>
    <w:rsid w:val="00BE62F2"/>
    <w:rsid w:val="00BE6723"/>
    <w:rsid w:val="00BE7ACD"/>
    <w:rsid w:val="00BE7AE9"/>
    <w:rsid w:val="00BE7B1F"/>
    <w:rsid w:val="00BE7D34"/>
    <w:rsid w:val="00BE7FA7"/>
    <w:rsid w:val="00BF09CB"/>
    <w:rsid w:val="00BF1059"/>
    <w:rsid w:val="00BF1E0E"/>
    <w:rsid w:val="00BF4131"/>
    <w:rsid w:val="00BF492C"/>
    <w:rsid w:val="00BF4DA4"/>
    <w:rsid w:val="00BF74EC"/>
    <w:rsid w:val="00BF7BD4"/>
    <w:rsid w:val="00C01B7B"/>
    <w:rsid w:val="00C01F6E"/>
    <w:rsid w:val="00C0205C"/>
    <w:rsid w:val="00C02DB5"/>
    <w:rsid w:val="00C02EE4"/>
    <w:rsid w:val="00C03606"/>
    <w:rsid w:val="00C03629"/>
    <w:rsid w:val="00C038B0"/>
    <w:rsid w:val="00C041CD"/>
    <w:rsid w:val="00C04EAD"/>
    <w:rsid w:val="00C051BA"/>
    <w:rsid w:val="00C05259"/>
    <w:rsid w:val="00C05316"/>
    <w:rsid w:val="00C055F8"/>
    <w:rsid w:val="00C05664"/>
    <w:rsid w:val="00C057C7"/>
    <w:rsid w:val="00C05EBC"/>
    <w:rsid w:val="00C0658A"/>
    <w:rsid w:val="00C06ABD"/>
    <w:rsid w:val="00C072A3"/>
    <w:rsid w:val="00C07EA3"/>
    <w:rsid w:val="00C10CCE"/>
    <w:rsid w:val="00C1144B"/>
    <w:rsid w:val="00C11FF9"/>
    <w:rsid w:val="00C127E2"/>
    <w:rsid w:val="00C12B8C"/>
    <w:rsid w:val="00C143D7"/>
    <w:rsid w:val="00C15386"/>
    <w:rsid w:val="00C204AF"/>
    <w:rsid w:val="00C216F9"/>
    <w:rsid w:val="00C21C08"/>
    <w:rsid w:val="00C2223E"/>
    <w:rsid w:val="00C2227C"/>
    <w:rsid w:val="00C2584B"/>
    <w:rsid w:val="00C27825"/>
    <w:rsid w:val="00C3071C"/>
    <w:rsid w:val="00C308CF"/>
    <w:rsid w:val="00C30DDD"/>
    <w:rsid w:val="00C30F0E"/>
    <w:rsid w:val="00C326BD"/>
    <w:rsid w:val="00C32D52"/>
    <w:rsid w:val="00C33405"/>
    <w:rsid w:val="00C35669"/>
    <w:rsid w:val="00C35F97"/>
    <w:rsid w:val="00C35FC0"/>
    <w:rsid w:val="00C36BD1"/>
    <w:rsid w:val="00C36EC2"/>
    <w:rsid w:val="00C3745C"/>
    <w:rsid w:val="00C4024A"/>
    <w:rsid w:val="00C43F20"/>
    <w:rsid w:val="00C440E0"/>
    <w:rsid w:val="00C45376"/>
    <w:rsid w:val="00C465DE"/>
    <w:rsid w:val="00C50284"/>
    <w:rsid w:val="00C506D1"/>
    <w:rsid w:val="00C5166D"/>
    <w:rsid w:val="00C51C51"/>
    <w:rsid w:val="00C53787"/>
    <w:rsid w:val="00C5451B"/>
    <w:rsid w:val="00C55DE1"/>
    <w:rsid w:val="00C570CC"/>
    <w:rsid w:val="00C57CB3"/>
    <w:rsid w:val="00C60098"/>
    <w:rsid w:val="00C60272"/>
    <w:rsid w:val="00C6084F"/>
    <w:rsid w:val="00C60A47"/>
    <w:rsid w:val="00C61B82"/>
    <w:rsid w:val="00C62306"/>
    <w:rsid w:val="00C62863"/>
    <w:rsid w:val="00C630AA"/>
    <w:rsid w:val="00C63EEA"/>
    <w:rsid w:val="00C64D20"/>
    <w:rsid w:val="00C666FC"/>
    <w:rsid w:val="00C66D0E"/>
    <w:rsid w:val="00C7186C"/>
    <w:rsid w:val="00C744D1"/>
    <w:rsid w:val="00C74A6C"/>
    <w:rsid w:val="00C75F13"/>
    <w:rsid w:val="00C7658A"/>
    <w:rsid w:val="00C76D16"/>
    <w:rsid w:val="00C8052E"/>
    <w:rsid w:val="00C80EA7"/>
    <w:rsid w:val="00C82C83"/>
    <w:rsid w:val="00C84873"/>
    <w:rsid w:val="00C85BA7"/>
    <w:rsid w:val="00C91DA1"/>
    <w:rsid w:val="00C9324F"/>
    <w:rsid w:val="00C94ADD"/>
    <w:rsid w:val="00C95AE0"/>
    <w:rsid w:val="00C96026"/>
    <w:rsid w:val="00C976F9"/>
    <w:rsid w:val="00C97C3F"/>
    <w:rsid w:val="00CA1D87"/>
    <w:rsid w:val="00CA23E1"/>
    <w:rsid w:val="00CA3510"/>
    <w:rsid w:val="00CA379E"/>
    <w:rsid w:val="00CA4C36"/>
    <w:rsid w:val="00CA54E4"/>
    <w:rsid w:val="00CA6792"/>
    <w:rsid w:val="00CA67DD"/>
    <w:rsid w:val="00CA6B6C"/>
    <w:rsid w:val="00CA789A"/>
    <w:rsid w:val="00CA7ADA"/>
    <w:rsid w:val="00CA7F2F"/>
    <w:rsid w:val="00CB2C95"/>
    <w:rsid w:val="00CB31DE"/>
    <w:rsid w:val="00CB3B8A"/>
    <w:rsid w:val="00CB504B"/>
    <w:rsid w:val="00CB587C"/>
    <w:rsid w:val="00CB63A6"/>
    <w:rsid w:val="00CB6F90"/>
    <w:rsid w:val="00CC1CC4"/>
    <w:rsid w:val="00CC1D90"/>
    <w:rsid w:val="00CC1D98"/>
    <w:rsid w:val="00CC2E7C"/>
    <w:rsid w:val="00CC34C1"/>
    <w:rsid w:val="00CC3620"/>
    <w:rsid w:val="00CC398E"/>
    <w:rsid w:val="00CC3AA3"/>
    <w:rsid w:val="00CC463D"/>
    <w:rsid w:val="00CC5522"/>
    <w:rsid w:val="00CC7187"/>
    <w:rsid w:val="00CD1E9B"/>
    <w:rsid w:val="00CD2DC5"/>
    <w:rsid w:val="00CD2E16"/>
    <w:rsid w:val="00CD324F"/>
    <w:rsid w:val="00CD3467"/>
    <w:rsid w:val="00CD3F8D"/>
    <w:rsid w:val="00CD455D"/>
    <w:rsid w:val="00CD647F"/>
    <w:rsid w:val="00CD7200"/>
    <w:rsid w:val="00CE0F8F"/>
    <w:rsid w:val="00CE3438"/>
    <w:rsid w:val="00CE4532"/>
    <w:rsid w:val="00CE758B"/>
    <w:rsid w:val="00CF0719"/>
    <w:rsid w:val="00CF0D56"/>
    <w:rsid w:val="00CF1153"/>
    <w:rsid w:val="00CF171C"/>
    <w:rsid w:val="00CF1A2E"/>
    <w:rsid w:val="00CF1FB9"/>
    <w:rsid w:val="00CF230A"/>
    <w:rsid w:val="00CF2F0F"/>
    <w:rsid w:val="00CF449D"/>
    <w:rsid w:val="00CF6AED"/>
    <w:rsid w:val="00CF6B63"/>
    <w:rsid w:val="00D0021A"/>
    <w:rsid w:val="00D0122A"/>
    <w:rsid w:val="00D0124C"/>
    <w:rsid w:val="00D02823"/>
    <w:rsid w:val="00D03220"/>
    <w:rsid w:val="00D0323A"/>
    <w:rsid w:val="00D04847"/>
    <w:rsid w:val="00D05ADE"/>
    <w:rsid w:val="00D05E9E"/>
    <w:rsid w:val="00D07F33"/>
    <w:rsid w:val="00D106F0"/>
    <w:rsid w:val="00D1077C"/>
    <w:rsid w:val="00D10A88"/>
    <w:rsid w:val="00D12570"/>
    <w:rsid w:val="00D12ED4"/>
    <w:rsid w:val="00D13CBA"/>
    <w:rsid w:val="00D14EF6"/>
    <w:rsid w:val="00D15403"/>
    <w:rsid w:val="00D160F9"/>
    <w:rsid w:val="00D16460"/>
    <w:rsid w:val="00D16AC7"/>
    <w:rsid w:val="00D17148"/>
    <w:rsid w:val="00D1738B"/>
    <w:rsid w:val="00D174E8"/>
    <w:rsid w:val="00D21698"/>
    <w:rsid w:val="00D220A3"/>
    <w:rsid w:val="00D22689"/>
    <w:rsid w:val="00D22A85"/>
    <w:rsid w:val="00D2336C"/>
    <w:rsid w:val="00D23568"/>
    <w:rsid w:val="00D23AA3"/>
    <w:rsid w:val="00D24FC0"/>
    <w:rsid w:val="00D25566"/>
    <w:rsid w:val="00D25A43"/>
    <w:rsid w:val="00D25AB2"/>
    <w:rsid w:val="00D268DB"/>
    <w:rsid w:val="00D273D6"/>
    <w:rsid w:val="00D27528"/>
    <w:rsid w:val="00D30E88"/>
    <w:rsid w:val="00D3157D"/>
    <w:rsid w:val="00D319E2"/>
    <w:rsid w:val="00D32328"/>
    <w:rsid w:val="00D326D8"/>
    <w:rsid w:val="00D32F83"/>
    <w:rsid w:val="00D33327"/>
    <w:rsid w:val="00D3445D"/>
    <w:rsid w:val="00D34493"/>
    <w:rsid w:val="00D3475D"/>
    <w:rsid w:val="00D36125"/>
    <w:rsid w:val="00D401C9"/>
    <w:rsid w:val="00D40CE6"/>
    <w:rsid w:val="00D40DFA"/>
    <w:rsid w:val="00D4154C"/>
    <w:rsid w:val="00D416AB"/>
    <w:rsid w:val="00D41B74"/>
    <w:rsid w:val="00D42940"/>
    <w:rsid w:val="00D42B4B"/>
    <w:rsid w:val="00D43286"/>
    <w:rsid w:val="00D43354"/>
    <w:rsid w:val="00D45489"/>
    <w:rsid w:val="00D510C2"/>
    <w:rsid w:val="00D511C1"/>
    <w:rsid w:val="00D54944"/>
    <w:rsid w:val="00D54AC1"/>
    <w:rsid w:val="00D54E71"/>
    <w:rsid w:val="00D57E85"/>
    <w:rsid w:val="00D6034A"/>
    <w:rsid w:val="00D60C0A"/>
    <w:rsid w:val="00D60DB7"/>
    <w:rsid w:val="00D60F7F"/>
    <w:rsid w:val="00D618AE"/>
    <w:rsid w:val="00D6320C"/>
    <w:rsid w:val="00D644B8"/>
    <w:rsid w:val="00D64FE5"/>
    <w:rsid w:val="00D65556"/>
    <w:rsid w:val="00D65D56"/>
    <w:rsid w:val="00D674CC"/>
    <w:rsid w:val="00D67BEC"/>
    <w:rsid w:val="00D702D7"/>
    <w:rsid w:val="00D70945"/>
    <w:rsid w:val="00D71CDF"/>
    <w:rsid w:val="00D72331"/>
    <w:rsid w:val="00D72B62"/>
    <w:rsid w:val="00D74E1E"/>
    <w:rsid w:val="00D7539C"/>
    <w:rsid w:val="00D76171"/>
    <w:rsid w:val="00D7669A"/>
    <w:rsid w:val="00D768F4"/>
    <w:rsid w:val="00D77665"/>
    <w:rsid w:val="00D809C3"/>
    <w:rsid w:val="00D810B6"/>
    <w:rsid w:val="00D81735"/>
    <w:rsid w:val="00D83050"/>
    <w:rsid w:val="00D83CE8"/>
    <w:rsid w:val="00D846D9"/>
    <w:rsid w:val="00D85A49"/>
    <w:rsid w:val="00D86072"/>
    <w:rsid w:val="00D90339"/>
    <w:rsid w:val="00D91860"/>
    <w:rsid w:val="00D91E10"/>
    <w:rsid w:val="00D92018"/>
    <w:rsid w:val="00D92202"/>
    <w:rsid w:val="00D93CC5"/>
    <w:rsid w:val="00D9410A"/>
    <w:rsid w:val="00D945B5"/>
    <w:rsid w:val="00D956A4"/>
    <w:rsid w:val="00D96B27"/>
    <w:rsid w:val="00DA0D3B"/>
    <w:rsid w:val="00DA277E"/>
    <w:rsid w:val="00DA2DC1"/>
    <w:rsid w:val="00DA2FD9"/>
    <w:rsid w:val="00DA4870"/>
    <w:rsid w:val="00DA5D72"/>
    <w:rsid w:val="00DA6CDD"/>
    <w:rsid w:val="00DA7463"/>
    <w:rsid w:val="00DB0AF8"/>
    <w:rsid w:val="00DB17F6"/>
    <w:rsid w:val="00DB27DB"/>
    <w:rsid w:val="00DB2BEE"/>
    <w:rsid w:val="00DB30F4"/>
    <w:rsid w:val="00DB3117"/>
    <w:rsid w:val="00DB342A"/>
    <w:rsid w:val="00DB4060"/>
    <w:rsid w:val="00DB4334"/>
    <w:rsid w:val="00DB4790"/>
    <w:rsid w:val="00DB6322"/>
    <w:rsid w:val="00DB6B68"/>
    <w:rsid w:val="00DC067C"/>
    <w:rsid w:val="00DC0843"/>
    <w:rsid w:val="00DC0FB8"/>
    <w:rsid w:val="00DC184A"/>
    <w:rsid w:val="00DC3059"/>
    <w:rsid w:val="00DC383F"/>
    <w:rsid w:val="00DC3C49"/>
    <w:rsid w:val="00DC3E68"/>
    <w:rsid w:val="00DC4608"/>
    <w:rsid w:val="00DC4B8E"/>
    <w:rsid w:val="00DC5757"/>
    <w:rsid w:val="00DC610F"/>
    <w:rsid w:val="00DC6137"/>
    <w:rsid w:val="00DC777C"/>
    <w:rsid w:val="00DD05D0"/>
    <w:rsid w:val="00DD0717"/>
    <w:rsid w:val="00DD1209"/>
    <w:rsid w:val="00DD1603"/>
    <w:rsid w:val="00DD1B01"/>
    <w:rsid w:val="00DD23FD"/>
    <w:rsid w:val="00DD3F09"/>
    <w:rsid w:val="00DD3FA0"/>
    <w:rsid w:val="00DD45BC"/>
    <w:rsid w:val="00DD6E6C"/>
    <w:rsid w:val="00DE12E6"/>
    <w:rsid w:val="00DE16C8"/>
    <w:rsid w:val="00DE2323"/>
    <w:rsid w:val="00DE2372"/>
    <w:rsid w:val="00DE47CE"/>
    <w:rsid w:val="00DE4C52"/>
    <w:rsid w:val="00DE4F74"/>
    <w:rsid w:val="00DE505D"/>
    <w:rsid w:val="00DE54D4"/>
    <w:rsid w:val="00DE729B"/>
    <w:rsid w:val="00DE733D"/>
    <w:rsid w:val="00DE75DF"/>
    <w:rsid w:val="00DE7BB8"/>
    <w:rsid w:val="00DE7C73"/>
    <w:rsid w:val="00DF0D31"/>
    <w:rsid w:val="00DF0E74"/>
    <w:rsid w:val="00DF1146"/>
    <w:rsid w:val="00DF1B65"/>
    <w:rsid w:val="00DF28A9"/>
    <w:rsid w:val="00DF360F"/>
    <w:rsid w:val="00DF48C3"/>
    <w:rsid w:val="00DF4D64"/>
    <w:rsid w:val="00DF53CC"/>
    <w:rsid w:val="00E003CF"/>
    <w:rsid w:val="00E00B7A"/>
    <w:rsid w:val="00E019CA"/>
    <w:rsid w:val="00E01BCE"/>
    <w:rsid w:val="00E02810"/>
    <w:rsid w:val="00E029AA"/>
    <w:rsid w:val="00E02D54"/>
    <w:rsid w:val="00E03F45"/>
    <w:rsid w:val="00E0540A"/>
    <w:rsid w:val="00E05EE0"/>
    <w:rsid w:val="00E0681A"/>
    <w:rsid w:val="00E06B72"/>
    <w:rsid w:val="00E075F7"/>
    <w:rsid w:val="00E07EE6"/>
    <w:rsid w:val="00E1128E"/>
    <w:rsid w:val="00E121A5"/>
    <w:rsid w:val="00E12947"/>
    <w:rsid w:val="00E12EB7"/>
    <w:rsid w:val="00E131D5"/>
    <w:rsid w:val="00E13E02"/>
    <w:rsid w:val="00E153E9"/>
    <w:rsid w:val="00E15423"/>
    <w:rsid w:val="00E1570F"/>
    <w:rsid w:val="00E17D44"/>
    <w:rsid w:val="00E20AFA"/>
    <w:rsid w:val="00E20CA3"/>
    <w:rsid w:val="00E218F6"/>
    <w:rsid w:val="00E21EB9"/>
    <w:rsid w:val="00E2260B"/>
    <w:rsid w:val="00E22EF0"/>
    <w:rsid w:val="00E23163"/>
    <w:rsid w:val="00E2700A"/>
    <w:rsid w:val="00E27592"/>
    <w:rsid w:val="00E30305"/>
    <w:rsid w:val="00E33343"/>
    <w:rsid w:val="00E3441F"/>
    <w:rsid w:val="00E34BA0"/>
    <w:rsid w:val="00E357F3"/>
    <w:rsid w:val="00E36526"/>
    <w:rsid w:val="00E36933"/>
    <w:rsid w:val="00E40508"/>
    <w:rsid w:val="00E4122E"/>
    <w:rsid w:val="00E412D3"/>
    <w:rsid w:val="00E41ED2"/>
    <w:rsid w:val="00E41F28"/>
    <w:rsid w:val="00E423A7"/>
    <w:rsid w:val="00E437AE"/>
    <w:rsid w:val="00E4382A"/>
    <w:rsid w:val="00E450FD"/>
    <w:rsid w:val="00E469D5"/>
    <w:rsid w:val="00E46E2B"/>
    <w:rsid w:val="00E5039B"/>
    <w:rsid w:val="00E50A92"/>
    <w:rsid w:val="00E5442C"/>
    <w:rsid w:val="00E54774"/>
    <w:rsid w:val="00E54A67"/>
    <w:rsid w:val="00E54B1D"/>
    <w:rsid w:val="00E54C2C"/>
    <w:rsid w:val="00E54EAC"/>
    <w:rsid w:val="00E557A0"/>
    <w:rsid w:val="00E56F75"/>
    <w:rsid w:val="00E612DE"/>
    <w:rsid w:val="00E623F0"/>
    <w:rsid w:val="00E63FB3"/>
    <w:rsid w:val="00E646C2"/>
    <w:rsid w:val="00E665BA"/>
    <w:rsid w:val="00E66926"/>
    <w:rsid w:val="00E7010D"/>
    <w:rsid w:val="00E709D2"/>
    <w:rsid w:val="00E70A14"/>
    <w:rsid w:val="00E71506"/>
    <w:rsid w:val="00E715E8"/>
    <w:rsid w:val="00E72671"/>
    <w:rsid w:val="00E736F6"/>
    <w:rsid w:val="00E74287"/>
    <w:rsid w:val="00E74B2F"/>
    <w:rsid w:val="00E7517E"/>
    <w:rsid w:val="00E76421"/>
    <w:rsid w:val="00E76C8B"/>
    <w:rsid w:val="00E77768"/>
    <w:rsid w:val="00E77E90"/>
    <w:rsid w:val="00E816EB"/>
    <w:rsid w:val="00E817A2"/>
    <w:rsid w:val="00E81864"/>
    <w:rsid w:val="00E81A5D"/>
    <w:rsid w:val="00E81A5F"/>
    <w:rsid w:val="00E82634"/>
    <w:rsid w:val="00E83080"/>
    <w:rsid w:val="00E83EBD"/>
    <w:rsid w:val="00E8484A"/>
    <w:rsid w:val="00E854A5"/>
    <w:rsid w:val="00E855AC"/>
    <w:rsid w:val="00E85F8E"/>
    <w:rsid w:val="00E860C1"/>
    <w:rsid w:val="00E87B8E"/>
    <w:rsid w:val="00E926B6"/>
    <w:rsid w:val="00E927C9"/>
    <w:rsid w:val="00E950E1"/>
    <w:rsid w:val="00E96941"/>
    <w:rsid w:val="00E96E65"/>
    <w:rsid w:val="00E9754F"/>
    <w:rsid w:val="00E976AA"/>
    <w:rsid w:val="00E977E6"/>
    <w:rsid w:val="00EA07E0"/>
    <w:rsid w:val="00EA0FBA"/>
    <w:rsid w:val="00EA25A2"/>
    <w:rsid w:val="00EA2682"/>
    <w:rsid w:val="00EA3AF7"/>
    <w:rsid w:val="00EA3FE3"/>
    <w:rsid w:val="00EA43CD"/>
    <w:rsid w:val="00EA491F"/>
    <w:rsid w:val="00EA4FDB"/>
    <w:rsid w:val="00EA617C"/>
    <w:rsid w:val="00EA68DA"/>
    <w:rsid w:val="00EA7482"/>
    <w:rsid w:val="00EA7842"/>
    <w:rsid w:val="00EA7B50"/>
    <w:rsid w:val="00EB03FF"/>
    <w:rsid w:val="00EB070E"/>
    <w:rsid w:val="00EB1F5F"/>
    <w:rsid w:val="00EB2CAA"/>
    <w:rsid w:val="00EB3441"/>
    <w:rsid w:val="00EB3F05"/>
    <w:rsid w:val="00EB4359"/>
    <w:rsid w:val="00EB4F9B"/>
    <w:rsid w:val="00EB51CE"/>
    <w:rsid w:val="00EB5351"/>
    <w:rsid w:val="00EB59CE"/>
    <w:rsid w:val="00EB648C"/>
    <w:rsid w:val="00EC0F49"/>
    <w:rsid w:val="00EC22A0"/>
    <w:rsid w:val="00EC23C5"/>
    <w:rsid w:val="00EC2A28"/>
    <w:rsid w:val="00EC486F"/>
    <w:rsid w:val="00EC4EC7"/>
    <w:rsid w:val="00EC545C"/>
    <w:rsid w:val="00EC63BB"/>
    <w:rsid w:val="00EC64B2"/>
    <w:rsid w:val="00ED0207"/>
    <w:rsid w:val="00ED0904"/>
    <w:rsid w:val="00ED23C9"/>
    <w:rsid w:val="00ED29C6"/>
    <w:rsid w:val="00ED3602"/>
    <w:rsid w:val="00ED3AAB"/>
    <w:rsid w:val="00ED3F4E"/>
    <w:rsid w:val="00ED5C1C"/>
    <w:rsid w:val="00ED6601"/>
    <w:rsid w:val="00ED7503"/>
    <w:rsid w:val="00EE529E"/>
    <w:rsid w:val="00EE6DA1"/>
    <w:rsid w:val="00EE7227"/>
    <w:rsid w:val="00EE7543"/>
    <w:rsid w:val="00EE7A34"/>
    <w:rsid w:val="00EF0410"/>
    <w:rsid w:val="00EF0623"/>
    <w:rsid w:val="00EF1684"/>
    <w:rsid w:val="00EF16A6"/>
    <w:rsid w:val="00EF642C"/>
    <w:rsid w:val="00EF6846"/>
    <w:rsid w:val="00EF70DD"/>
    <w:rsid w:val="00F001C3"/>
    <w:rsid w:val="00F007DC"/>
    <w:rsid w:val="00F02369"/>
    <w:rsid w:val="00F0256A"/>
    <w:rsid w:val="00F02882"/>
    <w:rsid w:val="00F03445"/>
    <w:rsid w:val="00F03625"/>
    <w:rsid w:val="00F043D6"/>
    <w:rsid w:val="00F049FB"/>
    <w:rsid w:val="00F04C3F"/>
    <w:rsid w:val="00F04CD2"/>
    <w:rsid w:val="00F0565D"/>
    <w:rsid w:val="00F05902"/>
    <w:rsid w:val="00F073C3"/>
    <w:rsid w:val="00F100C4"/>
    <w:rsid w:val="00F10C68"/>
    <w:rsid w:val="00F10D66"/>
    <w:rsid w:val="00F118C2"/>
    <w:rsid w:val="00F11DAA"/>
    <w:rsid w:val="00F13141"/>
    <w:rsid w:val="00F13DB2"/>
    <w:rsid w:val="00F14A3D"/>
    <w:rsid w:val="00F152EC"/>
    <w:rsid w:val="00F15541"/>
    <w:rsid w:val="00F156DA"/>
    <w:rsid w:val="00F15E35"/>
    <w:rsid w:val="00F22486"/>
    <w:rsid w:val="00F2344B"/>
    <w:rsid w:val="00F23DC6"/>
    <w:rsid w:val="00F25D76"/>
    <w:rsid w:val="00F25FCF"/>
    <w:rsid w:val="00F274F4"/>
    <w:rsid w:val="00F30B96"/>
    <w:rsid w:val="00F30D55"/>
    <w:rsid w:val="00F315E4"/>
    <w:rsid w:val="00F3244F"/>
    <w:rsid w:val="00F32869"/>
    <w:rsid w:val="00F333A4"/>
    <w:rsid w:val="00F350ED"/>
    <w:rsid w:val="00F35DFD"/>
    <w:rsid w:val="00F378C6"/>
    <w:rsid w:val="00F37DFA"/>
    <w:rsid w:val="00F402AB"/>
    <w:rsid w:val="00F411BB"/>
    <w:rsid w:val="00F41396"/>
    <w:rsid w:val="00F43A18"/>
    <w:rsid w:val="00F43C29"/>
    <w:rsid w:val="00F449E7"/>
    <w:rsid w:val="00F44CEC"/>
    <w:rsid w:val="00F451D8"/>
    <w:rsid w:val="00F45E80"/>
    <w:rsid w:val="00F47314"/>
    <w:rsid w:val="00F475C9"/>
    <w:rsid w:val="00F47C60"/>
    <w:rsid w:val="00F502A3"/>
    <w:rsid w:val="00F50A18"/>
    <w:rsid w:val="00F518B6"/>
    <w:rsid w:val="00F5310F"/>
    <w:rsid w:val="00F53BF4"/>
    <w:rsid w:val="00F53CCE"/>
    <w:rsid w:val="00F5423D"/>
    <w:rsid w:val="00F54435"/>
    <w:rsid w:val="00F55E37"/>
    <w:rsid w:val="00F55F6F"/>
    <w:rsid w:val="00F57DBE"/>
    <w:rsid w:val="00F6215D"/>
    <w:rsid w:val="00F63FCF"/>
    <w:rsid w:val="00F64AFF"/>
    <w:rsid w:val="00F64E96"/>
    <w:rsid w:val="00F66040"/>
    <w:rsid w:val="00F675BF"/>
    <w:rsid w:val="00F67CB4"/>
    <w:rsid w:val="00F71550"/>
    <w:rsid w:val="00F715F5"/>
    <w:rsid w:val="00F726E3"/>
    <w:rsid w:val="00F7351D"/>
    <w:rsid w:val="00F735B2"/>
    <w:rsid w:val="00F75E3C"/>
    <w:rsid w:val="00F769BB"/>
    <w:rsid w:val="00F80679"/>
    <w:rsid w:val="00F80989"/>
    <w:rsid w:val="00F811C1"/>
    <w:rsid w:val="00F818E5"/>
    <w:rsid w:val="00F81AC7"/>
    <w:rsid w:val="00F82453"/>
    <w:rsid w:val="00F83631"/>
    <w:rsid w:val="00F84743"/>
    <w:rsid w:val="00F85219"/>
    <w:rsid w:val="00F85C9D"/>
    <w:rsid w:val="00F8606C"/>
    <w:rsid w:val="00F8613F"/>
    <w:rsid w:val="00F86A4F"/>
    <w:rsid w:val="00F86A79"/>
    <w:rsid w:val="00F87701"/>
    <w:rsid w:val="00F87DBB"/>
    <w:rsid w:val="00F91C42"/>
    <w:rsid w:val="00F93EB0"/>
    <w:rsid w:val="00F947BC"/>
    <w:rsid w:val="00F94C7D"/>
    <w:rsid w:val="00F961AA"/>
    <w:rsid w:val="00FA0E4D"/>
    <w:rsid w:val="00FA2798"/>
    <w:rsid w:val="00FA30E5"/>
    <w:rsid w:val="00FA3480"/>
    <w:rsid w:val="00FA58F2"/>
    <w:rsid w:val="00FA59FC"/>
    <w:rsid w:val="00FA6456"/>
    <w:rsid w:val="00FA661A"/>
    <w:rsid w:val="00FA6931"/>
    <w:rsid w:val="00FB066F"/>
    <w:rsid w:val="00FB0CDE"/>
    <w:rsid w:val="00FB0D96"/>
    <w:rsid w:val="00FB2CD7"/>
    <w:rsid w:val="00FB3210"/>
    <w:rsid w:val="00FB346C"/>
    <w:rsid w:val="00FB397B"/>
    <w:rsid w:val="00FB40F0"/>
    <w:rsid w:val="00FB5654"/>
    <w:rsid w:val="00FB57AE"/>
    <w:rsid w:val="00FB5B22"/>
    <w:rsid w:val="00FB606F"/>
    <w:rsid w:val="00FB6523"/>
    <w:rsid w:val="00FB66DD"/>
    <w:rsid w:val="00FC5D8D"/>
    <w:rsid w:val="00FC61FE"/>
    <w:rsid w:val="00FC6F27"/>
    <w:rsid w:val="00FD00A5"/>
    <w:rsid w:val="00FD10F2"/>
    <w:rsid w:val="00FD14D5"/>
    <w:rsid w:val="00FD1F92"/>
    <w:rsid w:val="00FD3858"/>
    <w:rsid w:val="00FD3F5D"/>
    <w:rsid w:val="00FD44D7"/>
    <w:rsid w:val="00FD58DA"/>
    <w:rsid w:val="00FE06C1"/>
    <w:rsid w:val="00FE08FE"/>
    <w:rsid w:val="00FE1F6F"/>
    <w:rsid w:val="00FE233C"/>
    <w:rsid w:val="00FE26AE"/>
    <w:rsid w:val="00FE2D00"/>
    <w:rsid w:val="00FE3BEA"/>
    <w:rsid w:val="00FE41B7"/>
    <w:rsid w:val="00FE6158"/>
    <w:rsid w:val="00FE680E"/>
    <w:rsid w:val="00FE698E"/>
    <w:rsid w:val="00FE729A"/>
    <w:rsid w:val="00FE7E9E"/>
    <w:rsid w:val="00FF0538"/>
    <w:rsid w:val="00FF087D"/>
    <w:rsid w:val="00FF130E"/>
    <w:rsid w:val="00FF24A4"/>
    <w:rsid w:val="00FF2691"/>
    <w:rsid w:val="00FF31D3"/>
    <w:rsid w:val="00FF3719"/>
    <w:rsid w:val="00FF3D9D"/>
    <w:rsid w:val="00FF50F0"/>
    <w:rsid w:val="00FF5698"/>
    <w:rsid w:val="00FF69D5"/>
    <w:rsid w:val="00FF6D21"/>
    <w:rsid w:val="00FF6E7F"/>
    <w:rsid w:val="00FF742F"/>
    <w:rsid w:val="00FF75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D762FC5"/>
  <w15:docId w15:val="{B485FB92-9B7C-421A-A357-06BDE6A2D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s-CO" w:eastAsia="es-C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8D58F0"/>
    <w:pPr>
      <w:pBdr>
        <w:top w:val="nil"/>
        <w:left w:val="nil"/>
        <w:bottom w:val="nil"/>
        <w:right w:val="nil"/>
        <w:between w:val="nil"/>
      </w:pBdr>
      <w:spacing w:after="160" w:line="360" w:lineRule="auto"/>
      <w:ind w:firstLine="720"/>
    </w:pPr>
    <w:rPr>
      <w:color w:val="000000"/>
      <w:sz w:val="22"/>
      <w:szCs w:val="22"/>
      <w:lang w:val="en-GB" w:eastAsia="en-GB"/>
    </w:rPr>
  </w:style>
  <w:style w:type="paragraph" w:styleId="Heading1">
    <w:name w:val="heading 1"/>
    <w:aliases w:val="Heading 1 Title"/>
    <w:basedOn w:val="Normal"/>
    <w:next w:val="Normal"/>
    <w:link w:val="Heading1Char"/>
    <w:autoRedefine/>
    <w:uiPriority w:val="9"/>
    <w:qFormat/>
    <w:rsid w:val="00A02454"/>
    <w:pPr>
      <w:keepNext/>
      <w:keepLines/>
      <w:spacing w:before="360" w:after="120"/>
      <w:ind w:firstLine="0"/>
      <w:jc w:val="center"/>
      <w:outlineLvl w:val="0"/>
    </w:pPr>
    <w:rPr>
      <w:b/>
      <w:sz w:val="32"/>
      <w:lang w:eastAsia="en-US"/>
    </w:rPr>
  </w:style>
  <w:style w:type="paragraph" w:styleId="Heading2">
    <w:name w:val="heading 2"/>
    <w:basedOn w:val="Normal"/>
    <w:next w:val="Normal"/>
    <w:link w:val="Heading2Char"/>
    <w:autoRedefine/>
    <w:uiPriority w:val="9"/>
    <w:qFormat/>
    <w:rsid w:val="008F5F99"/>
    <w:pPr>
      <w:keepNext/>
      <w:keepLines/>
      <w:spacing w:before="240" w:after="120"/>
      <w:jc w:val="center"/>
      <w:outlineLvl w:val="1"/>
    </w:pPr>
    <w:rPr>
      <w:b/>
      <w:color w:val="auto"/>
      <w:lang w:eastAsia="en-US"/>
    </w:rPr>
  </w:style>
  <w:style w:type="paragraph" w:styleId="Heading3">
    <w:name w:val="heading 3"/>
    <w:aliases w:val="Heading 3."/>
    <w:basedOn w:val="Normal"/>
    <w:next w:val="Normal"/>
    <w:link w:val="Heading3Char"/>
    <w:uiPriority w:val="9"/>
    <w:qFormat/>
    <w:rsid w:val="00662C1B"/>
    <w:pPr>
      <w:keepNext/>
      <w:keepLines/>
      <w:spacing w:before="160" w:after="120"/>
      <w:outlineLvl w:val="2"/>
    </w:pPr>
    <w:rPr>
      <w:b/>
    </w:rPr>
  </w:style>
  <w:style w:type="paragraph" w:styleId="Heading4">
    <w:name w:val="heading 4"/>
    <w:basedOn w:val="Normal"/>
    <w:next w:val="Normal"/>
    <w:link w:val="Heading4Char"/>
    <w:uiPriority w:val="9"/>
    <w:qFormat/>
    <w:rsid w:val="00662C1B"/>
    <w:pPr>
      <w:keepNext/>
      <w:keepLines/>
      <w:spacing w:before="240" w:after="40"/>
      <w:ind w:left="720"/>
      <w:outlineLvl w:val="3"/>
    </w:pPr>
    <w:rPr>
      <w:b/>
    </w:rPr>
  </w:style>
  <w:style w:type="paragraph" w:styleId="Heading5">
    <w:name w:val="heading 5"/>
    <w:basedOn w:val="Normal"/>
    <w:next w:val="Normal"/>
    <w:link w:val="Heading5Char"/>
    <w:uiPriority w:val="9"/>
    <w:qFormat/>
    <w:rsid w:val="00B62F96"/>
    <w:pPr>
      <w:keepNext/>
      <w:keepLines/>
      <w:spacing w:before="220" w:after="40"/>
      <w:ind w:left="720"/>
      <w:outlineLvl w:val="4"/>
    </w:pPr>
    <w:rPr>
      <w:b/>
      <w:i/>
    </w:rPr>
  </w:style>
  <w:style w:type="paragraph" w:styleId="Heading6">
    <w:name w:val="heading 6"/>
    <w:basedOn w:val="Normal"/>
    <w:next w:val="Normal"/>
    <w:link w:val="Heading6Char"/>
    <w:autoRedefine/>
    <w:uiPriority w:val="9"/>
    <w:qFormat/>
    <w:rsid w:val="00B62F96"/>
    <w:pPr>
      <w:keepNext/>
      <w:keepLines/>
      <w:spacing w:before="200" w:after="40"/>
      <w:ind w:left="720"/>
      <w:outlineLvl w:val="5"/>
    </w:pPr>
    <w:rPr>
      <w:i/>
      <w:szCs w:val="20"/>
    </w:rPr>
  </w:style>
  <w:style w:type="paragraph" w:styleId="Heading7">
    <w:name w:val="heading 7"/>
    <w:basedOn w:val="Normal"/>
    <w:next w:val="Normal"/>
    <w:link w:val="Heading7Char"/>
    <w:uiPriority w:val="9"/>
    <w:semiHidden/>
    <w:unhideWhenUsed/>
    <w:qFormat/>
    <w:rsid w:val="00762FF7"/>
    <w:pPr>
      <w:keepNext/>
      <w:keepLines/>
      <w:spacing w:before="40" w:after="0"/>
      <w:outlineLvl w:val="6"/>
    </w:pPr>
    <w:rPr>
      <w:rFonts w:ascii="Calibri Light" w:eastAsia="SimSun" w:hAnsi="Calibri Light" w:cs="Times New Roman"/>
      <w:i/>
      <w:iCs/>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185F"/>
    <w:pPr>
      <w:spacing w:after="0" w:line="240" w:lineRule="auto"/>
      <w:contextualSpacing/>
      <w:jc w:val="center"/>
    </w:pPr>
    <w:rPr>
      <w:rFonts w:eastAsia="Calibri" w:cs="Calibri"/>
      <w:b/>
      <w:sz w:val="32"/>
      <w:szCs w:val="5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9874E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9874E4"/>
    <w:rPr>
      <w:rFonts w:ascii="Segoe UI" w:hAnsi="Segoe UI" w:cs="Segoe UI"/>
      <w:sz w:val="18"/>
      <w:szCs w:val="18"/>
    </w:rPr>
  </w:style>
  <w:style w:type="paragraph" w:styleId="ListParagraph">
    <w:name w:val="List Paragraph"/>
    <w:basedOn w:val="Normal"/>
    <w:uiPriority w:val="34"/>
    <w:qFormat/>
    <w:rsid w:val="004570BF"/>
    <w:pPr>
      <w:ind w:left="720"/>
      <w:contextualSpacing/>
    </w:pPr>
  </w:style>
  <w:style w:type="paragraph" w:styleId="CommentSubject">
    <w:name w:val="annotation subject"/>
    <w:basedOn w:val="CommentText"/>
    <w:next w:val="CommentText"/>
    <w:link w:val="CommentSubjectChar"/>
    <w:uiPriority w:val="99"/>
    <w:semiHidden/>
    <w:unhideWhenUsed/>
    <w:rsid w:val="00756B08"/>
    <w:rPr>
      <w:b/>
      <w:bCs/>
    </w:rPr>
  </w:style>
  <w:style w:type="character" w:customStyle="1" w:styleId="CommentSubjectChar">
    <w:name w:val="Comment Subject Char"/>
    <w:link w:val="CommentSubject"/>
    <w:uiPriority w:val="99"/>
    <w:semiHidden/>
    <w:rsid w:val="00756B08"/>
    <w:rPr>
      <w:b/>
      <w:bCs/>
      <w:sz w:val="20"/>
      <w:szCs w:val="20"/>
    </w:rPr>
  </w:style>
  <w:style w:type="paragraph" w:styleId="Revision">
    <w:name w:val="Revision"/>
    <w:hidden/>
    <w:uiPriority w:val="99"/>
    <w:semiHidden/>
    <w:rsid w:val="00EE6DA1"/>
    <w:rPr>
      <w:color w:val="000000"/>
      <w:sz w:val="24"/>
      <w:szCs w:val="24"/>
      <w:lang w:val="en-GB" w:eastAsia="en-GB"/>
    </w:rPr>
  </w:style>
  <w:style w:type="paragraph" w:styleId="Header">
    <w:name w:val="header"/>
    <w:basedOn w:val="Normal"/>
    <w:link w:val="HeaderChar"/>
    <w:uiPriority w:val="99"/>
    <w:unhideWhenUsed/>
    <w:rsid w:val="00C114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44B"/>
  </w:style>
  <w:style w:type="paragraph" w:styleId="Footer">
    <w:name w:val="footer"/>
    <w:basedOn w:val="Normal"/>
    <w:link w:val="FooterChar"/>
    <w:uiPriority w:val="99"/>
    <w:unhideWhenUsed/>
    <w:rsid w:val="00C114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44B"/>
  </w:style>
  <w:style w:type="paragraph" w:styleId="TOC2">
    <w:name w:val="toc 2"/>
    <w:basedOn w:val="Normal"/>
    <w:next w:val="Normal"/>
    <w:autoRedefine/>
    <w:uiPriority w:val="39"/>
    <w:unhideWhenUsed/>
    <w:rsid w:val="00516A37"/>
    <w:pPr>
      <w:spacing w:after="100"/>
      <w:ind w:left="240"/>
    </w:pPr>
  </w:style>
  <w:style w:type="paragraph" w:styleId="TOC1">
    <w:name w:val="toc 1"/>
    <w:basedOn w:val="Normal"/>
    <w:next w:val="Normal"/>
    <w:autoRedefine/>
    <w:uiPriority w:val="39"/>
    <w:unhideWhenUsed/>
    <w:rsid w:val="003958E9"/>
    <w:pPr>
      <w:tabs>
        <w:tab w:val="right" w:leader="dot" w:pos="8494"/>
      </w:tabs>
      <w:spacing w:after="100"/>
      <w:ind w:firstLine="0"/>
    </w:pPr>
    <w:rPr>
      <w:b/>
      <w:bCs/>
      <w:iCs/>
      <w:noProof/>
    </w:rPr>
  </w:style>
  <w:style w:type="paragraph" w:styleId="TOC3">
    <w:name w:val="toc 3"/>
    <w:basedOn w:val="Normal"/>
    <w:next w:val="Normal"/>
    <w:autoRedefine/>
    <w:uiPriority w:val="39"/>
    <w:unhideWhenUsed/>
    <w:rsid w:val="00516A37"/>
    <w:pPr>
      <w:spacing w:after="100"/>
      <w:ind w:left="480"/>
    </w:pPr>
  </w:style>
  <w:style w:type="character" w:styleId="Hyperlink">
    <w:name w:val="Hyperlink"/>
    <w:uiPriority w:val="99"/>
    <w:unhideWhenUsed/>
    <w:rsid w:val="00516A37"/>
    <w:rPr>
      <w:color w:val="0000FF"/>
      <w:u w:val="single"/>
    </w:rPr>
  </w:style>
  <w:style w:type="paragraph" w:styleId="TOCHeading">
    <w:name w:val="TOC Heading"/>
    <w:basedOn w:val="Heading1"/>
    <w:next w:val="Normal"/>
    <w:uiPriority w:val="39"/>
    <w:unhideWhenUsed/>
    <w:qFormat/>
    <w:rsid w:val="00DC383F"/>
    <w:pPr>
      <w:pBdr>
        <w:top w:val="none" w:sz="0" w:space="0" w:color="auto"/>
        <w:left w:val="none" w:sz="0" w:space="0" w:color="auto"/>
        <w:bottom w:val="none" w:sz="0" w:space="0" w:color="auto"/>
        <w:right w:val="none" w:sz="0" w:space="0" w:color="auto"/>
        <w:between w:val="none" w:sz="0" w:space="0" w:color="auto"/>
      </w:pBdr>
      <w:spacing w:before="240" w:after="0" w:line="259" w:lineRule="auto"/>
      <w:jc w:val="left"/>
      <w:outlineLvl w:val="9"/>
    </w:pPr>
    <w:rPr>
      <w:rFonts w:ascii="Calibri" w:eastAsia="MS Gothic" w:hAnsi="Calibri" w:cs="Times New Roman"/>
      <w:b w:val="0"/>
      <w:color w:val="365F91"/>
      <w:szCs w:val="32"/>
      <w:lang w:val="en-US"/>
    </w:rPr>
  </w:style>
  <w:style w:type="paragraph" w:styleId="TOC4">
    <w:name w:val="toc 4"/>
    <w:basedOn w:val="Normal"/>
    <w:next w:val="Normal"/>
    <w:autoRedefine/>
    <w:uiPriority w:val="39"/>
    <w:unhideWhenUsed/>
    <w:rsid w:val="00DC383F"/>
    <w:pPr>
      <w:spacing w:after="100"/>
      <w:ind w:left="720"/>
    </w:pPr>
  </w:style>
  <w:style w:type="paragraph" w:customStyle="1" w:styleId="Heading71">
    <w:name w:val="Heading 71"/>
    <w:basedOn w:val="Normal"/>
    <w:next w:val="Normal"/>
    <w:uiPriority w:val="9"/>
    <w:unhideWhenUsed/>
    <w:qFormat/>
    <w:rsid w:val="00762FF7"/>
    <w:pPr>
      <w:keepNext/>
      <w:keepLines/>
      <w:pBdr>
        <w:top w:val="none" w:sz="0" w:space="0" w:color="auto"/>
        <w:left w:val="none" w:sz="0" w:space="0" w:color="auto"/>
        <w:bottom w:val="none" w:sz="0" w:space="0" w:color="auto"/>
        <w:right w:val="none" w:sz="0" w:space="0" w:color="auto"/>
        <w:between w:val="none" w:sz="0" w:space="0" w:color="auto"/>
      </w:pBdr>
      <w:spacing w:before="40" w:after="0" w:line="480" w:lineRule="auto"/>
      <w:outlineLvl w:val="6"/>
    </w:pPr>
    <w:rPr>
      <w:rFonts w:ascii="Calibri Light" w:eastAsia="SimSun" w:hAnsi="Calibri Light" w:cs="Times New Roman"/>
      <w:i/>
      <w:iCs/>
      <w:color w:val="1F4D78"/>
      <w:sz w:val="24"/>
      <w:szCs w:val="24"/>
    </w:rPr>
  </w:style>
  <w:style w:type="numbering" w:customStyle="1" w:styleId="NoList1">
    <w:name w:val="No List1"/>
    <w:next w:val="NoList"/>
    <w:uiPriority w:val="99"/>
    <w:semiHidden/>
    <w:unhideWhenUsed/>
    <w:rsid w:val="00762FF7"/>
  </w:style>
  <w:style w:type="character" w:customStyle="1" w:styleId="Heading1Char">
    <w:name w:val="Heading 1 Char"/>
    <w:aliases w:val="Heading 1 Title Char"/>
    <w:link w:val="Heading1"/>
    <w:rsid w:val="00A02454"/>
    <w:rPr>
      <w:b/>
      <w:sz w:val="32"/>
      <w:szCs w:val="22"/>
      <w:lang w:eastAsia="en-US"/>
    </w:rPr>
  </w:style>
  <w:style w:type="character" w:customStyle="1" w:styleId="Heading2Char">
    <w:name w:val="Heading 2 Char"/>
    <w:link w:val="Heading2"/>
    <w:uiPriority w:val="9"/>
    <w:rsid w:val="008F5F99"/>
    <w:rPr>
      <w:b/>
      <w:sz w:val="22"/>
      <w:szCs w:val="22"/>
      <w:lang w:val="en-GB" w:eastAsia="en-US"/>
    </w:rPr>
  </w:style>
  <w:style w:type="character" w:customStyle="1" w:styleId="Heading3Char">
    <w:name w:val="Heading 3 Char"/>
    <w:aliases w:val="Heading 3. Char"/>
    <w:link w:val="Heading3"/>
    <w:uiPriority w:val="9"/>
    <w:rsid w:val="00762FF7"/>
    <w:rPr>
      <w:b/>
      <w:sz w:val="22"/>
      <w:szCs w:val="22"/>
    </w:rPr>
  </w:style>
  <w:style w:type="character" w:customStyle="1" w:styleId="Heading4Char">
    <w:name w:val="Heading 4 Char"/>
    <w:link w:val="Heading4"/>
    <w:rsid w:val="00762FF7"/>
    <w:rPr>
      <w:b/>
      <w:sz w:val="22"/>
      <w:szCs w:val="22"/>
    </w:rPr>
  </w:style>
  <w:style w:type="character" w:customStyle="1" w:styleId="Heading5Char">
    <w:name w:val="Heading 5 Char"/>
    <w:link w:val="Heading5"/>
    <w:rsid w:val="00762FF7"/>
    <w:rPr>
      <w:b/>
      <w:i/>
      <w:sz w:val="22"/>
      <w:szCs w:val="22"/>
    </w:rPr>
  </w:style>
  <w:style w:type="character" w:customStyle="1" w:styleId="Heading6Char">
    <w:name w:val="Heading 6 Char"/>
    <w:link w:val="Heading6"/>
    <w:rsid w:val="00762FF7"/>
    <w:rPr>
      <w:i/>
      <w:sz w:val="22"/>
      <w:szCs w:val="20"/>
    </w:rPr>
  </w:style>
  <w:style w:type="character" w:customStyle="1" w:styleId="Heading7Char">
    <w:name w:val="Heading 7 Char"/>
    <w:link w:val="Heading7"/>
    <w:uiPriority w:val="9"/>
    <w:rsid w:val="00762FF7"/>
    <w:rPr>
      <w:rFonts w:ascii="Calibri Light" w:eastAsia="SimSun" w:hAnsi="Calibri Light" w:cs="Times New Roman"/>
      <w:i/>
      <w:iCs/>
      <w:color w:val="1F4D78"/>
    </w:rPr>
  </w:style>
  <w:style w:type="character" w:customStyle="1" w:styleId="TitleChar">
    <w:name w:val="Title Char"/>
    <w:link w:val="Title"/>
    <w:rsid w:val="0072185F"/>
    <w:rPr>
      <w:rFonts w:eastAsia="Calibri" w:cs="Calibri"/>
      <w:b/>
      <w:sz w:val="32"/>
      <w:szCs w:val="56"/>
    </w:rPr>
  </w:style>
  <w:style w:type="character" w:customStyle="1" w:styleId="SubtitleChar">
    <w:name w:val="Subtitle Char"/>
    <w:link w:val="Subtitle"/>
    <w:rsid w:val="00762FF7"/>
    <w:rPr>
      <w:rFonts w:ascii="Georgia" w:eastAsia="Georgia" w:hAnsi="Georgia" w:cs="Georgia"/>
      <w:i/>
      <w:color w:val="666666"/>
      <w:sz w:val="48"/>
      <w:szCs w:val="48"/>
    </w:rPr>
  </w:style>
  <w:style w:type="table" w:customStyle="1" w:styleId="TableGrid1">
    <w:name w:val="Table Grid1"/>
    <w:basedOn w:val="TableNormal"/>
    <w:next w:val="TableGrid"/>
    <w:uiPriority w:val="39"/>
    <w:rsid w:val="00762F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762FF7"/>
    <w:pPr>
      <w:pBdr>
        <w:top w:val="none" w:sz="0" w:space="0" w:color="auto"/>
        <w:left w:val="none" w:sz="0" w:space="0" w:color="auto"/>
        <w:bottom w:val="none" w:sz="0" w:space="0" w:color="auto"/>
        <w:right w:val="none" w:sz="0" w:space="0" w:color="auto"/>
        <w:between w:val="none" w:sz="0" w:space="0" w:color="auto"/>
      </w:pBdr>
      <w:spacing w:before="200" w:line="480" w:lineRule="auto"/>
      <w:ind w:left="864" w:right="864"/>
      <w:jc w:val="center"/>
    </w:pPr>
    <w:rPr>
      <w:i/>
      <w:iCs/>
      <w:color w:val="404040"/>
      <w:sz w:val="24"/>
      <w:szCs w:val="24"/>
    </w:rPr>
  </w:style>
  <w:style w:type="character" w:customStyle="1" w:styleId="QuoteChar">
    <w:name w:val="Quote Char"/>
    <w:link w:val="Quote"/>
    <w:uiPriority w:val="29"/>
    <w:rsid w:val="001E1FFD"/>
    <w:rPr>
      <w:i/>
      <w:iCs/>
      <w:color w:val="auto"/>
      <w:sz w:val="22"/>
    </w:rPr>
  </w:style>
  <w:style w:type="paragraph" w:customStyle="1" w:styleId="EndNoteBibliographyTitle">
    <w:name w:val="EndNote Bibliography Title"/>
    <w:basedOn w:val="Normal"/>
    <w:link w:val="EndNoteBibliographyTitleChar"/>
    <w:rsid w:val="00762FF7"/>
    <w:pPr>
      <w:pBdr>
        <w:top w:val="none" w:sz="0" w:space="0" w:color="auto"/>
        <w:left w:val="none" w:sz="0" w:space="0" w:color="auto"/>
        <w:bottom w:val="none" w:sz="0" w:space="0" w:color="auto"/>
        <w:right w:val="none" w:sz="0" w:space="0" w:color="auto"/>
        <w:between w:val="none" w:sz="0" w:space="0" w:color="auto"/>
      </w:pBdr>
      <w:spacing w:after="0" w:line="480" w:lineRule="auto"/>
      <w:jc w:val="center"/>
    </w:pPr>
    <w:rPr>
      <w:noProof/>
      <w:sz w:val="24"/>
      <w:szCs w:val="24"/>
    </w:rPr>
  </w:style>
  <w:style w:type="character" w:customStyle="1" w:styleId="EndNoteBibliographyTitleChar">
    <w:name w:val="EndNote Bibliography Title Char"/>
    <w:link w:val="EndNoteBibliographyTitle"/>
    <w:rsid w:val="00762FF7"/>
    <w:rPr>
      <w:noProof/>
    </w:rPr>
  </w:style>
  <w:style w:type="paragraph" w:customStyle="1" w:styleId="EndNoteBibliography">
    <w:name w:val="EndNote Bibliography"/>
    <w:basedOn w:val="Normal"/>
    <w:link w:val="EndNoteBibliographyChar"/>
    <w:rsid w:val="00762FF7"/>
    <w:pPr>
      <w:pBdr>
        <w:top w:val="none" w:sz="0" w:space="0" w:color="auto"/>
        <w:left w:val="none" w:sz="0" w:space="0" w:color="auto"/>
        <w:bottom w:val="none" w:sz="0" w:space="0" w:color="auto"/>
        <w:right w:val="none" w:sz="0" w:space="0" w:color="auto"/>
        <w:between w:val="none" w:sz="0" w:space="0" w:color="auto"/>
      </w:pBdr>
      <w:spacing w:line="240" w:lineRule="auto"/>
    </w:pPr>
    <w:rPr>
      <w:noProof/>
      <w:sz w:val="24"/>
      <w:szCs w:val="24"/>
    </w:rPr>
  </w:style>
  <w:style w:type="character" w:customStyle="1" w:styleId="EndNoteBibliographyChar">
    <w:name w:val="EndNote Bibliography Char"/>
    <w:link w:val="EndNoteBibliography"/>
    <w:rsid w:val="00762FF7"/>
    <w:rPr>
      <w:noProof/>
    </w:rPr>
  </w:style>
  <w:style w:type="character" w:customStyle="1" w:styleId="Heading7Char1">
    <w:name w:val="Heading 7 Char1"/>
    <w:uiPriority w:val="9"/>
    <w:semiHidden/>
    <w:rsid w:val="00762FF7"/>
    <w:rPr>
      <w:rFonts w:ascii="Calibri" w:eastAsia="MS Gothic" w:hAnsi="Calibri" w:cs="Times New Roman"/>
      <w:i/>
      <w:iCs/>
      <w:color w:val="243F60"/>
      <w:sz w:val="22"/>
      <w:szCs w:val="22"/>
    </w:rPr>
  </w:style>
  <w:style w:type="table" w:styleId="TableGrid">
    <w:name w:val="Table Grid"/>
    <w:basedOn w:val="TableNormal"/>
    <w:uiPriority w:val="39"/>
    <w:rsid w:val="00762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next w:val="Normal"/>
    <w:link w:val="QuoteChar"/>
    <w:uiPriority w:val="29"/>
    <w:qFormat/>
    <w:rsid w:val="001E1FFD"/>
    <w:pPr>
      <w:pBdr>
        <w:top w:val="nil"/>
        <w:left w:val="nil"/>
        <w:bottom w:val="nil"/>
        <w:right w:val="nil"/>
        <w:between w:val="nil"/>
      </w:pBdr>
      <w:spacing w:before="200" w:after="160"/>
      <w:ind w:left="720" w:right="864"/>
    </w:pPr>
    <w:rPr>
      <w:i/>
      <w:iCs/>
      <w:sz w:val="22"/>
      <w:szCs w:val="24"/>
      <w:lang w:val="en-GB" w:eastAsia="en-GB"/>
    </w:rPr>
  </w:style>
  <w:style w:type="character" w:customStyle="1" w:styleId="QuoteChar1">
    <w:name w:val="Quote Char1"/>
    <w:uiPriority w:val="29"/>
    <w:rsid w:val="00762FF7"/>
    <w:rPr>
      <w:i/>
      <w:iCs/>
      <w:color w:val="404040"/>
      <w:sz w:val="22"/>
      <w:szCs w:val="22"/>
    </w:rPr>
  </w:style>
  <w:style w:type="numbering" w:customStyle="1" w:styleId="NoList2">
    <w:name w:val="No List2"/>
    <w:next w:val="NoList"/>
    <w:uiPriority w:val="99"/>
    <w:semiHidden/>
    <w:unhideWhenUsed/>
    <w:rsid w:val="007B008F"/>
  </w:style>
  <w:style w:type="table" w:customStyle="1" w:styleId="18">
    <w:name w:val="18"/>
    <w:basedOn w:val="TableNormal"/>
    <w:rsid w:val="007B008F"/>
    <w:rPr>
      <w:sz w:val="22"/>
      <w:szCs w:val="22"/>
    </w:rPr>
    <w:tblPr>
      <w:tblStyleRowBandSize w:val="1"/>
      <w:tblStyleColBandSize w:val="1"/>
    </w:tblPr>
  </w:style>
  <w:style w:type="table" w:customStyle="1" w:styleId="17">
    <w:name w:val="17"/>
    <w:basedOn w:val="TableNormal"/>
    <w:rsid w:val="007B008F"/>
    <w:pPr>
      <w:spacing w:line="360" w:lineRule="auto"/>
    </w:pPr>
    <w:rPr>
      <w:sz w:val="22"/>
      <w:szCs w:val="22"/>
    </w:rPr>
    <w:tblPr>
      <w:tblStyleRowBandSize w:val="1"/>
      <w:tblStyleColBandSize w:val="1"/>
      <w:tblCellMar>
        <w:left w:w="115" w:type="dxa"/>
        <w:right w:w="115" w:type="dxa"/>
      </w:tblCellMar>
    </w:tblPr>
  </w:style>
  <w:style w:type="table" w:customStyle="1" w:styleId="16">
    <w:name w:val="16"/>
    <w:basedOn w:val="TableNormal"/>
    <w:rsid w:val="007B008F"/>
    <w:rPr>
      <w:sz w:val="22"/>
      <w:szCs w:val="22"/>
    </w:rPr>
    <w:tblPr>
      <w:tblStyleRowBandSize w:val="1"/>
      <w:tblStyleColBandSize w:val="1"/>
    </w:tblPr>
  </w:style>
  <w:style w:type="table" w:customStyle="1" w:styleId="15">
    <w:name w:val="15"/>
    <w:basedOn w:val="TableNormal"/>
    <w:rsid w:val="007B008F"/>
    <w:pPr>
      <w:spacing w:line="360" w:lineRule="auto"/>
    </w:pPr>
    <w:rPr>
      <w:sz w:val="22"/>
      <w:szCs w:val="22"/>
    </w:rPr>
    <w:tblPr>
      <w:tblStyleRowBandSize w:val="1"/>
      <w:tblStyleColBandSize w:val="1"/>
      <w:tblCellMar>
        <w:left w:w="115" w:type="dxa"/>
        <w:right w:w="115" w:type="dxa"/>
      </w:tblCellMar>
    </w:tblPr>
  </w:style>
  <w:style w:type="table" w:customStyle="1" w:styleId="14">
    <w:name w:val="14"/>
    <w:basedOn w:val="TableNormal"/>
    <w:rsid w:val="007B008F"/>
    <w:rPr>
      <w:sz w:val="22"/>
      <w:szCs w:val="22"/>
    </w:rPr>
    <w:tblPr>
      <w:tblStyleRowBandSize w:val="1"/>
      <w:tblStyleColBandSize w:val="1"/>
    </w:tblPr>
  </w:style>
  <w:style w:type="table" w:customStyle="1" w:styleId="13">
    <w:name w:val="13"/>
    <w:basedOn w:val="TableNormal"/>
    <w:rsid w:val="007B008F"/>
    <w:pPr>
      <w:spacing w:line="360" w:lineRule="auto"/>
    </w:pPr>
    <w:rPr>
      <w:sz w:val="22"/>
      <w:szCs w:val="22"/>
    </w:rPr>
    <w:tblPr>
      <w:tblStyleRowBandSize w:val="1"/>
      <w:tblStyleColBandSize w:val="1"/>
      <w:tblCellMar>
        <w:left w:w="115" w:type="dxa"/>
        <w:right w:w="115" w:type="dxa"/>
      </w:tblCellMar>
    </w:tblPr>
  </w:style>
  <w:style w:type="table" w:customStyle="1" w:styleId="12">
    <w:name w:val="12"/>
    <w:basedOn w:val="TableNormal"/>
    <w:rsid w:val="007B008F"/>
    <w:rPr>
      <w:sz w:val="22"/>
      <w:szCs w:val="22"/>
    </w:rPr>
    <w:tblPr>
      <w:tblStyleRowBandSize w:val="1"/>
      <w:tblStyleColBandSize w:val="1"/>
    </w:tblPr>
  </w:style>
  <w:style w:type="table" w:customStyle="1" w:styleId="11">
    <w:name w:val="11"/>
    <w:basedOn w:val="TableNormal"/>
    <w:rsid w:val="007B008F"/>
    <w:pPr>
      <w:spacing w:line="360" w:lineRule="auto"/>
    </w:pPr>
    <w:rPr>
      <w:sz w:val="22"/>
      <w:szCs w:val="22"/>
    </w:rPr>
    <w:tblPr>
      <w:tblStyleRowBandSize w:val="1"/>
      <w:tblStyleColBandSize w:val="1"/>
      <w:tblCellMar>
        <w:left w:w="115" w:type="dxa"/>
        <w:right w:w="115" w:type="dxa"/>
      </w:tblCellMar>
    </w:tblPr>
  </w:style>
  <w:style w:type="table" w:customStyle="1" w:styleId="10">
    <w:name w:val="10"/>
    <w:basedOn w:val="TableNormal"/>
    <w:rsid w:val="007B008F"/>
    <w:rPr>
      <w:sz w:val="22"/>
      <w:szCs w:val="22"/>
    </w:rPr>
    <w:tblPr>
      <w:tblStyleRowBandSize w:val="1"/>
      <w:tblStyleColBandSize w:val="1"/>
    </w:tblPr>
  </w:style>
  <w:style w:type="table" w:customStyle="1" w:styleId="9">
    <w:name w:val="9"/>
    <w:basedOn w:val="TableNormal"/>
    <w:rsid w:val="007B008F"/>
    <w:rPr>
      <w:sz w:val="22"/>
      <w:szCs w:val="22"/>
    </w:rPr>
    <w:tblPr>
      <w:tblStyleRowBandSize w:val="1"/>
      <w:tblStyleColBandSize w:val="1"/>
    </w:tblPr>
  </w:style>
  <w:style w:type="table" w:customStyle="1" w:styleId="8">
    <w:name w:val="8"/>
    <w:basedOn w:val="TableNormal"/>
    <w:rsid w:val="007B008F"/>
    <w:rPr>
      <w:sz w:val="22"/>
      <w:szCs w:val="22"/>
    </w:rPr>
    <w:tblPr>
      <w:tblStyleRowBandSize w:val="1"/>
      <w:tblStyleColBandSize w:val="1"/>
      <w:tblCellMar>
        <w:bottom w:w="113" w:type="dxa"/>
        <w:right w:w="142" w:type="dxa"/>
      </w:tblCellMar>
    </w:tblPr>
  </w:style>
  <w:style w:type="table" w:customStyle="1" w:styleId="7">
    <w:name w:val="7"/>
    <w:basedOn w:val="TableNormal"/>
    <w:rsid w:val="007B008F"/>
    <w:rPr>
      <w:sz w:val="22"/>
      <w:szCs w:val="22"/>
    </w:rPr>
    <w:tblPr>
      <w:tblStyleRowBandSize w:val="1"/>
      <w:tblStyleColBandSize w:val="1"/>
      <w:tblCellMar>
        <w:top w:w="28" w:type="dxa"/>
      </w:tblCellMar>
    </w:tblPr>
  </w:style>
  <w:style w:type="table" w:customStyle="1" w:styleId="6">
    <w:name w:val="6"/>
    <w:basedOn w:val="TableNormal"/>
    <w:rsid w:val="007B008F"/>
    <w:rPr>
      <w:sz w:val="22"/>
      <w:szCs w:val="22"/>
    </w:rPr>
    <w:tblPr>
      <w:tblStyleRowBandSize w:val="1"/>
      <w:tblStyleColBandSize w:val="1"/>
    </w:tblPr>
  </w:style>
  <w:style w:type="table" w:customStyle="1" w:styleId="5">
    <w:name w:val="5"/>
    <w:basedOn w:val="TableNormal"/>
    <w:rsid w:val="007B008F"/>
    <w:rPr>
      <w:sz w:val="22"/>
      <w:szCs w:val="22"/>
    </w:rPr>
    <w:tblPr>
      <w:tblStyleRowBandSize w:val="1"/>
      <w:tblStyleColBandSize w:val="1"/>
    </w:tblPr>
  </w:style>
  <w:style w:type="table" w:customStyle="1" w:styleId="4">
    <w:name w:val="4"/>
    <w:basedOn w:val="TableNormal"/>
    <w:rsid w:val="007B008F"/>
    <w:rPr>
      <w:sz w:val="22"/>
      <w:szCs w:val="22"/>
    </w:rPr>
    <w:tblPr>
      <w:tblStyleRowBandSize w:val="1"/>
      <w:tblStyleColBandSize w:val="1"/>
    </w:tblPr>
  </w:style>
  <w:style w:type="table" w:customStyle="1" w:styleId="3">
    <w:name w:val="3"/>
    <w:basedOn w:val="TableNormal"/>
    <w:rsid w:val="007B008F"/>
    <w:rPr>
      <w:sz w:val="22"/>
      <w:szCs w:val="22"/>
    </w:rPr>
    <w:tblPr>
      <w:tblStyleRowBandSize w:val="1"/>
      <w:tblStyleColBandSize w:val="1"/>
    </w:tblPr>
  </w:style>
  <w:style w:type="table" w:customStyle="1" w:styleId="2">
    <w:name w:val="2"/>
    <w:basedOn w:val="TableNormal"/>
    <w:rsid w:val="007B008F"/>
    <w:rPr>
      <w:sz w:val="22"/>
      <w:szCs w:val="22"/>
    </w:rPr>
    <w:tblPr>
      <w:tblStyleRowBandSize w:val="1"/>
      <w:tblStyleColBandSize w:val="1"/>
    </w:tblPr>
  </w:style>
  <w:style w:type="table" w:customStyle="1" w:styleId="1">
    <w:name w:val="1"/>
    <w:basedOn w:val="TableNormal"/>
    <w:rsid w:val="007B008F"/>
    <w:pPr>
      <w:spacing w:line="360" w:lineRule="auto"/>
    </w:pPr>
    <w:rPr>
      <w:sz w:val="22"/>
      <w:szCs w:val="22"/>
    </w:rPr>
    <w:tblPr>
      <w:tblStyleRowBandSize w:val="1"/>
      <w:tblStyleColBandSize w:val="1"/>
      <w:tblCellMar>
        <w:left w:w="115" w:type="dxa"/>
        <w:right w:w="115" w:type="dxa"/>
      </w:tblCellMar>
    </w:tblPr>
  </w:style>
  <w:style w:type="character" w:styleId="Strong">
    <w:name w:val="Strong"/>
    <w:uiPriority w:val="22"/>
    <w:qFormat/>
    <w:rsid w:val="007B008F"/>
    <w:rPr>
      <w:b/>
      <w:bCs/>
    </w:rPr>
  </w:style>
  <w:style w:type="numbering" w:customStyle="1" w:styleId="NoList3">
    <w:name w:val="No List3"/>
    <w:next w:val="NoList"/>
    <w:uiPriority w:val="99"/>
    <w:semiHidden/>
    <w:unhideWhenUsed/>
    <w:rsid w:val="00D106F0"/>
  </w:style>
  <w:style w:type="table" w:customStyle="1" w:styleId="TableGrid2">
    <w:name w:val="Table Grid2"/>
    <w:basedOn w:val="TableNormal"/>
    <w:next w:val="TableGrid"/>
    <w:uiPriority w:val="39"/>
    <w:rsid w:val="00D10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51"/>
    <w:basedOn w:val="TableNormal"/>
    <w:rsid w:val="00D106F0"/>
    <w:tblPr>
      <w:tblStyleRowBandSize w:val="1"/>
      <w:tblStyleColBandSize w:val="1"/>
      <w:tblCellMar>
        <w:left w:w="115" w:type="dxa"/>
        <w:right w:w="115" w:type="dxa"/>
      </w:tblCellMar>
    </w:tblPr>
  </w:style>
  <w:style w:type="table" w:customStyle="1" w:styleId="41">
    <w:name w:val="41"/>
    <w:basedOn w:val="TableNormal"/>
    <w:rsid w:val="00D106F0"/>
    <w:tblPr>
      <w:tblStyleRowBandSize w:val="1"/>
      <w:tblStyleColBandSize w:val="1"/>
      <w:tblCellMar>
        <w:left w:w="115" w:type="dxa"/>
        <w:right w:w="115" w:type="dxa"/>
      </w:tblCellMar>
    </w:tblPr>
  </w:style>
  <w:style w:type="table" w:customStyle="1" w:styleId="31">
    <w:name w:val="31"/>
    <w:basedOn w:val="TableNormal"/>
    <w:rsid w:val="00D106F0"/>
    <w:tblPr>
      <w:tblStyleRowBandSize w:val="1"/>
      <w:tblStyleColBandSize w:val="1"/>
      <w:tblCellMar>
        <w:left w:w="0" w:type="dxa"/>
        <w:right w:w="0" w:type="dxa"/>
      </w:tblCellMar>
    </w:tblPr>
  </w:style>
  <w:style w:type="table" w:customStyle="1" w:styleId="21">
    <w:name w:val="21"/>
    <w:basedOn w:val="TableNormal"/>
    <w:rsid w:val="00D106F0"/>
    <w:tblPr>
      <w:tblStyleRowBandSize w:val="1"/>
      <w:tblStyleColBandSize w:val="1"/>
      <w:tblCellMar>
        <w:left w:w="115" w:type="dxa"/>
        <w:right w:w="115" w:type="dxa"/>
      </w:tblCellMar>
    </w:tblPr>
  </w:style>
  <w:style w:type="table" w:customStyle="1" w:styleId="19">
    <w:name w:val="19"/>
    <w:basedOn w:val="TableNormal"/>
    <w:rsid w:val="00D106F0"/>
    <w:tblPr>
      <w:tblStyleRowBandSize w:val="1"/>
      <w:tblStyleColBandSize w:val="1"/>
      <w:tblCellMar>
        <w:left w:w="0" w:type="dxa"/>
        <w:right w:w="0" w:type="dxa"/>
      </w:tblCellMar>
    </w:tblPr>
  </w:style>
  <w:style w:type="table" w:customStyle="1" w:styleId="TableGrid11">
    <w:name w:val="Table Grid11"/>
    <w:basedOn w:val="TableNormal"/>
    <w:next w:val="TableGrid"/>
    <w:uiPriority w:val="39"/>
    <w:rsid w:val="00D10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10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10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0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D106F0"/>
    <w:pPr>
      <w:pBdr>
        <w:top w:val="none" w:sz="0" w:space="0" w:color="auto"/>
        <w:left w:val="none" w:sz="0" w:space="0" w:color="auto"/>
        <w:bottom w:val="none" w:sz="0" w:space="0" w:color="auto"/>
        <w:right w:val="none" w:sz="0" w:space="0" w:color="auto"/>
        <w:between w:val="none" w:sz="0" w:space="0" w:color="auto"/>
      </w:pBdr>
      <w:spacing w:after="200" w:line="240" w:lineRule="auto"/>
    </w:pPr>
    <w:rPr>
      <w:i/>
      <w:iCs/>
      <w:color w:val="44546A"/>
      <w:sz w:val="18"/>
      <w:szCs w:val="18"/>
    </w:rPr>
  </w:style>
  <w:style w:type="table" w:customStyle="1" w:styleId="TableGrid5">
    <w:name w:val="Table Grid5"/>
    <w:basedOn w:val="TableNormal"/>
    <w:next w:val="TableGrid"/>
    <w:uiPriority w:val="39"/>
    <w:rsid w:val="00D106F0"/>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
    <w:name w:val="Title page"/>
    <w:basedOn w:val="Normal"/>
    <w:link w:val="TitlepageChar"/>
    <w:qFormat/>
    <w:rsid w:val="006C10C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pPr>
    <w:rPr>
      <w:rFonts w:eastAsia="SimSun"/>
      <w:color w:val="auto"/>
      <w:sz w:val="28"/>
      <w:szCs w:val="28"/>
    </w:rPr>
  </w:style>
  <w:style w:type="character" w:customStyle="1" w:styleId="TitlepageChar">
    <w:name w:val="Title page Char"/>
    <w:link w:val="Titlepage"/>
    <w:rsid w:val="006C10CD"/>
    <w:rPr>
      <w:rFonts w:eastAsia="SimSun"/>
      <w:color w:val="auto"/>
      <w:sz w:val="28"/>
      <w:szCs w:val="28"/>
    </w:rPr>
  </w:style>
  <w:style w:type="paragraph" w:customStyle="1" w:styleId="Figures">
    <w:name w:val="Figures"/>
    <w:basedOn w:val="Normal"/>
    <w:qFormat/>
    <w:rsid w:val="00F715F5"/>
    <w:pPr>
      <w:ind w:firstLine="0"/>
    </w:pPr>
    <w:rPr>
      <w:i/>
      <w:noProof/>
    </w:rPr>
  </w:style>
  <w:style w:type="paragraph" w:customStyle="1" w:styleId="Tables">
    <w:name w:val="Tables"/>
    <w:basedOn w:val="Normal"/>
    <w:qFormat/>
    <w:rsid w:val="00F715F5"/>
    <w:pPr>
      <w:ind w:firstLine="0"/>
    </w:pPr>
    <w:rPr>
      <w:i/>
    </w:rPr>
  </w:style>
  <w:style w:type="table" w:customStyle="1" w:styleId="TableGrid6">
    <w:name w:val="Table Grid6"/>
    <w:basedOn w:val="TableNormal"/>
    <w:next w:val="TableGrid"/>
    <w:uiPriority w:val="39"/>
    <w:rsid w:val="004D36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32"/>
    <w:basedOn w:val="TableNormal"/>
    <w:rsid w:val="005124DC"/>
    <w:tblPr>
      <w:tblStyleRowBandSize w:val="1"/>
      <w:tblStyleColBandSize w:val="1"/>
      <w:tblCellMar>
        <w:left w:w="115" w:type="dxa"/>
        <w:right w:w="115" w:type="dxa"/>
      </w:tblCellMar>
    </w:tblPr>
  </w:style>
  <w:style w:type="table" w:customStyle="1" w:styleId="22">
    <w:name w:val="22"/>
    <w:basedOn w:val="TableNormal"/>
    <w:rsid w:val="005124DC"/>
    <w:tblPr>
      <w:tblStyleRowBandSize w:val="1"/>
      <w:tblStyleColBandSize w:val="1"/>
      <w:tblCellMar>
        <w:left w:w="115" w:type="dxa"/>
        <w:right w:w="115" w:type="dxa"/>
      </w:tblCellMar>
    </w:tblPr>
  </w:style>
  <w:style w:type="table" w:customStyle="1" w:styleId="110">
    <w:name w:val="110"/>
    <w:basedOn w:val="TableNormal"/>
    <w:rsid w:val="005124DC"/>
    <w:tblPr>
      <w:tblStyleRowBandSize w:val="1"/>
      <w:tblStyleColBandSize w:val="1"/>
      <w:tblCellMar>
        <w:left w:w="115" w:type="dxa"/>
        <w:right w:w="115" w:type="dxa"/>
      </w:tblCellMar>
    </w:tblPr>
  </w:style>
  <w:style w:type="table" w:customStyle="1" w:styleId="TableGrid7">
    <w:name w:val="Table Grid7"/>
    <w:basedOn w:val="TableNormal"/>
    <w:next w:val="TableGrid"/>
    <w:uiPriority w:val="39"/>
    <w:rsid w:val="005124D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71"/>
    <w:basedOn w:val="TableNormal"/>
    <w:rsid w:val="007371B5"/>
    <w:tblPr>
      <w:tblStyleRowBandSize w:val="1"/>
      <w:tblStyleColBandSize w:val="1"/>
      <w:tblCellMar>
        <w:left w:w="115" w:type="dxa"/>
        <w:right w:w="115" w:type="dxa"/>
      </w:tblCellMar>
    </w:tblPr>
    <w:tblStylePr w:type="firstRow">
      <w:pPr>
        <w:contextualSpacing/>
      </w:pPr>
      <w:rPr>
        <w:rFonts w:ascii="Calibri" w:eastAsia="Calibri" w:hAnsi="Calibri" w:cs="Calibri"/>
        <w:i/>
        <w:sz w:val="26"/>
        <w:szCs w:val="26"/>
      </w:rPr>
      <w:tblPr/>
      <w:tcPr>
        <w:tcBorders>
          <w:bottom w:val="single" w:sz="4" w:space="0" w:color="7F7F7F"/>
        </w:tcBorders>
        <w:shd w:val="clear" w:color="auto" w:fill="FFFFFF"/>
        <w:tcMar>
          <w:top w:w="0" w:type="nil"/>
          <w:left w:w="115" w:type="dxa"/>
          <w:bottom w:w="0" w:type="nil"/>
          <w:right w:w="115" w:type="dxa"/>
        </w:tcMar>
      </w:tcPr>
    </w:tblStylePr>
    <w:tblStylePr w:type="lastRow">
      <w:pPr>
        <w:contextualSpacing/>
      </w:pPr>
      <w:rPr>
        <w:rFonts w:ascii="Calibri" w:eastAsia="Calibri" w:hAnsi="Calibri" w:cs="Calibri"/>
        <w:i/>
        <w:sz w:val="26"/>
        <w:szCs w:val="26"/>
      </w:rPr>
      <w:tblPr/>
      <w:tcPr>
        <w:tcBorders>
          <w:top w:val="single" w:sz="4" w:space="0" w:color="7F7F7F"/>
        </w:tcBorders>
        <w:shd w:val="clear" w:color="auto" w:fill="FFFFFF"/>
        <w:tcMar>
          <w:top w:w="0" w:type="nil"/>
          <w:left w:w="115" w:type="dxa"/>
          <w:bottom w:w="0" w:type="nil"/>
          <w:right w:w="115" w:type="dxa"/>
        </w:tcMar>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Mar>
          <w:top w:w="0" w:type="nil"/>
          <w:left w:w="115" w:type="dxa"/>
          <w:bottom w:w="0" w:type="nil"/>
          <w:right w:w="115" w:type="dxa"/>
        </w:tcMar>
      </w:tcPr>
    </w:tblStylePr>
    <w:tblStylePr w:type="lastCol">
      <w:pPr>
        <w:contextualSpacing/>
      </w:pPr>
      <w:rPr>
        <w:rFonts w:ascii="Calibri" w:eastAsia="Calibri" w:hAnsi="Calibri" w:cs="Calibri"/>
        <w:i/>
        <w:sz w:val="26"/>
        <w:szCs w:val="26"/>
      </w:rPr>
      <w:tblPr/>
      <w:tcPr>
        <w:tcBorders>
          <w:left w:val="single" w:sz="4" w:space="0" w:color="7F7F7F"/>
        </w:tcBorders>
        <w:shd w:val="clear" w:color="auto" w:fill="FFFFFF"/>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tblStylePr w:type="neCell">
      <w:pPr>
        <w:contextualSpacing/>
      </w:pPr>
      <w:tblPr/>
      <w:tcPr>
        <w:tcBorders>
          <w:left w:val="nil"/>
        </w:tcBorders>
        <w:tcMar>
          <w:top w:w="0" w:type="nil"/>
          <w:left w:w="115" w:type="dxa"/>
          <w:bottom w:w="0" w:type="nil"/>
          <w:right w:w="115" w:type="dxa"/>
        </w:tcMar>
      </w:tcPr>
    </w:tblStylePr>
    <w:tblStylePr w:type="nwCell">
      <w:pPr>
        <w:contextualSpacing/>
      </w:pPr>
      <w:tblPr/>
      <w:tcPr>
        <w:tcBorders>
          <w:right w:val="nil"/>
        </w:tcBorders>
        <w:tcMar>
          <w:top w:w="0" w:type="nil"/>
          <w:left w:w="115" w:type="dxa"/>
          <w:bottom w:w="0" w:type="nil"/>
          <w:right w:w="115" w:type="dxa"/>
        </w:tcMar>
      </w:tcPr>
    </w:tblStylePr>
    <w:tblStylePr w:type="seCell">
      <w:pPr>
        <w:contextualSpacing/>
      </w:pPr>
      <w:tblPr/>
      <w:tcPr>
        <w:tcBorders>
          <w:left w:val="nil"/>
        </w:tcBorders>
        <w:tcMar>
          <w:top w:w="0" w:type="nil"/>
          <w:left w:w="115" w:type="dxa"/>
          <w:bottom w:w="0" w:type="nil"/>
          <w:right w:w="115" w:type="dxa"/>
        </w:tcMar>
      </w:tcPr>
    </w:tblStylePr>
    <w:tblStylePr w:type="swCell">
      <w:pPr>
        <w:contextualSpacing/>
      </w:pPr>
      <w:tblPr/>
      <w:tcPr>
        <w:tcBorders>
          <w:right w:val="nil"/>
        </w:tcBorders>
        <w:tcMar>
          <w:top w:w="0" w:type="nil"/>
          <w:left w:w="115" w:type="dxa"/>
          <w:bottom w:w="0" w:type="nil"/>
          <w:right w:w="115" w:type="dxa"/>
        </w:tcMar>
      </w:tcPr>
    </w:tblStylePr>
  </w:style>
  <w:style w:type="table" w:customStyle="1" w:styleId="61">
    <w:name w:val="61"/>
    <w:basedOn w:val="TableNormal"/>
    <w:rsid w:val="007371B5"/>
    <w:tblPr>
      <w:tblStyleRowBandSize w:val="1"/>
      <w:tblStyleColBandSize w:val="1"/>
      <w:tblCellMar>
        <w:left w:w="115" w:type="dxa"/>
        <w:right w:w="115" w:type="dxa"/>
      </w:tblCellMar>
    </w:tblPr>
    <w:tblStylePr w:type="firstRow">
      <w:pPr>
        <w:contextualSpacing/>
      </w:pPr>
      <w:rPr>
        <w:b/>
        <w:smallCaps/>
      </w:rPr>
      <w:tblPr/>
      <w:tcPr>
        <w:tcBorders>
          <w:bottom w:val="single" w:sz="4" w:space="0" w:color="7F7F7F"/>
        </w:tcBorders>
        <w:tcMar>
          <w:top w:w="0" w:type="nil"/>
          <w:left w:w="115" w:type="dxa"/>
          <w:bottom w:w="0" w:type="nil"/>
          <w:right w:w="115" w:type="dxa"/>
        </w:tcMar>
      </w:tcPr>
    </w:tblStylePr>
    <w:tblStylePr w:type="lastRow">
      <w:pPr>
        <w:contextualSpacing/>
      </w:pPr>
      <w:rPr>
        <w:b/>
        <w:smallCaps/>
      </w:rPr>
      <w:tblPr/>
      <w:tcPr>
        <w:tcBorders>
          <w:top w:val="nil"/>
        </w:tcBorders>
        <w:tcMar>
          <w:top w:w="0" w:type="nil"/>
          <w:left w:w="115" w:type="dxa"/>
          <w:bottom w:w="0" w:type="nil"/>
          <w:right w:w="115" w:type="dxa"/>
        </w:tcMar>
      </w:tcPr>
    </w:tblStylePr>
    <w:tblStylePr w:type="firstCol">
      <w:pPr>
        <w:contextualSpacing/>
      </w:pPr>
      <w:rPr>
        <w:b/>
        <w:smallCaps/>
      </w:rPr>
      <w:tblPr/>
      <w:tcPr>
        <w:tcBorders>
          <w:right w:val="single" w:sz="4" w:space="0" w:color="7F7F7F"/>
        </w:tcBorders>
        <w:tcMar>
          <w:top w:w="0" w:type="nil"/>
          <w:left w:w="115" w:type="dxa"/>
          <w:bottom w:w="0" w:type="nil"/>
          <w:right w:w="115" w:type="dxa"/>
        </w:tcMar>
      </w:tcPr>
    </w:tblStylePr>
    <w:tblStylePr w:type="lastCol">
      <w:pPr>
        <w:contextualSpacing/>
      </w:pPr>
      <w:rPr>
        <w:b/>
        <w:smallCaps/>
      </w:rPr>
      <w:tblPr/>
      <w:tcPr>
        <w:tcBorders>
          <w:left w:val="nil"/>
        </w:tcBorders>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tblStylePr w:type="neCell">
      <w:pPr>
        <w:contextualSpacing/>
      </w:pPr>
      <w:tblPr/>
      <w:tcPr>
        <w:tcBorders>
          <w:left w:val="nil"/>
        </w:tcBorders>
        <w:tcMar>
          <w:top w:w="0" w:type="nil"/>
          <w:left w:w="115" w:type="dxa"/>
          <w:bottom w:w="0" w:type="nil"/>
          <w:right w:w="115" w:type="dxa"/>
        </w:tcMar>
      </w:tcPr>
    </w:tblStylePr>
    <w:tblStylePr w:type="nwCell">
      <w:pPr>
        <w:contextualSpacing/>
      </w:pPr>
      <w:tblPr/>
      <w:tcPr>
        <w:tcBorders>
          <w:right w:val="nil"/>
        </w:tcBorders>
        <w:tcMar>
          <w:top w:w="0" w:type="nil"/>
          <w:left w:w="115" w:type="dxa"/>
          <w:bottom w:w="0" w:type="nil"/>
          <w:right w:w="115" w:type="dxa"/>
        </w:tcMar>
      </w:tcPr>
    </w:tblStylePr>
  </w:style>
  <w:style w:type="table" w:customStyle="1" w:styleId="52">
    <w:name w:val="52"/>
    <w:basedOn w:val="TableNormal"/>
    <w:rsid w:val="007371B5"/>
    <w:rPr>
      <w:color w:val="7B7B7B"/>
    </w:rPr>
    <w:tblPr>
      <w:tblStyleRowBandSize w:val="1"/>
      <w:tblStyleColBandSize w:val="1"/>
      <w:tblCellMar>
        <w:left w:w="115" w:type="dxa"/>
        <w:right w:w="115" w:type="dxa"/>
      </w:tblCellMar>
    </w:tblPr>
    <w:tblStylePr w:type="firstRow">
      <w:pPr>
        <w:contextualSpacing/>
      </w:pPr>
      <w:rPr>
        <w:b/>
      </w:rPr>
      <w:tblPr/>
      <w:tcPr>
        <w:tcBorders>
          <w:bottom w:val="single" w:sz="4" w:space="0" w:color="A5A5A5"/>
        </w:tcBorders>
        <w:tcMar>
          <w:top w:w="0" w:type="nil"/>
          <w:left w:w="115" w:type="dxa"/>
          <w:bottom w:w="0" w:type="nil"/>
          <w:right w:w="115" w:type="dxa"/>
        </w:tcMar>
      </w:tcPr>
    </w:tblStylePr>
    <w:tblStylePr w:type="lastRow">
      <w:pPr>
        <w:contextualSpacing/>
      </w:pPr>
      <w:rPr>
        <w:b/>
      </w:rPr>
      <w:tblPr/>
      <w:tcPr>
        <w:tcBorders>
          <w:top w:val="single" w:sz="4" w:space="0" w:color="A5A5A5"/>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EDEDED"/>
        <w:tcMar>
          <w:top w:w="0" w:type="nil"/>
          <w:left w:w="115" w:type="dxa"/>
          <w:bottom w:w="0" w:type="nil"/>
          <w:right w:w="115" w:type="dxa"/>
        </w:tcMar>
      </w:tcPr>
    </w:tblStylePr>
    <w:tblStylePr w:type="band1Horz">
      <w:pPr>
        <w:contextualSpacing/>
      </w:pPr>
      <w:tblPr/>
      <w:tcPr>
        <w:shd w:val="clear" w:color="auto" w:fill="EDEDED"/>
        <w:tcMar>
          <w:top w:w="0" w:type="nil"/>
          <w:left w:w="115" w:type="dxa"/>
          <w:bottom w:w="0" w:type="nil"/>
          <w:right w:w="115" w:type="dxa"/>
        </w:tcMar>
      </w:tcPr>
    </w:tblStylePr>
  </w:style>
  <w:style w:type="table" w:customStyle="1" w:styleId="72">
    <w:name w:val="72"/>
    <w:basedOn w:val="TableNormal"/>
    <w:rsid w:val="00BD375B"/>
    <w:tblPr>
      <w:tblStyleRowBandSize w:val="1"/>
      <w:tblStyleColBandSize w:val="1"/>
      <w:tblCellMar>
        <w:left w:w="115" w:type="dxa"/>
        <w:right w:w="115" w:type="dxa"/>
      </w:tblCellMar>
    </w:tblPr>
    <w:tblStylePr w:type="firstRow">
      <w:pPr>
        <w:contextualSpacing/>
      </w:pPr>
      <w:rPr>
        <w:rFonts w:ascii="Calibri" w:eastAsia="Calibri" w:hAnsi="Calibri" w:cs="Calibri"/>
        <w:i/>
        <w:sz w:val="26"/>
        <w:szCs w:val="26"/>
      </w:rPr>
      <w:tblPr/>
      <w:tcPr>
        <w:tcBorders>
          <w:bottom w:val="single" w:sz="4" w:space="0" w:color="7F7F7F"/>
        </w:tcBorders>
        <w:shd w:val="clear" w:color="auto" w:fill="FFFFFF"/>
        <w:tcMar>
          <w:top w:w="0" w:type="nil"/>
          <w:left w:w="115" w:type="dxa"/>
          <w:bottom w:w="0" w:type="nil"/>
          <w:right w:w="115" w:type="dxa"/>
        </w:tcMar>
      </w:tcPr>
    </w:tblStylePr>
    <w:tblStylePr w:type="lastRow">
      <w:pPr>
        <w:contextualSpacing/>
      </w:pPr>
      <w:rPr>
        <w:rFonts w:ascii="Calibri" w:eastAsia="Calibri" w:hAnsi="Calibri" w:cs="Calibri"/>
        <w:i/>
        <w:sz w:val="26"/>
        <w:szCs w:val="26"/>
      </w:rPr>
      <w:tblPr/>
      <w:tcPr>
        <w:tcBorders>
          <w:top w:val="single" w:sz="4" w:space="0" w:color="7F7F7F"/>
        </w:tcBorders>
        <w:shd w:val="clear" w:color="auto" w:fill="FFFFFF"/>
        <w:tcMar>
          <w:top w:w="0" w:type="nil"/>
          <w:left w:w="115" w:type="dxa"/>
          <w:bottom w:w="0" w:type="nil"/>
          <w:right w:w="115" w:type="dxa"/>
        </w:tcMar>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Mar>
          <w:top w:w="0" w:type="nil"/>
          <w:left w:w="115" w:type="dxa"/>
          <w:bottom w:w="0" w:type="nil"/>
          <w:right w:w="115" w:type="dxa"/>
        </w:tcMar>
      </w:tcPr>
    </w:tblStylePr>
    <w:tblStylePr w:type="lastCol">
      <w:pPr>
        <w:contextualSpacing/>
      </w:pPr>
      <w:rPr>
        <w:rFonts w:ascii="Calibri" w:eastAsia="Calibri" w:hAnsi="Calibri" w:cs="Calibri"/>
        <w:i/>
        <w:sz w:val="26"/>
        <w:szCs w:val="26"/>
      </w:rPr>
      <w:tblPr/>
      <w:tcPr>
        <w:tcBorders>
          <w:left w:val="single" w:sz="4" w:space="0" w:color="7F7F7F"/>
        </w:tcBorders>
        <w:shd w:val="clear" w:color="auto" w:fill="FFFFFF"/>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tblStylePr w:type="neCell">
      <w:pPr>
        <w:contextualSpacing/>
      </w:pPr>
      <w:tblPr/>
      <w:tcPr>
        <w:tcBorders>
          <w:left w:val="nil"/>
        </w:tcBorders>
        <w:tcMar>
          <w:top w:w="0" w:type="nil"/>
          <w:left w:w="115" w:type="dxa"/>
          <w:bottom w:w="0" w:type="nil"/>
          <w:right w:w="115" w:type="dxa"/>
        </w:tcMar>
      </w:tcPr>
    </w:tblStylePr>
    <w:tblStylePr w:type="nwCell">
      <w:pPr>
        <w:contextualSpacing/>
      </w:pPr>
      <w:tblPr/>
      <w:tcPr>
        <w:tcBorders>
          <w:right w:val="nil"/>
        </w:tcBorders>
        <w:tcMar>
          <w:top w:w="0" w:type="nil"/>
          <w:left w:w="115" w:type="dxa"/>
          <w:bottom w:w="0" w:type="nil"/>
          <w:right w:w="115" w:type="dxa"/>
        </w:tcMar>
      </w:tcPr>
    </w:tblStylePr>
    <w:tblStylePr w:type="seCell">
      <w:pPr>
        <w:contextualSpacing/>
      </w:pPr>
      <w:tblPr/>
      <w:tcPr>
        <w:tcBorders>
          <w:left w:val="nil"/>
        </w:tcBorders>
        <w:tcMar>
          <w:top w:w="0" w:type="nil"/>
          <w:left w:w="115" w:type="dxa"/>
          <w:bottom w:w="0" w:type="nil"/>
          <w:right w:w="115" w:type="dxa"/>
        </w:tcMar>
      </w:tcPr>
    </w:tblStylePr>
    <w:tblStylePr w:type="swCell">
      <w:pPr>
        <w:contextualSpacing/>
      </w:pPr>
      <w:tblPr/>
      <w:tcPr>
        <w:tcBorders>
          <w:right w:val="nil"/>
        </w:tcBorders>
        <w:tcMar>
          <w:top w:w="0" w:type="nil"/>
          <w:left w:w="115" w:type="dxa"/>
          <w:bottom w:w="0" w:type="nil"/>
          <w:right w:w="115" w:type="dxa"/>
        </w:tcMar>
      </w:tcPr>
    </w:tblStylePr>
  </w:style>
  <w:style w:type="table" w:customStyle="1" w:styleId="62">
    <w:name w:val="62"/>
    <w:basedOn w:val="TableNormal"/>
    <w:rsid w:val="00BD375B"/>
    <w:tblPr>
      <w:tblStyleRowBandSize w:val="1"/>
      <w:tblStyleColBandSize w:val="1"/>
      <w:tblCellMar>
        <w:left w:w="115" w:type="dxa"/>
        <w:right w:w="115" w:type="dxa"/>
      </w:tblCellMar>
    </w:tblPr>
    <w:tblStylePr w:type="firstRow">
      <w:pPr>
        <w:contextualSpacing/>
      </w:pPr>
      <w:rPr>
        <w:b/>
        <w:smallCaps/>
      </w:rPr>
      <w:tblPr/>
      <w:tcPr>
        <w:tcBorders>
          <w:bottom w:val="single" w:sz="4" w:space="0" w:color="7F7F7F"/>
        </w:tcBorders>
        <w:tcMar>
          <w:top w:w="0" w:type="nil"/>
          <w:left w:w="115" w:type="dxa"/>
          <w:bottom w:w="0" w:type="nil"/>
          <w:right w:w="115" w:type="dxa"/>
        </w:tcMar>
      </w:tcPr>
    </w:tblStylePr>
    <w:tblStylePr w:type="lastRow">
      <w:pPr>
        <w:contextualSpacing/>
      </w:pPr>
      <w:rPr>
        <w:b/>
        <w:smallCaps/>
      </w:rPr>
      <w:tblPr/>
      <w:tcPr>
        <w:tcBorders>
          <w:top w:val="nil"/>
        </w:tcBorders>
        <w:tcMar>
          <w:top w:w="0" w:type="nil"/>
          <w:left w:w="115" w:type="dxa"/>
          <w:bottom w:w="0" w:type="nil"/>
          <w:right w:w="115" w:type="dxa"/>
        </w:tcMar>
      </w:tcPr>
    </w:tblStylePr>
    <w:tblStylePr w:type="firstCol">
      <w:pPr>
        <w:contextualSpacing/>
      </w:pPr>
      <w:rPr>
        <w:b/>
        <w:smallCaps/>
      </w:rPr>
      <w:tblPr/>
      <w:tcPr>
        <w:tcBorders>
          <w:right w:val="single" w:sz="4" w:space="0" w:color="7F7F7F"/>
        </w:tcBorders>
        <w:tcMar>
          <w:top w:w="0" w:type="nil"/>
          <w:left w:w="115" w:type="dxa"/>
          <w:bottom w:w="0" w:type="nil"/>
          <w:right w:w="115" w:type="dxa"/>
        </w:tcMar>
      </w:tcPr>
    </w:tblStylePr>
    <w:tblStylePr w:type="lastCol">
      <w:pPr>
        <w:contextualSpacing/>
      </w:pPr>
      <w:rPr>
        <w:b/>
        <w:smallCaps/>
      </w:rPr>
      <w:tblPr/>
      <w:tcPr>
        <w:tcBorders>
          <w:left w:val="nil"/>
        </w:tcBorders>
        <w:tcMar>
          <w:top w:w="0" w:type="nil"/>
          <w:left w:w="115" w:type="dxa"/>
          <w:bottom w:w="0" w:type="nil"/>
          <w:right w:w="115" w:type="dxa"/>
        </w:tcMar>
      </w:tcPr>
    </w:tblStylePr>
    <w:tblStylePr w:type="band1Vert">
      <w:pPr>
        <w:contextualSpacing/>
      </w:pPr>
      <w:tblPr/>
      <w:tcPr>
        <w:shd w:val="clear" w:color="auto" w:fill="F2F2F2"/>
        <w:tcMar>
          <w:top w:w="0" w:type="nil"/>
          <w:left w:w="115" w:type="dxa"/>
          <w:bottom w:w="0" w:type="nil"/>
          <w:right w:w="115" w:type="dxa"/>
        </w:tcMar>
      </w:tcPr>
    </w:tblStylePr>
    <w:tblStylePr w:type="band1Horz">
      <w:pPr>
        <w:contextualSpacing/>
      </w:pPr>
      <w:tblPr/>
      <w:tcPr>
        <w:shd w:val="clear" w:color="auto" w:fill="F2F2F2"/>
        <w:tcMar>
          <w:top w:w="0" w:type="nil"/>
          <w:left w:w="115" w:type="dxa"/>
          <w:bottom w:w="0" w:type="nil"/>
          <w:right w:w="115" w:type="dxa"/>
        </w:tcMar>
      </w:tcPr>
    </w:tblStylePr>
    <w:tblStylePr w:type="neCell">
      <w:pPr>
        <w:contextualSpacing/>
      </w:pPr>
      <w:tblPr/>
      <w:tcPr>
        <w:tcBorders>
          <w:left w:val="nil"/>
        </w:tcBorders>
        <w:tcMar>
          <w:top w:w="0" w:type="nil"/>
          <w:left w:w="115" w:type="dxa"/>
          <w:bottom w:w="0" w:type="nil"/>
          <w:right w:w="115" w:type="dxa"/>
        </w:tcMar>
      </w:tcPr>
    </w:tblStylePr>
    <w:tblStylePr w:type="nwCell">
      <w:pPr>
        <w:contextualSpacing/>
      </w:pPr>
      <w:tblPr/>
      <w:tcPr>
        <w:tcBorders>
          <w:right w:val="nil"/>
        </w:tcBorders>
        <w:tcMar>
          <w:top w:w="0" w:type="nil"/>
          <w:left w:w="115" w:type="dxa"/>
          <w:bottom w:w="0" w:type="nil"/>
          <w:right w:w="115" w:type="dxa"/>
        </w:tcMar>
      </w:tcPr>
    </w:tblStylePr>
  </w:style>
  <w:style w:type="table" w:customStyle="1" w:styleId="53">
    <w:name w:val="53"/>
    <w:basedOn w:val="TableNormal"/>
    <w:rsid w:val="00BD375B"/>
    <w:rPr>
      <w:color w:val="7B7B7B"/>
    </w:rPr>
    <w:tblPr>
      <w:tblStyleRowBandSize w:val="1"/>
      <w:tblStyleColBandSize w:val="1"/>
      <w:tblCellMar>
        <w:left w:w="115" w:type="dxa"/>
        <w:right w:w="115" w:type="dxa"/>
      </w:tblCellMar>
    </w:tblPr>
    <w:tblStylePr w:type="firstRow">
      <w:pPr>
        <w:contextualSpacing/>
      </w:pPr>
      <w:rPr>
        <w:b/>
      </w:rPr>
      <w:tblPr/>
      <w:tcPr>
        <w:tcBorders>
          <w:bottom w:val="single" w:sz="4" w:space="0" w:color="A5A5A5"/>
        </w:tcBorders>
        <w:tcMar>
          <w:top w:w="0" w:type="nil"/>
          <w:left w:w="115" w:type="dxa"/>
          <w:bottom w:w="0" w:type="nil"/>
          <w:right w:w="115" w:type="dxa"/>
        </w:tcMar>
      </w:tcPr>
    </w:tblStylePr>
    <w:tblStylePr w:type="lastRow">
      <w:pPr>
        <w:contextualSpacing/>
      </w:pPr>
      <w:rPr>
        <w:b/>
      </w:rPr>
      <w:tblPr/>
      <w:tcPr>
        <w:tcBorders>
          <w:top w:val="single" w:sz="4" w:space="0" w:color="A5A5A5"/>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EDEDED"/>
        <w:tcMar>
          <w:top w:w="0" w:type="nil"/>
          <w:left w:w="115" w:type="dxa"/>
          <w:bottom w:w="0" w:type="nil"/>
          <w:right w:w="115" w:type="dxa"/>
        </w:tcMar>
      </w:tcPr>
    </w:tblStylePr>
    <w:tblStylePr w:type="band1Horz">
      <w:pPr>
        <w:contextualSpacing/>
      </w:pPr>
      <w:tblPr/>
      <w:tcPr>
        <w:shd w:val="clear" w:color="auto" w:fill="EDEDED"/>
        <w:tcMar>
          <w:top w:w="0" w:type="nil"/>
          <w:left w:w="115" w:type="dxa"/>
          <w:bottom w:w="0" w:type="nil"/>
          <w:right w:w="115" w:type="dxa"/>
        </w:tcMar>
      </w:tcPr>
    </w:tblStylePr>
  </w:style>
  <w:style w:type="table" w:customStyle="1" w:styleId="TableGrid8">
    <w:name w:val="Table Grid8"/>
    <w:basedOn w:val="TableNormal"/>
    <w:next w:val="TableGrid"/>
    <w:uiPriority w:val="39"/>
    <w:rsid w:val="00B46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54"/>
    <w:basedOn w:val="TableNormal"/>
    <w:rsid w:val="00B46BBA"/>
    <w:tblPr>
      <w:tblStyleRowBandSize w:val="1"/>
      <w:tblStyleColBandSize w:val="1"/>
      <w:tblCellMar>
        <w:left w:w="115" w:type="dxa"/>
        <w:right w:w="115" w:type="dxa"/>
      </w:tblCellMar>
    </w:tblPr>
  </w:style>
  <w:style w:type="table" w:customStyle="1" w:styleId="TableGrid12">
    <w:name w:val="Table Grid12"/>
    <w:basedOn w:val="TableNormal"/>
    <w:next w:val="TableGrid"/>
    <w:uiPriority w:val="39"/>
    <w:rsid w:val="00B46B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46B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531"/>
    <w:basedOn w:val="TableNormal"/>
    <w:rsid w:val="00947CE1"/>
    <w:rPr>
      <w:color w:val="7B7B7B"/>
    </w:rPr>
    <w:tblPr>
      <w:tblStyleRowBandSize w:val="1"/>
      <w:tblStyleColBandSize w:val="1"/>
      <w:tblCellMar>
        <w:left w:w="115" w:type="dxa"/>
        <w:right w:w="115" w:type="dxa"/>
      </w:tblCellMar>
    </w:tblPr>
    <w:tblStylePr w:type="firstRow">
      <w:pPr>
        <w:contextualSpacing/>
      </w:pPr>
      <w:rPr>
        <w:b/>
      </w:rPr>
      <w:tblPr/>
      <w:tcPr>
        <w:tcBorders>
          <w:bottom w:val="single" w:sz="4" w:space="0" w:color="A5A5A5"/>
        </w:tcBorders>
        <w:tcMar>
          <w:top w:w="0" w:type="nil"/>
          <w:left w:w="115" w:type="dxa"/>
          <w:bottom w:w="0" w:type="nil"/>
          <w:right w:w="115" w:type="dxa"/>
        </w:tcMar>
      </w:tcPr>
    </w:tblStylePr>
    <w:tblStylePr w:type="lastRow">
      <w:pPr>
        <w:contextualSpacing/>
      </w:pPr>
      <w:rPr>
        <w:b/>
      </w:rPr>
      <w:tblPr/>
      <w:tcPr>
        <w:tcBorders>
          <w:top w:val="single" w:sz="4" w:space="0" w:color="A5A5A5"/>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shd w:val="clear" w:color="auto" w:fill="EDEDED"/>
        <w:tcMar>
          <w:top w:w="0" w:type="nil"/>
          <w:left w:w="115" w:type="dxa"/>
          <w:bottom w:w="0" w:type="nil"/>
          <w:right w:w="115" w:type="dxa"/>
        </w:tcMar>
      </w:tcPr>
    </w:tblStylePr>
    <w:tblStylePr w:type="band1Horz">
      <w:pPr>
        <w:contextualSpacing/>
      </w:pPr>
      <w:tblPr/>
      <w:tcPr>
        <w:shd w:val="clear" w:color="auto" w:fill="EDEDED"/>
        <w:tcMar>
          <w:top w:w="0" w:type="nil"/>
          <w:left w:w="115" w:type="dxa"/>
          <w:bottom w:w="0" w:type="nil"/>
          <w:right w:w="115" w:type="dxa"/>
        </w:tcMar>
      </w:tcPr>
    </w:tblStylePr>
  </w:style>
  <w:style w:type="table" w:customStyle="1" w:styleId="PlainTable41">
    <w:name w:val="Plain Table 41"/>
    <w:basedOn w:val="TableNormal"/>
    <w:uiPriority w:val="44"/>
    <w:rsid w:val="00A0245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OC5">
    <w:name w:val="toc 5"/>
    <w:basedOn w:val="Normal"/>
    <w:next w:val="Normal"/>
    <w:autoRedefine/>
    <w:uiPriority w:val="39"/>
    <w:unhideWhenUsed/>
    <w:rsid w:val="003F77D5"/>
    <w:pPr>
      <w:pBdr>
        <w:top w:val="none" w:sz="0" w:space="0" w:color="auto"/>
        <w:left w:val="none" w:sz="0" w:space="0" w:color="auto"/>
        <w:bottom w:val="none" w:sz="0" w:space="0" w:color="auto"/>
        <w:right w:val="none" w:sz="0" w:space="0" w:color="auto"/>
        <w:between w:val="none" w:sz="0" w:space="0" w:color="auto"/>
      </w:pBdr>
      <w:spacing w:after="100" w:line="259" w:lineRule="auto"/>
      <w:ind w:left="880" w:firstLine="0"/>
    </w:pPr>
    <w:rPr>
      <w:rFonts w:ascii="Cambria" w:eastAsia="MS Mincho" w:hAnsi="Cambria"/>
      <w:color w:val="auto"/>
      <w:lang w:eastAsia="zh-CN"/>
    </w:rPr>
  </w:style>
  <w:style w:type="paragraph" w:styleId="TOC6">
    <w:name w:val="toc 6"/>
    <w:basedOn w:val="Normal"/>
    <w:next w:val="Normal"/>
    <w:autoRedefine/>
    <w:uiPriority w:val="39"/>
    <w:unhideWhenUsed/>
    <w:rsid w:val="003F77D5"/>
    <w:pPr>
      <w:pBdr>
        <w:top w:val="none" w:sz="0" w:space="0" w:color="auto"/>
        <w:left w:val="none" w:sz="0" w:space="0" w:color="auto"/>
        <w:bottom w:val="none" w:sz="0" w:space="0" w:color="auto"/>
        <w:right w:val="none" w:sz="0" w:space="0" w:color="auto"/>
        <w:between w:val="none" w:sz="0" w:space="0" w:color="auto"/>
      </w:pBdr>
      <w:spacing w:after="100" w:line="259" w:lineRule="auto"/>
      <w:ind w:left="1100" w:firstLine="0"/>
    </w:pPr>
    <w:rPr>
      <w:rFonts w:ascii="Cambria" w:eastAsia="MS Mincho" w:hAnsi="Cambria"/>
      <w:color w:val="auto"/>
      <w:lang w:eastAsia="zh-CN"/>
    </w:rPr>
  </w:style>
  <w:style w:type="paragraph" w:styleId="TOC7">
    <w:name w:val="toc 7"/>
    <w:basedOn w:val="Normal"/>
    <w:next w:val="Normal"/>
    <w:autoRedefine/>
    <w:uiPriority w:val="39"/>
    <w:unhideWhenUsed/>
    <w:rsid w:val="003F77D5"/>
    <w:pPr>
      <w:pBdr>
        <w:top w:val="none" w:sz="0" w:space="0" w:color="auto"/>
        <w:left w:val="none" w:sz="0" w:space="0" w:color="auto"/>
        <w:bottom w:val="none" w:sz="0" w:space="0" w:color="auto"/>
        <w:right w:val="none" w:sz="0" w:space="0" w:color="auto"/>
        <w:between w:val="none" w:sz="0" w:space="0" w:color="auto"/>
      </w:pBdr>
      <w:spacing w:after="100" w:line="259" w:lineRule="auto"/>
      <w:ind w:left="1320" w:firstLine="0"/>
    </w:pPr>
    <w:rPr>
      <w:rFonts w:ascii="Cambria" w:eastAsia="MS Mincho" w:hAnsi="Cambria"/>
      <w:color w:val="auto"/>
      <w:lang w:eastAsia="zh-CN"/>
    </w:rPr>
  </w:style>
  <w:style w:type="paragraph" w:styleId="TOC8">
    <w:name w:val="toc 8"/>
    <w:basedOn w:val="Normal"/>
    <w:next w:val="Normal"/>
    <w:autoRedefine/>
    <w:uiPriority w:val="39"/>
    <w:unhideWhenUsed/>
    <w:rsid w:val="003F77D5"/>
    <w:pPr>
      <w:pBdr>
        <w:top w:val="none" w:sz="0" w:space="0" w:color="auto"/>
        <w:left w:val="none" w:sz="0" w:space="0" w:color="auto"/>
        <w:bottom w:val="none" w:sz="0" w:space="0" w:color="auto"/>
        <w:right w:val="none" w:sz="0" w:space="0" w:color="auto"/>
        <w:between w:val="none" w:sz="0" w:space="0" w:color="auto"/>
      </w:pBdr>
      <w:spacing w:after="100" w:line="259" w:lineRule="auto"/>
      <w:ind w:left="1540" w:firstLine="0"/>
    </w:pPr>
    <w:rPr>
      <w:rFonts w:ascii="Cambria" w:eastAsia="MS Mincho" w:hAnsi="Cambria"/>
      <w:color w:val="auto"/>
      <w:lang w:eastAsia="zh-CN"/>
    </w:rPr>
  </w:style>
  <w:style w:type="paragraph" w:styleId="TOC9">
    <w:name w:val="toc 9"/>
    <w:basedOn w:val="Normal"/>
    <w:next w:val="Normal"/>
    <w:autoRedefine/>
    <w:uiPriority w:val="39"/>
    <w:unhideWhenUsed/>
    <w:rsid w:val="003F77D5"/>
    <w:pPr>
      <w:pBdr>
        <w:top w:val="none" w:sz="0" w:space="0" w:color="auto"/>
        <w:left w:val="none" w:sz="0" w:space="0" w:color="auto"/>
        <w:bottom w:val="none" w:sz="0" w:space="0" w:color="auto"/>
        <w:right w:val="none" w:sz="0" w:space="0" w:color="auto"/>
        <w:between w:val="none" w:sz="0" w:space="0" w:color="auto"/>
      </w:pBdr>
      <w:spacing w:after="100" w:line="259" w:lineRule="auto"/>
      <w:ind w:left="1760" w:firstLine="0"/>
    </w:pPr>
    <w:rPr>
      <w:rFonts w:ascii="Cambria" w:eastAsia="MS Mincho" w:hAnsi="Cambria"/>
      <w:color w:val="auto"/>
      <w:lang w:eastAsia="zh-CN"/>
    </w:rPr>
  </w:style>
  <w:style w:type="table" w:customStyle="1" w:styleId="TableGridLight1">
    <w:name w:val="Table Grid Light1"/>
    <w:basedOn w:val="TableNormal"/>
    <w:uiPriority w:val="40"/>
    <w:rsid w:val="00BE672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ption">
    <w:name w:val="caption"/>
    <w:basedOn w:val="Normal"/>
    <w:next w:val="Normal"/>
    <w:uiPriority w:val="35"/>
    <w:unhideWhenUsed/>
    <w:qFormat/>
    <w:rsid w:val="000F05C1"/>
    <w:pPr>
      <w:spacing w:after="200" w:line="240" w:lineRule="auto"/>
    </w:pPr>
    <w:rPr>
      <w:i/>
      <w:iCs/>
      <w:color w:val="1F497D"/>
      <w:sz w:val="18"/>
      <w:szCs w:val="18"/>
    </w:rPr>
  </w:style>
  <w:style w:type="character" w:styleId="FollowedHyperlink">
    <w:name w:val="FollowedHyperlink"/>
    <w:uiPriority w:val="99"/>
    <w:semiHidden/>
    <w:unhideWhenUsed/>
    <w:rsid w:val="00F049FB"/>
    <w:rPr>
      <w:color w:val="800080"/>
      <w:u w:val="single"/>
    </w:rPr>
  </w:style>
  <w:style w:type="table" w:customStyle="1" w:styleId="TableGrid9">
    <w:name w:val="Table Grid9"/>
    <w:basedOn w:val="TableNormal"/>
    <w:next w:val="TableGrid"/>
    <w:uiPriority w:val="39"/>
    <w:rsid w:val="003E3D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85A2E"/>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firstLine="0"/>
    </w:pPr>
    <w:rPr>
      <w:rFonts w:ascii="Times New Roman" w:eastAsia="Times New Roman" w:hAnsi="Times New Roman" w:cs="Times New Roman"/>
      <w:color w:val="auto"/>
      <w:lang w:val="en-US" w:eastAsia="en-US"/>
    </w:rPr>
  </w:style>
  <w:style w:type="character" w:customStyle="1" w:styleId="BodyTextChar">
    <w:name w:val="Body Text Char"/>
    <w:link w:val="BodyText"/>
    <w:uiPriority w:val="1"/>
    <w:rsid w:val="00985A2E"/>
    <w:rPr>
      <w:rFonts w:ascii="Times New Roman" w:eastAsia="Times New Roman" w:hAnsi="Times New Roman" w:cs="Times New Roman"/>
      <w:sz w:val="22"/>
      <w:szCs w:val="22"/>
      <w:lang w:val="en-US" w:eastAsia="en-US"/>
    </w:rPr>
  </w:style>
  <w:style w:type="paragraph" w:styleId="FootnoteText">
    <w:name w:val="footnote text"/>
    <w:basedOn w:val="Normal"/>
    <w:link w:val="FootnoteTextChar"/>
    <w:uiPriority w:val="99"/>
    <w:semiHidden/>
    <w:unhideWhenUsed/>
    <w:rsid w:val="000F1616"/>
    <w:pPr>
      <w:pBdr>
        <w:top w:val="none" w:sz="0" w:space="0" w:color="auto"/>
        <w:left w:val="none" w:sz="0" w:space="0" w:color="auto"/>
        <w:bottom w:val="none" w:sz="0" w:space="0" w:color="auto"/>
        <w:right w:val="none" w:sz="0" w:space="0" w:color="auto"/>
        <w:between w:val="none" w:sz="0" w:space="0" w:color="auto"/>
      </w:pBdr>
      <w:spacing w:after="0" w:line="240" w:lineRule="auto"/>
      <w:ind w:firstLine="0"/>
    </w:pPr>
    <w:rPr>
      <w:rFonts w:ascii="Cambria" w:eastAsia="MS Mincho" w:hAnsi="Cambria"/>
      <w:color w:val="auto"/>
      <w:sz w:val="20"/>
      <w:szCs w:val="20"/>
    </w:rPr>
  </w:style>
  <w:style w:type="character" w:customStyle="1" w:styleId="FootnoteTextChar">
    <w:name w:val="Footnote Text Char"/>
    <w:link w:val="FootnoteText"/>
    <w:uiPriority w:val="99"/>
    <w:semiHidden/>
    <w:rsid w:val="000F1616"/>
    <w:rPr>
      <w:rFonts w:ascii="Cambria" w:eastAsia="MS Mincho" w:hAnsi="Cambria" w:cs="Arial"/>
    </w:rPr>
  </w:style>
  <w:style w:type="character" w:styleId="FootnoteReference">
    <w:name w:val="footnote reference"/>
    <w:unhideWhenUsed/>
    <w:rsid w:val="000F1616"/>
    <w:rPr>
      <w:vertAlign w:val="superscript"/>
    </w:rPr>
  </w:style>
  <w:style w:type="numbering" w:customStyle="1" w:styleId="NoList4">
    <w:name w:val="No List4"/>
    <w:next w:val="NoList"/>
    <w:uiPriority w:val="99"/>
    <w:semiHidden/>
    <w:unhideWhenUsed/>
    <w:rsid w:val="00570A59"/>
  </w:style>
  <w:style w:type="paragraph" w:customStyle="1" w:styleId="THESISTITLE">
    <w:name w:val="THESIS TITLE"/>
    <w:basedOn w:val="Normal"/>
    <w:link w:val="THESISTITLEChar"/>
    <w:qFormat/>
    <w:rsid w:val="00570A59"/>
    <w:pPr>
      <w:pBdr>
        <w:top w:val="none" w:sz="0" w:space="0" w:color="auto"/>
        <w:left w:val="none" w:sz="0" w:space="0" w:color="auto"/>
        <w:bottom w:val="none" w:sz="0" w:space="0" w:color="auto"/>
        <w:right w:val="none" w:sz="0" w:space="0" w:color="auto"/>
        <w:between w:val="none" w:sz="0" w:space="0" w:color="auto"/>
      </w:pBdr>
      <w:ind w:firstLine="0"/>
    </w:pPr>
    <w:rPr>
      <w:rFonts w:eastAsia="Calibri"/>
      <w:b/>
      <w:bCs/>
      <w:color w:val="auto"/>
      <w:sz w:val="32"/>
      <w:szCs w:val="32"/>
      <w:lang w:eastAsia="en-US"/>
    </w:rPr>
  </w:style>
  <w:style w:type="character" w:customStyle="1" w:styleId="THESISTITLEChar">
    <w:name w:val="THESIS TITLE Char"/>
    <w:link w:val="THESISTITLE"/>
    <w:rsid w:val="00570A59"/>
    <w:rPr>
      <w:rFonts w:eastAsia="Calibri"/>
      <w:b/>
      <w:bCs/>
      <w:sz w:val="32"/>
      <w:szCs w:val="32"/>
      <w:lang w:eastAsia="en-US"/>
    </w:rPr>
  </w:style>
  <w:style w:type="character" w:customStyle="1" w:styleId="st">
    <w:name w:val="st"/>
    <w:basedOn w:val="DefaultParagraphFont"/>
    <w:rsid w:val="00570A59"/>
  </w:style>
  <w:style w:type="character" w:customStyle="1" w:styleId="fontstyle01">
    <w:name w:val="fontstyle01"/>
    <w:rsid w:val="00570A59"/>
    <w:rPr>
      <w:rFonts w:ascii="AdvOT863180fb" w:hAnsi="AdvOT863180fb" w:hint="default"/>
      <w:b w:val="0"/>
      <w:bCs w:val="0"/>
      <w:i w:val="0"/>
      <w:iCs w:val="0"/>
      <w:color w:val="000000"/>
      <w:sz w:val="16"/>
      <w:szCs w:val="16"/>
    </w:rPr>
  </w:style>
  <w:style w:type="character" w:customStyle="1" w:styleId="ref-lnk">
    <w:name w:val="ref-lnk"/>
    <w:basedOn w:val="DefaultParagraphFont"/>
    <w:rsid w:val="00570A59"/>
  </w:style>
  <w:style w:type="character" w:customStyle="1" w:styleId="ref-overlay">
    <w:name w:val="ref-overlay"/>
    <w:basedOn w:val="DefaultParagraphFont"/>
    <w:rsid w:val="00570A59"/>
  </w:style>
  <w:style w:type="character" w:customStyle="1" w:styleId="hlfld-contribauthor">
    <w:name w:val="hlfld-contribauthor"/>
    <w:basedOn w:val="DefaultParagraphFont"/>
    <w:rsid w:val="00570A59"/>
  </w:style>
  <w:style w:type="character" w:customStyle="1" w:styleId="nlmgiven-names">
    <w:name w:val="nlm_given-names"/>
    <w:basedOn w:val="DefaultParagraphFont"/>
    <w:rsid w:val="00570A59"/>
  </w:style>
  <w:style w:type="character" w:customStyle="1" w:styleId="nlmyear">
    <w:name w:val="nlm_year"/>
    <w:basedOn w:val="DefaultParagraphFont"/>
    <w:rsid w:val="00570A59"/>
  </w:style>
  <w:style w:type="character" w:customStyle="1" w:styleId="nlmarticle-title">
    <w:name w:val="nlm_article-title"/>
    <w:basedOn w:val="DefaultParagraphFont"/>
    <w:rsid w:val="00570A59"/>
  </w:style>
  <w:style w:type="character" w:customStyle="1" w:styleId="nlmedition">
    <w:name w:val="nlm_edition"/>
    <w:basedOn w:val="DefaultParagraphFont"/>
    <w:rsid w:val="00570A59"/>
  </w:style>
  <w:style w:type="character" w:customStyle="1" w:styleId="nlmfpage">
    <w:name w:val="nlm_fpage"/>
    <w:basedOn w:val="DefaultParagraphFont"/>
    <w:rsid w:val="00570A59"/>
  </w:style>
  <w:style w:type="character" w:customStyle="1" w:styleId="nlmlpage">
    <w:name w:val="nlm_lpage"/>
    <w:basedOn w:val="DefaultParagraphFont"/>
    <w:rsid w:val="00570A59"/>
  </w:style>
  <w:style w:type="character" w:customStyle="1" w:styleId="nlmnamed-content">
    <w:name w:val="nlm_named-content"/>
    <w:basedOn w:val="DefaultParagraphFont"/>
    <w:rsid w:val="00570A59"/>
  </w:style>
  <w:style w:type="character" w:customStyle="1" w:styleId="nlmpublisher-name">
    <w:name w:val="nlm_publisher-name"/>
    <w:basedOn w:val="DefaultParagraphFont"/>
    <w:rsid w:val="00570A59"/>
  </w:style>
  <w:style w:type="character" w:customStyle="1" w:styleId="ref-links">
    <w:name w:val="ref-links"/>
    <w:basedOn w:val="DefaultParagraphFont"/>
    <w:rsid w:val="00570A59"/>
  </w:style>
  <w:style w:type="character" w:customStyle="1" w:styleId="xlinks-container">
    <w:name w:val="xlinks-container"/>
    <w:basedOn w:val="DefaultParagraphFont"/>
    <w:rsid w:val="00570A59"/>
  </w:style>
  <w:style w:type="character" w:customStyle="1" w:styleId="googlescholar-container">
    <w:name w:val="googlescholar-container"/>
    <w:basedOn w:val="DefaultParagraphFont"/>
    <w:rsid w:val="00570A59"/>
  </w:style>
  <w:style w:type="character" w:customStyle="1" w:styleId="nlmpub-id">
    <w:name w:val="nlm_pub-id"/>
    <w:basedOn w:val="DefaultParagraphFont"/>
    <w:rsid w:val="00570A59"/>
  </w:style>
  <w:style w:type="paragraph" w:styleId="NormalWeb">
    <w:name w:val="Normal (Web)"/>
    <w:basedOn w:val="Normal"/>
    <w:uiPriority w:val="99"/>
    <w:unhideWhenUsed/>
    <w:rsid w:val="00570A5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table" w:customStyle="1" w:styleId="TableGrid10">
    <w:name w:val="Table Grid10"/>
    <w:basedOn w:val="TableNormal"/>
    <w:next w:val="TableGrid"/>
    <w:uiPriority w:val="59"/>
    <w:rsid w:val="00570A59"/>
    <w:rPr>
      <w:rFonts w:ascii="Calibri" w:eastAsia="Times New Roman"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70A59"/>
  </w:style>
  <w:style w:type="character" w:customStyle="1" w:styleId="titles-title">
    <w:name w:val="titles-title"/>
    <w:basedOn w:val="DefaultParagraphFont"/>
    <w:rsid w:val="00570A59"/>
  </w:style>
  <w:style w:type="character" w:styleId="Emphasis">
    <w:name w:val="Emphasis"/>
    <w:uiPriority w:val="20"/>
    <w:qFormat/>
    <w:rsid w:val="00570A59"/>
    <w:rPr>
      <w:i/>
      <w:iCs/>
    </w:rPr>
  </w:style>
  <w:style w:type="character" w:customStyle="1" w:styleId="fontstyle11">
    <w:name w:val="fontstyle11"/>
    <w:rsid w:val="00570A59"/>
    <w:rPr>
      <w:rFonts w:ascii="AdvOT46dcae81+fb" w:hAnsi="AdvOT46dcae81+fb" w:hint="default"/>
      <w:b w:val="0"/>
      <w:bCs w:val="0"/>
      <w:i w:val="0"/>
      <w:iCs w:val="0"/>
      <w:color w:val="000000"/>
      <w:sz w:val="18"/>
      <w:szCs w:val="18"/>
    </w:rPr>
  </w:style>
  <w:style w:type="numbering" w:customStyle="1" w:styleId="NoList11">
    <w:name w:val="No List11"/>
    <w:next w:val="NoList"/>
    <w:uiPriority w:val="99"/>
    <w:semiHidden/>
    <w:unhideWhenUsed/>
    <w:rsid w:val="00570A59"/>
  </w:style>
  <w:style w:type="paragraph" w:customStyle="1" w:styleId="Chapters">
    <w:name w:val="Chapters"/>
    <w:basedOn w:val="Normal"/>
    <w:link w:val="ChaptersChar"/>
    <w:qFormat/>
    <w:rsid w:val="00570A59"/>
    <w:pPr>
      <w:pBdr>
        <w:top w:val="none" w:sz="0" w:space="0" w:color="auto"/>
        <w:left w:val="none" w:sz="0" w:space="0" w:color="auto"/>
        <w:bottom w:val="none" w:sz="0" w:space="0" w:color="auto"/>
        <w:right w:val="none" w:sz="0" w:space="0" w:color="auto"/>
        <w:between w:val="none" w:sz="0" w:space="0" w:color="auto"/>
      </w:pBdr>
      <w:tabs>
        <w:tab w:val="left" w:pos="4065"/>
      </w:tabs>
      <w:spacing w:after="0" w:line="480" w:lineRule="auto"/>
      <w:ind w:firstLine="0"/>
      <w:jc w:val="center"/>
    </w:pPr>
    <w:rPr>
      <w:rFonts w:ascii="Times New Roman" w:eastAsia="SimSun" w:hAnsi="Times New Roman" w:cs="Times New Roman"/>
      <w:b/>
      <w:bCs/>
      <w:color w:val="auto"/>
      <w:sz w:val="32"/>
      <w:szCs w:val="32"/>
      <w:lang w:eastAsia="zh-CN"/>
    </w:rPr>
  </w:style>
  <w:style w:type="paragraph" w:customStyle="1" w:styleId="Sub-titles">
    <w:name w:val="Sub-titles"/>
    <w:basedOn w:val="Normal"/>
    <w:link w:val="Sub-titlesChar"/>
    <w:qFormat/>
    <w:rsid w:val="00570A59"/>
    <w:pPr>
      <w:pBdr>
        <w:top w:val="none" w:sz="0" w:space="0" w:color="auto"/>
        <w:left w:val="none" w:sz="0" w:space="0" w:color="auto"/>
        <w:bottom w:val="none" w:sz="0" w:space="0" w:color="auto"/>
        <w:right w:val="none" w:sz="0" w:space="0" w:color="auto"/>
        <w:between w:val="none" w:sz="0" w:space="0" w:color="auto"/>
      </w:pBdr>
      <w:tabs>
        <w:tab w:val="left" w:pos="851"/>
      </w:tabs>
      <w:ind w:firstLine="851"/>
      <w:jc w:val="center"/>
    </w:pPr>
    <w:rPr>
      <w:rFonts w:ascii="Times New Roman" w:eastAsia="SimSun" w:hAnsi="Times New Roman" w:cs="Times New Roman"/>
      <w:b/>
      <w:bCs/>
      <w:color w:val="auto"/>
      <w:sz w:val="24"/>
      <w:szCs w:val="24"/>
      <w:lang w:eastAsia="zh-CN"/>
    </w:rPr>
  </w:style>
  <w:style w:type="character" w:customStyle="1" w:styleId="ChaptersChar">
    <w:name w:val="Chapters Char"/>
    <w:link w:val="Chapters"/>
    <w:rsid w:val="00570A59"/>
    <w:rPr>
      <w:rFonts w:ascii="Times New Roman" w:eastAsia="SimSun" w:hAnsi="Times New Roman" w:cs="Times New Roman"/>
      <w:b/>
      <w:bCs/>
      <w:sz w:val="32"/>
      <w:szCs w:val="32"/>
      <w:lang w:eastAsia="zh-CN"/>
    </w:rPr>
  </w:style>
  <w:style w:type="character" w:customStyle="1" w:styleId="Sub-titlesChar">
    <w:name w:val="Sub-titles Char"/>
    <w:link w:val="Sub-titles"/>
    <w:rsid w:val="00570A59"/>
    <w:rPr>
      <w:rFonts w:ascii="Times New Roman" w:eastAsia="SimSun" w:hAnsi="Times New Roman" w:cs="Times New Roman"/>
      <w:b/>
      <w:bCs/>
      <w:sz w:val="24"/>
      <w:szCs w:val="24"/>
      <w:lang w:eastAsia="zh-CN"/>
    </w:rPr>
  </w:style>
  <w:style w:type="paragraph" w:customStyle="1" w:styleId="Title1">
    <w:name w:val="Title1"/>
    <w:basedOn w:val="Chapters"/>
    <w:link w:val="TITLEChar0"/>
    <w:qFormat/>
    <w:rsid w:val="00570A59"/>
    <w:pPr>
      <w:spacing w:after="160" w:line="360" w:lineRule="auto"/>
    </w:pPr>
  </w:style>
  <w:style w:type="character" w:customStyle="1" w:styleId="TITLEChar0">
    <w:name w:val="TITLE Char"/>
    <w:link w:val="Title1"/>
    <w:rsid w:val="00570A59"/>
    <w:rPr>
      <w:rFonts w:ascii="Times New Roman" w:eastAsia="SimSun" w:hAnsi="Times New Roman" w:cs="Times New Roman"/>
      <w:b/>
      <w:bCs/>
      <w:sz w:val="32"/>
      <w:szCs w:val="32"/>
      <w:lang w:eastAsia="zh-CN"/>
    </w:rPr>
  </w:style>
  <w:style w:type="numbering" w:customStyle="1" w:styleId="NoList21">
    <w:name w:val="No List21"/>
    <w:next w:val="NoList"/>
    <w:uiPriority w:val="99"/>
    <w:semiHidden/>
    <w:unhideWhenUsed/>
    <w:rsid w:val="00570A59"/>
  </w:style>
  <w:style w:type="paragraph" w:styleId="Date">
    <w:name w:val="Date"/>
    <w:basedOn w:val="Normal"/>
    <w:next w:val="Normal"/>
    <w:link w:val="DateChar"/>
    <w:uiPriority w:val="99"/>
    <w:semiHidden/>
    <w:unhideWhenUsed/>
    <w:rsid w:val="00570A59"/>
    <w:pPr>
      <w:pBdr>
        <w:top w:val="none" w:sz="0" w:space="0" w:color="auto"/>
        <w:left w:val="none" w:sz="0" w:space="0" w:color="auto"/>
        <w:bottom w:val="none" w:sz="0" w:space="0" w:color="auto"/>
        <w:right w:val="none" w:sz="0" w:space="0" w:color="auto"/>
        <w:between w:val="none" w:sz="0" w:space="0" w:color="auto"/>
      </w:pBdr>
      <w:spacing w:line="259" w:lineRule="auto"/>
      <w:ind w:firstLine="0"/>
    </w:pPr>
    <w:rPr>
      <w:rFonts w:ascii="Calibri" w:eastAsia="Calibri" w:hAnsi="Calibri" w:cs="Times New Roman"/>
      <w:color w:val="auto"/>
      <w:lang w:eastAsia="en-US"/>
    </w:rPr>
  </w:style>
  <w:style w:type="character" w:customStyle="1" w:styleId="DateChar">
    <w:name w:val="Date Char"/>
    <w:link w:val="Date"/>
    <w:uiPriority w:val="99"/>
    <w:semiHidden/>
    <w:rsid w:val="00570A59"/>
    <w:rPr>
      <w:rFonts w:ascii="Calibri" w:eastAsia="Calibri" w:hAnsi="Calibri" w:cs="Times New Roman"/>
      <w:sz w:val="22"/>
      <w:szCs w:val="22"/>
      <w:lang w:eastAsia="en-US"/>
    </w:rPr>
  </w:style>
  <w:style w:type="character" w:customStyle="1" w:styleId="gi">
    <w:name w:val="gi"/>
    <w:rsid w:val="00570A59"/>
  </w:style>
  <w:style w:type="character" w:customStyle="1" w:styleId="current-selection">
    <w:name w:val="current-selection"/>
    <w:rsid w:val="00570A59"/>
  </w:style>
  <w:style w:type="character" w:customStyle="1" w:styleId="a">
    <w:name w:val="_"/>
    <w:rsid w:val="00570A59"/>
  </w:style>
  <w:style w:type="paragraph" w:customStyle="1" w:styleId="ColorfulShading-Accent11">
    <w:name w:val="Colorful Shading - Accent 11"/>
    <w:hidden/>
    <w:uiPriority w:val="71"/>
    <w:rsid w:val="00570A59"/>
    <w:rPr>
      <w:rFonts w:ascii="Calibri" w:eastAsia="Calibri" w:hAnsi="Calibri" w:cs="Times New Roman"/>
      <w:sz w:val="22"/>
      <w:szCs w:val="22"/>
      <w:lang w:val="en-GB" w:eastAsia="en-US"/>
    </w:rPr>
  </w:style>
  <w:style w:type="character" w:customStyle="1" w:styleId="highlight">
    <w:name w:val="highlight"/>
    <w:basedOn w:val="DefaultParagraphFont"/>
    <w:rsid w:val="00570A59"/>
  </w:style>
  <w:style w:type="character" w:customStyle="1" w:styleId="e24kjd">
    <w:name w:val="e24kjd"/>
    <w:basedOn w:val="DefaultParagraphFont"/>
    <w:rsid w:val="00570A59"/>
  </w:style>
  <w:style w:type="numbering" w:customStyle="1" w:styleId="NoList31">
    <w:name w:val="No List31"/>
    <w:next w:val="NoList"/>
    <w:uiPriority w:val="99"/>
    <w:semiHidden/>
    <w:unhideWhenUsed/>
    <w:rsid w:val="00570A59"/>
  </w:style>
  <w:style w:type="character" w:customStyle="1" w:styleId="UnresolvedMention1">
    <w:name w:val="Unresolved Mention1"/>
    <w:uiPriority w:val="99"/>
    <w:semiHidden/>
    <w:unhideWhenUsed/>
    <w:rsid w:val="00570A59"/>
    <w:rPr>
      <w:color w:val="605E5C"/>
      <w:shd w:val="clear" w:color="auto" w:fill="E1DFDD"/>
    </w:rPr>
  </w:style>
  <w:style w:type="character" w:customStyle="1" w:styleId="citationref">
    <w:name w:val="citationref"/>
    <w:basedOn w:val="DefaultParagraphFont"/>
    <w:rsid w:val="00570A59"/>
  </w:style>
  <w:style w:type="paragraph" w:customStyle="1" w:styleId="TITLETHESIS">
    <w:name w:val="TITLE THESIS"/>
    <w:basedOn w:val="Heading1"/>
    <w:link w:val="TITLETHESISChar"/>
    <w:qFormat/>
    <w:rsid w:val="00570A59"/>
    <w:pPr>
      <w:spacing w:before="100" w:beforeAutospacing="1" w:after="0" w:line="240" w:lineRule="auto"/>
      <w:jc w:val="left"/>
    </w:pPr>
    <w:rPr>
      <w:szCs w:val="32"/>
    </w:rPr>
  </w:style>
  <w:style w:type="character" w:customStyle="1" w:styleId="TITLETHESISChar">
    <w:name w:val="TITLE THESIS Char"/>
    <w:link w:val="TITLETHESIS"/>
    <w:rsid w:val="00570A59"/>
    <w:rPr>
      <w:b/>
      <w:color w:val="000000"/>
      <w:sz w:val="32"/>
      <w:szCs w:val="32"/>
      <w:lang w:eastAsia="en-US"/>
    </w:rPr>
  </w:style>
  <w:style w:type="paragraph" w:customStyle="1" w:styleId="Subheadingthesis">
    <w:name w:val="Subheading thesis"/>
    <w:basedOn w:val="Normal"/>
    <w:link w:val="SubheadingthesisChar"/>
    <w:qFormat/>
    <w:rsid w:val="00570A59"/>
    <w:pPr>
      <w:pBdr>
        <w:top w:val="none" w:sz="0" w:space="0" w:color="auto"/>
        <w:left w:val="none" w:sz="0" w:space="0" w:color="auto"/>
        <w:bottom w:val="none" w:sz="0" w:space="0" w:color="auto"/>
        <w:right w:val="none" w:sz="0" w:space="0" w:color="auto"/>
        <w:between w:val="none" w:sz="0" w:space="0" w:color="auto"/>
      </w:pBdr>
      <w:ind w:firstLine="0"/>
      <w:jc w:val="center"/>
    </w:pPr>
    <w:rPr>
      <w:rFonts w:eastAsia="Calibri"/>
      <w:b/>
      <w:bCs/>
      <w:color w:val="auto"/>
      <w:lang w:eastAsia="en-US"/>
    </w:rPr>
  </w:style>
  <w:style w:type="character" w:customStyle="1" w:styleId="SubheadingthesisChar">
    <w:name w:val="Subheading thesis Char"/>
    <w:link w:val="Subheadingthesis"/>
    <w:rsid w:val="00570A59"/>
    <w:rPr>
      <w:rFonts w:eastAsia="Calibri"/>
      <w:b/>
      <w:bCs/>
      <w:sz w:val="22"/>
      <w:szCs w:val="22"/>
      <w:lang w:eastAsia="en-US"/>
    </w:rPr>
  </w:style>
  <w:style w:type="character" w:customStyle="1" w:styleId="UnresolvedMention2">
    <w:name w:val="Unresolved Mention2"/>
    <w:uiPriority w:val="99"/>
    <w:semiHidden/>
    <w:unhideWhenUsed/>
    <w:rsid w:val="00744EC4"/>
    <w:rPr>
      <w:color w:val="605E5C"/>
      <w:shd w:val="clear" w:color="auto" w:fill="E1DFDD"/>
    </w:rPr>
  </w:style>
  <w:style w:type="character" w:styleId="HTMLCite">
    <w:name w:val="HTML Cite"/>
    <w:uiPriority w:val="99"/>
    <w:semiHidden/>
    <w:unhideWhenUsed/>
    <w:rsid w:val="006D318E"/>
    <w:rPr>
      <w:i/>
      <w:iCs/>
    </w:rPr>
  </w:style>
  <w:style w:type="character" w:styleId="EndnoteReference">
    <w:name w:val="endnote reference"/>
    <w:basedOn w:val="DefaultParagraphFont"/>
    <w:uiPriority w:val="99"/>
    <w:semiHidden/>
    <w:unhideWhenUsed/>
    <w:rsid w:val="007B6C77"/>
    <w:rPr>
      <w:vertAlign w:val="superscript"/>
    </w:rPr>
  </w:style>
  <w:style w:type="table" w:customStyle="1" w:styleId="TableNormal1">
    <w:name w:val="Table Normal1"/>
    <w:rsid w:val="006C623E"/>
    <w:pPr>
      <w:spacing w:after="160" w:line="360" w:lineRule="auto"/>
      <w:ind w:firstLine="720"/>
    </w:pPr>
    <w:rPr>
      <w:sz w:val="22"/>
      <w:szCs w:val="22"/>
      <w:lang w:val="en-GB"/>
    </w:rPr>
    <w:tblPr>
      <w:tblCellMar>
        <w:top w:w="0" w:type="dxa"/>
        <w:left w:w="0" w:type="dxa"/>
        <w:bottom w:w="0" w:type="dxa"/>
        <w:right w:w="0" w:type="dxa"/>
      </w:tblCellMar>
    </w:tblPr>
  </w:style>
  <w:style w:type="paragraph" w:customStyle="1" w:styleId="msonormal0">
    <w:name w:val="msonormal"/>
    <w:basedOn w:val="Normal"/>
    <w:rsid w:val="004D2DC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paragraph" w:customStyle="1" w:styleId="xl63">
    <w:name w:val="xl63"/>
    <w:basedOn w:val="Normal"/>
    <w:rsid w:val="004D2DCA"/>
    <w:pPr>
      <w:pBdr>
        <w:top w:val="single" w:sz="8" w:space="0" w:color="auto"/>
        <w:left w:val="none" w:sz="0" w:space="0" w:color="auto"/>
        <w:bottom w:val="single" w:sz="8" w:space="0" w:color="auto"/>
        <w:right w:val="none" w:sz="0" w:space="0" w:color="auto"/>
        <w:between w:val="none" w:sz="0" w:space="0" w:color="auto"/>
      </w:pBdr>
      <w:spacing w:before="100" w:beforeAutospacing="1" w:after="100" w:afterAutospacing="1" w:line="240" w:lineRule="auto"/>
      <w:ind w:firstLine="0"/>
      <w:textAlignment w:val="center"/>
    </w:pPr>
    <w:rPr>
      <w:rFonts w:ascii="Times New Roman" w:eastAsia="Times New Roman" w:hAnsi="Times New Roman" w:cs="Times New Roman"/>
      <w:sz w:val="20"/>
      <w:szCs w:val="20"/>
    </w:rPr>
  </w:style>
  <w:style w:type="paragraph" w:customStyle="1" w:styleId="xl64">
    <w:name w:val="xl64"/>
    <w:basedOn w:val="Normal"/>
    <w:rsid w:val="004D2DCA"/>
    <w:pPr>
      <w:pBdr>
        <w:top w:val="none" w:sz="0" w:space="0" w:color="auto"/>
        <w:left w:val="none" w:sz="0" w:space="0" w:color="auto"/>
        <w:bottom w:val="single" w:sz="8" w:space="0" w:color="auto"/>
        <w:right w:val="none" w:sz="0" w:space="0" w:color="auto"/>
        <w:between w:val="none" w:sz="0" w:space="0" w:color="auto"/>
      </w:pBdr>
      <w:spacing w:before="100" w:beforeAutospacing="1" w:after="100" w:afterAutospacing="1" w:line="240" w:lineRule="auto"/>
      <w:ind w:firstLine="0"/>
      <w:textAlignment w:val="center"/>
    </w:pPr>
    <w:rPr>
      <w:rFonts w:ascii="Times New Roman" w:eastAsia="Times New Roman" w:hAnsi="Times New Roman" w:cs="Times New Roman"/>
      <w:sz w:val="20"/>
      <w:szCs w:val="20"/>
    </w:rPr>
  </w:style>
  <w:style w:type="paragraph" w:customStyle="1" w:styleId="xl65">
    <w:name w:val="xl65"/>
    <w:basedOn w:val="Normal"/>
    <w:rsid w:val="004D2DCA"/>
    <w:pPr>
      <w:pBdr>
        <w:top w:val="none" w:sz="0" w:space="0" w:color="auto"/>
        <w:left w:val="none" w:sz="0" w:space="0" w:color="auto"/>
        <w:bottom w:val="single" w:sz="8" w:space="0" w:color="auto"/>
        <w:right w:val="none" w:sz="0" w:space="0" w:color="auto"/>
        <w:between w:val="none" w:sz="0"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4D2DC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firstLine="0"/>
      <w:textAlignment w:val="center"/>
    </w:pPr>
    <w:rPr>
      <w:rFonts w:ascii="Times New Roman" w:eastAsia="Times New Roman" w:hAnsi="Times New Roman" w:cs="Times New Roman"/>
      <w:sz w:val="20"/>
      <w:szCs w:val="20"/>
    </w:rPr>
  </w:style>
  <w:style w:type="paragraph" w:customStyle="1" w:styleId="xl67">
    <w:name w:val="xl67"/>
    <w:basedOn w:val="Normal"/>
    <w:rsid w:val="004D2DCA"/>
    <w:pPr>
      <w:pBdr>
        <w:top w:val="single" w:sz="8"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firstLine="0"/>
      <w:textAlignment w:val="center"/>
    </w:pPr>
    <w:rPr>
      <w:rFonts w:ascii="Times New Roman" w:eastAsia="Times New Roman" w:hAnsi="Times New Roman" w:cs="Times New Roman"/>
      <w:sz w:val="20"/>
      <w:szCs w:val="20"/>
    </w:rPr>
  </w:style>
  <w:style w:type="paragraph" w:customStyle="1" w:styleId="xl68">
    <w:name w:val="xl68"/>
    <w:basedOn w:val="Normal"/>
    <w:rsid w:val="004D2DCA"/>
    <w:pPr>
      <w:pBdr>
        <w:top w:val="single" w:sz="8" w:space="0" w:color="auto"/>
        <w:left w:val="single" w:sz="8" w:space="0" w:color="auto"/>
        <w:bottom w:val="none" w:sz="0" w:space="0" w:color="auto"/>
        <w:right w:val="none" w:sz="0" w:space="0" w:color="auto"/>
        <w:between w:val="none" w:sz="0" w:space="0" w:color="auto"/>
      </w:pBdr>
      <w:spacing w:before="100" w:beforeAutospacing="1" w:after="100" w:afterAutospacing="1" w:line="240" w:lineRule="auto"/>
      <w:ind w:firstLine="0"/>
      <w:textAlignment w:val="center"/>
    </w:pPr>
    <w:rPr>
      <w:rFonts w:ascii="Times New Roman" w:eastAsia="Times New Roman" w:hAnsi="Times New Roman" w:cs="Times New Roman"/>
      <w:sz w:val="20"/>
      <w:szCs w:val="20"/>
    </w:rPr>
  </w:style>
  <w:style w:type="paragraph" w:customStyle="1" w:styleId="xl69">
    <w:name w:val="xl69"/>
    <w:basedOn w:val="Normal"/>
    <w:rsid w:val="004D2DC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firstLine="0"/>
      <w:jc w:val="center"/>
    </w:pPr>
    <w:rPr>
      <w:rFonts w:ascii="Times New Roman" w:eastAsia="Times New Roman" w:hAnsi="Times New Roman" w:cs="Times New Roman"/>
      <w:color w:val="auto"/>
      <w:sz w:val="24"/>
      <w:szCs w:val="24"/>
    </w:rPr>
  </w:style>
  <w:style w:type="paragraph" w:customStyle="1" w:styleId="xl70">
    <w:name w:val="xl70"/>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DDEBF7"/>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paragraph" w:customStyle="1" w:styleId="xl71">
    <w:name w:val="xl71"/>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BDD7EE"/>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paragraph" w:customStyle="1" w:styleId="xl72">
    <w:name w:val="xl72"/>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9BC2E6"/>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paragraph" w:customStyle="1" w:styleId="xl73">
    <w:name w:val="xl73"/>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D9E1F2"/>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paragraph" w:customStyle="1" w:styleId="xl74">
    <w:name w:val="xl74"/>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8EA9DB"/>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paragraph" w:customStyle="1" w:styleId="xl75">
    <w:name w:val="xl75"/>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8EA9DB"/>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paragraph" w:customStyle="1" w:styleId="xl76">
    <w:name w:val="xl76"/>
    <w:basedOn w:val="Normal"/>
    <w:rsid w:val="004D2DC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auto"/>
      <w:sz w:val="24"/>
      <w:szCs w:val="24"/>
    </w:rPr>
  </w:style>
  <w:style w:type="paragraph" w:customStyle="1" w:styleId="xl77">
    <w:name w:val="xl77"/>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color w:val="auto"/>
      <w:sz w:val="24"/>
      <w:szCs w:val="24"/>
    </w:rPr>
  </w:style>
  <w:style w:type="paragraph" w:customStyle="1" w:styleId="xl78">
    <w:name w:val="xl78"/>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8EA9DB"/>
      <w:spacing w:before="100" w:beforeAutospacing="1" w:after="100" w:afterAutospacing="1" w:line="240" w:lineRule="auto"/>
      <w:ind w:firstLine="0"/>
      <w:jc w:val="center"/>
    </w:pPr>
    <w:rPr>
      <w:rFonts w:ascii="Times New Roman" w:eastAsia="Times New Roman" w:hAnsi="Times New Roman" w:cs="Times New Roman"/>
      <w:b/>
      <w:bCs/>
      <w:color w:val="auto"/>
      <w:sz w:val="24"/>
      <w:szCs w:val="24"/>
    </w:rPr>
  </w:style>
  <w:style w:type="paragraph" w:customStyle="1" w:styleId="xl79">
    <w:name w:val="xl79"/>
    <w:basedOn w:val="Normal"/>
    <w:rsid w:val="004D2DCA"/>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ind w:firstLine="0"/>
      <w:jc w:val="center"/>
    </w:pPr>
    <w:rPr>
      <w:rFonts w:ascii="Times New Roman" w:eastAsia="Times New Roman" w:hAnsi="Times New Roman" w:cs="Times New Roman"/>
      <w:b/>
      <w:bCs/>
      <w:color w:val="auto"/>
      <w:sz w:val="24"/>
      <w:szCs w:val="24"/>
    </w:rPr>
  </w:style>
  <w:style w:type="paragraph" w:customStyle="1" w:styleId="xl80">
    <w:name w:val="xl80"/>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81">
    <w:name w:val="xl81"/>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9BC2E6"/>
      <w:spacing w:before="100" w:beforeAutospacing="1" w:after="100" w:afterAutospacing="1" w:line="240" w:lineRule="auto"/>
      <w:ind w:firstLine="0"/>
      <w:jc w:val="center"/>
      <w:textAlignment w:val="center"/>
    </w:pPr>
    <w:rPr>
      <w:rFonts w:ascii="Times New Roman" w:eastAsia="Times New Roman" w:hAnsi="Times New Roman" w:cs="Times New Roman"/>
      <w:color w:val="auto"/>
      <w:sz w:val="24"/>
      <w:szCs w:val="24"/>
    </w:rPr>
  </w:style>
  <w:style w:type="paragraph" w:customStyle="1" w:styleId="xl82">
    <w:name w:val="xl82"/>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color w:val="auto"/>
      <w:sz w:val="24"/>
      <w:szCs w:val="24"/>
    </w:rPr>
  </w:style>
  <w:style w:type="paragraph" w:customStyle="1" w:styleId="xl83">
    <w:name w:val="xl83"/>
    <w:basedOn w:val="Normal"/>
    <w:rsid w:val="004D2DCA"/>
    <w:pPr>
      <w:pBdr>
        <w:top w:val="single" w:sz="4" w:space="0" w:color="auto"/>
        <w:left w:val="single" w:sz="4" w:space="0" w:color="auto"/>
        <w:bottom w:val="none" w:sz="0" w:space="0" w:color="auto"/>
        <w:right w:val="single" w:sz="4" w:space="0" w:color="auto"/>
        <w:between w:val="none" w:sz="0" w:space="0" w:color="auto"/>
      </w:pBdr>
      <w:shd w:val="clear" w:color="000000" w:fill="8EA9DB"/>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84">
    <w:name w:val="xl84"/>
    <w:basedOn w:val="Normal"/>
    <w:rsid w:val="004D2DCA"/>
    <w:pPr>
      <w:pBdr>
        <w:top w:val="none" w:sz="0" w:space="0" w:color="auto"/>
        <w:left w:val="single" w:sz="4" w:space="0" w:color="auto"/>
        <w:bottom w:val="single" w:sz="4" w:space="0" w:color="auto"/>
        <w:right w:val="single" w:sz="4" w:space="0" w:color="auto"/>
        <w:between w:val="none" w:sz="0" w:space="0" w:color="auto"/>
      </w:pBdr>
      <w:shd w:val="clear" w:color="000000" w:fill="8EA9DB"/>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85">
    <w:name w:val="xl85"/>
    <w:basedOn w:val="Normal"/>
    <w:rsid w:val="004D2DCA"/>
    <w:pPr>
      <w:pBdr>
        <w:top w:val="single" w:sz="4" w:space="0" w:color="auto"/>
        <w:left w:val="single" w:sz="4" w:space="0" w:color="auto"/>
        <w:bottom w:val="none" w:sz="0" w:space="0" w:color="auto"/>
        <w:right w:val="single" w:sz="4" w:space="0" w:color="auto"/>
        <w:between w:val="none" w:sz="0"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86">
    <w:name w:val="xl86"/>
    <w:basedOn w:val="Normal"/>
    <w:rsid w:val="004D2DCA"/>
    <w:pPr>
      <w:pBdr>
        <w:top w:val="none" w:sz="0" w:space="0" w:color="auto"/>
        <w:left w:val="single" w:sz="4" w:space="0" w:color="auto"/>
        <w:bottom w:val="single" w:sz="4" w:space="0" w:color="auto"/>
        <w:right w:val="single" w:sz="4" w:space="0" w:color="auto"/>
        <w:between w:val="none" w:sz="0"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87">
    <w:name w:val="xl87"/>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D9E1F2"/>
      <w:spacing w:before="100" w:beforeAutospacing="1" w:after="100" w:afterAutospacing="1" w:line="240" w:lineRule="auto"/>
      <w:ind w:firstLine="0"/>
      <w:jc w:val="center"/>
    </w:pPr>
    <w:rPr>
      <w:rFonts w:ascii="Times New Roman" w:eastAsia="Times New Roman" w:hAnsi="Times New Roman" w:cs="Times New Roman"/>
      <w:b/>
      <w:bCs/>
      <w:color w:val="auto"/>
      <w:sz w:val="24"/>
      <w:szCs w:val="24"/>
    </w:rPr>
  </w:style>
  <w:style w:type="paragraph" w:customStyle="1" w:styleId="xl88">
    <w:name w:val="xl88"/>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8EA9DB"/>
      <w:spacing w:before="100" w:beforeAutospacing="1" w:after="100" w:afterAutospacing="1" w:line="240" w:lineRule="auto"/>
      <w:ind w:firstLine="0"/>
      <w:jc w:val="center"/>
    </w:pPr>
    <w:rPr>
      <w:rFonts w:ascii="Times New Roman" w:eastAsia="Times New Roman" w:hAnsi="Times New Roman" w:cs="Times New Roman"/>
      <w:b/>
      <w:bCs/>
      <w:color w:val="auto"/>
      <w:sz w:val="24"/>
      <w:szCs w:val="24"/>
    </w:rPr>
  </w:style>
  <w:style w:type="paragraph" w:customStyle="1" w:styleId="xl89">
    <w:name w:val="xl89"/>
    <w:basedOn w:val="Normal"/>
    <w:rsid w:val="004D2DCA"/>
    <w:pPr>
      <w:pBdr>
        <w:top w:val="single" w:sz="4" w:space="0" w:color="auto"/>
        <w:left w:val="single" w:sz="4" w:space="0" w:color="auto"/>
        <w:bottom w:val="single" w:sz="4" w:space="0" w:color="auto"/>
        <w:right w:val="none" w:sz="0" w:space="0" w:color="auto"/>
        <w:between w:val="none" w:sz="0"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90">
    <w:name w:val="xl90"/>
    <w:basedOn w:val="Normal"/>
    <w:rsid w:val="004D2DCA"/>
    <w:pPr>
      <w:pBdr>
        <w:top w:val="single" w:sz="4" w:space="0" w:color="auto"/>
        <w:left w:val="none" w:sz="0" w:space="0" w:color="auto"/>
        <w:bottom w:val="single" w:sz="4" w:space="0" w:color="auto"/>
        <w:right w:val="single" w:sz="4" w:space="0" w:color="auto"/>
        <w:between w:val="none" w:sz="0" w:space="0" w:color="auto"/>
      </w:pBdr>
      <w:shd w:val="clear" w:color="000000" w:fill="D9E1F2"/>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91">
    <w:name w:val="xl91"/>
    <w:basedOn w:val="Normal"/>
    <w:rsid w:val="004D2DCA"/>
    <w:pPr>
      <w:pBdr>
        <w:top w:val="single" w:sz="4" w:space="0" w:color="auto"/>
        <w:left w:val="single" w:sz="4" w:space="0" w:color="auto"/>
        <w:bottom w:val="none" w:sz="0" w:space="0" w:color="auto"/>
        <w:right w:val="single" w:sz="4" w:space="0" w:color="auto"/>
        <w:between w:val="none" w:sz="0" w:space="0" w:color="auto"/>
      </w:pBdr>
      <w:shd w:val="clear" w:color="000000" w:fill="8EA9DB"/>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92">
    <w:name w:val="xl92"/>
    <w:basedOn w:val="Normal"/>
    <w:rsid w:val="004D2DCA"/>
    <w:pPr>
      <w:pBdr>
        <w:top w:val="none" w:sz="0" w:space="0" w:color="auto"/>
        <w:left w:val="single" w:sz="4" w:space="0" w:color="auto"/>
        <w:bottom w:val="single" w:sz="4" w:space="0" w:color="auto"/>
        <w:right w:val="single" w:sz="4" w:space="0" w:color="auto"/>
        <w:between w:val="none" w:sz="0" w:space="0" w:color="auto"/>
      </w:pBdr>
      <w:shd w:val="clear" w:color="000000" w:fill="8EA9DB"/>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93">
    <w:name w:val="xl93"/>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DDEBF7"/>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94">
    <w:name w:val="xl94"/>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DDEBF7"/>
      <w:spacing w:before="100" w:beforeAutospacing="1" w:after="100" w:afterAutospacing="1" w:line="240" w:lineRule="auto"/>
      <w:ind w:firstLine="0"/>
      <w:jc w:val="center"/>
    </w:pPr>
    <w:rPr>
      <w:rFonts w:ascii="Times New Roman" w:eastAsia="Times New Roman" w:hAnsi="Times New Roman" w:cs="Times New Roman"/>
      <w:b/>
      <w:bCs/>
      <w:color w:val="auto"/>
      <w:sz w:val="24"/>
      <w:szCs w:val="24"/>
    </w:rPr>
  </w:style>
  <w:style w:type="paragraph" w:customStyle="1" w:styleId="xl95">
    <w:name w:val="xl95"/>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BDD7EE"/>
      <w:spacing w:before="100" w:beforeAutospacing="1" w:after="100" w:afterAutospacing="1" w:line="240" w:lineRule="auto"/>
      <w:ind w:firstLine="0"/>
      <w:jc w:val="center"/>
    </w:pPr>
    <w:rPr>
      <w:rFonts w:ascii="Times New Roman" w:eastAsia="Times New Roman" w:hAnsi="Times New Roman" w:cs="Times New Roman"/>
      <w:b/>
      <w:bCs/>
      <w:color w:val="auto"/>
      <w:sz w:val="24"/>
      <w:szCs w:val="24"/>
    </w:rPr>
  </w:style>
  <w:style w:type="paragraph" w:customStyle="1" w:styleId="xl96">
    <w:name w:val="xl96"/>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9BC2E6"/>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97">
    <w:name w:val="xl97"/>
    <w:basedOn w:val="Normal"/>
    <w:rsid w:val="004D2DCA"/>
    <w:pPr>
      <w:pBdr>
        <w:top w:val="single" w:sz="4" w:space="0" w:color="auto"/>
        <w:left w:val="single" w:sz="4" w:space="0" w:color="auto"/>
        <w:bottom w:val="single" w:sz="4" w:space="0" w:color="auto"/>
        <w:right w:val="single" w:sz="4" w:space="0" w:color="auto"/>
        <w:between w:val="none" w:sz="0" w:space="0" w:color="auto"/>
      </w:pBdr>
      <w:shd w:val="clear" w:color="000000" w:fill="9BC2E6"/>
      <w:spacing w:before="100" w:beforeAutospacing="1" w:after="100" w:afterAutospacing="1" w:line="240" w:lineRule="auto"/>
      <w:ind w:firstLine="0"/>
      <w:jc w:val="center"/>
    </w:pPr>
    <w:rPr>
      <w:rFonts w:ascii="Times New Roman" w:eastAsia="Times New Roman" w:hAnsi="Times New Roman" w:cs="Times New Roman"/>
      <w:b/>
      <w:bCs/>
      <w:color w:val="auto"/>
      <w:sz w:val="24"/>
      <w:szCs w:val="24"/>
    </w:rPr>
  </w:style>
  <w:style w:type="paragraph" w:customStyle="1" w:styleId="xl98">
    <w:name w:val="xl98"/>
    <w:basedOn w:val="Normal"/>
    <w:rsid w:val="004D2DCA"/>
    <w:pPr>
      <w:pBdr>
        <w:top w:val="single" w:sz="4" w:space="0" w:color="auto"/>
        <w:left w:val="single" w:sz="4" w:space="0" w:color="auto"/>
        <w:bottom w:val="none" w:sz="0" w:space="0" w:color="auto"/>
        <w:right w:val="single" w:sz="4" w:space="0" w:color="auto"/>
        <w:between w:val="none" w:sz="0" w:space="0" w:color="auto"/>
      </w:pBdr>
      <w:shd w:val="clear" w:color="000000" w:fill="9BC2E6"/>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99">
    <w:name w:val="xl99"/>
    <w:basedOn w:val="Normal"/>
    <w:rsid w:val="004D2DCA"/>
    <w:pPr>
      <w:pBdr>
        <w:top w:val="none" w:sz="0" w:space="0" w:color="auto"/>
        <w:left w:val="single" w:sz="4" w:space="0" w:color="auto"/>
        <w:bottom w:val="single" w:sz="4" w:space="0" w:color="auto"/>
        <w:right w:val="single" w:sz="4" w:space="0" w:color="auto"/>
        <w:between w:val="none" w:sz="0" w:space="0" w:color="auto"/>
      </w:pBdr>
      <w:shd w:val="clear" w:color="000000" w:fill="9BC2E6"/>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100">
    <w:name w:val="xl100"/>
    <w:basedOn w:val="Normal"/>
    <w:rsid w:val="004D2DCA"/>
    <w:pPr>
      <w:pBdr>
        <w:top w:val="single" w:sz="4" w:space="0" w:color="auto"/>
        <w:left w:val="single" w:sz="4" w:space="0" w:color="auto"/>
        <w:bottom w:val="none" w:sz="0" w:space="0" w:color="auto"/>
        <w:right w:val="single" w:sz="4" w:space="0" w:color="auto"/>
        <w:between w:val="none" w:sz="0" w:space="0" w:color="auto"/>
      </w:pBdr>
      <w:shd w:val="clear" w:color="000000" w:fill="BDD7EE"/>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101">
    <w:name w:val="xl101"/>
    <w:basedOn w:val="Normal"/>
    <w:rsid w:val="004D2DCA"/>
    <w:pPr>
      <w:pBdr>
        <w:top w:val="none" w:sz="0" w:space="0" w:color="auto"/>
        <w:left w:val="single" w:sz="4" w:space="0" w:color="auto"/>
        <w:bottom w:val="single" w:sz="4" w:space="0" w:color="auto"/>
        <w:right w:val="single" w:sz="4" w:space="0" w:color="auto"/>
        <w:between w:val="none" w:sz="0" w:space="0" w:color="auto"/>
      </w:pBdr>
      <w:shd w:val="clear" w:color="000000" w:fill="BDD7EE"/>
      <w:spacing w:before="100" w:beforeAutospacing="1" w:after="100" w:afterAutospacing="1" w:line="240" w:lineRule="auto"/>
      <w:ind w:firstLine="0"/>
      <w:jc w:val="center"/>
      <w:textAlignment w:val="center"/>
    </w:pPr>
    <w:rPr>
      <w:rFonts w:ascii="Times New Roman" w:eastAsia="Times New Roman" w:hAnsi="Times New Roman" w:cs="Times New Roman"/>
      <w:b/>
      <w:bCs/>
      <w:color w:val="auto"/>
      <w:sz w:val="24"/>
      <w:szCs w:val="24"/>
    </w:rPr>
  </w:style>
  <w:style w:type="paragraph" w:customStyle="1" w:styleId="xl102">
    <w:name w:val="xl102"/>
    <w:basedOn w:val="Normal"/>
    <w:rsid w:val="004D2DCA"/>
    <w:pPr>
      <w:pBdr>
        <w:top w:val="none" w:sz="0" w:space="0" w:color="auto"/>
        <w:left w:val="single" w:sz="4" w:space="0" w:color="auto"/>
        <w:bottom w:val="none" w:sz="0" w:space="0" w:color="auto"/>
        <w:right w:val="none" w:sz="0" w:space="0" w:color="auto"/>
        <w:between w:val="none" w:sz="0" w:space="0" w:color="auto"/>
      </w:pBdr>
      <w:spacing w:before="100" w:beforeAutospacing="1" w:after="100" w:afterAutospacing="1" w:line="240" w:lineRule="auto"/>
      <w:ind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7007">
      <w:bodyDiv w:val="1"/>
      <w:marLeft w:val="0"/>
      <w:marRight w:val="0"/>
      <w:marTop w:val="0"/>
      <w:marBottom w:val="0"/>
      <w:divBdr>
        <w:top w:val="none" w:sz="0" w:space="0" w:color="auto"/>
        <w:left w:val="none" w:sz="0" w:space="0" w:color="auto"/>
        <w:bottom w:val="none" w:sz="0" w:space="0" w:color="auto"/>
        <w:right w:val="none" w:sz="0" w:space="0" w:color="auto"/>
      </w:divBdr>
    </w:div>
    <w:div w:id="364058851">
      <w:bodyDiv w:val="1"/>
      <w:marLeft w:val="0"/>
      <w:marRight w:val="0"/>
      <w:marTop w:val="0"/>
      <w:marBottom w:val="0"/>
      <w:divBdr>
        <w:top w:val="none" w:sz="0" w:space="0" w:color="auto"/>
        <w:left w:val="none" w:sz="0" w:space="0" w:color="auto"/>
        <w:bottom w:val="none" w:sz="0" w:space="0" w:color="auto"/>
        <w:right w:val="none" w:sz="0" w:space="0" w:color="auto"/>
      </w:divBdr>
      <w:divsChild>
        <w:div w:id="1112632618">
          <w:marLeft w:val="0"/>
          <w:marRight w:val="0"/>
          <w:marTop w:val="0"/>
          <w:marBottom w:val="0"/>
          <w:divBdr>
            <w:top w:val="none" w:sz="0" w:space="0" w:color="auto"/>
            <w:left w:val="none" w:sz="0" w:space="0" w:color="auto"/>
            <w:bottom w:val="none" w:sz="0" w:space="0" w:color="auto"/>
            <w:right w:val="none" w:sz="0" w:space="0" w:color="auto"/>
          </w:divBdr>
        </w:div>
      </w:divsChild>
    </w:div>
    <w:div w:id="373696075">
      <w:bodyDiv w:val="1"/>
      <w:marLeft w:val="0"/>
      <w:marRight w:val="0"/>
      <w:marTop w:val="0"/>
      <w:marBottom w:val="0"/>
      <w:divBdr>
        <w:top w:val="none" w:sz="0" w:space="0" w:color="auto"/>
        <w:left w:val="none" w:sz="0" w:space="0" w:color="auto"/>
        <w:bottom w:val="none" w:sz="0" w:space="0" w:color="auto"/>
        <w:right w:val="none" w:sz="0" w:space="0" w:color="auto"/>
      </w:divBdr>
    </w:div>
    <w:div w:id="443575353">
      <w:bodyDiv w:val="1"/>
      <w:marLeft w:val="0"/>
      <w:marRight w:val="0"/>
      <w:marTop w:val="0"/>
      <w:marBottom w:val="0"/>
      <w:divBdr>
        <w:top w:val="none" w:sz="0" w:space="0" w:color="auto"/>
        <w:left w:val="none" w:sz="0" w:space="0" w:color="auto"/>
        <w:bottom w:val="none" w:sz="0" w:space="0" w:color="auto"/>
        <w:right w:val="none" w:sz="0" w:space="0" w:color="auto"/>
      </w:divBdr>
    </w:div>
    <w:div w:id="800073221">
      <w:bodyDiv w:val="1"/>
      <w:marLeft w:val="0"/>
      <w:marRight w:val="0"/>
      <w:marTop w:val="0"/>
      <w:marBottom w:val="0"/>
      <w:divBdr>
        <w:top w:val="none" w:sz="0" w:space="0" w:color="auto"/>
        <w:left w:val="none" w:sz="0" w:space="0" w:color="auto"/>
        <w:bottom w:val="none" w:sz="0" w:space="0" w:color="auto"/>
        <w:right w:val="none" w:sz="0" w:space="0" w:color="auto"/>
      </w:divBdr>
    </w:div>
    <w:div w:id="802308923">
      <w:bodyDiv w:val="1"/>
      <w:marLeft w:val="0"/>
      <w:marRight w:val="0"/>
      <w:marTop w:val="0"/>
      <w:marBottom w:val="0"/>
      <w:divBdr>
        <w:top w:val="none" w:sz="0" w:space="0" w:color="auto"/>
        <w:left w:val="none" w:sz="0" w:space="0" w:color="auto"/>
        <w:bottom w:val="none" w:sz="0" w:space="0" w:color="auto"/>
        <w:right w:val="none" w:sz="0" w:space="0" w:color="auto"/>
      </w:divBdr>
    </w:div>
    <w:div w:id="902177600">
      <w:bodyDiv w:val="1"/>
      <w:marLeft w:val="0"/>
      <w:marRight w:val="0"/>
      <w:marTop w:val="0"/>
      <w:marBottom w:val="0"/>
      <w:divBdr>
        <w:top w:val="none" w:sz="0" w:space="0" w:color="auto"/>
        <w:left w:val="none" w:sz="0" w:space="0" w:color="auto"/>
        <w:bottom w:val="none" w:sz="0" w:space="0" w:color="auto"/>
        <w:right w:val="none" w:sz="0" w:space="0" w:color="auto"/>
      </w:divBdr>
      <w:divsChild>
        <w:div w:id="1814908564">
          <w:marLeft w:val="0"/>
          <w:marRight w:val="0"/>
          <w:marTop w:val="0"/>
          <w:marBottom w:val="0"/>
          <w:divBdr>
            <w:top w:val="none" w:sz="0" w:space="0" w:color="auto"/>
            <w:left w:val="none" w:sz="0" w:space="0" w:color="auto"/>
            <w:bottom w:val="none" w:sz="0" w:space="0" w:color="auto"/>
            <w:right w:val="none" w:sz="0" w:space="0" w:color="auto"/>
          </w:divBdr>
          <w:divsChild>
            <w:div w:id="106930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4096">
      <w:bodyDiv w:val="1"/>
      <w:marLeft w:val="0"/>
      <w:marRight w:val="0"/>
      <w:marTop w:val="0"/>
      <w:marBottom w:val="0"/>
      <w:divBdr>
        <w:top w:val="none" w:sz="0" w:space="0" w:color="auto"/>
        <w:left w:val="none" w:sz="0" w:space="0" w:color="auto"/>
        <w:bottom w:val="none" w:sz="0" w:space="0" w:color="auto"/>
        <w:right w:val="none" w:sz="0" w:space="0" w:color="auto"/>
      </w:divBdr>
    </w:div>
    <w:div w:id="1372147536">
      <w:bodyDiv w:val="1"/>
      <w:marLeft w:val="0"/>
      <w:marRight w:val="0"/>
      <w:marTop w:val="0"/>
      <w:marBottom w:val="0"/>
      <w:divBdr>
        <w:top w:val="none" w:sz="0" w:space="0" w:color="auto"/>
        <w:left w:val="none" w:sz="0" w:space="0" w:color="auto"/>
        <w:bottom w:val="none" w:sz="0" w:space="0" w:color="auto"/>
        <w:right w:val="none" w:sz="0" w:space="0" w:color="auto"/>
      </w:divBdr>
    </w:div>
    <w:div w:id="1505318166">
      <w:bodyDiv w:val="1"/>
      <w:marLeft w:val="0"/>
      <w:marRight w:val="0"/>
      <w:marTop w:val="0"/>
      <w:marBottom w:val="0"/>
      <w:divBdr>
        <w:top w:val="none" w:sz="0" w:space="0" w:color="auto"/>
        <w:left w:val="none" w:sz="0" w:space="0" w:color="auto"/>
        <w:bottom w:val="none" w:sz="0" w:space="0" w:color="auto"/>
        <w:right w:val="none" w:sz="0" w:space="0" w:color="auto"/>
      </w:divBdr>
    </w:div>
    <w:div w:id="1623655420">
      <w:bodyDiv w:val="1"/>
      <w:marLeft w:val="0"/>
      <w:marRight w:val="0"/>
      <w:marTop w:val="0"/>
      <w:marBottom w:val="0"/>
      <w:divBdr>
        <w:top w:val="none" w:sz="0" w:space="0" w:color="auto"/>
        <w:left w:val="none" w:sz="0" w:space="0" w:color="auto"/>
        <w:bottom w:val="none" w:sz="0" w:space="0" w:color="auto"/>
        <w:right w:val="none" w:sz="0" w:space="0" w:color="auto"/>
      </w:divBdr>
    </w:div>
    <w:div w:id="1674451380">
      <w:bodyDiv w:val="1"/>
      <w:marLeft w:val="0"/>
      <w:marRight w:val="0"/>
      <w:marTop w:val="0"/>
      <w:marBottom w:val="0"/>
      <w:divBdr>
        <w:top w:val="none" w:sz="0" w:space="0" w:color="auto"/>
        <w:left w:val="none" w:sz="0" w:space="0" w:color="auto"/>
        <w:bottom w:val="none" w:sz="0" w:space="0" w:color="auto"/>
        <w:right w:val="none" w:sz="0" w:space="0" w:color="auto"/>
      </w:divBdr>
    </w:div>
    <w:div w:id="1784885125">
      <w:bodyDiv w:val="1"/>
      <w:marLeft w:val="0"/>
      <w:marRight w:val="0"/>
      <w:marTop w:val="0"/>
      <w:marBottom w:val="0"/>
      <w:divBdr>
        <w:top w:val="none" w:sz="0" w:space="0" w:color="auto"/>
        <w:left w:val="none" w:sz="0" w:space="0" w:color="auto"/>
        <w:bottom w:val="none" w:sz="0" w:space="0" w:color="auto"/>
        <w:right w:val="none" w:sz="0" w:space="0" w:color="auto"/>
      </w:divBdr>
    </w:div>
    <w:div w:id="1902010672">
      <w:bodyDiv w:val="1"/>
      <w:marLeft w:val="0"/>
      <w:marRight w:val="0"/>
      <w:marTop w:val="0"/>
      <w:marBottom w:val="0"/>
      <w:divBdr>
        <w:top w:val="none" w:sz="0" w:space="0" w:color="auto"/>
        <w:left w:val="none" w:sz="0" w:space="0" w:color="auto"/>
        <w:bottom w:val="none" w:sz="0" w:space="0" w:color="auto"/>
        <w:right w:val="none" w:sz="0" w:space="0" w:color="auto"/>
      </w:divBdr>
    </w:div>
    <w:div w:id="1954050118">
      <w:bodyDiv w:val="1"/>
      <w:marLeft w:val="0"/>
      <w:marRight w:val="0"/>
      <w:marTop w:val="0"/>
      <w:marBottom w:val="0"/>
      <w:divBdr>
        <w:top w:val="none" w:sz="0" w:space="0" w:color="auto"/>
        <w:left w:val="none" w:sz="0" w:space="0" w:color="auto"/>
        <w:bottom w:val="none" w:sz="0" w:space="0" w:color="auto"/>
        <w:right w:val="none" w:sz="0" w:space="0" w:color="auto"/>
      </w:divBdr>
    </w:div>
    <w:div w:id="2078671184">
      <w:bodyDiv w:val="1"/>
      <w:marLeft w:val="0"/>
      <w:marRight w:val="0"/>
      <w:marTop w:val="0"/>
      <w:marBottom w:val="0"/>
      <w:divBdr>
        <w:top w:val="none" w:sz="0" w:space="0" w:color="auto"/>
        <w:left w:val="none" w:sz="0" w:space="0" w:color="auto"/>
        <w:bottom w:val="none" w:sz="0" w:space="0" w:color="auto"/>
        <w:right w:val="none" w:sz="0" w:space="0" w:color="auto"/>
      </w:divBdr>
    </w:div>
    <w:div w:id="2083749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9.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image" Target="media/image2.png"/><Relationship Id="rId24" Type="http://schemas.openxmlformats.org/officeDocument/2006/relationships/image" Target="media/image10.png"/><Relationship Id="rId37" Type="http://schemas.openxmlformats.org/officeDocument/2006/relationships/image" Target="media/image19.png"/><Relationship Id="rId40" Type="http://schemas.openxmlformats.org/officeDocument/2006/relationships/image" Target="media/image16.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prolific.ac/" TargetMode="External"/><Relationship Id="rId27" Type="http://schemas.openxmlformats.org/officeDocument/2006/relationships/image" Target="media/image13.png"/><Relationship Id="rId35" Type="http://schemas.openxmlformats.org/officeDocument/2006/relationships/image" Target="media/image170.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socialsci.com" TargetMode="External"/><Relationship Id="rId25"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hse.gov.uk/stress" TargetMode="External"/><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er" Target="footer2.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6.png"/><Relationship Id="rId39" Type="http://schemas.openxmlformats.org/officeDocument/2006/relationships/image" Target="media/image15.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Ana\Google%20Drive\THESIS\LIT%20REV2\LIT%20REV%202\CODED%20ARTICLES%20JAN.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lvl="0">
              <a:defRPr sz="1400" b="0" i="0">
                <a:solidFill>
                  <a:srgbClr val="595959"/>
                </a:solidFill>
              </a:defRPr>
            </a:pPr>
            <a:r>
              <a:rPr lang="en-GB" sz="1200"/>
              <a:t>Rate of publications on reactions to FD</a:t>
            </a:r>
          </a:p>
        </c:rich>
      </c:tx>
      <c:overlay val="0"/>
    </c:title>
    <c:autoTitleDeleted val="0"/>
    <c:plotArea>
      <c:layout/>
      <c:barChart>
        <c:barDir val="col"/>
        <c:grouping val="clustered"/>
        <c:varyColors val="1"/>
        <c:ser>
          <c:idx val="0"/>
          <c:order val="0"/>
          <c:spPr>
            <a:solidFill>
              <a:srgbClr val="5B9BD5"/>
            </a:solidFill>
          </c:spPr>
          <c:invertIfNegative val="1"/>
          <c:cat>
            <c:strRef>
              <c:f>Year!$A$1:$G$1</c:f>
              <c:strCache>
                <c:ptCount val="7"/>
                <c:pt idx="0">
                  <c:v>1980-1985</c:v>
                </c:pt>
                <c:pt idx="1">
                  <c:v>1986-1990</c:v>
                </c:pt>
                <c:pt idx="2">
                  <c:v>1991-1995</c:v>
                </c:pt>
                <c:pt idx="3">
                  <c:v>1996-2000</c:v>
                </c:pt>
                <c:pt idx="4">
                  <c:v>2001-2005</c:v>
                </c:pt>
                <c:pt idx="5">
                  <c:v>2006-2010</c:v>
                </c:pt>
                <c:pt idx="6">
                  <c:v>2011-2017</c:v>
                </c:pt>
              </c:strCache>
            </c:strRef>
          </c:cat>
          <c:val>
            <c:numRef>
              <c:f>Year!$A$2:$G$2</c:f>
              <c:numCache>
                <c:formatCode>General</c:formatCode>
                <c:ptCount val="7"/>
                <c:pt idx="0">
                  <c:v>6</c:v>
                </c:pt>
                <c:pt idx="1">
                  <c:v>1</c:v>
                </c:pt>
                <c:pt idx="2">
                  <c:v>1</c:v>
                </c:pt>
                <c:pt idx="3">
                  <c:v>3</c:v>
                </c:pt>
                <c:pt idx="4">
                  <c:v>5</c:v>
                </c:pt>
                <c:pt idx="5">
                  <c:v>11</c:v>
                </c:pt>
                <c:pt idx="6">
                  <c:v>24</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5F2C-41F4-AB6D-18ABA817932C}"/>
            </c:ext>
          </c:extLst>
        </c:ser>
        <c:dLbls>
          <c:showLegendKey val="0"/>
          <c:showVal val="0"/>
          <c:showCatName val="0"/>
          <c:showSerName val="0"/>
          <c:showPercent val="0"/>
          <c:showBubbleSize val="0"/>
        </c:dLbls>
        <c:gapWidth val="150"/>
        <c:axId val="322978616"/>
        <c:axId val="326578928"/>
      </c:barChart>
      <c:catAx>
        <c:axId val="322978616"/>
        <c:scaling>
          <c:orientation val="minMax"/>
        </c:scaling>
        <c:delete val="0"/>
        <c:axPos val="b"/>
        <c:numFmt formatCode="General" sourceLinked="1"/>
        <c:majorTickMark val="cross"/>
        <c:minorTickMark val="cross"/>
        <c:tickLblPos val="nextTo"/>
        <c:txPr>
          <a:bodyPr/>
          <a:lstStyle/>
          <a:p>
            <a:pPr lvl="0">
              <a:defRPr sz="900" b="0" i="0">
                <a:solidFill>
                  <a:srgbClr val="595959"/>
                </a:solidFill>
              </a:defRPr>
            </a:pPr>
            <a:endParaRPr lang="en-US"/>
          </a:p>
        </c:txPr>
        <c:crossAx val="326578928"/>
        <c:crosses val="autoZero"/>
        <c:auto val="1"/>
        <c:lblAlgn val="ctr"/>
        <c:lblOffset val="100"/>
        <c:noMultiLvlLbl val="1"/>
      </c:catAx>
      <c:valAx>
        <c:axId val="326578928"/>
        <c:scaling>
          <c:orientation val="minMax"/>
        </c:scaling>
        <c:delete val="0"/>
        <c:axPos val="l"/>
        <c:majorGridlines>
          <c:spPr>
            <a:ln>
              <a:solidFill>
                <a:srgbClr val="D9D9D9"/>
              </a:solidFill>
            </a:ln>
          </c:spPr>
        </c:majorGridlines>
        <c:minorGridlines>
          <c:spPr>
            <a:ln>
              <a:solidFill>
                <a:srgbClr val="F2F2F2"/>
              </a:solidFill>
            </a:ln>
          </c:spPr>
        </c:minorGridlines>
        <c:numFmt formatCode="General" sourceLinked="1"/>
        <c:majorTickMark val="cross"/>
        <c:minorTickMark val="cross"/>
        <c:tickLblPos val="nextTo"/>
        <c:spPr>
          <a:ln w="47625">
            <a:noFill/>
          </a:ln>
        </c:spPr>
        <c:txPr>
          <a:bodyPr/>
          <a:lstStyle/>
          <a:p>
            <a:pPr lvl="0">
              <a:defRPr sz="900" b="0" i="0">
                <a:solidFill>
                  <a:srgbClr val="595959"/>
                </a:solidFill>
              </a:defRPr>
            </a:pPr>
            <a:endParaRPr lang="en-US"/>
          </a:p>
        </c:txPr>
        <c:crossAx val="322978616"/>
        <c:crosses val="autoZero"/>
        <c:crossBetween val="between"/>
      </c:valAx>
      <c:spPr>
        <a:solidFill>
          <a:srgbClr val="FFFFFF"/>
        </a:solidFill>
      </c:spPr>
    </c:plotArea>
    <c:plotVisOnly val="1"/>
    <c:dispBlanksAs val="zero"/>
    <c:showDLblsOverMax val="1"/>
  </c:chart>
  <c:spPr>
    <a:solidFill>
      <a:srgbClr val="FFFFFF"/>
    </a:solidFill>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41893-DE26-49D4-A660-AC5ED05B6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222</Pages>
  <Words>92912</Words>
  <Characters>529604</Characters>
  <Application>Microsoft Office Word</Application>
  <DocSecurity>0</DocSecurity>
  <Lines>4413</Lines>
  <Paragraphs>1242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621274</CharactersWithSpaces>
  <SharedDoc>false</SharedDoc>
  <HLinks>
    <vt:vector size="606" baseType="variant">
      <vt:variant>
        <vt:i4>983125</vt:i4>
      </vt:variant>
      <vt:variant>
        <vt:i4>849</vt:i4>
      </vt:variant>
      <vt:variant>
        <vt:i4>0</vt:i4>
      </vt:variant>
      <vt:variant>
        <vt:i4>5</vt:i4>
      </vt:variant>
      <vt:variant>
        <vt:lpwstr>http://www.hse.gov.uk/stress</vt:lpwstr>
      </vt:variant>
      <vt:variant>
        <vt:lpwstr/>
      </vt:variant>
      <vt:variant>
        <vt:i4>4456466</vt:i4>
      </vt:variant>
      <vt:variant>
        <vt:i4>846</vt:i4>
      </vt:variant>
      <vt:variant>
        <vt:i4>0</vt:i4>
      </vt:variant>
      <vt:variant>
        <vt:i4>5</vt:i4>
      </vt:variant>
      <vt:variant>
        <vt:lpwstr>https://prolific.ac/</vt:lpwstr>
      </vt:variant>
      <vt:variant>
        <vt:lpwstr/>
      </vt:variant>
      <vt:variant>
        <vt:i4>5111832</vt:i4>
      </vt:variant>
      <vt:variant>
        <vt:i4>693</vt:i4>
      </vt:variant>
      <vt:variant>
        <vt:i4>0</vt:i4>
      </vt:variant>
      <vt:variant>
        <vt:i4>5</vt:i4>
      </vt:variant>
      <vt:variant>
        <vt:lpwstr>http://www.socialsci.com/</vt:lpwstr>
      </vt:variant>
      <vt:variant>
        <vt:lpwstr/>
      </vt:variant>
      <vt:variant>
        <vt:i4>1441846</vt:i4>
      </vt:variant>
      <vt:variant>
        <vt:i4>587</vt:i4>
      </vt:variant>
      <vt:variant>
        <vt:i4>0</vt:i4>
      </vt:variant>
      <vt:variant>
        <vt:i4>5</vt:i4>
      </vt:variant>
      <vt:variant>
        <vt:lpwstr/>
      </vt:variant>
      <vt:variant>
        <vt:lpwstr>_Toc12024839</vt:lpwstr>
      </vt:variant>
      <vt:variant>
        <vt:i4>1507382</vt:i4>
      </vt:variant>
      <vt:variant>
        <vt:i4>581</vt:i4>
      </vt:variant>
      <vt:variant>
        <vt:i4>0</vt:i4>
      </vt:variant>
      <vt:variant>
        <vt:i4>5</vt:i4>
      </vt:variant>
      <vt:variant>
        <vt:lpwstr/>
      </vt:variant>
      <vt:variant>
        <vt:lpwstr>_Toc12024838</vt:lpwstr>
      </vt:variant>
      <vt:variant>
        <vt:i4>1572918</vt:i4>
      </vt:variant>
      <vt:variant>
        <vt:i4>575</vt:i4>
      </vt:variant>
      <vt:variant>
        <vt:i4>0</vt:i4>
      </vt:variant>
      <vt:variant>
        <vt:i4>5</vt:i4>
      </vt:variant>
      <vt:variant>
        <vt:lpwstr/>
      </vt:variant>
      <vt:variant>
        <vt:lpwstr>_Toc12024837</vt:lpwstr>
      </vt:variant>
      <vt:variant>
        <vt:i4>1638454</vt:i4>
      </vt:variant>
      <vt:variant>
        <vt:i4>569</vt:i4>
      </vt:variant>
      <vt:variant>
        <vt:i4>0</vt:i4>
      </vt:variant>
      <vt:variant>
        <vt:i4>5</vt:i4>
      </vt:variant>
      <vt:variant>
        <vt:lpwstr/>
      </vt:variant>
      <vt:variant>
        <vt:lpwstr>_Toc12024836</vt:lpwstr>
      </vt:variant>
      <vt:variant>
        <vt:i4>1703990</vt:i4>
      </vt:variant>
      <vt:variant>
        <vt:i4>563</vt:i4>
      </vt:variant>
      <vt:variant>
        <vt:i4>0</vt:i4>
      </vt:variant>
      <vt:variant>
        <vt:i4>5</vt:i4>
      </vt:variant>
      <vt:variant>
        <vt:lpwstr/>
      </vt:variant>
      <vt:variant>
        <vt:lpwstr>_Toc12024835</vt:lpwstr>
      </vt:variant>
      <vt:variant>
        <vt:i4>1769526</vt:i4>
      </vt:variant>
      <vt:variant>
        <vt:i4>557</vt:i4>
      </vt:variant>
      <vt:variant>
        <vt:i4>0</vt:i4>
      </vt:variant>
      <vt:variant>
        <vt:i4>5</vt:i4>
      </vt:variant>
      <vt:variant>
        <vt:lpwstr/>
      </vt:variant>
      <vt:variant>
        <vt:lpwstr>_Toc12024834</vt:lpwstr>
      </vt:variant>
      <vt:variant>
        <vt:i4>1835062</vt:i4>
      </vt:variant>
      <vt:variant>
        <vt:i4>551</vt:i4>
      </vt:variant>
      <vt:variant>
        <vt:i4>0</vt:i4>
      </vt:variant>
      <vt:variant>
        <vt:i4>5</vt:i4>
      </vt:variant>
      <vt:variant>
        <vt:lpwstr/>
      </vt:variant>
      <vt:variant>
        <vt:lpwstr>_Toc12024833</vt:lpwstr>
      </vt:variant>
      <vt:variant>
        <vt:i4>1900598</vt:i4>
      </vt:variant>
      <vt:variant>
        <vt:i4>545</vt:i4>
      </vt:variant>
      <vt:variant>
        <vt:i4>0</vt:i4>
      </vt:variant>
      <vt:variant>
        <vt:i4>5</vt:i4>
      </vt:variant>
      <vt:variant>
        <vt:lpwstr/>
      </vt:variant>
      <vt:variant>
        <vt:lpwstr>_Toc12024832</vt:lpwstr>
      </vt:variant>
      <vt:variant>
        <vt:i4>1966134</vt:i4>
      </vt:variant>
      <vt:variant>
        <vt:i4>539</vt:i4>
      </vt:variant>
      <vt:variant>
        <vt:i4>0</vt:i4>
      </vt:variant>
      <vt:variant>
        <vt:i4>5</vt:i4>
      </vt:variant>
      <vt:variant>
        <vt:lpwstr/>
      </vt:variant>
      <vt:variant>
        <vt:lpwstr>_Toc12024831</vt:lpwstr>
      </vt:variant>
      <vt:variant>
        <vt:i4>2031670</vt:i4>
      </vt:variant>
      <vt:variant>
        <vt:i4>533</vt:i4>
      </vt:variant>
      <vt:variant>
        <vt:i4>0</vt:i4>
      </vt:variant>
      <vt:variant>
        <vt:i4>5</vt:i4>
      </vt:variant>
      <vt:variant>
        <vt:lpwstr/>
      </vt:variant>
      <vt:variant>
        <vt:lpwstr>_Toc12024830</vt:lpwstr>
      </vt:variant>
      <vt:variant>
        <vt:i4>1441847</vt:i4>
      </vt:variant>
      <vt:variant>
        <vt:i4>527</vt:i4>
      </vt:variant>
      <vt:variant>
        <vt:i4>0</vt:i4>
      </vt:variant>
      <vt:variant>
        <vt:i4>5</vt:i4>
      </vt:variant>
      <vt:variant>
        <vt:lpwstr/>
      </vt:variant>
      <vt:variant>
        <vt:lpwstr>_Toc12024829</vt:lpwstr>
      </vt:variant>
      <vt:variant>
        <vt:i4>1507383</vt:i4>
      </vt:variant>
      <vt:variant>
        <vt:i4>521</vt:i4>
      </vt:variant>
      <vt:variant>
        <vt:i4>0</vt:i4>
      </vt:variant>
      <vt:variant>
        <vt:i4>5</vt:i4>
      </vt:variant>
      <vt:variant>
        <vt:lpwstr/>
      </vt:variant>
      <vt:variant>
        <vt:lpwstr>_Toc12024828</vt:lpwstr>
      </vt:variant>
      <vt:variant>
        <vt:i4>1572919</vt:i4>
      </vt:variant>
      <vt:variant>
        <vt:i4>515</vt:i4>
      </vt:variant>
      <vt:variant>
        <vt:i4>0</vt:i4>
      </vt:variant>
      <vt:variant>
        <vt:i4>5</vt:i4>
      </vt:variant>
      <vt:variant>
        <vt:lpwstr/>
      </vt:variant>
      <vt:variant>
        <vt:lpwstr>_Toc12024827</vt:lpwstr>
      </vt:variant>
      <vt:variant>
        <vt:i4>1638455</vt:i4>
      </vt:variant>
      <vt:variant>
        <vt:i4>509</vt:i4>
      </vt:variant>
      <vt:variant>
        <vt:i4>0</vt:i4>
      </vt:variant>
      <vt:variant>
        <vt:i4>5</vt:i4>
      </vt:variant>
      <vt:variant>
        <vt:lpwstr/>
      </vt:variant>
      <vt:variant>
        <vt:lpwstr>_Toc12024826</vt:lpwstr>
      </vt:variant>
      <vt:variant>
        <vt:i4>1507389</vt:i4>
      </vt:variant>
      <vt:variant>
        <vt:i4>500</vt:i4>
      </vt:variant>
      <vt:variant>
        <vt:i4>0</vt:i4>
      </vt:variant>
      <vt:variant>
        <vt:i4>5</vt:i4>
      </vt:variant>
      <vt:variant>
        <vt:lpwstr/>
      </vt:variant>
      <vt:variant>
        <vt:lpwstr>_Toc12024686</vt:lpwstr>
      </vt:variant>
      <vt:variant>
        <vt:i4>1310781</vt:i4>
      </vt:variant>
      <vt:variant>
        <vt:i4>494</vt:i4>
      </vt:variant>
      <vt:variant>
        <vt:i4>0</vt:i4>
      </vt:variant>
      <vt:variant>
        <vt:i4>5</vt:i4>
      </vt:variant>
      <vt:variant>
        <vt:lpwstr/>
      </vt:variant>
      <vt:variant>
        <vt:lpwstr>_Toc12024685</vt:lpwstr>
      </vt:variant>
      <vt:variant>
        <vt:i4>1376317</vt:i4>
      </vt:variant>
      <vt:variant>
        <vt:i4>488</vt:i4>
      </vt:variant>
      <vt:variant>
        <vt:i4>0</vt:i4>
      </vt:variant>
      <vt:variant>
        <vt:i4>5</vt:i4>
      </vt:variant>
      <vt:variant>
        <vt:lpwstr/>
      </vt:variant>
      <vt:variant>
        <vt:lpwstr>_Toc12024684</vt:lpwstr>
      </vt:variant>
      <vt:variant>
        <vt:i4>1179709</vt:i4>
      </vt:variant>
      <vt:variant>
        <vt:i4>482</vt:i4>
      </vt:variant>
      <vt:variant>
        <vt:i4>0</vt:i4>
      </vt:variant>
      <vt:variant>
        <vt:i4>5</vt:i4>
      </vt:variant>
      <vt:variant>
        <vt:lpwstr/>
      </vt:variant>
      <vt:variant>
        <vt:lpwstr>_Toc12024683</vt:lpwstr>
      </vt:variant>
      <vt:variant>
        <vt:i4>1245245</vt:i4>
      </vt:variant>
      <vt:variant>
        <vt:i4>476</vt:i4>
      </vt:variant>
      <vt:variant>
        <vt:i4>0</vt:i4>
      </vt:variant>
      <vt:variant>
        <vt:i4>5</vt:i4>
      </vt:variant>
      <vt:variant>
        <vt:lpwstr/>
      </vt:variant>
      <vt:variant>
        <vt:lpwstr>_Toc12024682</vt:lpwstr>
      </vt:variant>
      <vt:variant>
        <vt:i4>1048637</vt:i4>
      </vt:variant>
      <vt:variant>
        <vt:i4>470</vt:i4>
      </vt:variant>
      <vt:variant>
        <vt:i4>0</vt:i4>
      </vt:variant>
      <vt:variant>
        <vt:i4>5</vt:i4>
      </vt:variant>
      <vt:variant>
        <vt:lpwstr/>
      </vt:variant>
      <vt:variant>
        <vt:lpwstr>_Toc12024681</vt:lpwstr>
      </vt:variant>
      <vt:variant>
        <vt:i4>1114173</vt:i4>
      </vt:variant>
      <vt:variant>
        <vt:i4>464</vt:i4>
      </vt:variant>
      <vt:variant>
        <vt:i4>0</vt:i4>
      </vt:variant>
      <vt:variant>
        <vt:i4>5</vt:i4>
      </vt:variant>
      <vt:variant>
        <vt:lpwstr/>
      </vt:variant>
      <vt:variant>
        <vt:lpwstr>_Toc12024680</vt:lpwstr>
      </vt:variant>
      <vt:variant>
        <vt:i4>1572914</vt:i4>
      </vt:variant>
      <vt:variant>
        <vt:i4>458</vt:i4>
      </vt:variant>
      <vt:variant>
        <vt:i4>0</vt:i4>
      </vt:variant>
      <vt:variant>
        <vt:i4>5</vt:i4>
      </vt:variant>
      <vt:variant>
        <vt:lpwstr/>
      </vt:variant>
      <vt:variant>
        <vt:lpwstr>_Toc12024679</vt:lpwstr>
      </vt:variant>
      <vt:variant>
        <vt:i4>1638450</vt:i4>
      </vt:variant>
      <vt:variant>
        <vt:i4>452</vt:i4>
      </vt:variant>
      <vt:variant>
        <vt:i4>0</vt:i4>
      </vt:variant>
      <vt:variant>
        <vt:i4>5</vt:i4>
      </vt:variant>
      <vt:variant>
        <vt:lpwstr/>
      </vt:variant>
      <vt:variant>
        <vt:lpwstr>_Toc12024678</vt:lpwstr>
      </vt:variant>
      <vt:variant>
        <vt:i4>1441842</vt:i4>
      </vt:variant>
      <vt:variant>
        <vt:i4>446</vt:i4>
      </vt:variant>
      <vt:variant>
        <vt:i4>0</vt:i4>
      </vt:variant>
      <vt:variant>
        <vt:i4>5</vt:i4>
      </vt:variant>
      <vt:variant>
        <vt:lpwstr/>
      </vt:variant>
      <vt:variant>
        <vt:lpwstr>_Toc12024677</vt:lpwstr>
      </vt:variant>
      <vt:variant>
        <vt:i4>1507378</vt:i4>
      </vt:variant>
      <vt:variant>
        <vt:i4>440</vt:i4>
      </vt:variant>
      <vt:variant>
        <vt:i4>0</vt:i4>
      </vt:variant>
      <vt:variant>
        <vt:i4>5</vt:i4>
      </vt:variant>
      <vt:variant>
        <vt:lpwstr/>
      </vt:variant>
      <vt:variant>
        <vt:lpwstr>_Toc12024676</vt:lpwstr>
      </vt:variant>
      <vt:variant>
        <vt:i4>1310770</vt:i4>
      </vt:variant>
      <vt:variant>
        <vt:i4>434</vt:i4>
      </vt:variant>
      <vt:variant>
        <vt:i4>0</vt:i4>
      </vt:variant>
      <vt:variant>
        <vt:i4>5</vt:i4>
      </vt:variant>
      <vt:variant>
        <vt:lpwstr/>
      </vt:variant>
      <vt:variant>
        <vt:lpwstr>_Toc12024675</vt:lpwstr>
      </vt:variant>
      <vt:variant>
        <vt:i4>1376306</vt:i4>
      </vt:variant>
      <vt:variant>
        <vt:i4>428</vt:i4>
      </vt:variant>
      <vt:variant>
        <vt:i4>0</vt:i4>
      </vt:variant>
      <vt:variant>
        <vt:i4>5</vt:i4>
      </vt:variant>
      <vt:variant>
        <vt:lpwstr/>
      </vt:variant>
      <vt:variant>
        <vt:lpwstr>_Toc12024674</vt:lpwstr>
      </vt:variant>
      <vt:variant>
        <vt:i4>1179698</vt:i4>
      </vt:variant>
      <vt:variant>
        <vt:i4>422</vt:i4>
      </vt:variant>
      <vt:variant>
        <vt:i4>0</vt:i4>
      </vt:variant>
      <vt:variant>
        <vt:i4>5</vt:i4>
      </vt:variant>
      <vt:variant>
        <vt:lpwstr/>
      </vt:variant>
      <vt:variant>
        <vt:lpwstr>_Toc12024673</vt:lpwstr>
      </vt:variant>
      <vt:variant>
        <vt:i4>1245234</vt:i4>
      </vt:variant>
      <vt:variant>
        <vt:i4>416</vt:i4>
      </vt:variant>
      <vt:variant>
        <vt:i4>0</vt:i4>
      </vt:variant>
      <vt:variant>
        <vt:i4>5</vt:i4>
      </vt:variant>
      <vt:variant>
        <vt:lpwstr/>
      </vt:variant>
      <vt:variant>
        <vt:lpwstr>_Toc12024672</vt:lpwstr>
      </vt:variant>
      <vt:variant>
        <vt:i4>1048626</vt:i4>
      </vt:variant>
      <vt:variant>
        <vt:i4>410</vt:i4>
      </vt:variant>
      <vt:variant>
        <vt:i4>0</vt:i4>
      </vt:variant>
      <vt:variant>
        <vt:i4>5</vt:i4>
      </vt:variant>
      <vt:variant>
        <vt:lpwstr/>
      </vt:variant>
      <vt:variant>
        <vt:lpwstr>_Toc12024671</vt:lpwstr>
      </vt:variant>
      <vt:variant>
        <vt:i4>1114162</vt:i4>
      </vt:variant>
      <vt:variant>
        <vt:i4>404</vt:i4>
      </vt:variant>
      <vt:variant>
        <vt:i4>0</vt:i4>
      </vt:variant>
      <vt:variant>
        <vt:i4>5</vt:i4>
      </vt:variant>
      <vt:variant>
        <vt:lpwstr/>
      </vt:variant>
      <vt:variant>
        <vt:lpwstr>_Toc12024670</vt:lpwstr>
      </vt:variant>
      <vt:variant>
        <vt:i4>1572915</vt:i4>
      </vt:variant>
      <vt:variant>
        <vt:i4>398</vt:i4>
      </vt:variant>
      <vt:variant>
        <vt:i4>0</vt:i4>
      </vt:variant>
      <vt:variant>
        <vt:i4>5</vt:i4>
      </vt:variant>
      <vt:variant>
        <vt:lpwstr/>
      </vt:variant>
      <vt:variant>
        <vt:lpwstr>_Toc12024669</vt:lpwstr>
      </vt:variant>
      <vt:variant>
        <vt:i4>1638451</vt:i4>
      </vt:variant>
      <vt:variant>
        <vt:i4>392</vt:i4>
      </vt:variant>
      <vt:variant>
        <vt:i4>0</vt:i4>
      </vt:variant>
      <vt:variant>
        <vt:i4>5</vt:i4>
      </vt:variant>
      <vt:variant>
        <vt:lpwstr/>
      </vt:variant>
      <vt:variant>
        <vt:lpwstr>_Toc12024668</vt:lpwstr>
      </vt:variant>
      <vt:variant>
        <vt:i4>1441843</vt:i4>
      </vt:variant>
      <vt:variant>
        <vt:i4>386</vt:i4>
      </vt:variant>
      <vt:variant>
        <vt:i4>0</vt:i4>
      </vt:variant>
      <vt:variant>
        <vt:i4>5</vt:i4>
      </vt:variant>
      <vt:variant>
        <vt:lpwstr/>
      </vt:variant>
      <vt:variant>
        <vt:lpwstr>_Toc12024667</vt:lpwstr>
      </vt:variant>
      <vt:variant>
        <vt:i4>1507379</vt:i4>
      </vt:variant>
      <vt:variant>
        <vt:i4>380</vt:i4>
      </vt:variant>
      <vt:variant>
        <vt:i4>0</vt:i4>
      </vt:variant>
      <vt:variant>
        <vt:i4>5</vt:i4>
      </vt:variant>
      <vt:variant>
        <vt:lpwstr/>
      </vt:variant>
      <vt:variant>
        <vt:lpwstr>_Toc12024666</vt:lpwstr>
      </vt:variant>
      <vt:variant>
        <vt:i4>1310771</vt:i4>
      </vt:variant>
      <vt:variant>
        <vt:i4>374</vt:i4>
      </vt:variant>
      <vt:variant>
        <vt:i4>0</vt:i4>
      </vt:variant>
      <vt:variant>
        <vt:i4>5</vt:i4>
      </vt:variant>
      <vt:variant>
        <vt:lpwstr/>
      </vt:variant>
      <vt:variant>
        <vt:lpwstr>_Toc12024665</vt:lpwstr>
      </vt:variant>
      <vt:variant>
        <vt:i4>1376307</vt:i4>
      </vt:variant>
      <vt:variant>
        <vt:i4>368</vt:i4>
      </vt:variant>
      <vt:variant>
        <vt:i4>0</vt:i4>
      </vt:variant>
      <vt:variant>
        <vt:i4>5</vt:i4>
      </vt:variant>
      <vt:variant>
        <vt:lpwstr/>
      </vt:variant>
      <vt:variant>
        <vt:lpwstr>_Toc12024664</vt:lpwstr>
      </vt:variant>
      <vt:variant>
        <vt:i4>1179699</vt:i4>
      </vt:variant>
      <vt:variant>
        <vt:i4>362</vt:i4>
      </vt:variant>
      <vt:variant>
        <vt:i4>0</vt:i4>
      </vt:variant>
      <vt:variant>
        <vt:i4>5</vt:i4>
      </vt:variant>
      <vt:variant>
        <vt:lpwstr/>
      </vt:variant>
      <vt:variant>
        <vt:lpwstr>_Toc12024663</vt:lpwstr>
      </vt:variant>
      <vt:variant>
        <vt:i4>1245235</vt:i4>
      </vt:variant>
      <vt:variant>
        <vt:i4>356</vt:i4>
      </vt:variant>
      <vt:variant>
        <vt:i4>0</vt:i4>
      </vt:variant>
      <vt:variant>
        <vt:i4>5</vt:i4>
      </vt:variant>
      <vt:variant>
        <vt:lpwstr/>
      </vt:variant>
      <vt:variant>
        <vt:lpwstr>_Toc12024662</vt:lpwstr>
      </vt:variant>
      <vt:variant>
        <vt:i4>1048627</vt:i4>
      </vt:variant>
      <vt:variant>
        <vt:i4>350</vt:i4>
      </vt:variant>
      <vt:variant>
        <vt:i4>0</vt:i4>
      </vt:variant>
      <vt:variant>
        <vt:i4>5</vt:i4>
      </vt:variant>
      <vt:variant>
        <vt:lpwstr/>
      </vt:variant>
      <vt:variant>
        <vt:lpwstr>_Toc12024661</vt:lpwstr>
      </vt:variant>
      <vt:variant>
        <vt:i4>1114163</vt:i4>
      </vt:variant>
      <vt:variant>
        <vt:i4>344</vt:i4>
      </vt:variant>
      <vt:variant>
        <vt:i4>0</vt:i4>
      </vt:variant>
      <vt:variant>
        <vt:i4>5</vt:i4>
      </vt:variant>
      <vt:variant>
        <vt:lpwstr/>
      </vt:variant>
      <vt:variant>
        <vt:lpwstr>_Toc12024660</vt:lpwstr>
      </vt:variant>
      <vt:variant>
        <vt:i4>1572912</vt:i4>
      </vt:variant>
      <vt:variant>
        <vt:i4>338</vt:i4>
      </vt:variant>
      <vt:variant>
        <vt:i4>0</vt:i4>
      </vt:variant>
      <vt:variant>
        <vt:i4>5</vt:i4>
      </vt:variant>
      <vt:variant>
        <vt:lpwstr/>
      </vt:variant>
      <vt:variant>
        <vt:lpwstr>_Toc12024659</vt:lpwstr>
      </vt:variant>
      <vt:variant>
        <vt:i4>1638448</vt:i4>
      </vt:variant>
      <vt:variant>
        <vt:i4>332</vt:i4>
      </vt:variant>
      <vt:variant>
        <vt:i4>0</vt:i4>
      </vt:variant>
      <vt:variant>
        <vt:i4>5</vt:i4>
      </vt:variant>
      <vt:variant>
        <vt:lpwstr/>
      </vt:variant>
      <vt:variant>
        <vt:lpwstr>_Toc12024658</vt:lpwstr>
      </vt:variant>
      <vt:variant>
        <vt:i4>1441840</vt:i4>
      </vt:variant>
      <vt:variant>
        <vt:i4>326</vt:i4>
      </vt:variant>
      <vt:variant>
        <vt:i4>0</vt:i4>
      </vt:variant>
      <vt:variant>
        <vt:i4>5</vt:i4>
      </vt:variant>
      <vt:variant>
        <vt:lpwstr/>
      </vt:variant>
      <vt:variant>
        <vt:lpwstr>_Toc12024657</vt:lpwstr>
      </vt:variant>
      <vt:variant>
        <vt:i4>1507376</vt:i4>
      </vt:variant>
      <vt:variant>
        <vt:i4>320</vt:i4>
      </vt:variant>
      <vt:variant>
        <vt:i4>0</vt:i4>
      </vt:variant>
      <vt:variant>
        <vt:i4>5</vt:i4>
      </vt:variant>
      <vt:variant>
        <vt:lpwstr/>
      </vt:variant>
      <vt:variant>
        <vt:lpwstr>_Toc12024656</vt:lpwstr>
      </vt:variant>
      <vt:variant>
        <vt:i4>1310768</vt:i4>
      </vt:variant>
      <vt:variant>
        <vt:i4>314</vt:i4>
      </vt:variant>
      <vt:variant>
        <vt:i4>0</vt:i4>
      </vt:variant>
      <vt:variant>
        <vt:i4>5</vt:i4>
      </vt:variant>
      <vt:variant>
        <vt:lpwstr/>
      </vt:variant>
      <vt:variant>
        <vt:lpwstr>_Toc12024655</vt:lpwstr>
      </vt:variant>
      <vt:variant>
        <vt:i4>1376304</vt:i4>
      </vt:variant>
      <vt:variant>
        <vt:i4>308</vt:i4>
      </vt:variant>
      <vt:variant>
        <vt:i4>0</vt:i4>
      </vt:variant>
      <vt:variant>
        <vt:i4>5</vt:i4>
      </vt:variant>
      <vt:variant>
        <vt:lpwstr/>
      </vt:variant>
      <vt:variant>
        <vt:lpwstr>_Toc12024654</vt:lpwstr>
      </vt:variant>
      <vt:variant>
        <vt:i4>1179696</vt:i4>
      </vt:variant>
      <vt:variant>
        <vt:i4>302</vt:i4>
      </vt:variant>
      <vt:variant>
        <vt:i4>0</vt:i4>
      </vt:variant>
      <vt:variant>
        <vt:i4>5</vt:i4>
      </vt:variant>
      <vt:variant>
        <vt:lpwstr/>
      </vt:variant>
      <vt:variant>
        <vt:lpwstr>_Toc12024653</vt:lpwstr>
      </vt:variant>
      <vt:variant>
        <vt:i4>1245232</vt:i4>
      </vt:variant>
      <vt:variant>
        <vt:i4>296</vt:i4>
      </vt:variant>
      <vt:variant>
        <vt:i4>0</vt:i4>
      </vt:variant>
      <vt:variant>
        <vt:i4>5</vt:i4>
      </vt:variant>
      <vt:variant>
        <vt:lpwstr/>
      </vt:variant>
      <vt:variant>
        <vt:lpwstr>_Toc12024652</vt:lpwstr>
      </vt:variant>
      <vt:variant>
        <vt:i4>1048624</vt:i4>
      </vt:variant>
      <vt:variant>
        <vt:i4>290</vt:i4>
      </vt:variant>
      <vt:variant>
        <vt:i4>0</vt:i4>
      </vt:variant>
      <vt:variant>
        <vt:i4>5</vt:i4>
      </vt:variant>
      <vt:variant>
        <vt:lpwstr/>
      </vt:variant>
      <vt:variant>
        <vt:lpwstr>_Toc12024651</vt:lpwstr>
      </vt:variant>
      <vt:variant>
        <vt:i4>1114160</vt:i4>
      </vt:variant>
      <vt:variant>
        <vt:i4>284</vt:i4>
      </vt:variant>
      <vt:variant>
        <vt:i4>0</vt:i4>
      </vt:variant>
      <vt:variant>
        <vt:i4>5</vt:i4>
      </vt:variant>
      <vt:variant>
        <vt:lpwstr/>
      </vt:variant>
      <vt:variant>
        <vt:lpwstr>_Toc12024650</vt:lpwstr>
      </vt:variant>
      <vt:variant>
        <vt:i4>1572913</vt:i4>
      </vt:variant>
      <vt:variant>
        <vt:i4>278</vt:i4>
      </vt:variant>
      <vt:variant>
        <vt:i4>0</vt:i4>
      </vt:variant>
      <vt:variant>
        <vt:i4>5</vt:i4>
      </vt:variant>
      <vt:variant>
        <vt:lpwstr/>
      </vt:variant>
      <vt:variant>
        <vt:lpwstr>_Toc12024649</vt:lpwstr>
      </vt:variant>
      <vt:variant>
        <vt:i4>1638449</vt:i4>
      </vt:variant>
      <vt:variant>
        <vt:i4>272</vt:i4>
      </vt:variant>
      <vt:variant>
        <vt:i4>0</vt:i4>
      </vt:variant>
      <vt:variant>
        <vt:i4>5</vt:i4>
      </vt:variant>
      <vt:variant>
        <vt:lpwstr/>
      </vt:variant>
      <vt:variant>
        <vt:lpwstr>_Toc12024648</vt:lpwstr>
      </vt:variant>
      <vt:variant>
        <vt:i4>1441841</vt:i4>
      </vt:variant>
      <vt:variant>
        <vt:i4>266</vt:i4>
      </vt:variant>
      <vt:variant>
        <vt:i4>0</vt:i4>
      </vt:variant>
      <vt:variant>
        <vt:i4>5</vt:i4>
      </vt:variant>
      <vt:variant>
        <vt:lpwstr/>
      </vt:variant>
      <vt:variant>
        <vt:lpwstr>_Toc12024647</vt:lpwstr>
      </vt:variant>
      <vt:variant>
        <vt:i4>1507377</vt:i4>
      </vt:variant>
      <vt:variant>
        <vt:i4>260</vt:i4>
      </vt:variant>
      <vt:variant>
        <vt:i4>0</vt:i4>
      </vt:variant>
      <vt:variant>
        <vt:i4>5</vt:i4>
      </vt:variant>
      <vt:variant>
        <vt:lpwstr/>
      </vt:variant>
      <vt:variant>
        <vt:lpwstr>_Toc12024646</vt:lpwstr>
      </vt:variant>
      <vt:variant>
        <vt:i4>1310769</vt:i4>
      </vt:variant>
      <vt:variant>
        <vt:i4>254</vt:i4>
      </vt:variant>
      <vt:variant>
        <vt:i4>0</vt:i4>
      </vt:variant>
      <vt:variant>
        <vt:i4>5</vt:i4>
      </vt:variant>
      <vt:variant>
        <vt:lpwstr/>
      </vt:variant>
      <vt:variant>
        <vt:lpwstr>_Toc12024645</vt:lpwstr>
      </vt:variant>
      <vt:variant>
        <vt:i4>1376305</vt:i4>
      </vt:variant>
      <vt:variant>
        <vt:i4>248</vt:i4>
      </vt:variant>
      <vt:variant>
        <vt:i4>0</vt:i4>
      </vt:variant>
      <vt:variant>
        <vt:i4>5</vt:i4>
      </vt:variant>
      <vt:variant>
        <vt:lpwstr/>
      </vt:variant>
      <vt:variant>
        <vt:lpwstr>_Toc12024644</vt:lpwstr>
      </vt:variant>
      <vt:variant>
        <vt:i4>1179697</vt:i4>
      </vt:variant>
      <vt:variant>
        <vt:i4>242</vt:i4>
      </vt:variant>
      <vt:variant>
        <vt:i4>0</vt:i4>
      </vt:variant>
      <vt:variant>
        <vt:i4>5</vt:i4>
      </vt:variant>
      <vt:variant>
        <vt:lpwstr/>
      </vt:variant>
      <vt:variant>
        <vt:lpwstr>_Toc12024643</vt:lpwstr>
      </vt:variant>
      <vt:variant>
        <vt:i4>1245233</vt:i4>
      </vt:variant>
      <vt:variant>
        <vt:i4>236</vt:i4>
      </vt:variant>
      <vt:variant>
        <vt:i4>0</vt:i4>
      </vt:variant>
      <vt:variant>
        <vt:i4>5</vt:i4>
      </vt:variant>
      <vt:variant>
        <vt:lpwstr/>
      </vt:variant>
      <vt:variant>
        <vt:lpwstr>_Toc12024642</vt:lpwstr>
      </vt:variant>
      <vt:variant>
        <vt:i4>1048625</vt:i4>
      </vt:variant>
      <vt:variant>
        <vt:i4>230</vt:i4>
      </vt:variant>
      <vt:variant>
        <vt:i4>0</vt:i4>
      </vt:variant>
      <vt:variant>
        <vt:i4>5</vt:i4>
      </vt:variant>
      <vt:variant>
        <vt:lpwstr/>
      </vt:variant>
      <vt:variant>
        <vt:lpwstr>_Toc12024641</vt:lpwstr>
      </vt:variant>
      <vt:variant>
        <vt:i4>1114161</vt:i4>
      </vt:variant>
      <vt:variant>
        <vt:i4>224</vt:i4>
      </vt:variant>
      <vt:variant>
        <vt:i4>0</vt:i4>
      </vt:variant>
      <vt:variant>
        <vt:i4>5</vt:i4>
      </vt:variant>
      <vt:variant>
        <vt:lpwstr/>
      </vt:variant>
      <vt:variant>
        <vt:lpwstr>_Toc12024640</vt:lpwstr>
      </vt:variant>
      <vt:variant>
        <vt:i4>1572918</vt:i4>
      </vt:variant>
      <vt:variant>
        <vt:i4>218</vt:i4>
      </vt:variant>
      <vt:variant>
        <vt:i4>0</vt:i4>
      </vt:variant>
      <vt:variant>
        <vt:i4>5</vt:i4>
      </vt:variant>
      <vt:variant>
        <vt:lpwstr/>
      </vt:variant>
      <vt:variant>
        <vt:lpwstr>_Toc12024639</vt:lpwstr>
      </vt:variant>
      <vt:variant>
        <vt:i4>1638454</vt:i4>
      </vt:variant>
      <vt:variant>
        <vt:i4>212</vt:i4>
      </vt:variant>
      <vt:variant>
        <vt:i4>0</vt:i4>
      </vt:variant>
      <vt:variant>
        <vt:i4>5</vt:i4>
      </vt:variant>
      <vt:variant>
        <vt:lpwstr/>
      </vt:variant>
      <vt:variant>
        <vt:lpwstr>_Toc12024638</vt:lpwstr>
      </vt:variant>
      <vt:variant>
        <vt:i4>1441846</vt:i4>
      </vt:variant>
      <vt:variant>
        <vt:i4>206</vt:i4>
      </vt:variant>
      <vt:variant>
        <vt:i4>0</vt:i4>
      </vt:variant>
      <vt:variant>
        <vt:i4>5</vt:i4>
      </vt:variant>
      <vt:variant>
        <vt:lpwstr/>
      </vt:variant>
      <vt:variant>
        <vt:lpwstr>_Toc12024637</vt:lpwstr>
      </vt:variant>
      <vt:variant>
        <vt:i4>1507382</vt:i4>
      </vt:variant>
      <vt:variant>
        <vt:i4>200</vt:i4>
      </vt:variant>
      <vt:variant>
        <vt:i4>0</vt:i4>
      </vt:variant>
      <vt:variant>
        <vt:i4>5</vt:i4>
      </vt:variant>
      <vt:variant>
        <vt:lpwstr/>
      </vt:variant>
      <vt:variant>
        <vt:lpwstr>_Toc12024636</vt:lpwstr>
      </vt:variant>
      <vt:variant>
        <vt:i4>1310774</vt:i4>
      </vt:variant>
      <vt:variant>
        <vt:i4>194</vt:i4>
      </vt:variant>
      <vt:variant>
        <vt:i4>0</vt:i4>
      </vt:variant>
      <vt:variant>
        <vt:i4>5</vt:i4>
      </vt:variant>
      <vt:variant>
        <vt:lpwstr/>
      </vt:variant>
      <vt:variant>
        <vt:lpwstr>_Toc12024635</vt:lpwstr>
      </vt:variant>
      <vt:variant>
        <vt:i4>1376310</vt:i4>
      </vt:variant>
      <vt:variant>
        <vt:i4>188</vt:i4>
      </vt:variant>
      <vt:variant>
        <vt:i4>0</vt:i4>
      </vt:variant>
      <vt:variant>
        <vt:i4>5</vt:i4>
      </vt:variant>
      <vt:variant>
        <vt:lpwstr/>
      </vt:variant>
      <vt:variant>
        <vt:lpwstr>_Toc12024634</vt:lpwstr>
      </vt:variant>
      <vt:variant>
        <vt:i4>1179702</vt:i4>
      </vt:variant>
      <vt:variant>
        <vt:i4>182</vt:i4>
      </vt:variant>
      <vt:variant>
        <vt:i4>0</vt:i4>
      </vt:variant>
      <vt:variant>
        <vt:i4>5</vt:i4>
      </vt:variant>
      <vt:variant>
        <vt:lpwstr/>
      </vt:variant>
      <vt:variant>
        <vt:lpwstr>_Toc12024633</vt:lpwstr>
      </vt:variant>
      <vt:variant>
        <vt:i4>1245238</vt:i4>
      </vt:variant>
      <vt:variant>
        <vt:i4>176</vt:i4>
      </vt:variant>
      <vt:variant>
        <vt:i4>0</vt:i4>
      </vt:variant>
      <vt:variant>
        <vt:i4>5</vt:i4>
      </vt:variant>
      <vt:variant>
        <vt:lpwstr/>
      </vt:variant>
      <vt:variant>
        <vt:lpwstr>_Toc12024632</vt:lpwstr>
      </vt:variant>
      <vt:variant>
        <vt:i4>1048630</vt:i4>
      </vt:variant>
      <vt:variant>
        <vt:i4>170</vt:i4>
      </vt:variant>
      <vt:variant>
        <vt:i4>0</vt:i4>
      </vt:variant>
      <vt:variant>
        <vt:i4>5</vt:i4>
      </vt:variant>
      <vt:variant>
        <vt:lpwstr/>
      </vt:variant>
      <vt:variant>
        <vt:lpwstr>_Toc12024631</vt:lpwstr>
      </vt:variant>
      <vt:variant>
        <vt:i4>1114166</vt:i4>
      </vt:variant>
      <vt:variant>
        <vt:i4>164</vt:i4>
      </vt:variant>
      <vt:variant>
        <vt:i4>0</vt:i4>
      </vt:variant>
      <vt:variant>
        <vt:i4>5</vt:i4>
      </vt:variant>
      <vt:variant>
        <vt:lpwstr/>
      </vt:variant>
      <vt:variant>
        <vt:lpwstr>_Toc12024630</vt:lpwstr>
      </vt:variant>
      <vt:variant>
        <vt:i4>1572919</vt:i4>
      </vt:variant>
      <vt:variant>
        <vt:i4>158</vt:i4>
      </vt:variant>
      <vt:variant>
        <vt:i4>0</vt:i4>
      </vt:variant>
      <vt:variant>
        <vt:i4>5</vt:i4>
      </vt:variant>
      <vt:variant>
        <vt:lpwstr/>
      </vt:variant>
      <vt:variant>
        <vt:lpwstr>_Toc12024629</vt:lpwstr>
      </vt:variant>
      <vt:variant>
        <vt:i4>1638455</vt:i4>
      </vt:variant>
      <vt:variant>
        <vt:i4>152</vt:i4>
      </vt:variant>
      <vt:variant>
        <vt:i4>0</vt:i4>
      </vt:variant>
      <vt:variant>
        <vt:i4>5</vt:i4>
      </vt:variant>
      <vt:variant>
        <vt:lpwstr/>
      </vt:variant>
      <vt:variant>
        <vt:lpwstr>_Toc12024628</vt:lpwstr>
      </vt:variant>
      <vt:variant>
        <vt:i4>1441847</vt:i4>
      </vt:variant>
      <vt:variant>
        <vt:i4>146</vt:i4>
      </vt:variant>
      <vt:variant>
        <vt:i4>0</vt:i4>
      </vt:variant>
      <vt:variant>
        <vt:i4>5</vt:i4>
      </vt:variant>
      <vt:variant>
        <vt:lpwstr/>
      </vt:variant>
      <vt:variant>
        <vt:lpwstr>_Toc12024627</vt:lpwstr>
      </vt:variant>
      <vt:variant>
        <vt:i4>1507383</vt:i4>
      </vt:variant>
      <vt:variant>
        <vt:i4>140</vt:i4>
      </vt:variant>
      <vt:variant>
        <vt:i4>0</vt:i4>
      </vt:variant>
      <vt:variant>
        <vt:i4>5</vt:i4>
      </vt:variant>
      <vt:variant>
        <vt:lpwstr/>
      </vt:variant>
      <vt:variant>
        <vt:lpwstr>_Toc12024626</vt:lpwstr>
      </vt:variant>
      <vt:variant>
        <vt:i4>1310775</vt:i4>
      </vt:variant>
      <vt:variant>
        <vt:i4>134</vt:i4>
      </vt:variant>
      <vt:variant>
        <vt:i4>0</vt:i4>
      </vt:variant>
      <vt:variant>
        <vt:i4>5</vt:i4>
      </vt:variant>
      <vt:variant>
        <vt:lpwstr/>
      </vt:variant>
      <vt:variant>
        <vt:lpwstr>_Toc12024625</vt:lpwstr>
      </vt:variant>
      <vt:variant>
        <vt:i4>1376311</vt:i4>
      </vt:variant>
      <vt:variant>
        <vt:i4>128</vt:i4>
      </vt:variant>
      <vt:variant>
        <vt:i4>0</vt:i4>
      </vt:variant>
      <vt:variant>
        <vt:i4>5</vt:i4>
      </vt:variant>
      <vt:variant>
        <vt:lpwstr/>
      </vt:variant>
      <vt:variant>
        <vt:lpwstr>_Toc12024624</vt:lpwstr>
      </vt:variant>
      <vt:variant>
        <vt:i4>1179703</vt:i4>
      </vt:variant>
      <vt:variant>
        <vt:i4>122</vt:i4>
      </vt:variant>
      <vt:variant>
        <vt:i4>0</vt:i4>
      </vt:variant>
      <vt:variant>
        <vt:i4>5</vt:i4>
      </vt:variant>
      <vt:variant>
        <vt:lpwstr/>
      </vt:variant>
      <vt:variant>
        <vt:lpwstr>_Toc12024623</vt:lpwstr>
      </vt:variant>
      <vt:variant>
        <vt:i4>1245239</vt:i4>
      </vt:variant>
      <vt:variant>
        <vt:i4>116</vt:i4>
      </vt:variant>
      <vt:variant>
        <vt:i4>0</vt:i4>
      </vt:variant>
      <vt:variant>
        <vt:i4>5</vt:i4>
      </vt:variant>
      <vt:variant>
        <vt:lpwstr/>
      </vt:variant>
      <vt:variant>
        <vt:lpwstr>_Toc12024622</vt:lpwstr>
      </vt:variant>
      <vt:variant>
        <vt:i4>1048631</vt:i4>
      </vt:variant>
      <vt:variant>
        <vt:i4>110</vt:i4>
      </vt:variant>
      <vt:variant>
        <vt:i4>0</vt:i4>
      </vt:variant>
      <vt:variant>
        <vt:i4>5</vt:i4>
      </vt:variant>
      <vt:variant>
        <vt:lpwstr/>
      </vt:variant>
      <vt:variant>
        <vt:lpwstr>_Toc12024621</vt:lpwstr>
      </vt:variant>
      <vt:variant>
        <vt:i4>1114167</vt:i4>
      </vt:variant>
      <vt:variant>
        <vt:i4>104</vt:i4>
      </vt:variant>
      <vt:variant>
        <vt:i4>0</vt:i4>
      </vt:variant>
      <vt:variant>
        <vt:i4>5</vt:i4>
      </vt:variant>
      <vt:variant>
        <vt:lpwstr/>
      </vt:variant>
      <vt:variant>
        <vt:lpwstr>_Toc12024620</vt:lpwstr>
      </vt:variant>
      <vt:variant>
        <vt:i4>1572916</vt:i4>
      </vt:variant>
      <vt:variant>
        <vt:i4>98</vt:i4>
      </vt:variant>
      <vt:variant>
        <vt:i4>0</vt:i4>
      </vt:variant>
      <vt:variant>
        <vt:i4>5</vt:i4>
      </vt:variant>
      <vt:variant>
        <vt:lpwstr/>
      </vt:variant>
      <vt:variant>
        <vt:lpwstr>_Toc12024619</vt:lpwstr>
      </vt:variant>
      <vt:variant>
        <vt:i4>1638452</vt:i4>
      </vt:variant>
      <vt:variant>
        <vt:i4>92</vt:i4>
      </vt:variant>
      <vt:variant>
        <vt:i4>0</vt:i4>
      </vt:variant>
      <vt:variant>
        <vt:i4>5</vt:i4>
      </vt:variant>
      <vt:variant>
        <vt:lpwstr/>
      </vt:variant>
      <vt:variant>
        <vt:lpwstr>_Toc12024618</vt:lpwstr>
      </vt:variant>
      <vt:variant>
        <vt:i4>1441844</vt:i4>
      </vt:variant>
      <vt:variant>
        <vt:i4>86</vt:i4>
      </vt:variant>
      <vt:variant>
        <vt:i4>0</vt:i4>
      </vt:variant>
      <vt:variant>
        <vt:i4>5</vt:i4>
      </vt:variant>
      <vt:variant>
        <vt:lpwstr/>
      </vt:variant>
      <vt:variant>
        <vt:lpwstr>_Toc12024617</vt:lpwstr>
      </vt:variant>
      <vt:variant>
        <vt:i4>1507380</vt:i4>
      </vt:variant>
      <vt:variant>
        <vt:i4>80</vt:i4>
      </vt:variant>
      <vt:variant>
        <vt:i4>0</vt:i4>
      </vt:variant>
      <vt:variant>
        <vt:i4>5</vt:i4>
      </vt:variant>
      <vt:variant>
        <vt:lpwstr/>
      </vt:variant>
      <vt:variant>
        <vt:lpwstr>_Toc12024616</vt:lpwstr>
      </vt:variant>
      <vt:variant>
        <vt:i4>1310772</vt:i4>
      </vt:variant>
      <vt:variant>
        <vt:i4>74</vt:i4>
      </vt:variant>
      <vt:variant>
        <vt:i4>0</vt:i4>
      </vt:variant>
      <vt:variant>
        <vt:i4>5</vt:i4>
      </vt:variant>
      <vt:variant>
        <vt:lpwstr/>
      </vt:variant>
      <vt:variant>
        <vt:lpwstr>_Toc12024615</vt:lpwstr>
      </vt:variant>
      <vt:variant>
        <vt:i4>1376308</vt:i4>
      </vt:variant>
      <vt:variant>
        <vt:i4>68</vt:i4>
      </vt:variant>
      <vt:variant>
        <vt:i4>0</vt:i4>
      </vt:variant>
      <vt:variant>
        <vt:i4>5</vt:i4>
      </vt:variant>
      <vt:variant>
        <vt:lpwstr/>
      </vt:variant>
      <vt:variant>
        <vt:lpwstr>_Toc12024614</vt:lpwstr>
      </vt:variant>
      <vt:variant>
        <vt:i4>1179700</vt:i4>
      </vt:variant>
      <vt:variant>
        <vt:i4>62</vt:i4>
      </vt:variant>
      <vt:variant>
        <vt:i4>0</vt:i4>
      </vt:variant>
      <vt:variant>
        <vt:i4>5</vt:i4>
      </vt:variant>
      <vt:variant>
        <vt:lpwstr/>
      </vt:variant>
      <vt:variant>
        <vt:lpwstr>_Toc12024613</vt:lpwstr>
      </vt:variant>
      <vt:variant>
        <vt:i4>1245236</vt:i4>
      </vt:variant>
      <vt:variant>
        <vt:i4>56</vt:i4>
      </vt:variant>
      <vt:variant>
        <vt:i4>0</vt:i4>
      </vt:variant>
      <vt:variant>
        <vt:i4>5</vt:i4>
      </vt:variant>
      <vt:variant>
        <vt:lpwstr/>
      </vt:variant>
      <vt:variant>
        <vt:lpwstr>_Toc12024612</vt:lpwstr>
      </vt:variant>
      <vt:variant>
        <vt:i4>1048628</vt:i4>
      </vt:variant>
      <vt:variant>
        <vt:i4>50</vt:i4>
      </vt:variant>
      <vt:variant>
        <vt:i4>0</vt:i4>
      </vt:variant>
      <vt:variant>
        <vt:i4>5</vt:i4>
      </vt:variant>
      <vt:variant>
        <vt:lpwstr/>
      </vt:variant>
      <vt:variant>
        <vt:lpwstr>_Toc12024611</vt:lpwstr>
      </vt:variant>
      <vt:variant>
        <vt:i4>1114164</vt:i4>
      </vt:variant>
      <vt:variant>
        <vt:i4>44</vt:i4>
      </vt:variant>
      <vt:variant>
        <vt:i4>0</vt:i4>
      </vt:variant>
      <vt:variant>
        <vt:i4>5</vt:i4>
      </vt:variant>
      <vt:variant>
        <vt:lpwstr/>
      </vt:variant>
      <vt:variant>
        <vt:lpwstr>_Toc12024610</vt:lpwstr>
      </vt:variant>
      <vt:variant>
        <vt:i4>1572917</vt:i4>
      </vt:variant>
      <vt:variant>
        <vt:i4>38</vt:i4>
      </vt:variant>
      <vt:variant>
        <vt:i4>0</vt:i4>
      </vt:variant>
      <vt:variant>
        <vt:i4>5</vt:i4>
      </vt:variant>
      <vt:variant>
        <vt:lpwstr/>
      </vt:variant>
      <vt:variant>
        <vt:lpwstr>_Toc12024609</vt:lpwstr>
      </vt:variant>
      <vt:variant>
        <vt:i4>1638453</vt:i4>
      </vt:variant>
      <vt:variant>
        <vt:i4>32</vt:i4>
      </vt:variant>
      <vt:variant>
        <vt:i4>0</vt:i4>
      </vt:variant>
      <vt:variant>
        <vt:i4>5</vt:i4>
      </vt:variant>
      <vt:variant>
        <vt:lpwstr/>
      </vt:variant>
      <vt:variant>
        <vt:lpwstr>_Toc12024608</vt:lpwstr>
      </vt:variant>
      <vt:variant>
        <vt:i4>1441845</vt:i4>
      </vt:variant>
      <vt:variant>
        <vt:i4>26</vt:i4>
      </vt:variant>
      <vt:variant>
        <vt:i4>0</vt:i4>
      </vt:variant>
      <vt:variant>
        <vt:i4>5</vt:i4>
      </vt:variant>
      <vt:variant>
        <vt:lpwstr/>
      </vt:variant>
      <vt:variant>
        <vt:lpwstr>_Toc12024607</vt:lpwstr>
      </vt:variant>
      <vt:variant>
        <vt:i4>1507381</vt:i4>
      </vt:variant>
      <vt:variant>
        <vt:i4>20</vt:i4>
      </vt:variant>
      <vt:variant>
        <vt:i4>0</vt:i4>
      </vt:variant>
      <vt:variant>
        <vt:i4>5</vt:i4>
      </vt:variant>
      <vt:variant>
        <vt:lpwstr/>
      </vt:variant>
      <vt:variant>
        <vt:lpwstr>_Toc12024606</vt:lpwstr>
      </vt:variant>
      <vt:variant>
        <vt:i4>1310773</vt:i4>
      </vt:variant>
      <vt:variant>
        <vt:i4>14</vt:i4>
      </vt:variant>
      <vt:variant>
        <vt:i4>0</vt:i4>
      </vt:variant>
      <vt:variant>
        <vt:i4>5</vt:i4>
      </vt:variant>
      <vt:variant>
        <vt:lpwstr/>
      </vt:variant>
      <vt:variant>
        <vt:lpwstr>_Toc12024605</vt:lpwstr>
      </vt:variant>
      <vt:variant>
        <vt:i4>1376309</vt:i4>
      </vt:variant>
      <vt:variant>
        <vt:i4>8</vt:i4>
      </vt:variant>
      <vt:variant>
        <vt:i4>0</vt:i4>
      </vt:variant>
      <vt:variant>
        <vt:i4>5</vt:i4>
      </vt:variant>
      <vt:variant>
        <vt:lpwstr/>
      </vt:variant>
      <vt:variant>
        <vt:lpwstr>_Toc12024604</vt:lpwstr>
      </vt:variant>
      <vt:variant>
        <vt:i4>1179701</vt:i4>
      </vt:variant>
      <vt:variant>
        <vt:i4>2</vt:i4>
      </vt:variant>
      <vt:variant>
        <vt:i4>0</vt:i4>
      </vt:variant>
      <vt:variant>
        <vt:i4>5</vt:i4>
      </vt:variant>
      <vt:variant>
        <vt:lpwstr/>
      </vt:variant>
      <vt:variant>
        <vt:lpwstr>_Toc12024603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cp:lastModifiedBy>Ana Maria Chamorro</cp:lastModifiedBy>
  <cp:revision>3</cp:revision>
  <cp:lastPrinted>2018-12-17T16:24:00Z</cp:lastPrinted>
  <dcterms:created xsi:type="dcterms:W3CDTF">2020-03-13T04:48:00Z</dcterms:created>
  <dcterms:modified xsi:type="dcterms:W3CDTF">2020-03-13T04:53:00Z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f8155a3d-07eb-3d0a-ac5a-f823e55619ab</vt:lpwstr>
  </property>
  <property fmtid="{D5CDD505-2E9C-101B-9397-08002B2CF9AE}" pid="24" name="Mendeley Citation Style_1">
    <vt:lpwstr>http://www.zotero.org/styles/apa</vt:lpwstr>
  </property>
  <property fmtid="{D5CDD505-2E9C-101B-9397-08002B2CF9AE}" pid="25" name="Docear4Word_StyleTitle">
    <vt:lpwstr>ACM SIG Proceedings With Long Author List</vt:lpwstr>
  </property>
</Properties>
</file>