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9C18A7" w14:textId="77777777" w:rsidR="00C2737A" w:rsidRPr="00F35BBF" w:rsidRDefault="00C2737A" w:rsidP="00C2737A">
      <w:pPr>
        <w:jc w:val="center"/>
        <w:rPr>
          <w:rFonts w:cs="Arial"/>
        </w:rPr>
      </w:pPr>
      <w:bookmarkStart w:id="0" w:name="_Toc507603952"/>
      <w:bookmarkStart w:id="1" w:name="_Toc507604219"/>
      <w:bookmarkStart w:id="2" w:name="_Toc519016936"/>
      <w:bookmarkStart w:id="3" w:name="_Toc520837834"/>
      <w:r w:rsidRPr="00F35BBF">
        <w:rPr>
          <w:rFonts w:cs="Arial"/>
          <w:noProof/>
          <w:lang w:eastAsia="en-GB"/>
        </w:rPr>
        <w:drawing>
          <wp:inline distT="0" distB="0" distL="0" distR="0" wp14:anchorId="15F9CBAD" wp14:editId="2B0773B5">
            <wp:extent cx="4095750" cy="1619250"/>
            <wp:effectExtent l="0" t="0" r="0" b="0"/>
            <wp:docPr id="3" name="Picture 3" descr="C:\Users\Leo\AppData\Local\Temp\Rar$DRa0.123\tuoslogo_cmyk_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o\AppData\Local\Temp\Rar$DRa0.123\tuoslogo_cmyk_hi.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52194" cy="1641565"/>
                    </a:xfrm>
                    <a:prstGeom prst="rect">
                      <a:avLst/>
                    </a:prstGeom>
                    <a:noFill/>
                    <a:ln>
                      <a:noFill/>
                    </a:ln>
                  </pic:spPr>
                </pic:pic>
              </a:graphicData>
            </a:graphic>
          </wp:inline>
        </w:drawing>
      </w:r>
    </w:p>
    <w:p w14:paraId="476AB7C1" w14:textId="77777777" w:rsidR="00C2737A" w:rsidRPr="00F35BBF" w:rsidRDefault="00C2737A" w:rsidP="00C2737A">
      <w:pPr>
        <w:jc w:val="center"/>
        <w:rPr>
          <w:rFonts w:cs="Arial"/>
        </w:rPr>
      </w:pPr>
    </w:p>
    <w:p w14:paraId="64182EF8" w14:textId="77777777" w:rsidR="00C2737A" w:rsidRPr="00910EF5" w:rsidRDefault="00C2737A" w:rsidP="00C2737A">
      <w:pPr>
        <w:jc w:val="center"/>
        <w:rPr>
          <w:rFonts w:cs="Arial"/>
          <w:b/>
          <w:sz w:val="40"/>
          <w:szCs w:val="38"/>
        </w:rPr>
      </w:pPr>
      <w:r w:rsidRPr="00910EF5">
        <w:rPr>
          <w:rFonts w:cs="Arial"/>
          <w:b/>
          <w:sz w:val="40"/>
          <w:szCs w:val="38"/>
        </w:rPr>
        <w:t xml:space="preserve">Unravelling the molecular basis of hydroxyapatite weathering driven by the ectomycorrhizal fungus </w:t>
      </w:r>
      <w:r w:rsidRPr="00910EF5">
        <w:rPr>
          <w:rFonts w:cs="Arial"/>
          <w:b/>
          <w:i/>
          <w:sz w:val="40"/>
          <w:szCs w:val="38"/>
        </w:rPr>
        <w:t>Paxillus involutus</w:t>
      </w:r>
    </w:p>
    <w:p w14:paraId="0ECEC15B" w14:textId="77777777" w:rsidR="00C2737A" w:rsidRPr="00F35BBF" w:rsidRDefault="00C2737A" w:rsidP="00C2737A">
      <w:pPr>
        <w:jc w:val="center"/>
        <w:rPr>
          <w:rFonts w:cs="Arial"/>
          <w:b/>
          <w:sz w:val="32"/>
          <w:u w:val="single"/>
        </w:rPr>
      </w:pPr>
    </w:p>
    <w:p w14:paraId="2CDC6AB2" w14:textId="77777777" w:rsidR="00C2737A" w:rsidRPr="00BA424C" w:rsidRDefault="00C2737A" w:rsidP="00C2737A">
      <w:pPr>
        <w:jc w:val="center"/>
        <w:rPr>
          <w:rFonts w:cs="Arial"/>
          <w:sz w:val="28"/>
        </w:rPr>
      </w:pPr>
      <w:r>
        <w:rPr>
          <w:rFonts w:cs="Arial"/>
          <w:sz w:val="28"/>
        </w:rPr>
        <w:t>By</w:t>
      </w:r>
    </w:p>
    <w:p w14:paraId="1EF5EFB4" w14:textId="77777777" w:rsidR="00C2737A" w:rsidRPr="00B45043" w:rsidRDefault="00C2737A" w:rsidP="00C2737A">
      <w:pPr>
        <w:jc w:val="center"/>
        <w:rPr>
          <w:rFonts w:cs="Arial"/>
          <w:sz w:val="28"/>
          <w:szCs w:val="34"/>
        </w:rPr>
      </w:pPr>
      <w:r w:rsidRPr="00B45043">
        <w:rPr>
          <w:rFonts w:cs="Arial"/>
          <w:sz w:val="28"/>
          <w:szCs w:val="34"/>
        </w:rPr>
        <w:t>Christina Paparokidou</w:t>
      </w:r>
    </w:p>
    <w:p w14:paraId="5BF99957" w14:textId="77777777" w:rsidR="00C2737A" w:rsidRPr="00F35BBF" w:rsidRDefault="00C2737A" w:rsidP="00C2737A">
      <w:pPr>
        <w:jc w:val="center"/>
        <w:rPr>
          <w:rFonts w:cs="Arial"/>
          <w:sz w:val="32"/>
        </w:rPr>
      </w:pPr>
    </w:p>
    <w:p w14:paraId="117C8D5A" w14:textId="77777777" w:rsidR="00C2737A" w:rsidRDefault="00C2737A" w:rsidP="00C2737A">
      <w:pPr>
        <w:jc w:val="center"/>
        <w:rPr>
          <w:rFonts w:cs="Arial"/>
          <w:sz w:val="28"/>
          <w:szCs w:val="26"/>
        </w:rPr>
      </w:pPr>
      <w:r w:rsidRPr="00B514CC">
        <w:rPr>
          <w:rFonts w:cs="Arial"/>
          <w:sz w:val="28"/>
          <w:szCs w:val="26"/>
        </w:rPr>
        <w:t xml:space="preserve">A thesis submitted </w:t>
      </w:r>
      <w:r>
        <w:rPr>
          <w:rFonts w:cs="Arial"/>
          <w:sz w:val="28"/>
          <w:szCs w:val="26"/>
        </w:rPr>
        <w:t xml:space="preserve">in partial fulfilment of the requirements </w:t>
      </w:r>
      <w:r w:rsidRPr="00B514CC">
        <w:rPr>
          <w:rFonts w:cs="Arial"/>
          <w:sz w:val="28"/>
          <w:szCs w:val="26"/>
        </w:rPr>
        <w:t xml:space="preserve">for the degree of </w:t>
      </w:r>
    </w:p>
    <w:p w14:paraId="72477B00" w14:textId="77777777" w:rsidR="00C2737A" w:rsidRPr="00B514CC" w:rsidRDefault="00C2737A" w:rsidP="00C2737A">
      <w:pPr>
        <w:jc w:val="center"/>
        <w:rPr>
          <w:rFonts w:cs="Arial"/>
          <w:sz w:val="28"/>
          <w:szCs w:val="26"/>
        </w:rPr>
      </w:pPr>
      <w:r w:rsidRPr="00B514CC">
        <w:rPr>
          <w:rFonts w:cs="Arial"/>
          <w:sz w:val="28"/>
          <w:szCs w:val="26"/>
        </w:rPr>
        <w:t>Doctor of Philosophy</w:t>
      </w:r>
    </w:p>
    <w:p w14:paraId="3B46AFE1" w14:textId="77777777" w:rsidR="00C2737A" w:rsidRPr="00B514CC" w:rsidRDefault="00C2737A" w:rsidP="00C2737A">
      <w:pPr>
        <w:jc w:val="center"/>
        <w:rPr>
          <w:rFonts w:cs="Arial"/>
          <w:sz w:val="28"/>
          <w:szCs w:val="26"/>
        </w:rPr>
      </w:pPr>
    </w:p>
    <w:p w14:paraId="21D60E67" w14:textId="77777777" w:rsidR="00C2737A" w:rsidRPr="00B514CC" w:rsidRDefault="00C2737A" w:rsidP="00C2737A">
      <w:pPr>
        <w:jc w:val="center"/>
        <w:rPr>
          <w:rFonts w:cs="Arial"/>
          <w:sz w:val="28"/>
          <w:szCs w:val="26"/>
        </w:rPr>
      </w:pPr>
      <w:r w:rsidRPr="00B514CC">
        <w:rPr>
          <w:rFonts w:cs="Arial"/>
          <w:sz w:val="28"/>
          <w:szCs w:val="26"/>
        </w:rPr>
        <w:t>The University of Sheffield</w:t>
      </w:r>
    </w:p>
    <w:p w14:paraId="2BF339B8" w14:textId="77777777" w:rsidR="00C2737A" w:rsidRPr="00B514CC" w:rsidRDefault="00C2737A" w:rsidP="00C2737A">
      <w:pPr>
        <w:jc w:val="center"/>
        <w:rPr>
          <w:rFonts w:cs="Arial"/>
          <w:sz w:val="28"/>
          <w:szCs w:val="26"/>
        </w:rPr>
      </w:pPr>
      <w:r w:rsidRPr="00B514CC">
        <w:rPr>
          <w:rFonts w:cs="Arial"/>
          <w:sz w:val="28"/>
          <w:szCs w:val="26"/>
        </w:rPr>
        <w:t>Faculty of Science</w:t>
      </w:r>
    </w:p>
    <w:p w14:paraId="2CFA1971" w14:textId="77777777" w:rsidR="00C2737A" w:rsidRPr="00B514CC" w:rsidRDefault="00C2737A" w:rsidP="00C2737A">
      <w:pPr>
        <w:jc w:val="center"/>
        <w:rPr>
          <w:rFonts w:cs="Arial"/>
          <w:sz w:val="28"/>
          <w:szCs w:val="26"/>
        </w:rPr>
      </w:pPr>
      <w:r w:rsidRPr="00B514CC">
        <w:rPr>
          <w:rFonts w:cs="Arial"/>
          <w:sz w:val="28"/>
          <w:szCs w:val="26"/>
        </w:rPr>
        <w:t xml:space="preserve">Department of Animal and Plant Sciences </w:t>
      </w:r>
    </w:p>
    <w:p w14:paraId="11AED67A" w14:textId="77777777" w:rsidR="00C2737A" w:rsidRDefault="00C2737A" w:rsidP="00C2737A">
      <w:pPr>
        <w:jc w:val="center"/>
        <w:rPr>
          <w:rFonts w:cs="Arial"/>
          <w:sz w:val="26"/>
          <w:szCs w:val="26"/>
        </w:rPr>
      </w:pPr>
      <w:bookmarkStart w:id="4" w:name="_Toc482960237"/>
      <w:bookmarkStart w:id="5" w:name="_Toc482960304"/>
      <w:bookmarkStart w:id="6" w:name="_Toc483481886"/>
      <w:bookmarkStart w:id="7" w:name="_Toc483591117"/>
      <w:r>
        <w:rPr>
          <w:rFonts w:cs="Arial"/>
          <w:sz w:val="28"/>
          <w:szCs w:val="26"/>
        </w:rPr>
        <w:t>February 2018</w:t>
      </w:r>
      <w:r>
        <w:rPr>
          <w:rFonts w:cs="Arial"/>
          <w:sz w:val="26"/>
          <w:szCs w:val="26"/>
        </w:rPr>
        <w:br w:type="page"/>
      </w:r>
    </w:p>
    <w:p w14:paraId="7B66B24D" w14:textId="77777777" w:rsidR="00C2737A" w:rsidRDefault="00C2737A" w:rsidP="00C2737A">
      <w:pPr>
        <w:pStyle w:val="Title"/>
        <w:pBdr>
          <w:bottom w:val="single" w:sz="4" w:space="1" w:color="auto"/>
        </w:pBdr>
        <w:jc w:val="left"/>
      </w:pPr>
      <w:r>
        <w:lastRenderedPageBreak/>
        <w:t>Acknowledgements</w:t>
      </w:r>
    </w:p>
    <w:p w14:paraId="2DD325B7" w14:textId="77777777" w:rsidR="00C2737A" w:rsidRDefault="00C2737A" w:rsidP="00C2737A">
      <w:r>
        <w:t>Coming to the end of my PhD, I could say that, throughout all this way, I have met many people who inspired me and kept me focused. I am very grateful to have learned a lot from them.</w:t>
      </w:r>
    </w:p>
    <w:p w14:paraId="185AAD22" w14:textId="77777777" w:rsidR="00C2737A" w:rsidRDefault="00C2737A" w:rsidP="00C2737A">
      <w:pPr>
        <w:ind w:firstLine="720"/>
      </w:pPr>
      <w:r>
        <w:t>The first person to express my gratitude is my main supervisor Professor David Beerling, who had excellently supported me. I am very grateful for his generosity in funding my research and always keeping positive psychology even when experiments were very challenging.</w:t>
      </w:r>
      <w:bookmarkStart w:id="8" w:name="_GoBack"/>
      <w:bookmarkEnd w:id="8"/>
    </w:p>
    <w:p w14:paraId="69B0A80C" w14:textId="5F94B66C" w:rsidR="00C2737A" w:rsidRDefault="00C2737A" w:rsidP="00C2737A">
      <w:pPr>
        <w:ind w:firstLine="720"/>
      </w:pPr>
      <w:r>
        <w:t xml:space="preserve">I would also like to thank my secondary supervisors. I am very grateful to Professor Jonathan Leake who has shared </w:t>
      </w:r>
      <w:r w:rsidR="00E86293">
        <w:t xml:space="preserve">lots of </w:t>
      </w:r>
      <w:r>
        <w:t>his knowledge on Biology during our discussions and always kept me inspired. Besides, I am very thankful to Professor Julie Scholes who supported me during my PhD by giving valuable solutions on lab related issues. Last, I would like to thank Dr Steve Rolfe, for offering his expertise with regards to bioinformatics and statistical analyses.</w:t>
      </w:r>
    </w:p>
    <w:p w14:paraId="392BC521" w14:textId="07DE1EBA" w:rsidR="00C2737A" w:rsidRDefault="00C2737A" w:rsidP="00C2737A">
      <w:pPr>
        <w:ind w:firstLine="720"/>
      </w:pPr>
      <w:r>
        <w:t>Many thanks go to the lab technicians whose expertise and management had facilitated my research in great extent. Primarily, I would like to thank lab manager Irene Johnson for all her help throughout my PhD. Many thanks go to Nicola White, David Pardo and Dr David Johnson for any help offered. Last, I would like to thank Dr Gavin Horsburgh for all the support provided while working at the molecular ecology lab.</w:t>
      </w:r>
    </w:p>
    <w:p w14:paraId="5F3644A0" w14:textId="3CFA007A" w:rsidR="00C2737A" w:rsidRDefault="00C2737A" w:rsidP="00C2737A">
      <w:pPr>
        <w:ind w:firstLine="720"/>
      </w:pPr>
      <w:r>
        <w:t>Also, I would like to thank Dr Richard Pearce for his help with the SEM-EDX analysis, Dr Pierre P</w:t>
      </w:r>
      <w:r w:rsidRPr="00EF6DB1">
        <w:rPr>
          <w:rFonts w:cs="Arial"/>
          <w:color w:val="000000"/>
        </w:rPr>
        <w:t>é</w:t>
      </w:r>
      <w:r>
        <w:t xml:space="preserve">triacq for his guidance </w:t>
      </w:r>
      <w:r w:rsidR="00456197">
        <w:t>with</w:t>
      </w:r>
      <w:r>
        <w:t xml:space="preserve"> the metabolomic analysis</w:t>
      </w:r>
      <w:r w:rsidR="00456197">
        <w:t>,</w:t>
      </w:r>
      <w:r>
        <w:t xml:space="preserve"> and </w:t>
      </w:r>
      <w:r w:rsidRPr="000D7D3D">
        <w:t>Dr Jonathan Manning</w:t>
      </w:r>
      <w:r w:rsidR="00456197">
        <w:t xml:space="preserve"> and</w:t>
      </w:r>
      <w:r>
        <w:t xml:space="preserve"> </w:t>
      </w:r>
      <w:r w:rsidR="00456197">
        <w:t>Dr Leonardo Furci for their assistance with</w:t>
      </w:r>
      <w:r>
        <w:t xml:space="preserve"> </w:t>
      </w:r>
      <w:r w:rsidR="00456197">
        <w:t xml:space="preserve">the </w:t>
      </w:r>
      <w:r>
        <w:t>RNA-seq data analysis.</w:t>
      </w:r>
    </w:p>
    <w:p w14:paraId="3FF38C76" w14:textId="77777777" w:rsidR="00C2737A" w:rsidRDefault="00C2737A" w:rsidP="00C2737A">
      <w:pPr>
        <w:ind w:firstLine="720"/>
      </w:pPr>
      <w:r>
        <w:t>In addition, I wish to thank Debbie Hill whose excellent management had saved me lots of time when dealing with bureaucracy.</w:t>
      </w:r>
    </w:p>
    <w:p w14:paraId="7D6058A4" w14:textId="77777777" w:rsidR="00C2737A" w:rsidRPr="0018132A" w:rsidRDefault="00C2737A" w:rsidP="00C2737A">
      <w:pPr>
        <w:ind w:firstLine="720"/>
      </w:pPr>
      <w:r>
        <w:t>Last but not least, I would like to thank my PhD examiners Professor David Read and Professor Kevin Newsham, for transforming my viva into an excellently interactive experience where I have still learned a lot about Biology, Science and being a scientist.</w:t>
      </w:r>
      <w:r>
        <w:br w:type="page"/>
      </w:r>
    </w:p>
    <w:p w14:paraId="74357A3F" w14:textId="77777777" w:rsidR="00C2737A" w:rsidRPr="00B514CC" w:rsidRDefault="00C2737A" w:rsidP="00C2737A">
      <w:pPr>
        <w:pStyle w:val="Title"/>
        <w:pBdr>
          <w:bottom w:val="single" w:sz="4" w:space="1" w:color="auto"/>
        </w:pBdr>
        <w:jc w:val="left"/>
      </w:pPr>
      <w:r>
        <w:lastRenderedPageBreak/>
        <w:t>Thesis s</w:t>
      </w:r>
      <w:r w:rsidRPr="00B514CC">
        <w:t>ummar</w:t>
      </w:r>
      <w:bookmarkEnd w:id="4"/>
      <w:bookmarkEnd w:id="5"/>
      <w:r w:rsidRPr="00B514CC">
        <w:t>y</w:t>
      </w:r>
      <w:bookmarkEnd w:id="6"/>
      <w:bookmarkEnd w:id="7"/>
    </w:p>
    <w:p w14:paraId="429FA7AA" w14:textId="77777777" w:rsidR="00C2737A" w:rsidRDefault="00C2737A" w:rsidP="00C2737A">
      <w:pPr>
        <w:pStyle w:val="ListParagraph"/>
        <w:ind w:left="0"/>
        <w:contextualSpacing w:val="0"/>
        <w:rPr>
          <w:rFonts w:cs="Arial"/>
        </w:rPr>
      </w:pPr>
      <w:r w:rsidRPr="00E30C0A">
        <w:rPr>
          <w:rFonts w:cs="Arial"/>
        </w:rPr>
        <w:t xml:space="preserve">Ectomycorrhizal fungi (EMF) form symbiotic partnerships with tree roots and are able to chemically weather </w:t>
      </w:r>
      <w:r>
        <w:rPr>
          <w:rFonts w:cs="Arial"/>
        </w:rPr>
        <w:t>inorganic phosphorus</w:t>
      </w:r>
      <w:r w:rsidRPr="00E30C0A">
        <w:rPr>
          <w:rFonts w:cs="Arial"/>
        </w:rPr>
        <w:t xml:space="preserve"> (P</w:t>
      </w:r>
      <w:r>
        <w:rPr>
          <w:rFonts w:cs="Arial"/>
        </w:rPr>
        <w:t>i</w:t>
      </w:r>
      <w:r w:rsidRPr="00E30C0A">
        <w:rPr>
          <w:rFonts w:cs="Arial"/>
        </w:rPr>
        <w:t>)-rich minerals</w:t>
      </w:r>
      <w:r>
        <w:rPr>
          <w:rFonts w:cs="Arial"/>
        </w:rPr>
        <w:t>,</w:t>
      </w:r>
      <w:r w:rsidRPr="00E30C0A">
        <w:rPr>
          <w:rFonts w:cs="Arial"/>
        </w:rPr>
        <w:t xml:space="preserve"> supplying P</w:t>
      </w:r>
      <w:r>
        <w:rPr>
          <w:rFonts w:cs="Arial"/>
        </w:rPr>
        <w:t>i</w:t>
      </w:r>
      <w:r w:rsidRPr="00E30C0A">
        <w:rPr>
          <w:rFonts w:cs="Arial"/>
        </w:rPr>
        <w:t xml:space="preserve"> to their host in return for photosynthate</w:t>
      </w:r>
      <w:r>
        <w:rPr>
          <w:rFonts w:cs="Arial"/>
        </w:rPr>
        <w:t>s. The fungal-driven nutrient cycling from mineral weathering plays a pivotal role in ecosystems and crops productivity, as well as geochemical cycles. The aim of the study presented in this thesis</w:t>
      </w:r>
      <w:r w:rsidRPr="00E30C0A">
        <w:rPr>
          <w:rFonts w:cs="Arial"/>
        </w:rPr>
        <w:t xml:space="preserve"> </w:t>
      </w:r>
      <w:r>
        <w:rPr>
          <w:rFonts w:cs="Arial"/>
        </w:rPr>
        <w:t xml:space="preserve">is to unravel the molecular mechanisms by which the </w:t>
      </w:r>
      <w:r w:rsidRPr="00E30C0A">
        <w:rPr>
          <w:rFonts w:cs="Arial"/>
        </w:rPr>
        <w:t>EM</w:t>
      </w:r>
      <w:r>
        <w:rPr>
          <w:rFonts w:cs="Arial"/>
        </w:rPr>
        <w:t xml:space="preserve"> fungus</w:t>
      </w:r>
      <w:r w:rsidRPr="00E30C0A">
        <w:rPr>
          <w:rFonts w:cs="Arial"/>
        </w:rPr>
        <w:t xml:space="preserve"> </w:t>
      </w:r>
      <w:r w:rsidRPr="00BF4AF8">
        <w:rPr>
          <w:rFonts w:cs="Arial"/>
          <w:i/>
        </w:rPr>
        <w:t>Paxillus involutus</w:t>
      </w:r>
      <w:r w:rsidRPr="00E30C0A">
        <w:rPr>
          <w:rFonts w:cs="Arial"/>
        </w:rPr>
        <w:t xml:space="preserve"> </w:t>
      </w:r>
      <w:r>
        <w:rPr>
          <w:rFonts w:cs="Arial"/>
        </w:rPr>
        <w:t xml:space="preserve">weathers the Pi-rich mineral hydroxyapatite (HAP), either non-symbiotically or in symbiosis with its host tree </w:t>
      </w:r>
      <w:r w:rsidRPr="00502437">
        <w:rPr>
          <w:rFonts w:cs="Arial"/>
          <w:i/>
        </w:rPr>
        <w:t>Pinus sylvestris</w:t>
      </w:r>
      <w:r>
        <w:rPr>
          <w:rFonts w:cs="Arial"/>
        </w:rPr>
        <w:t xml:space="preserve">. Development of an artificial system to study </w:t>
      </w:r>
      <w:r w:rsidRPr="00502437">
        <w:rPr>
          <w:rFonts w:cs="Arial"/>
          <w:i/>
        </w:rPr>
        <w:t>P. involutus</w:t>
      </w:r>
      <w:r>
        <w:rPr>
          <w:rFonts w:cs="Arial"/>
        </w:rPr>
        <w:t xml:space="preserve"> responses to varying concentration of Pi </w:t>
      </w:r>
      <w:r w:rsidRPr="00E30C0A">
        <w:rPr>
          <w:rFonts w:cs="Arial"/>
        </w:rPr>
        <w:t>l</w:t>
      </w:r>
      <w:r>
        <w:rPr>
          <w:rFonts w:cs="Arial"/>
        </w:rPr>
        <w:t>ed to the identification of five</w:t>
      </w:r>
      <w:r w:rsidRPr="00E30C0A">
        <w:rPr>
          <w:rFonts w:cs="Arial"/>
        </w:rPr>
        <w:t xml:space="preserve"> high-affinity </w:t>
      </w:r>
      <w:r>
        <w:rPr>
          <w:rFonts w:cs="Arial"/>
        </w:rPr>
        <w:t>Pi transporter genes</w:t>
      </w:r>
      <w:r w:rsidRPr="00E30C0A">
        <w:rPr>
          <w:rFonts w:cs="Arial"/>
        </w:rPr>
        <w:t xml:space="preserve">, </w:t>
      </w:r>
      <w:r>
        <w:rPr>
          <w:rFonts w:cs="Arial"/>
        </w:rPr>
        <w:t>of which the</w:t>
      </w:r>
      <w:r w:rsidRPr="00E30C0A">
        <w:rPr>
          <w:rFonts w:cs="Arial"/>
        </w:rPr>
        <w:t xml:space="preserve"> expression varies in an inversely proporti</w:t>
      </w:r>
      <w:r>
        <w:rPr>
          <w:rFonts w:cs="Arial"/>
        </w:rPr>
        <w:t xml:space="preserve">onal manner to Pi availability. Using the same system, whole-transcriptomic data from fungal hyphae unravelled the </w:t>
      </w:r>
      <w:r w:rsidRPr="00E30C0A">
        <w:rPr>
          <w:rFonts w:cs="Arial"/>
        </w:rPr>
        <w:t xml:space="preserve">molecular basis of the EMF ability in Pi uptake </w:t>
      </w:r>
      <w:r>
        <w:rPr>
          <w:rFonts w:cs="Arial"/>
        </w:rPr>
        <w:t xml:space="preserve">at the global gene scale, revealing that </w:t>
      </w:r>
      <w:r w:rsidRPr="00E30C0A">
        <w:rPr>
          <w:rFonts w:cs="Arial"/>
        </w:rPr>
        <w:t>EM symbiosis can directly affect Pi-responsive fungal genes</w:t>
      </w:r>
      <w:r>
        <w:rPr>
          <w:rFonts w:cs="Arial"/>
        </w:rPr>
        <w:t xml:space="preserve"> such as the Pi transporter </w:t>
      </w:r>
      <w:r w:rsidRPr="00AD5272">
        <w:rPr>
          <w:rFonts w:cs="Arial"/>
          <w:i/>
        </w:rPr>
        <w:t>PiPT4</w:t>
      </w:r>
      <w:r>
        <w:rPr>
          <w:rFonts w:cs="Arial"/>
        </w:rPr>
        <w:t>. A second artificial system was used to study</w:t>
      </w:r>
      <w:r w:rsidRPr="00E30C0A">
        <w:rPr>
          <w:rFonts w:cs="Arial"/>
        </w:rPr>
        <w:t xml:space="preserve"> HAP solubilisation</w:t>
      </w:r>
      <w:r>
        <w:rPr>
          <w:rFonts w:cs="Arial"/>
        </w:rPr>
        <w:t xml:space="preserve"> </w:t>
      </w:r>
      <w:r w:rsidRPr="00E30C0A">
        <w:rPr>
          <w:rFonts w:cs="Arial"/>
        </w:rPr>
        <w:t xml:space="preserve">driven by </w:t>
      </w:r>
      <w:r w:rsidRPr="00AD5272">
        <w:rPr>
          <w:rFonts w:cs="Arial"/>
          <w:i/>
        </w:rPr>
        <w:t>P. involutus</w:t>
      </w:r>
      <w:r>
        <w:rPr>
          <w:rFonts w:cs="Arial"/>
        </w:rPr>
        <w:t xml:space="preserve">, which was confirmed by </w:t>
      </w:r>
      <w:r w:rsidRPr="00E30C0A">
        <w:rPr>
          <w:rFonts w:cs="Arial"/>
        </w:rPr>
        <w:t>EDX</w:t>
      </w:r>
      <w:r>
        <w:rPr>
          <w:rFonts w:cs="Arial"/>
        </w:rPr>
        <w:t xml:space="preserve"> spectroscopy</w:t>
      </w:r>
      <w:r w:rsidRPr="00E30C0A">
        <w:rPr>
          <w:rFonts w:cs="Arial"/>
        </w:rPr>
        <w:t xml:space="preserve"> data showing depletion of </w:t>
      </w:r>
      <w:r>
        <w:rPr>
          <w:rFonts w:cs="Arial"/>
        </w:rPr>
        <w:t xml:space="preserve">Pi from the HAP crystals, along with </w:t>
      </w:r>
      <w:r w:rsidRPr="00E30C0A">
        <w:rPr>
          <w:rFonts w:cs="Arial"/>
        </w:rPr>
        <w:t>secondary minerals</w:t>
      </w:r>
      <w:r>
        <w:rPr>
          <w:rFonts w:cs="Arial"/>
        </w:rPr>
        <w:t xml:space="preserve"> formation.</w:t>
      </w:r>
      <w:r w:rsidRPr="00E30C0A">
        <w:rPr>
          <w:rFonts w:cs="Arial"/>
        </w:rPr>
        <w:t xml:space="preserve"> </w:t>
      </w:r>
      <w:r>
        <w:rPr>
          <w:rFonts w:cs="Arial"/>
        </w:rPr>
        <w:t xml:space="preserve">Whole-transcriptomic </w:t>
      </w:r>
      <w:r w:rsidRPr="000D7D3D">
        <w:t xml:space="preserve">analysis revealed </w:t>
      </w:r>
      <w:r>
        <w:t xml:space="preserve">that </w:t>
      </w:r>
      <w:r w:rsidRPr="000D7D3D">
        <w:t xml:space="preserve">EM symbiosis </w:t>
      </w:r>
      <w:r>
        <w:t>induces</w:t>
      </w:r>
      <w:r w:rsidRPr="000D7D3D">
        <w:t xml:space="preserve"> a different set of </w:t>
      </w:r>
      <w:r>
        <w:t>HAP</w:t>
      </w:r>
      <w:r w:rsidRPr="000D7D3D">
        <w:t xml:space="preserve"> weathering genes in </w:t>
      </w:r>
      <w:r w:rsidRPr="00FB36B8">
        <w:rPr>
          <w:i/>
        </w:rPr>
        <w:t>P. involutus</w:t>
      </w:r>
      <w:r w:rsidRPr="000D7D3D">
        <w:t xml:space="preserve"> </w:t>
      </w:r>
      <w:r>
        <w:t xml:space="preserve">hyphae, </w:t>
      </w:r>
      <w:r w:rsidRPr="000D7D3D">
        <w:t xml:space="preserve">compared to the fungus growing </w:t>
      </w:r>
      <w:r>
        <w:t>non-symbiotically</w:t>
      </w:r>
      <w:r w:rsidRPr="000D7D3D">
        <w:t xml:space="preserve">, including the specific </w:t>
      </w:r>
      <w:r>
        <w:t>expression</w:t>
      </w:r>
      <w:r w:rsidRPr="000D7D3D">
        <w:t xml:space="preserve"> of organic acid metabolic genes</w:t>
      </w:r>
      <w:r>
        <w:t>, which resulted in enhanced HAP</w:t>
      </w:r>
      <w:r w:rsidRPr="000D7D3D">
        <w:t xml:space="preserve"> solubilisation</w:t>
      </w:r>
      <w:r>
        <w:rPr>
          <w:rFonts w:cs="Arial"/>
        </w:rPr>
        <w:t xml:space="preserve">. </w:t>
      </w:r>
      <w:r w:rsidRPr="000D7D3D">
        <w:t>M</w:t>
      </w:r>
      <w:r>
        <w:t>etabolomic analysis le</w:t>
      </w:r>
      <w:r w:rsidRPr="000D7D3D">
        <w:t xml:space="preserve">d to the identification of multiple </w:t>
      </w:r>
      <w:r>
        <w:t>secreted metabolites enriched</w:t>
      </w:r>
      <w:r w:rsidRPr="000D7D3D">
        <w:t xml:space="preserve"> in </w:t>
      </w:r>
      <w:r>
        <w:t xml:space="preserve">the </w:t>
      </w:r>
      <w:r w:rsidRPr="000D7D3D">
        <w:t xml:space="preserve">presence of </w:t>
      </w:r>
      <w:r>
        <w:t>HAP</w:t>
      </w:r>
      <w:r w:rsidRPr="000D7D3D">
        <w:t xml:space="preserve"> in </w:t>
      </w:r>
      <w:r w:rsidRPr="006C6B11">
        <w:rPr>
          <w:i/>
        </w:rPr>
        <w:t>P. involutus</w:t>
      </w:r>
      <w:r>
        <w:t xml:space="preserve"> </w:t>
      </w:r>
      <w:r w:rsidRPr="000D7D3D">
        <w:t xml:space="preserve">systems grown </w:t>
      </w:r>
      <w:r>
        <w:t>non-symbiotically or in</w:t>
      </w:r>
      <w:r w:rsidRPr="000D7D3D">
        <w:t xml:space="preserve"> symbiosis with </w:t>
      </w:r>
      <w:r w:rsidRPr="006C6B11">
        <w:rPr>
          <w:i/>
        </w:rPr>
        <w:t>P. sylvestris</w:t>
      </w:r>
      <w:r>
        <w:t xml:space="preserve"> seedlings. The analysis also led to the identification of putative novel fungal weathering agents. </w:t>
      </w:r>
      <w:r w:rsidRPr="00B73B4A">
        <w:rPr>
          <w:rFonts w:cs="Arial"/>
        </w:rPr>
        <w:t xml:space="preserve">Results from transcriptomic and metabolomic </w:t>
      </w:r>
      <w:r>
        <w:rPr>
          <w:rFonts w:cs="Arial"/>
        </w:rPr>
        <w:t>analyses</w:t>
      </w:r>
      <w:r w:rsidRPr="00B73B4A">
        <w:rPr>
          <w:rFonts w:cs="Arial"/>
        </w:rPr>
        <w:t xml:space="preserve"> were ultimately combined in a model of HAP weathering by </w:t>
      </w:r>
      <w:r w:rsidRPr="00B73B4A">
        <w:rPr>
          <w:rFonts w:cs="Arial"/>
          <w:i/>
        </w:rPr>
        <w:t>P. involutus</w:t>
      </w:r>
      <w:r w:rsidRPr="00B73B4A">
        <w:rPr>
          <w:rFonts w:cs="Arial"/>
        </w:rPr>
        <w:t>.</w:t>
      </w:r>
      <w:r>
        <w:rPr>
          <w:rFonts w:cs="Arial"/>
        </w:rPr>
        <w:br w:type="page"/>
      </w:r>
    </w:p>
    <w:p w14:paraId="01F00A71" w14:textId="77777777" w:rsidR="00C2737A" w:rsidRDefault="00C2737A" w:rsidP="00C2737A">
      <w:pPr>
        <w:pStyle w:val="Title"/>
        <w:pBdr>
          <w:bottom w:val="single" w:sz="4" w:space="1" w:color="auto"/>
        </w:pBdr>
      </w:pPr>
      <w:r>
        <w:lastRenderedPageBreak/>
        <w:t>List of abbreviations</w:t>
      </w:r>
    </w:p>
    <w:p w14:paraId="70CD30D1" w14:textId="77777777" w:rsidR="00C2737A" w:rsidRPr="00D85222" w:rsidRDefault="00C2737A" w:rsidP="00C2737A">
      <w:pPr>
        <w:contextualSpacing/>
      </w:pPr>
      <w:r w:rsidRPr="00D85222">
        <w:rPr>
          <w:b/>
        </w:rPr>
        <w:t>AM:</w:t>
      </w:r>
      <w:r w:rsidRPr="00D85222">
        <w:t xml:space="preserve"> arbuscular mycorrhiza</w:t>
      </w:r>
    </w:p>
    <w:p w14:paraId="0AD6C2BC" w14:textId="77777777" w:rsidR="00C2737A" w:rsidRPr="00D85222" w:rsidRDefault="00C2737A" w:rsidP="00C2737A">
      <w:pPr>
        <w:contextualSpacing/>
      </w:pPr>
      <w:r w:rsidRPr="00D85222">
        <w:rPr>
          <w:b/>
        </w:rPr>
        <w:t>AMF:</w:t>
      </w:r>
      <w:r w:rsidRPr="00D85222">
        <w:t xml:space="preserve"> arbuscular mycorrhiza fungi</w:t>
      </w:r>
    </w:p>
    <w:p w14:paraId="6BF953A0" w14:textId="77777777" w:rsidR="00C2737A" w:rsidRPr="00D85222" w:rsidRDefault="00C2737A" w:rsidP="00C2737A">
      <w:pPr>
        <w:contextualSpacing/>
      </w:pPr>
      <w:r w:rsidRPr="00D85222">
        <w:rPr>
          <w:b/>
        </w:rPr>
        <w:t>ANOVA:</w:t>
      </w:r>
      <w:r w:rsidRPr="00EF6ED2">
        <w:t xml:space="preserve"> </w:t>
      </w:r>
      <w:r w:rsidRPr="00D85222">
        <w:t>analysis of variance</w:t>
      </w:r>
    </w:p>
    <w:p w14:paraId="570A1D35" w14:textId="77777777" w:rsidR="00C2737A" w:rsidRPr="00D85222" w:rsidRDefault="00C2737A" w:rsidP="00C2737A">
      <w:pPr>
        <w:contextualSpacing/>
      </w:pPr>
      <w:r w:rsidRPr="00D85222">
        <w:rPr>
          <w:b/>
        </w:rPr>
        <w:t>C:</w:t>
      </w:r>
      <w:r w:rsidRPr="00D85222">
        <w:t xml:space="preserve"> carbon</w:t>
      </w:r>
    </w:p>
    <w:p w14:paraId="3A0F4C4D" w14:textId="77777777" w:rsidR="00C2737A" w:rsidRPr="00D85222" w:rsidRDefault="00C2737A" w:rsidP="00C2737A">
      <w:pPr>
        <w:contextualSpacing/>
      </w:pPr>
      <w:r w:rsidRPr="00D85222">
        <w:rPr>
          <w:b/>
        </w:rPr>
        <w:t>Ca:</w:t>
      </w:r>
      <w:r w:rsidRPr="00EF6ED2">
        <w:t xml:space="preserve"> </w:t>
      </w:r>
      <w:r w:rsidRPr="00D85222">
        <w:t>calcium</w:t>
      </w:r>
    </w:p>
    <w:p w14:paraId="77EEFBD6" w14:textId="77777777" w:rsidR="00C2737A" w:rsidRPr="00D85222" w:rsidRDefault="00C2737A" w:rsidP="00C2737A">
      <w:pPr>
        <w:contextualSpacing/>
      </w:pPr>
      <w:r w:rsidRPr="00D85222">
        <w:rPr>
          <w:b/>
        </w:rPr>
        <w:t>CO</w:t>
      </w:r>
      <w:r w:rsidRPr="00D85222">
        <w:rPr>
          <w:b/>
          <w:vertAlign w:val="subscript"/>
        </w:rPr>
        <w:t>2</w:t>
      </w:r>
      <w:r w:rsidRPr="00D85222">
        <w:rPr>
          <w:b/>
        </w:rPr>
        <w:t>:</w:t>
      </w:r>
      <w:r w:rsidRPr="00D85222">
        <w:t xml:space="preserve"> carbon dioxide</w:t>
      </w:r>
    </w:p>
    <w:p w14:paraId="26404717" w14:textId="77777777" w:rsidR="00C2737A" w:rsidRPr="00D85222" w:rsidRDefault="00C2737A" w:rsidP="00C2737A">
      <w:pPr>
        <w:contextualSpacing/>
      </w:pPr>
      <w:r w:rsidRPr="00D85222">
        <w:rPr>
          <w:b/>
        </w:rPr>
        <w:t>EDX:</w:t>
      </w:r>
      <w:r w:rsidRPr="00D85222">
        <w:t xml:space="preserve"> electron dispersive X-ray spectroscopy</w:t>
      </w:r>
    </w:p>
    <w:p w14:paraId="0AF40B0F" w14:textId="77777777" w:rsidR="00C2737A" w:rsidRPr="00D85222" w:rsidRDefault="00C2737A" w:rsidP="00C2737A">
      <w:pPr>
        <w:contextualSpacing/>
      </w:pPr>
      <w:r w:rsidRPr="00D85222">
        <w:rPr>
          <w:b/>
        </w:rPr>
        <w:t>EM:</w:t>
      </w:r>
      <w:r w:rsidRPr="00D85222">
        <w:t xml:space="preserve"> ectomycorrhiza/ectomycorrhizal</w:t>
      </w:r>
    </w:p>
    <w:p w14:paraId="4F58FFC9" w14:textId="77777777" w:rsidR="00C2737A" w:rsidRPr="00D85222" w:rsidRDefault="00C2737A" w:rsidP="00C2737A">
      <w:pPr>
        <w:contextualSpacing/>
      </w:pPr>
      <w:r w:rsidRPr="00D85222">
        <w:rPr>
          <w:b/>
        </w:rPr>
        <w:t>EMF:</w:t>
      </w:r>
      <w:r w:rsidRPr="00D85222">
        <w:t xml:space="preserve"> ectomycorrhizal fungi</w:t>
      </w:r>
    </w:p>
    <w:p w14:paraId="2459AAD9" w14:textId="77777777" w:rsidR="00C2737A" w:rsidRPr="00D85222" w:rsidRDefault="00C2737A" w:rsidP="00C2737A">
      <w:pPr>
        <w:contextualSpacing/>
      </w:pPr>
      <w:r w:rsidRPr="00D85222">
        <w:rPr>
          <w:b/>
        </w:rPr>
        <w:t>EPS:</w:t>
      </w:r>
      <w:r w:rsidRPr="00D85222">
        <w:t xml:space="preserve"> extracellular polymeric substances</w:t>
      </w:r>
    </w:p>
    <w:p w14:paraId="1EFBFEBB" w14:textId="77777777" w:rsidR="00C2737A" w:rsidRPr="00D85222" w:rsidRDefault="00C2737A" w:rsidP="00C2737A">
      <w:pPr>
        <w:contextualSpacing/>
      </w:pPr>
      <w:r w:rsidRPr="00D85222">
        <w:rPr>
          <w:b/>
        </w:rPr>
        <w:t>FDR:</w:t>
      </w:r>
      <w:r w:rsidRPr="00D85222">
        <w:t xml:space="preserve"> false discovery rate</w:t>
      </w:r>
    </w:p>
    <w:p w14:paraId="446812BE" w14:textId="77777777" w:rsidR="00C2737A" w:rsidRPr="00D85222" w:rsidRDefault="00C2737A" w:rsidP="00C2737A">
      <w:pPr>
        <w:contextualSpacing/>
      </w:pPr>
      <w:r w:rsidRPr="00D85222">
        <w:rPr>
          <w:b/>
        </w:rPr>
        <w:t>Fe:</w:t>
      </w:r>
      <w:r w:rsidRPr="00D85222">
        <w:t xml:space="preserve"> iron</w:t>
      </w:r>
    </w:p>
    <w:p w14:paraId="67A3CF73" w14:textId="77777777" w:rsidR="00C2737A" w:rsidRPr="00D85222" w:rsidRDefault="00C2737A" w:rsidP="00C2737A">
      <w:pPr>
        <w:contextualSpacing/>
      </w:pPr>
      <w:r w:rsidRPr="00D85222">
        <w:rPr>
          <w:b/>
        </w:rPr>
        <w:t>FS:</w:t>
      </w:r>
      <w:r w:rsidRPr="00D85222">
        <w:t xml:space="preserve"> full strength</w:t>
      </w:r>
    </w:p>
    <w:p w14:paraId="125A531C" w14:textId="77777777" w:rsidR="00C2737A" w:rsidRPr="00D85222" w:rsidRDefault="00C2737A" w:rsidP="00C2737A">
      <w:pPr>
        <w:contextualSpacing/>
      </w:pPr>
      <w:r w:rsidRPr="00D85222">
        <w:rPr>
          <w:b/>
        </w:rPr>
        <w:t>H</w:t>
      </w:r>
      <w:r w:rsidRPr="00D85222">
        <w:rPr>
          <w:b/>
          <w:vertAlign w:val="superscript"/>
        </w:rPr>
        <w:t>+</w:t>
      </w:r>
      <w:r w:rsidRPr="00D85222">
        <w:rPr>
          <w:b/>
        </w:rPr>
        <w:t>:</w:t>
      </w:r>
      <w:r w:rsidRPr="00D85222">
        <w:t xml:space="preserve"> proton/protons</w:t>
      </w:r>
    </w:p>
    <w:p w14:paraId="2E3314F7" w14:textId="77777777" w:rsidR="00C2737A" w:rsidRPr="00D85222" w:rsidRDefault="00C2737A" w:rsidP="00C2737A">
      <w:pPr>
        <w:contextualSpacing/>
      </w:pPr>
      <w:r w:rsidRPr="00D85222">
        <w:rPr>
          <w:b/>
        </w:rPr>
        <w:t>HAP:</w:t>
      </w:r>
      <w:r w:rsidRPr="00D85222">
        <w:t xml:space="preserve"> hydroxyapatite</w:t>
      </w:r>
    </w:p>
    <w:p w14:paraId="78B81F9E" w14:textId="77777777" w:rsidR="00C2737A" w:rsidRPr="00D85222" w:rsidRDefault="00C2737A" w:rsidP="00C2737A">
      <w:pPr>
        <w:contextualSpacing/>
      </w:pPr>
      <w:r w:rsidRPr="00D85222">
        <w:rPr>
          <w:b/>
        </w:rPr>
        <w:t>IAA:</w:t>
      </w:r>
      <w:r w:rsidRPr="00D85222">
        <w:t xml:space="preserve"> indole-3-acetic acid</w:t>
      </w:r>
    </w:p>
    <w:p w14:paraId="4AA1F313" w14:textId="77777777" w:rsidR="00C2737A" w:rsidRPr="00D85222" w:rsidRDefault="00C2737A" w:rsidP="00C2737A">
      <w:pPr>
        <w:contextualSpacing/>
      </w:pPr>
      <w:r w:rsidRPr="00D85222">
        <w:rPr>
          <w:b/>
        </w:rPr>
        <w:t>K:</w:t>
      </w:r>
      <w:r w:rsidRPr="00D85222">
        <w:t xml:space="preserve"> potassium</w:t>
      </w:r>
    </w:p>
    <w:p w14:paraId="41F6F159" w14:textId="77777777" w:rsidR="00C2737A" w:rsidRPr="00D85222" w:rsidRDefault="00C2737A" w:rsidP="00C2737A">
      <w:pPr>
        <w:contextualSpacing/>
      </w:pPr>
      <w:r w:rsidRPr="00D85222">
        <w:rPr>
          <w:b/>
        </w:rPr>
        <w:t>LMWOA:</w:t>
      </w:r>
      <w:r w:rsidRPr="00D85222">
        <w:t xml:space="preserve"> low molecular weight organic acids</w:t>
      </w:r>
    </w:p>
    <w:p w14:paraId="3995CE2E" w14:textId="77777777" w:rsidR="00C2737A" w:rsidRPr="00D85222" w:rsidRDefault="00C2737A" w:rsidP="00C2737A">
      <w:pPr>
        <w:contextualSpacing/>
      </w:pPr>
      <w:r w:rsidRPr="00D85222">
        <w:rPr>
          <w:b/>
        </w:rPr>
        <w:t>MFS:</w:t>
      </w:r>
      <w:r w:rsidRPr="00D85222">
        <w:t xml:space="preserve"> major facilitator superfamily</w:t>
      </w:r>
    </w:p>
    <w:p w14:paraId="4313954D" w14:textId="77777777" w:rsidR="00C2737A" w:rsidRPr="00D85222" w:rsidRDefault="00C2737A" w:rsidP="00C2737A">
      <w:pPr>
        <w:contextualSpacing/>
      </w:pPr>
      <w:r w:rsidRPr="00D85222">
        <w:rPr>
          <w:b/>
        </w:rPr>
        <w:t>Mg:</w:t>
      </w:r>
      <w:r w:rsidRPr="00EF6ED2">
        <w:t xml:space="preserve"> </w:t>
      </w:r>
      <w:r w:rsidRPr="00D85222">
        <w:t>magnesium</w:t>
      </w:r>
    </w:p>
    <w:p w14:paraId="61537599" w14:textId="77777777" w:rsidR="00C2737A" w:rsidRPr="00D85222" w:rsidRDefault="00C2737A" w:rsidP="00C2737A">
      <w:pPr>
        <w:contextualSpacing/>
      </w:pPr>
      <w:r w:rsidRPr="00D85222">
        <w:rPr>
          <w:b/>
        </w:rPr>
        <w:t>MMN:</w:t>
      </w:r>
      <w:r w:rsidRPr="00D85222">
        <w:t xml:space="preserve"> </w:t>
      </w:r>
      <w:r w:rsidRPr="00D85222">
        <w:tab/>
        <w:t>modified Melin-Norkrans</w:t>
      </w:r>
    </w:p>
    <w:p w14:paraId="59D36B7C" w14:textId="77777777" w:rsidR="00C2737A" w:rsidRPr="00D85222" w:rsidRDefault="00C2737A" w:rsidP="00C2737A">
      <w:pPr>
        <w:contextualSpacing/>
      </w:pPr>
      <w:r w:rsidRPr="00D85222">
        <w:rPr>
          <w:b/>
        </w:rPr>
        <w:t>N:</w:t>
      </w:r>
      <w:r w:rsidRPr="00D85222">
        <w:t xml:space="preserve"> nitrogen</w:t>
      </w:r>
    </w:p>
    <w:p w14:paraId="1ECF6C62" w14:textId="77777777" w:rsidR="00C2737A" w:rsidRPr="00D85222" w:rsidRDefault="00C2737A" w:rsidP="00C2737A">
      <w:pPr>
        <w:contextualSpacing/>
      </w:pPr>
      <w:r w:rsidRPr="00D85222">
        <w:rPr>
          <w:b/>
        </w:rPr>
        <w:t>NH</w:t>
      </w:r>
      <w:r w:rsidRPr="00D85222">
        <w:rPr>
          <w:b/>
          <w:vertAlign w:val="subscript"/>
        </w:rPr>
        <w:t>4</w:t>
      </w:r>
      <w:r w:rsidRPr="00D85222">
        <w:rPr>
          <w:b/>
          <w:vertAlign w:val="superscript"/>
        </w:rPr>
        <w:t>+</w:t>
      </w:r>
      <w:r w:rsidRPr="00D85222">
        <w:rPr>
          <w:b/>
        </w:rPr>
        <w:t>:</w:t>
      </w:r>
      <w:r w:rsidRPr="00D85222">
        <w:t xml:space="preserve"> ammonium</w:t>
      </w:r>
    </w:p>
    <w:p w14:paraId="167DBA81" w14:textId="77777777" w:rsidR="00C2737A" w:rsidRPr="00D85222" w:rsidRDefault="00C2737A" w:rsidP="00C2737A">
      <w:pPr>
        <w:contextualSpacing/>
      </w:pPr>
      <w:r w:rsidRPr="00D85222">
        <w:rPr>
          <w:b/>
        </w:rPr>
        <w:t>NS:</w:t>
      </w:r>
      <w:r w:rsidRPr="00D85222">
        <w:t xml:space="preserve"> non-symbiotic</w:t>
      </w:r>
    </w:p>
    <w:p w14:paraId="7068A49A" w14:textId="77777777" w:rsidR="00C2737A" w:rsidRPr="00D85222" w:rsidRDefault="00C2737A" w:rsidP="00C2737A">
      <w:pPr>
        <w:contextualSpacing/>
      </w:pPr>
      <w:r w:rsidRPr="00D85222">
        <w:rPr>
          <w:b/>
        </w:rPr>
        <w:t>O:</w:t>
      </w:r>
      <w:r w:rsidRPr="00D85222">
        <w:t xml:space="preserve"> oxygen</w:t>
      </w:r>
    </w:p>
    <w:p w14:paraId="797F9B8E" w14:textId="77777777" w:rsidR="00C2737A" w:rsidRPr="00D85222" w:rsidRDefault="00C2737A" w:rsidP="00C2737A">
      <w:pPr>
        <w:contextualSpacing/>
      </w:pPr>
      <w:r w:rsidRPr="00D85222">
        <w:rPr>
          <w:b/>
        </w:rPr>
        <w:t>P:</w:t>
      </w:r>
      <w:r w:rsidRPr="00D85222">
        <w:t xml:space="preserve"> phosphorus</w:t>
      </w:r>
    </w:p>
    <w:p w14:paraId="2F7FA148" w14:textId="77777777" w:rsidR="00C2737A" w:rsidRPr="00D85222" w:rsidRDefault="00C2737A" w:rsidP="00C2737A">
      <w:pPr>
        <w:contextualSpacing/>
      </w:pPr>
      <w:r w:rsidRPr="00D85222">
        <w:rPr>
          <w:b/>
        </w:rPr>
        <w:t>PA:</w:t>
      </w:r>
      <w:r w:rsidRPr="00D85222">
        <w:t xml:space="preserve"> phosphatidic acid</w:t>
      </w:r>
    </w:p>
    <w:p w14:paraId="4E5B0306" w14:textId="77777777" w:rsidR="00C2737A" w:rsidRPr="00D85222" w:rsidRDefault="00C2737A" w:rsidP="00C2737A">
      <w:pPr>
        <w:contextualSpacing/>
      </w:pPr>
      <w:r w:rsidRPr="00D85222">
        <w:rPr>
          <w:b/>
        </w:rPr>
        <w:t>PC:</w:t>
      </w:r>
      <w:r w:rsidRPr="00D85222">
        <w:t xml:space="preserve"> phosphatidylcholine</w:t>
      </w:r>
    </w:p>
    <w:p w14:paraId="148FDC0B" w14:textId="77777777" w:rsidR="00C2737A" w:rsidRPr="00D85222" w:rsidRDefault="00C2737A" w:rsidP="00C2737A">
      <w:pPr>
        <w:contextualSpacing/>
      </w:pPr>
      <w:r w:rsidRPr="00D85222">
        <w:rPr>
          <w:b/>
        </w:rPr>
        <w:t>PC1:</w:t>
      </w:r>
      <w:r w:rsidRPr="00EF6ED2">
        <w:t xml:space="preserve"> </w:t>
      </w:r>
      <w:r w:rsidRPr="00D85222">
        <w:t>principal component 1</w:t>
      </w:r>
    </w:p>
    <w:p w14:paraId="6DF943D2" w14:textId="77777777" w:rsidR="00C2737A" w:rsidRPr="00D85222" w:rsidRDefault="00C2737A" w:rsidP="00C2737A">
      <w:pPr>
        <w:contextualSpacing/>
      </w:pPr>
      <w:r w:rsidRPr="00D85222">
        <w:rPr>
          <w:b/>
        </w:rPr>
        <w:lastRenderedPageBreak/>
        <w:t>PC2:</w:t>
      </w:r>
      <w:r w:rsidRPr="00EF6ED2">
        <w:t xml:space="preserve"> </w:t>
      </w:r>
      <w:r w:rsidRPr="00D85222">
        <w:t>principal component 2</w:t>
      </w:r>
    </w:p>
    <w:p w14:paraId="0EABC77A" w14:textId="77777777" w:rsidR="00C2737A" w:rsidRPr="00D85222" w:rsidRDefault="00C2737A" w:rsidP="00C2737A">
      <w:pPr>
        <w:contextualSpacing/>
      </w:pPr>
      <w:r w:rsidRPr="00D85222">
        <w:rPr>
          <w:b/>
        </w:rPr>
        <w:t>PCA:</w:t>
      </w:r>
      <w:r w:rsidRPr="00D85222">
        <w:t xml:space="preserve"> principal component analysis</w:t>
      </w:r>
    </w:p>
    <w:p w14:paraId="6F105448" w14:textId="77777777" w:rsidR="00C2737A" w:rsidRPr="00D85222" w:rsidRDefault="00C2737A" w:rsidP="00C2737A">
      <w:pPr>
        <w:contextualSpacing/>
      </w:pPr>
      <w:r w:rsidRPr="00D85222">
        <w:rPr>
          <w:b/>
        </w:rPr>
        <w:t>PE:</w:t>
      </w:r>
      <w:r w:rsidRPr="00D85222">
        <w:t xml:space="preserve"> phosphatidylethanolamine</w:t>
      </w:r>
    </w:p>
    <w:p w14:paraId="607E3A80" w14:textId="77777777" w:rsidR="00C2737A" w:rsidRPr="00D85222" w:rsidRDefault="00C2737A" w:rsidP="00C2737A">
      <w:pPr>
        <w:contextualSpacing/>
      </w:pPr>
      <w:r w:rsidRPr="00D85222">
        <w:rPr>
          <w:b/>
        </w:rPr>
        <w:t>PG:</w:t>
      </w:r>
      <w:r w:rsidRPr="00D85222">
        <w:t xml:space="preserve"> phosphatidylglyceride</w:t>
      </w:r>
    </w:p>
    <w:p w14:paraId="65973383" w14:textId="77777777" w:rsidR="00C2737A" w:rsidRPr="00D85222" w:rsidRDefault="00C2737A" w:rsidP="00C2737A">
      <w:pPr>
        <w:contextualSpacing/>
      </w:pPr>
      <w:r w:rsidRPr="00D85222">
        <w:rPr>
          <w:b/>
        </w:rPr>
        <w:t>Pi:</w:t>
      </w:r>
      <w:r w:rsidRPr="00D85222">
        <w:t xml:space="preserve"> inorganic phosphorus</w:t>
      </w:r>
    </w:p>
    <w:p w14:paraId="74A021D2" w14:textId="77777777" w:rsidR="00C2737A" w:rsidRPr="00D85222" w:rsidRDefault="00C2737A" w:rsidP="00C2737A">
      <w:pPr>
        <w:contextualSpacing/>
      </w:pPr>
      <w:r w:rsidRPr="00D85222">
        <w:rPr>
          <w:b/>
          <w:i/>
        </w:rPr>
        <w:t>PiPTs:</w:t>
      </w:r>
      <w:r w:rsidRPr="00D85222">
        <w:rPr>
          <w:i/>
        </w:rPr>
        <w:t xml:space="preserve"> P. involutus</w:t>
      </w:r>
      <w:r w:rsidRPr="00D85222">
        <w:t xml:space="preserve"> Pi transporter genes</w:t>
      </w:r>
    </w:p>
    <w:p w14:paraId="3E3E7172" w14:textId="77777777" w:rsidR="00C2737A" w:rsidRPr="00D85222" w:rsidRDefault="00C2737A" w:rsidP="00C2737A">
      <w:pPr>
        <w:contextualSpacing/>
      </w:pPr>
      <w:r w:rsidRPr="00D85222">
        <w:rPr>
          <w:b/>
        </w:rPr>
        <w:t>PiPTs:</w:t>
      </w:r>
      <w:r w:rsidRPr="00D85222">
        <w:rPr>
          <w:i/>
        </w:rPr>
        <w:t xml:space="preserve"> P. involutus</w:t>
      </w:r>
      <w:r w:rsidRPr="00D85222">
        <w:t xml:space="preserve"> Pi transporter proteins</w:t>
      </w:r>
    </w:p>
    <w:p w14:paraId="7C92FB80" w14:textId="77777777" w:rsidR="00C2737A" w:rsidRPr="00D85222" w:rsidRDefault="00C2737A" w:rsidP="00C2737A">
      <w:pPr>
        <w:contextualSpacing/>
      </w:pPr>
      <w:r w:rsidRPr="00D85222">
        <w:rPr>
          <w:b/>
        </w:rPr>
        <w:t>poly-Pase:</w:t>
      </w:r>
      <w:r w:rsidRPr="00D85222">
        <w:t xml:space="preserve"> polyphosphatase</w:t>
      </w:r>
    </w:p>
    <w:p w14:paraId="2DC75C94" w14:textId="77777777" w:rsidR="00C2737A" w:rsidRPr="00D85222" w:rsidRDefault="00C2737A" w:rsidP="00C2737A">
      <w:pPr>
        <w:contextualSpacing/>
      </w:pPr>
      <w:r w:rsidRPr="00D85222">
        <w:rPr>
          <w:b/>
        </w:rPr>
        <w:t>poly-Pi:</w:t>
      </w:r>
      <w:r w:rsidRPr="00D85222">
        <w:t xml:space="preserve"> polyphosphate</w:t>
      </w:r>
    </w:p>
    <w:p w14:paraId="54377600" w14:textId="77777777" w:rsidR="00C2737A" w:rsidRPr="00D85222" w:rsidRDefault="00C2737A" w:rsidP="00C2737A">
      <w:pPr>
        <w:contextualSpacing/>
      </w:pPr>
      <w:r w:rsidRPr="00D85222">
        <w:rPr>
          <w:b/>
        </w:rPr>
        <w:t>PT:</w:t>
      </w:r>
      <w:r w:rsidRPr="00D85222">
        <w:t xml:space="preserve"> Pi transporter</w:t>
      </w:r>
    </w:p>
    <w:p w14:paraId="6EB6CED7" w14:textId="77777777" w:rsidR="00C2737A" w:rsidRPr="00D85222" w:rsidRDefault="00C2737A" w:rsidP="00C2737A">
      <w:pPr>
        <w:contextualSpacing/>
      </w:pPr>
      <w:r w:rsidRPr="00D85222">
        <w:rPr>
          <w:b/>
        </w:rPr>
        <w:t>qRT-PCR:</w:t>
      </w:r>
      <w:r w:rsidRPr="00D85222">
        <w:t xml:space="preserve"> semi-quantitative reverse transcription polymerase chain reaction</w:t>
      </w:r>
    </w:p>
    <w:p w14:paraId="7629FD12" w14:textId="77777777" w:rsidR="00C2737A" w:rsidRPr="00D85222" w:rsidRDefault="00C2737A" w:rsidP="00C2737A">
      <w:pPr>
        <w:contextualSpacing/>
      </w:pPr>
      <w:r w:rsidRPr="00D85222">
        <w:rPr>
          <w:b/>
        </w:rPr>
        <w:t>RNA-seq:</w:t>
      </w:r>
      <w:r w:rsidRPr="00D85222">
        <w:t xml:space="preserve"> RNA sequencing</w:t>
      </w:r>
    </w:p>
    <w:p w14:paraId="43DE9C31" w14:textId="77777777" w:rsidR="00C2737A" w:rsidRPr="00D85222" w:rsidRDefault="00C2737A" w:rsidP="00C2737A">
      <w:pPr>
        <w:contextualSpacing/>
      </w:pPr>
      <w:r w:rsidRPr="00D85222">
        <w:rPr>
          <w:b/>
        </w:rPr>
        <w:t>S:</w:t>
      </w:r>
      <w:r w:rsidRPr="00D85222">
        <w:t xml:space="preserve"> symbiotic</w:t>
      </w:r>
    </w:p>
    <w:p w14:paraId="4E1AD8FE" w14:textId="77777777" w:rsidR="00C2737A" w:rsidRPr="00D85222" w:rsidRDefault="00C2737A" w:rsidP="00C2737A">
      <w:pPr>
        <w:contextualSpacing/>
        <w:rPr>
          <w:b/>
        </w:rPr>
      </w:pPr>
      <w:r w:rsidRPr="00D85222">
        <w:rPr>
          <w:b/>
        </w:rPr>
        <w:t>SEM:</w:t>
      </w:r>
      <w:r w:rsidRPr="00EF6ED2">
        <w:t xml:space="preserve"> </w:t>
      </w:r>
      <w:r w:rsidRPr="00D85222">
        <w:t>scanning electron microscopy</w:t>
      </w:r>
    </w:p>
    <w:p w14:paraId="77037644" w14:textId="77777777" w:rsidR="00C2737A" w:rsidRPr="00D85222" w:rsidRDefault="00C2737A" w:rsidP="00C2737A">
      <w:pPr>
        <w:contextualSpacing/>
      </w:pPr>
      <w:r w:rsidRPr="00D85222">
        <w:rPr>
          <w:b/>
        </w:rPr>
        <w:t>TCA:</w:t>
      </w:r>
      <w:r w:rsidRPr="00D85222">
        <w:t xml:space="preserve"> tricarboxylic acid</w:t>
      </w:r>
    </w:p>
    <w:p w14:paraId="5ADD016B" w14:textId="77777777" w:rsidR="00C2737A" w:rsidRPr="00D85222" w:rsidRDefault="00C2737A" w:rsidP="00C2737A">
      <w:pPr>
        <w:contextualSpacing/>
      </w:pPr>
      <w:r w:rsidRPr="00D85222">
        <w:rPr>
          <w:b/>
        </w:rPr>
        <w:t>UPLC-Q-TOF-MS:</w:t>
      </w:r>
      <w:r>
        <w:t xml:space="preserve"> </w:t>
      </w:r>
      <w:r w:rsidRPr="00D85222">
        <w:t>ultra-high performance liquid chromatography-quadrupole time-of-flight mass spectrometry</w:t>
      </w:r>
    </w:p>
    <w:p w14:paraId="6B8C434E" w14:textId="77777777" w:rsidR="00C2737A" w:rsidRPr="00D85222" w:rsidRDefault="00C2737A" w:rsidP="00C2737A">
      <w:pPr>
        <w:contextualSpacing/>
      </w:pPr>
      <w:r w:rsidRPr="00D85222">
        <w:rPr>
          <w:b/>
        </w:rPr>
        <w:t>VAMP:</w:t>
      </w:r>
      <w:r w:rsidRPr="00D85222">
        <w:t xml:space="preserve"> vesicle-associated membrane protein</w:t>
      </w:r>
    </w:p>
    <w:p w14:paraId="7EFEF494" w14:textId="6649275F" w:rsidR="00C2737A" w:rsidRDefault="00C2737A" w:rsidP="00C2737A">
      <w:pPr>
        <w:contextualSpacing/>
      </w:pPr>
      <w:r w:rsidRPr="00D85222">
        <w:rPr>
          <w:b/>
        </w:rPr>
        <w:t>ZF:</w:t>
      </w:r>
      <w:r>
        <w:t xml:space="preserve"> zinc finger</w:t>
      </w:r>
    </w:p>
    <w:p w14:paraId="247DB0F4" w14:textId="77777777" w:rsidR="00C2737A" w:rsidRDefault="00C2737A">
      <w:pPr>
        <w:spacing w:line="259" w:lineRule="auto"/>
        <w:jc w:val="left"/>
        <w:sectPr w:rsidR="00C2737A" w:rsidSect="001C2853">
          <w:footerReference w:type="default" r:id="rId9"/>
          <w:pgSz w:w="12240" w:h="15840"/>
          <w:pgMar w:top="1440" w:right="1440" w:bottom="1440" w:left="1440" w:header="720" w:footer="170" w:gutter="0"/>
          <w:pgNumType w:start="1"/>
          <w:cols w:space="720"/>
          <w:docGrid w:linePitch="360"/>
        </w:sectPr>
      </w:pPr>
    </w:p>
    <w:p w14:paraId="3D776B84" w14:textId="23FE1DA1" w:rsidR="003B197E" w:rsidRDefault="003B197E" w:rsidP="003B197E">
      <w:pPr>
        <w:pStyle w:val="Title"/>
        <w:pBdr>
          <w:bottom w:val="single" w:sz="4" w:space="1" w:color="auto"/>
        </w:pBdr>
      </w:pPr>
      <w:r>
        <w:lastRenderedPageBreak/>
        <w:t>Table of contents</w:t>
      </w:r>
    </w:p>
    <w:p w14:paraId="058EF528" w14:textId="77777777" w:rsidR="003B197E" w:rsidRDefault="003B197E" w:rsidP="003B197E">
      <w:pPr>
        <w:pStyle w:val="TOC1"/>
        <w:tabs>
          <w:tab w:val="right" w:leader="dot" w:pos="9350"/>
        </w:tabs>
        <w:rPr>
          <w:rFonts w:asciiTheme="minorHAnsi" w:eastAsiaTheme="minorEastAsia" w:hAnsiTheme="minorHAnsi"/>
          <w:b w:val="0"/>
          <w:iCs w:val="0"/>
          <w:noProof/>
          <w:color w:val="auto"/>
          <w:sz w:val="22"/>
          <w:szCs w:val="22"/>
          <w:lang w:eastAsia="en-GB"/>
        </w:rPr>
      </w:pPr>
      <w:r>
        <w:fldChar w:fldCharType="begin"/>
      </w:r>
      <w:r>
        <w:instrText xml:space="preserve"> TOC \h \z \u \t "Heading 1,2,Heading 2,3,Heading 3,4,Title,1" </w:instrText>
      </w:r>
      <w:r>
        <w:fldChar w:fldCharType="separate"/>
      </w:r>
      <w:hyperlink w:anchor="_Toc520837834" w:history="1">
        <w:r w:rsidRPr="009363E2">
          <w:rPr>
            <w:rStyle w:val="Hyperlink"/>
            <w:noProof/>
          </w:rPr>
          <w:t>Chapter 1. Phosphate mineral weathering and phosphate uptake by ectomycorrhizal fungi</w:t>
        </w:r>
        <w:r>
          <w:rPr>
            <w:noProof/>
            <w:webHidden/>
          </w:rPr>
          <w:tab/>
        </w:r>
        <w:r>
          <w:rPr>
            <w:noProof/>
            <w:webHidden/>
          </w:rPr>
          <w:fldChar w:fldCharType="begin"/>
        </w:r>
        <w:r>
          <w:rPr>
            <w:noProof/>
            <w:webHidden/>
          </w:rPr>
          <w:instrText xml:space="preserve"> PAGEREF _Toc520837834 \h </w:instrText>
        </w:r>
        <w:r>
          <w:rPr>
            <w:noProof/>
            <w:webHidden/>
          </w:rPr>
        </w:r>
        <w:r>
          <w:rPr>
            <w:noProof/>
            <w:webHidden/>
          </w:rPr>
          <w:fldChar w:fldCharType="separate"/>
        </w:r>
        <w:r>
          <w:rPr>
            <w:noProof/>
            <w:webHidden/>
          </w:rPr>
          <w:t>1</w:t>
        </w:r>
        <w:r>
          <w:rPr>
            <w:noProof/>
            <w:webHidden/>
          </w:rPr>
          <w:fldChar w:fldCharType="end"/>
        </w:r>
      </w:hyperlink>
    </w:p>
    <w:p w14:paraId="585FA7C4"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35" w:history="1">
        <w:r w:rsidRPr="009363E2">
          <w:rPr>
            <w:rStyle w:val="Hyperlink"/>
            <w:noProof/>
          </w:rPr>
          <w:t>1.1 General introduction</w:t>
        </w:r>
        <w:r>
          <w:rPr>
            <w:noProof/>
            <w:webHidden/>
          </w:rPr>
          <w:tab/>
        </w:r>
        <w:r>
          <w:rPr>
            <w:noProof/>
            <w:webHidden/>
          </w:rPr>
          <w:fldChar w:fldCharType="begin"/>
        </w:r>
        <w:r>
          <w:rPr>
            <w:noProof/>
            <w:webHidden/>
          </w:rPr>
          <w:instrText xml:space="preserve"> PAGEREF _Toc520837835 \h </w:instrText>
        </w:r>
        <w:r>
          <w:rPr>
            <w:noProof/>
            <w:webHidden/>
          </w:rPr>
        </w:r>
        <w:r>
          <w:rPr>
            <w:noProof/>
            <w:webHidden/>
          </w:rPr>
          <w:fldChar w:fldCharType="separate"/>
        </w:r>
        <w:r>
          <w:rPr>
            <w:noProof/>
            <w:webHidden/>
          </w:rPr>
          <w:t>1</w:t>
        </w:r>
        <w:r>
          <w:rPr>
            <w:noProof/>
            <w:webHidden/>
          </w:rPr>
          <w:fldChar w:fldCharType="end"/>
        </w:r>
      </w:hyperlink>
    </w:p>
    <w:p w14:paraId="68B3F8CC"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36" w:history="1">
        <w:r w:rsidRPr="009363E2">
          <w:rPr>
            <w:rStyle w:val="Hyperlink"/>
            <w:noProof/>
          </w:rPr>
          <w:t>1.2 Role of fungi in mineral weathering</w:t>
        </w:r>
        <w:r>
          <w:rPr>
            <w:noProof/>
            <w:webHidden/>
          </w:rPr>
          <w:tab/>
        </w:r>
        <w:r>
          <w:rPr>
            <w:noProof/>
            <w:webHidden/>
          </w:rPr>
          <w:fldChar w:fldCharType="begin"/>
        </w:r>
        <w:r>
          <w:rPr>
            <w:noProof/>
            <w:webHidden/>
          </w:rPr>
          <w:instrText xml:space="preserve"> PAGEREF _Toc520837836 \h </w:instrText>
        </w:r>
        <w:r>
          <w:rPr>
            <w:noProof/>
            <w:webHidden/>
          </w:rPr>
        </w:r>
        <w:r>
          <w:rPr>
            <w:noProof/>
            <w:webHidden/>
          </w:rPr>
          <w:fldChar w:fldCharType="separate"/>
        </w:r>
        <w:r>
          <w:rPr>
            <w:noProof/>
            <w:webHidden/>
          </w:rPr>
          <w:t>4</w:t>
        </w:r>
        <w:r>
          <w:rPr>
            <w:noProof/>
            <w:webHidden/>
          </w:rPr>
          <w:fldChar w:fldCharType="end"/>
        </w:r>
      </w:hyperlink>
    </w:p>
    <w:p w14:paraId="5B5C87D8"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37" w:history="1">
        <w:r w:rsidRPr="009363E2">
          <w:rPr>
            <w:rStyle w:val="Hyperlink"/>
            <w:noProof/>
          </w:rPr>
          <w:t>1.2.1 Mechanisms of fungal mineral weathering</w:t>
        </w:r>
        <w:r>
          <w:rPr>
            <w:noProof/>
            <w:webHidden/>
          </w:rPr>
          <w:tab/>
        </w:r>
        <w:r>
          <w:rPr>
            <w:noProof/>
            <w:webHidden/>
          </w:rPr>
          <w:fldChar w:fldCharType="begin"/>
        </w:r>
        <w:r>
          <w:rPr>
            <w:noProof/>
            <w:webHidden/>
          </w:rPr>
          <w:instrText xml:space="preserve"> PAGEREF _Toc520837837 \h </w:instrText>
        </w:r>
        <w:r>
          <w:rPr>
            <w:noProof/>
            <w:webHidden/>
          </w:rPr>
        </w:r>
        <w:r>
          <w:rPr>
            <w:noProof/>
            <w:webHidden/>
          </w:rPr>
          <w:fldChar w:fldCharType="separate"/>
        </w:r>
        <w:r>
          <w:rPr>
            <w:noProof/>
            <w:webHidden/>
          </w:rPr>
          <w:t>5</w:t>
        </w:r>
        <w:r>
          <w:rPr>
            <w:noProof/>
            <w:webHidden/>
          </w:rPr>
          <w:fldChar w:fldCharType="end"/>
        </w:r>
      </w:hyperlink>
    </w:p>
    <w:p w14:paraId="07D44C3A"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38" w:history="1">
        <w:r w:rsidRPr="009363E2">
          <w:rPr>
            <w:rStyle w:val="Hyperlink"/>
            <w:noProof/>
          </w:rPr>
          <w:t>1.3 Role of EMF in mineral weathering</w:t>
        </w:r>
        <w:r>
          <w:rPr>
            <w:noProof/>
            <w:webHidden/>
          </w:rPr>
          <w:tab/>
        </w:r>
        <w:r>
          <w:rPr>
            <w:noProof/>
            <w:webHidden/>
          </w:rPr>
          <w:fldChar w:fldCharType="begin"/>
        </w:r>
        <w:r>
          <w:rPr>
            <w:noProof/>
            <w:webHidden/>
          </w:rPr>
          <w:instrText xml:space="preserve"> PAGEREF _Toc520837838 \h </w:instrText>
        </w:r>
        <w:r>
          <w:rPr>
            <w:noProof/>
            <w:webHidden/>
          </w:rPr>
        </w:r>
        <w:r>
          <w:rPr>
            <w:noProof/>
            <w:webHidden/>
          </w:rPr>
          <w:fldChar w:fldCharType="separate"/>
        </w:r>
        <w:r>
          <w:rPr>
            <w:noProof/>
            <w:webHidden/>
          </w:rPr>
          <w:t>7</w:t>
        </w:r>
        <w:r>
          <w:rPr>
            <w:noProof/>
            <w:webHidden/>
          </w:rPr>
          <w:fldChar w:fldCharType="end"/>
        </w:r>
      </w:hyperlink>
    </w:p>
    <w:p w14:paraId="767D0FFA"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39" w:history="1">
        <w:r w:rsidRPr="009363E2">
          <w:rPr>
            <w:rStyle w:val="Hyperlink"/>
            <w:noProof/>
          </w:rPr>
          <w:t>1.3.1 Role of EMF in phosphate mineral weathering</w:t>
        </w:r>
        <w:r>
          <w:rPr>
            <w:noProof/>
            <w:webHidden/>
          </w:rPr>
          <w:tab/>
        </w:r>
        <w:r>
          <w:rPr>
            <w:noProof/>
            <w:webHidden/>
          </w:rPr>
          <w:fldChar w:fldCharType="begin"/>
        </w:r>
        <w:r>
          <w:rPr>
            <w:noProof/>
            <w:webHidden/>
          </w:rPr>
          <w:instrText xml:space="preserve"> PAGEREF _Toc520837839 \h </w:instrText>
        </w:r>
        <w:r>
          <w:rPr>
            <w:noProof/>
            <w:webHidden/>
          </w:rPr>
        </w:r>
        <w:r>
          <w:rPr>
            <w:noProof/>
            <w:webHidden/>
          </w:rPr>
          <w:fldChar w:fldCharType="separate"/>
        </w:r>
        <w:r>
          <w:rPr>
            <w:noProof/>
            <w:webHidden/>
          </w:rPr>
          <w:t>10</w:t>
        </w:r>
        <w:r>
          <w:rPr>
            <w:noProof/>
            <w:webHidden/>
          </w:rPr>
          <w:fldChar w:fldCharType="end"/>
        </w:r>
      </w:hyperlink>
    </w:p>
    <w:p w14:paraId="36DAF1E4"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40" w:history="1">
        <w:r w:rsidRPr="009363E2">
          <w:rPr>
            <w:rStyle w:val="Hyperlink"/>
            <w:noProof/>
          </w:rPr>
          <w:t>1.3.2 Mechanisms utilised by EMF in mineral weathering</w:t>
        </w:r>
        <w:r>
          <w:rPr>
            <w:noProof/>
            <w:webHidden/>
          </w:rPr>
          <w:tab/>
        </w:r>
        <w:r>
          <w:rPr>
            <w:noProof/>
            <w:webHidden/>
          </w:rPr>
          <w:fldChar w:fldCharType="begin"/>
        </w:r>
        <w:r>
          <w:rPr>
            <w:noProof/>
            <w:webHidden/>
          </w:rPr>
          <w:instrText xml:space="preserve"> PAGEREF _Toc520837840 \h </w:instrText>
        </w:r>
        <w:r>
          <w:rPr>
            <w:noProof/>
            <w:webHidden/>
          </w:rPr>
        </w:r>
        <w:r>
          <w:rPr>
            <w:noProof/>
            <w:webHidden/>
          </w:rPr>
          <w:fldChar w:fldCharType="separate"/>
        </w:r>
        <w:r>
          <w:rPr>
            <w:noProof/>
            <w:webHidden/>
          </w:rPr>
          <w:t>11</w:t>
        </w:r>
        <w:r>
          <w:rPr>
            <w:noProof/>
            <w:webHidden/>
          </w:rPr>
          <w:fldChar w:fldCharType="end"/>
        </w:r>
      </w:hyperlink>
    </w:p>
    <w:p w14:paraId="087E8C47"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41" w:history="1">
        <w:r w:rsidRPr="009363E2">
          <w:rPr>
            <w:rStyle w:val="Hyperlink"/>
            <w:noProof/>
          </w:rPr>
          <w:t>1.4 Role of EMF in P and C biogeochemical cycles</w:t>
        </w:r>
        <w:r>
          <w:rPr>
            <w:noProof/>
            <w:webHidden/>
          </w:rPr>
          <w:tab/>
        </w:r>
        <w:r>
          <w:rPr>
            <w:noProof/>
            <w:webHidden/>
          </w:rPr>
          <w:fldChar w:fldCharType="begin"/>
        </w:r>
        <w:r>
          <w:rPr>
            <w:noProof/>
            <w:webHidden/>
          </w:rPr>
          <w:instrText xml:space="preserve"> PAGEREF _Toc520837841 \h </w:instrText>
        </w:r>
        <w:r>
          <w:rPr>
            <w:noProof/>
            <w:webHidden/>
          </w:rPr>
        </w:r>
        <w:r>
          <w:rPr>
            <w:noProof/>
            <w:webHidden/>
          </w:rPr>
          <w:fldChar w:fldCharType="separate"/>
        </w:r>
        <w:r>
          <w:rPr>
            <w:noProof/>
            <w:webHidden/>
          </w:rPr>
          <w:t>12</w:t>
        </w:r>
        <w:r>
          <w:rPr>
            <w:noProof/>
            <w:webHidden/>
          </w:rPr>
          <w:fldChar w:fldCharType="end"/>
        </w:r>
      </w:hyperlink>
    </w:p>
    <w:p w14:paraId="79D8281A"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42" w:history="1">
        <w:r w:rsidRPr="009363E2">
          <w:rPr>
            <w:rStyle w:val="Hyperlink"/>
            <w:noProof/>
          </w:rPr>
          <w:t>1.5 Pi and carbohydrate utilisation in the EM symbiosis</w:t>
        </w:r>
        <w:r>
          <w:rPr>
            <w:noProof/>
            <w:webHidden/>
          </w:rPr>
          <w:tab/>
        </w:r>
        <w:r>
          <w:rPr>
            <w:noProof/>
            <w:webHidden/>
          </w:rPr>
          <w:fldChar w:fldCharType="begin"/>
        </w:r>
        <w:r>
          <w:rPr>
            <w:noProof/>
            <w:webHidden/>
          </w:rPr>
          <w:instrText xml:space="preserve"> PAGEREF _Toc520837842 \h </w:instrText>
        </w:r>
        <w:r>
          <w:rPr>
            <w:noProof/>
            <w:webHidden/>
          </w:rPr>
        </w:r>
        <w:r>
          <w:rPr>
            <w:noProof/>
            <w:webHidden/>
          </w:rPr>
          <w:fldChar w:fldCharType="separate"/>
        </w:r>
        <w:r>
          <w:rPr>
            <w:noProof/>
            <w:webHidden/>
          </w:rPr>
          <w:t>13</w:t>
        </w:r>
        <w:r>
          <w:rPr>
            <w:noProof/>
            <w:webHidden/>
          </w:rPr>
          <w:fldChar w:fldCharType="end"/>
        </w:r>
      </w:hyperlink>
    </w:p>
    <w:p w14:paraId="74876301"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43" w:history="1">
        <w:r w:rsidRPr="009363E2">
          <w:rPr>
            <w:rStyle w:val="Hyperlink"/>
            <w:noProof/>
          </w:rPr>
          <w:t>1.5.1 Pi uptake and regulation during EM symbiosis</w:t>
        </w:r>
        <w:r>
          <w:rPr>
            <w:noProof/>
            <w:webHidden/>
          </w:rPr>
          <w:tab/>
        </w:r>
        <w:r>
          <w:rPr>
            <w:noProof/>
            <w:webHidden/>
          </w:rPr>
          <w:fldChar w:fldCharType="begin"/>
        </w:r>
        <w:r>
          <w:rPr>
            <w:noProof/>
            <w:webHidden/>
          </w:rPr>
          <w:instrText xml:space="preserve"> PAGEREF _Toc520837843 \h </w:instrText>
        </w:r>
        <w:r>
          <w:rPr>
            <w:noProof/>
            <w:webHidden/>
          </w:rPr>
        </w:r>
        <w:r>
          <w:rPr>
            <w:noProof/>
            <w:webHidden/>
          </w:rPr>
          <w:fldChar w:fldCharType="separate"/>
        </w:r>
        <w:r>
          <w:rPr>
            <w:noProof/>
            <w:webHidden/>
          </w:rPr>
          <w:t>14</w:t>
        </w:r>
        <w:r>
          <w:rPr>
            <w:noProof/>
            <w:webHidden/>
          </w:rPr>
          <w:fldChar w:fldCharType="end"/>
        </w:r>
      </w:hyperlink>
    </w:p>
    <w:p w14:paraId="08EE1D6B"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44" w:history="1">
        <w:r w:rsidRPr="009363E2">
          <w:rPr>
            <w:rStyle w:val="Hyperlink"/>
            <w:noProof/>
          </w:rPr>
          <w:t>1.5.2 Carbohydrate utilisation in the EM symbiosis</w:t>
        </w:r>
        <w:r>
          <w:rPr>
            <w:noProof/>
            <w:webHidden/>
          </w:rPr>
          <w:tab/>
        </w:r>
        <w:r>
          <w:rPr>
            <w:noProof/>
            <w:webHidden/>
          </w:rPr>
          <w:fldChar w:fldCharType="begin"/>
        </w:r>
        <w:r>
          <w:rPr>
            <w:noProof/>
            <w:webHidden/>
          </w:rPr>
          <w:instrText xml:space="preserve"> PAGEREF _Toc520837844 \h </w:instrText>
        </w:r>
        <w:r>
          <w:rPr>
            <w:noProof/>
            <w:webHidden/>
          </w:rPr>
        </w:r>
        <w:r>
          <w:rPr>
            <w:noProof/>
            <w:webHidden/>
          </w:rPr>
          <w:fldChar w:fldCharType="separate"/>
        </w:r>
        <w:r>
          <w:rPr>
            <w:noProof/>
            <w:webHidden/>
          </w:rPr>
          <w:t>17</w:t>
        </w:r>
        <w:r>
          <w:rPr>
            <w:noProof/>
            <w:webHidden/>
          </w:rPr>
          <w:fldChar w:fldCharType="end"/>
        </w:r>
      </w:hyperlink>
    </w:p>
    <w:p w14:paraId="31EB55AF"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45" w:history="1">
        <w:r w:rsidRPr="009363E2">
          <w:rPr>
            <w:rStyle w:val="Hyperlink"/>
            <w:noProof/>
          </w:rPr>
          <w:t>1.6 Aim, hypotheses and objectives</w:t>
        </w:r>
        <w:r>
          <w:rPr>
            <w:noProof/>
            <w:webHidden/>
          </w:rPr>
          <w:tab/>
        </w:r>
        <w:r>
          <w:rPr>
            <w:noProof/>
            <w:webHidden/>
          </w:rPr>
          <w:fldChar w:fldCharType="begin"/>
        </w:r>
        <w:r>
          <w:rPr>
            <w:noProof/>
            <w:webHidden/>
          </w:rPr>
          <w:instrText xml:space="preserve"> PAGEREF _Toc520837845 \h </w:instrText>
        </w:r>
        <w:r>
          <w:rPr>
            <w:noProof/>
            <w:webHidden/>
          </w:rPr>
        </w:r>
        <w:r>
          <w:rPr>
            <w:noProof/>
            <w:webHidden/>
          </w:rPr>
          <w:fldChar w:fldCharType="separate"/>
        </w:r>
        <w:r>
          <w:rPr>
            <w:noProof/>
            <w:webHidden/>
          </w:rPr>
          <w:t>22</w:t>
        </w:r>
        <w:r>
          <w:rPr>
            <w:noProof/>
            <w:webHidden/>
          </w:rPr>
          <w:fldChar w:fldCharType="end"/>
        </w:r>
      </w:hyperlink>
    </w:p>
    <w:p w14:paraId="2C42DCD0"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46" w:history="1">
        <w:r w:rsidRPr="009363E2">
          <w:rPr>
            <w:rStyle w:val="Hyperlink"/>
            <w:noProof/>
          </w:rPr>
          <w:t>1.6.1 Aim</w:t>
        </w:r>
        <w:r>
          <w:rPr>
            <w:noProof/>
            <w:webHidden/>
          </w:rPr>
          <w:tab/>
        </w:r>
        <w:r>
          <w:rPr>
            <w:noProof/>
            <w:webHidden/>
          </w:rPr>
          <w:fldChar w:fldCharType="begin"/>
        </w:r>
        <w:r>
          <w:rPr>
            <w:noProof/>
            <w:webHidden/>
          </w:rPr>
          <w:instrText xml:space="preserve"> PAGEREF _Toc520837846 \h </w:instrText>
        </w:r>
        <w:r>
          <w:rPr>
            <w:noProof/>
            <w:webHidden/>
          </w:rPr>
        </w:r>
        <w:r>
          <w:rPr>
            <w:noProof/>
            <w:webHidden/>
          </w:rPr>
          <w:fldChar w:fldCharType="separate"/>
        </w:r>
        <w:r>
          <w:rPr>
            <w:noProof/>
            <w:webHidden/>
          </w:rPr>
          <w:t>22</w:t>
        </w:r>
        <w:r>
          <w:rPr>
            <w:noProof/>
            <w:webHidden/>
          </w:rPr>
          <w:fldChar w:fldCharType="end"/>
        </w:r>
      </w:hyperlink>
    </w:p>
    <w:p w14:paraId="1C1DE0EB"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47" w:history="1">
        <w:r w:rsidRPr="009363E2">
          <w:rPr>
            <w:rStyle w:val="Hyperlink"/>
            <w:noProof/>
          </w:rPr>
          <w:t>1.6.2 Hypotheses</w:t>
        </w:r>
        <w:r>
          <w:rPr>
            <w:noProof/>
            <w:webHidden/>
          </w:rPr>
          <w:tab/>
        </w:r>
        <w:r>
          <w:rPr>
            <w:noProof/>
            <w:webHidden/>
          </w:rPr>
          <w:fldChar w:fldCharType="begin"/>
        </w:r>
        <w:r>
          <w:rPr>
            <w:noProof/>
            <w:webHidden/>
          </w:rPr>
          <w:instrText xml:space="preserve"> PAGEREF _Toc520837847 \h </w:instrText>
        </w:r>
        <w:r>
          <w:rPr>
            <w:noProof/>
            <w:webHidden/>
          </w:rPr>
        </w:r>
        <w:r>
          <w:rPr>
            <w:noProof/>
            <w:webHidden/>
          </w:rPr>
          <w:fldChar w:fldCharType="separate"/>
        </w:r>
        <w:r>
          <w:rPr>
            <w:noProof/>
            <w:webHidden/>
          </w:rPr>
          <w:t>22</w:t>
        </w:r>
        <w:r>
          <w:rPr>
            <w:noProof/>
            <w:webHidden/>
          </w:rPr>
          <w:fldChar w:fldCharType="end"/>
        </w:r>
      </w:hyperlink>
    </w:p>
    <w:p w14:paraId="414A6A8B"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48" w:history="1">
        <w:r w:rsidRPr="009363E2">
          <w:rPr>
            <w:rStyle w:val="Hyperlink"/>
            <w:noProof/>
          </w:rPr>
          <w:t>1.6.3 Objectives</w:t>
        </w:r>
        <w:r>
          <w:rPr>
            <w:noProof/>
            <w:webHidden/>
          </w:rPr>
          <w:tab/>
        </w:r>
        <w:r>
          <w:rPr>
            <w:noProof/>
            <w:webHidden/>
          </w:rPr>
          <w:fldChar w:fldCharType="begin"/>
        </w:r>
        <w:r>
          <w:rPr>
            <w:noProof/>
            <w:webHidden/>
          </w:rPr>
          <w:instrText xml:space="preserve"> PAGEREF _Toc520837848 \h </w:instrText>
        </w:r>
        <w:r>
          <w:rPr>
            <w:noProof/>
            <w:webHidden/>
          </w:rPr>
        </w:r>
        <w:r>
          <w:rPr>
            <w:noProof/>
            <w:webHidden/>
          </w:rPr>
          <w:fldChar w:fldCharType="separate"/>
        </w:r>
        <w:r>
          <w:rPr>
            <w:noProof/>
            <w:webHidden/>
          </w:rPr>
          <w:t>23</w:t>
        </w:r>
        <w:r>
          <w:rPr>
            <w:noProof/>
            <w:webHidden/>
          </w:rPr>
          <w:fldChar w:fldCharType="end"/>
        </w:r>
      </w:hyperlink>
    </w:p>
    <w:p w14:paraId="5EE621CC"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49" w:history="1">
        <w:r w:rsidRPr="009363E2">
          <w:rPr>
            <w:rStyle w:val="Hyperlink"/>
            <w:noProof/>
          </w:rPr>
          <w:t>1.6.4 Overview of experimental chapters</w:t>
        </w:r>
        <w:r>
          <w:rPr>
            <w:noProof/>
            <w:webHidden/>
          </w:rPr>
          <w:tab/>
        </w:r>
        <w:r>
          <w:rPr>
            <w:noProof/>
            <w:webHidden/>
          </w:rPr>
          <w:fldChar w:fldCharType="begin"/>
        </w:r>
        <w:r>
          <w:rPr>
            <w:noProof/>
            <w:webHidden/>
          </w:rPr>
          <w:instrText xml:space="preserve"> PAGEREF _Toc520837849 \h </w:instrText>
        </w:r>
        <w:r>
          <w:rPr>
            <w:noProof/>
            <w:webHidden/>
          </w:rPr>
        </w:r>
        <w:r>
          <w:rPr>
            <w:noProof/>
            <w:webHidden/>
          </w:rPr>
          <w:fldChar w:fldCharType="separate"/>
        </w:r>
        <w:r>
          <w:rPr>
            <w:noProof/>
            <w:webHidden/>
          </w:rPr>
          <w:t>23</w:t>
        </w:r>
        <w:r>
          <w:rPr>
            <w:noProof/>
            <w:webHidden/>
          </w:rPr>
          <w:fldChar w:fldCharType="end"/>
        </w:r>
      </w:hyperlink>
    </w:p>
    <w:p w14:paraId="3DAB7E01" w14:textId="77777777" w:rsidR="003B197E" w:rsidRDefault="003B197E" w:rsidP="003B197E">
      <w:pPr>
        <w:pStyle w:val="TOC1"/>
        <w:tabs>
          <w:tab w:val="right" w:leader="dot" w:pos="9350"/>
        </w:tabs>
        <w:rPr>
          <w:rFonts w:asciiTheme="minorHAnsi" w:eastAsiaTheme="minorEastAsia" w:hAnsiTheme="minorHAnsi"/>
          <w:b w:val="0"/>
          <w:iCs w:val="0"/>
          <w:noProof/>
          <w:color w:val="auto"/>
          <w:sz w:val="22"/>
          <w:szCs w:val="22"/>
          <w:lang w:eastAsia="en-GB"/>
        </w:rPr>
      </w:pPr>
      <w:hyperlink w:anchor="_Toc520837850" w:history="1">
        <w:r w:rsidRPr="009363E2">
          <w:rPr>
            <w:rStyle w:val="Hyperlink"/>
            <w:noProof/>
          </w:rPr>
          <w:t>Chapter 2. Effects of phosphate concentration on growth, hyphal morphology, phosphate content and relative expression of phosphate transporter genes of</w:t>
        </w:r>
        <w:r w:rsidRPr="009363E2">
          <w:rPr>
            <w:rStyle w:val="Hyperlink"/>
            <w:i/>
            <w:noProof/>
          </w:rPr>
          <w:t xml:space="preserve"> Paxillus involutus</w:t>
        </w:r>
        <w:r>
          <w:rPr>
            <w:noProof/>
            <w:webHidden/>
          </w:rPr>
          <w:tab/>
        </w:r>
        <w:r>
          <w:rPr>
            <w:noProof/>
            <w:webHidden/>
          </w:rPr>
          <w:fldChar w:fldCharType="begin"/>
        </w:r>
        <w:r>
          <w:rPr>
            <w:noProof/>
            <w:webHidden/>
          </w:rPr>
          <w:instrText xml:space="preserve"> PAGEREF _Toc520837850 \h </w:instrText>
        </w:r>
        <w:r>
          <w:rPr>
            <w:noProof/>
            <w:webHidden/>
          </w:rPr>
        </w:r>
        <w:r>
          <w:rPr>
            <w:noProof/>
            <w:webHidden/>
          </w:rPr>
          <w:fldChar w:fldCharType="separate"/>
        </w:r>
        <w:r>
          <w:rPr>
            <w:noProof/>
            <w:webHidden/>
          </w:rPr>
          <w:t>26</w:t>
        </w:r>
        <w:r>
          <w:rPr>
            <w:noProof/>
            <w:webHidden/>
          </w:rPr>
          <w:fldChar w:fldCharType="end"/>
        </w:r>
      </w:hyperlink>
    </w:p>
    <w:p w14:paraId="770DBF9B"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51" w:history="1">
        <w:r w:rsidRPr="009363E2">
          <w:rPr>
            <w:rStyle w:val="Hyperlink"/>
            <w:noProof/>
          </w:rPr>
          <w:t>2.1 Introduction</w:t>
        </w:r>
        <w:r>
          <w:rPr>
            <w:noProof/>
            <w:webHidden/>
          </w:rPr>
          <w:tab/>
        </w:r>
        <w:r>
          <w:rPr>
            <w:noProof/>
            <w:webHidden/>
          </w:rPr>
          <w:fldChar w:fldCharType="begin"/>
        </w:r>
        <w:r>
          <w:rPr>
            <w:noProof/>
            <w:webHidden/>
          </w:rPr>
          <w:instrText xml:space="preserve"> PAGEREF _Toc520837851 \h </w:instrText>
        </w:r>
        <w:r>
          <w:rPr>
            <w:noProof/>
            <w:webHidden/>
          </w:rPr>
        </w:r>
        <w:r>
          <w:rPr>
            <w:noProof/>
            <w:webHidden/>
          </w:rPr>
          <w:fldChar w:fldCharType="separate"/>
        </w:r>
        <w:r>
          <w:rPr>
            <w:noProof/>
            <w:webHidden/>
          </w:rPr>
          <w:t>26</w:t>
        </w:r>
        <w:r>
          <w:rPr>
            <w:noProof/>
            <w:webHidden/>
          </w:rPr>
          <w:fldChar w:fldCharType="end"/>
        </w:r>
      </w:hyperlink>
    </w:p>
    <w:p w14:paraId="657C95F1"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52" w:history="1">
        <w:r w:rsidRPr="009363E2">
          <w:rPr>
            <w:rStyle w:val="Hyperlink"/>
            <w:noProof/>
          </w:rPr>
          <w:t>2.2 Materials and Methods</w:t>
        </w:r>
        <w:r>
          <w:rPr>
            <w:noProof/>
            <w:webHidden/>
          </w:rPr>
          <w:tab/>
        </w:r>
        <w:r>
          <w:rPr>
            <w:noProof/>
            <w:webHidden/>
          </w:rPr>
          <w:fldChar w:fldCharType="begin"/>
        </w:r>
        <w:r>
          <w:rPr>
            <w:noProof/>
            <w:webHidden/>
          </w:rPr>
          <w:instrText xml:space="preserve"> PAGEREF _Toc520837852 \h </w:instrText>
        </w:r>
        <w:r>
          <w:rPr>
            <w:noProof/>
            <w:webHidden/>
          </w:rPr>
        </w:r>
        <w:r>
          <w:rPr>
            <w:noProof/>
            <w:webHidden/>
          </w:rPr>
          <w:fldChar w:fldCharType="separate"/>
        </w:r>
        <w:r>
          <w:rPr>
            <w:noProof/>
            <w:webHidden/>
          </w:rPr>
          <w:t>29</w:t>
        </w:r>
        <w:r>
          <w:rPr>
            <w:noProof/>
            <w:webHidden/>
          </w:rPr>
          <w:fldChar w:fldCharType="end"/>
        </w:r>
      </w:hyperlink>
    </w:p>
    <w:p w14:paraId="77912978"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53" w:history="1">
        <w:r w:rsidRPr="009363E2">
          <w:rPr>
            <w:rStyle w:val="Hyperlink"/>
            <w:noProof/>
          </w:rPr>
          <w:t>2.2.1 Experimental design of the Pi-varying experiment</w:t>
        </w:r>
        <w:r>
          <w:rPr>
            <w:noProof/>
            <w:webHidden/>
          </w:rPr>
          <w:tab/>
        </w:r>
        <w:r>
          <w:rPr>
            <w:noProof/>
            <w:webHidden/>
          </w:rPr>
          <w:fldChar w:fldCharType="begin"/>
        </w:r>
        <w:r>
          <w:rPr>
            <w:noProof/>
            <w:webHidden/>
          </w:rPr>
          <w:instrText xml:space="preserve"> PAGEREF _Toc520837853 \h </w:instrText>
        </w:r>
        <w:r>
          <w:rPr>
            <w:noProof/>
            <w:webHidden/>
          </w:rPr>
        </w:r>
        <w:r>
          <w:rPr>
            <w:noProof/>
            <w:webHidden/>
          </w:rPr>
          <w:fldChar w:fldCharType="separate"/>
        </w:r>
        <w:r>
          <w:rPr>
            <w:noProof/>
            <w:webHidden/>
          </w:rPr>
          <w:t>29</w:t>
        </w:r>
        <w:r>
          <w:rPr>
            <w:noProof/>
            <w:webHidden/>
          </w:rPr>
          <w:fldChar w:fldCharType="end"/>
        </w:r>
      </w:hyperlink>
    </w:p>
    <w:p w14:paraId="16F0E884"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54" w:history="1">
        <w:r w:rsidRPr="009363E2">
          <w:rPr>
            <w:rStyle w:val="Hyperlink"/>
            <w:noProof/>
          </w:rPr>
          <w:t>2.2.2 Fungal/plant material</w:t>
        </w:r>
        <w:r>
          <w:rPr>
            <w:noProof/>
            <w:webHidden/>
          </w:rPr>
          <w:tab/>
        </w:r>
        <w:r>
          <w:rPr>
            <w:noProof/>
            <w:webHidden/>
          </w:rPr>
          <w:fldChar w:fldCharType="begin"/>
        </w:r>
        <w:r>
          <w:rPr>
            <w:noProof/>
            <w:webHidden/>
          </w:rPr>
          <w:instrText xml:space="preserve"> PAGEREF _Toc520837854 \h </w:instrText>
        </w:r>
        <w:r>
          <w:rPr>
            <w:noProof/>
            <w:webHidden/>
          </w:rPr>
        </w:r>
        <w:r>
          <w:rPr>
            <w:noProof/>
            <w:webHidden/>
          </w:rPr>
          <w:fldChar w:fldCharType="separate"/>
        </w:r>
        <w:r>
          <w:rPr>
            <w:noProof/>
            <w:webHidden/>
          </w:rPr>
          <w:t>29</w:t>
        </w:r>
        <w:r>
          <w:rPr>
            <w:noProof/>
            <w:webHidden/>
          </w:rPr>
          <w:fldChar w:fldCharType="end"/>
        </w:r>
      </w:hyperlink>
    </w:p>
    <w:p w14:paraId="3314D69D"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55" w:history="1">
        <w:r w:rsidRPr="009363E2">
          <w:rPr>
            <w:rStyle w:val="Hyperlink"/>
            <w:noProof/>
          </w:rPr>
          <w:t>2.2.3 Determination of fungal and plant dry mass</w:t>
        </w:r>
        <w:r>
          <w:rPr>
            <w:noProof/>
            <w:webHidden/>
          </w:rPr>
          <w:tab/>
        </w:r>
        <w:r>
          <w:rPr>
            <w:noProof/>
            <w:webHidden/>
          </w:rPr>
          <w:fldChar w:fldCharType="begin"/>
        </w:r>
        <w:r>
          <w:rPr>
            <w:noProof/>
            <w:webHidden/>
          </w:rPr>
          <w:instrText xml:space="preserve"> PAGEREF _Toc520837855 \h </w:instrText>
        </w:r>
        <w:r>
          <w:rPr>
            <w:noProof/>
            <w:webHidden/>
          </w:rPr>
        </w:r>
        <w:r>
          <w:rPr>
            <w:noProof/>
            <w:webHidden/>
          </w:rPr>
          <w:fldChar w:fldCharType="separate"/>
        </w:r>
        <w:r>
          <w:rPr>
            <w:noProof/>
            <w:webHidden/>
          </w:rPr>
          <w:t>30</w:t>
        </w:r>
        <w:r>
          <w:rPr>
            <w:noProof/>
            <w:webHidden/>
          </w:rPr>
          <w:fldChar w:fldCharType="end"/>
        </w:r>
      </w:hyperlink>
    </w:p>
    <w:p w14:paraId="417A0387"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56" w:history="1">
        <w:r w:rsidRPr="009363E2">
          <w:rPr>
            <w:rStyle w:val="Hyperlink"/>
            <w:noProof/>
          </w:rPr>
          <w:t>2.2.4 Determination of fungal and plant Pi content</w:t>
        </w:r>
        <w:r>
          <w:rPr>
            <w:noProof/>
            <w:webHidden/>
          </w:rPr>
          <w:tab/>
        </w:r>
        <w:r>
          <w:rPr>
            <w:noProof/>
            <w:webHidden/>
          </w:rPr>
          <w:fldChar w:fldCharType="begin"/>
        </w:r>
        <w:r>
          <w:rPr>
            <w:noProof/>
            <w:webHidden/>
          </w:rPr>
          <w:instrText xml:space="preserve"> PAGEREF _Toc520837856 \h </w:instrText>
        </w:r>
        <w:r>
          <w:rPr>
            <w:noProof/>
            <w:webHidden/>
          </w:rPr>
        </w:r>
        <w:r>
          <w:rPr>
            <w:noProof/>
            <w:webHidden/>
          </w:rPr>
          <w:fldChar w:fldCharType="separate"/>
        </w:r>
        <w:r>
          <w:rPr>
            <w:noProof/>
            <w:webHidden/>
          </w:rPr>
          <w:t>31</w:t>
        </w:r>
        <w:r>
          <w:rPr>
            <w:noProof/>
            <w:webHidden/>
          </w:rPr>
          <w:fldChar w:fldCharType="end"/>
        </w:r>
      </w:hyperlink>
    </w:p>
    <w:p w14:paraId="00E61841"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57" w:history="1">
        <w:r w:rsidRPr="009363E2">
          <w:rPr>
            <w:rStyle w:val="Hyperlink"/>
            <w:noProof/>
          </w:rPr>
          <w:t xml:space="preserve">2.2.5 Database search and bioinformatic analysis of </w:t>
        </w:r>
        <w:r w:rsidRPr="009363E2">
          <w:rPr>
            <w:rStyle w:val="Hyperlink"/>
            <w:i/>
            <w:noProof/>
          </w:rPr>
          <w:t>PiPTs</w:t>
        </w:r>
        <w:r>
          <w:rPr>
            <w:noProof/>
            <w:webHidden/>
          </w:rPr>
          <w:tab/>
        </w:r>
        <w:r>
          <w:rPr>
            <w:noProof/>
            <w:webHidden/>
          </w:rPr>
          <w:fldChar w:fldCharType="begin"/>
        </w:r>
        <w:r>
          <w:rPr>
            <w:noProof/>
            <w:webHidden/>
          </w:rPr>
          <w:instrText xml:space="preserve"> PAGEREF _Toc520837857 \h </w:instrText>
        </w:r>
        <w:r>
          <w:rPr>
            <w:noProof/>
            <w:webHidden/>
          </w:rPr>
        </w:r>
        <w:r>
          <w:rPr>
            <w:noProof/>
            <w:webHidden/>
          </w:rPr>
          <w:fldChar w:fldCharType="separate"/>
        </w:r>
        <w:r>
          <w:rPr>
            <w:noProof/>
            <w:webHidden/>
          </w:rPr>
          <w:t>31</w:t>
        </w:r>
        <w:r>
          <w:rPr>
            <w:noProof/>
            <w:webHidden/>
          </w:rPr>
          <w:fldChar w:fldCharType="end"/>
        </w:r>
      </w:hyperlink>
    </w:p>
    <w:p w14:paraId="163D30A9"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58" w:history="1">
        <w:r w:rsidRPr="009363E2">
          <w:rPr>
            <w:rStyle w:val="Hyperlink"/>
            <w:noProof/>
          </w:rPr>
          <w:t>2.2.6 Phylogenetic analysis of PiPTs</w:t>
        </w:r>
        <w:r>
          <w:rPr>
            <w:noProof/>
            <w:webHidden/>
          </w:rPr>
          <w:tab/>
        </w:r>
        <w:r>
          <w:rPr>
            <w:noProof/>
            <w:webHidden/>
          </w:rPr>
          <w:fldChar w:fldCharType="begin"/>
        </w:r>
        <w:r>
          <w:rPr>
            <w:noProof/>
            <w:webHidden/>
          </w:rPr>
          <w:instrText xml:space="preserve"> PAGEREF _Toc520837858 \h </w:instrText>
        </w:r>
        <w:r>
          <w:rPr>
            <w:noProof/>
            <w:webHidden/>
          </w:rPr>
        </w:r>
        <w:r>
          <w:rPr>
            <w:noProof/>
            <w:webHidden/>
          </w:rPr>
          <w:fldChar w:fldCharType="separate"/>
        </w:r>
        <w:r>
          <w:rPr>
            <w:noProof/>
            <w:webHidden/>
          </w:rPr>
          <w:t>31</w:t>
        </w:r>
        <w:r>
          <w:rPr>
            <w:noProof/>
            <w:webHidden/>
          </w:rPr>
          <w:fldChar w:fldCharType="end"/>
        </w:r>
      </w:hyperlink>
    </w:p>
    <w:p w14:paraId="44807BF7"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59" w:history="1">
        <w:r w:rsidRPr="009363E2">
          <w:rPr>
            <w:rStyle w:val="Hyperlink"/>
            <w:noProof/>
          </w:rPr>
          <w:t>2.2.7 RNA extraction and qRT-PCR</w:t>
        </w:r>
        <w:r>
          <w:rPr>
            <w:noProof/>
            <w:webHidden/>
          </w:rPr>
          <w:tab/>
        </w:r>
        <w:r>
          <w:rPr>
            <w:noProof/>
            <w:webHidden/>
          </w:rPr>
          <w:fldChar w:fldCharType="begin"/>
        </w:r>
        <w:r>
          <w:rPr>
            <w:noProof/>
            <w:webHidden/>
          </w:rPr>
          <w:instrText xml:space="preserve"> PAGEREF _Toc520837859 \h </w:instrText>
        </w:r>
        <w:r>
          <w:rPr>
            <w:noProof/>
            <w:webHidden/>
          </w:rPr>
        </w:r>
        <w:r>
          <w:rPr>
            <w:noProof/>
            <w:webHidden/>
          </w:rPr>
          <w:fldChar w:fldCharType="separate"/>
        </w:r>
        <w:r>
          <w:rPr>
            <w:noProof/>
            <w:webHidden/>
          </w:rPr>
          <w:t>32</w:t>
        </w:r>
        <w:r>
          <w:rPr>
            <w:noProof/>
            <w:webHidden/>
          </w:rPr>
          <w:fldChar w:fldCharType="end"/>
        </w:r>
      </w:hyperlink>
    </w:p>
    <w:p w14:paraId="10209D65"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60" w:history="1">
        <w:r w:rsidRPr="009363E2">
          <w:rPr>
            <w:rStyle w:val="Hyperlink"/>
            <w:noProof/>
          </w:rPr>
          <w:t>2.2.8 Statistical analyses</w:t>
        </w:r>
        <w:r>
          <w:rPr>
            <w:noProof/>
            <w:webHidden/>
          </w:rPr>
          <w:tab/>
        </w:r>
        <w:r>
          <w:rPr>
            <w:noProof/>
            <w:webHidden/>
          </w:rPr>
          <w:fldChar w:fldCharType="begin"/>
        </w:r>
        <w:r>
          <w:rPr>
            <w:noProof/>
            <w:webHidden/>
          </w:rPr>
          <w:instrText xml:space="preserve"> PAGEREF _Toc520837860 \h </w:instrText>
        </w:r>
        <w:r>
          <w:rPr>
            <w:noProof/>
            <w:webHidden/>
          </w:rPr>
        </w:r>
        <w:r>
          <w:rPr>
            <w:noProof/>
            <w:webHidden/>
          </w:rPr>
          <w:fldChar w:fldCharType="separate"/>
        </w:r>
        <w:r>
          <w:rPr>
            <w:noProof/>
            <w:webHidden/>
          </w:rPr>
          <w:t>33</w:t>
        </w:r>
        <w:r>
          <w:rPr>
            <w:noProof/>
            <w:webHidden/>
          </w:rPr>
          <w:fldChar w:fldCharType="end"/>
        </w:r>
      </w:hyperlink>
    </w:p>
    <w:p w14:paraId="4E42E1A4"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61" w:history="1">
        <w:r w:rsidRPr="009363E2">
          <w:rPr>
            <w:rStyle w:val="Hyperlink"/>
            <w:noProof/>
          </w:rPr>
          <w:t>2.2.9 Microscopy and imaging</w:t>
        </w:r>
        <w:r>
          <w:rPr>
            <w:noProof/>
            <w:webHidden/>
          </w:rPr>
          <w:tab/>
        </w:r>
        <w:r>
          <w:rPr>
            <w:noProof/>
            <w:webHidden/>
          </w:rPr>
          <w:fldChar w:fldCharType="begin"/>
        </w:r>
        <w:r>
          <w:rPr>
            <w:noProof/>
            <w:webHidden/>
          </w:rPr>
          <w:instrText xml:space="preserve"> PAGEREF _Toc520837861 \h </w:instrText>
        </w:r>
        <w:r>
          <w:rPr>
            <w:noProof/>
            <w:webHidden/>
          </w:rPr>
        </w:r>
        <w:r>
          <w:rPr>
            <w:noProof/>
            <w:webHidden/>
          </w:rPr>
          <w:fldChar w:fldCharType="separate"/>
        </w:r>
        <w:r>
          <w:rPr>
            <w:noProof/>
            <w:webHidden/>
          </w:rPr>
          <w:t>33</w:t>
        </w:r>
        <w:r>
          <w:rPr>
            <w:noProof/>
            <w:webHidden/>
          </w:rPr>
          <w:fldChar w:fldCharType="end"/>
        </w:r>
      </w:hyperlink>
    </w:p>
    <w:p w14:paraId="76D72206"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62" w:history="1">
        <w:r w:rsidRPr="009363E2">
          <w:rPr>
            <w:rStyle w:val="Hyperlink"/>
            <w:noProof/>
          </w:rPr>
          <w:t>2.3 Results</w:t>
        </w:r>
        <w:r>
          <w:rPr>
            <w:noProof/>
            <w:webHidden/>
          </w:rPr>
          <w:tab/>
        </w:r>
        <w:r>
          <w:rPr>
            <w:noProof/>
            <w:webHidden/>
          </w:rPr>
          <w:fldChar w:fldCharType="begin"/>
        </w:r>
        <w:r>
          <w:rPr>
            <w:noProof/>
            <w:webHidden/>
          </w:rPr>
          <w:instrText xml:space="preserve"> PAGEREF _Toc520837862 \h </w:instrText>
        </w:r>
        <w:r>
          <w:rPr>
            <w:noProof/>
            <w:webHidden/>
          </w:rPr>
        </w:r>
        <w:r>
          <w:rPr>
            <w:noProof/>
            <w:webHidden/>
          </w:rPr>
          <w:fldChar w:fldCharType="separate"/>
        </w:r>
        <w:r>
          <w:rPr>
            <w:noProof/>
            <w:webHidden/>
          </w:rPr>
          <w:t>34</w:t>
        </w:r>
        <w:r>
          <w:rPr>
            <w:noProof/>
            <w:webHidden/>
          </w:rPr>
          <w:fldChar w:fldCharType="end"/>
        </w:r>
      </w:hyperlink>
    </w:p>
    <w:p w14:paraId="36412B07"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63" w:history="1">
        <w:r w:rsidRPr="009363E2">
          <w:rPr>
            <w:rStyle w:val="Hyperlink"/>
            <w:noProof/>
          </w:rPr>
          <w:t xml:space="preserve">2.3.1 Growth and morphology responses of </w:t>
        </w:r>
        <w:r w:rsidRPr="009363E2">
          <w:rPr>
            <w:rStyle w:val="Hyperlink"/>
            <w:i/>
            <w:noProof/>
          </w:rPr>
          <w:t>P. involutus</w:t>
        </w:r>
        <w:r w:rsidRPr="009363E2">
          <w:rPr>
            <w:rStyle w:val="Hyperlink"/>
            <w:noProof/>
          </w:rPr>
          <w:t xml:space="preserve"> to varying Pi on B-MMN media</w:t>
        </w:r>
        <w:r>
          <w:rPr>
            <w:noProof/>
            <w:webHidden/>
          </w:rPr>
          <w:tab/>
        </w:r>
        <w:r>
          <w:rPr>
            <w:noProof/>
            <w:webHidden/>
          </w:rPr>
          <w:fldChar w:fldCharType="begin"/>
        </w:r>
        <w:r>
          <w:rPr>
            <w:noProof/>
            <w:webHidden/>
          </w:rPr>
          <w:instrText xml:space="preserve"> PAGEREF _Toc520837863 \h </w:instrText>
        </w:r>
        <w:r>
          <w:rPr>
            <w:noProof/>
            <w:webHidden/>
          </w:rPr>
        </w:r>
        <w:r>
          <w:rPr>
            <w:noProof/>
            <w:webHidden/>
          </w:rPr>
          <w:fldChar w:fldCharType="separate"/>
        </w:r>
        <w:r>
          <w:rPr>
            <w:noProof/>
            <w:webHidden/>
          </w:rPr>
          <w:t>34</w:t>
        </w:r>
        <w:r>
          <w:rPr>
            <w:noProof/>
            <w:webHidden/>
          </w:rPr>
          <w:fldChar w:fldCharType="end"/>
        </w:r>
      </w:hyperlink>
    </w:p>
    <w:p w14:paraId="7D1C8647"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64" w:history="1">
        <w:r w:rsidRPr="009363E2">
          <w:rPr>
            <w:rStyle w:val="Hyperlink"/>
            <w:noProof/>
          </w:rPr>
          <w:t xml:space="preserve">2.3.2 Growth and morphology responses of </w:t>
        </w:r>
        <w:r w:rsidRPr="009363E2">
          <w:rPr>
            <w:rStyle w:val="Hyperlink"/>
            <w:i/>
            <w:noProof/>
          </w:rPr>
          <w:t xml:space="preserve">P. involutus </w:t>
        </w:r>
        <w:r w:rsidRPr="009363E2">
          <w:rPr>
            <w:rStyle w:val="Hyperlink"/>
            <w:noProof/>
          </w:rPr>
          <w:t>to varying Pi on M-MMN media</w:t>
        </w:r>
        <w:r>
          <w:rPr>
            <w:noProof/>
            <w:webHidden/>
          </w:rPr>
          <w:tab/>
        </w:r>
        <w:r>
          <w:rPr>
            <w:noProof/>
            <w:webHidden/>
          </w:rPr>
          <w:fldChar w:fldCharType="begin"/>
        </w:r>
        <w:r>
          <w:rPr>
            <w:noProof/>
            <w:webHidden/>
          </w:rPr>
          <w:instrText xml:space="preserve"> PAGEREF _Toc520837864 \h </w:instrText>
        </w:r>
        <w:r>
          <w:rPr>
            <w:noProof/>
            <w:webHidden/>
          </w:rPr>
        </w:r>
        <w:r>
          <w:rPr>
            <w:noProof/>
            <w:webHidden/>
          </w:rPr>
          <w:fldChar w:fldCharType="separate"/>
        </w:r>
        <w:r>
          <w:rPr>
            <w:noProof/>
            <w:webHidden/>
          </w:rPr>
          <w:t>37</w:t>
        </w:r>
        <w:r>
          <w:rPr>
            <w:noProof/>
            <w:webHidden/>
          </w:rPr>
          <w:fldChar w:fldCharType="end"/>
        </w:r>
      </w:hyperlink>
    </w:p>
    <w:p w14:paraId="4A5850B9"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65" w:history="1">
        <w:r w:rsidRPr="009363E2">
          <w:rPr>
            <w:rStyle w:val="Hyperlink"/>
            <w:noProof/>
          </w:rPr>
          <w:t xml:space="preserve">2.3.3 Growth and morphology responses of two additional strains of </w:t>
        </w:r>
        <w:r w:rsidRPr="009363E2">
          <w:rPr>
            <w:rStyle w:val="Hyperlink"/>
            <w:i/>
            <w:noProof/>
          </w:rPr>
          <w:t>P. involutus</w:t>
        </w:r>
        <w:r w:rsidRPr="009363E2">
          <w:rPr>
            <w:rStyle w:val="Hyperlink"/>
            <w:noProof/>
          </w:rPr>
          <w:t xml:space="preserve"> on M-MMN medium with varying Pi</w:t>
        </w:r>
        <w:r>
          <w:rPr>
            <w:noProof/>
            <w:webHidden/>
          </w:rPr>
          <w:tab/>
        </w:r>
        <w:r>
          <w:rPr>
            <w:noProof/>
            <w:webHidden/>
          </w:rPr>
          <w:fldChar w:fldCharType="begin"/>
        </w:r>
        <w:r>
          <w:rPr>
            <w:noProof/>
            <w:webHidden/>
          </w:rPr>
          <w:instrText xml:space="preserve"> PAGEREF _Toc520837865 \h </w:instrText>
        </w:r>
        <w:r>
          <w:rPr>
            <w:noProof/>
            <w:webHidden/>
          </w:rPr>
        </w:r>
        <w:r>
          <w:rPr>
            <w:noProof/>
            <w:webHidden/>
          </w:rPr>
          <w:fldChar w:fldCharType="separate"/>
        </w:r>
        <w:r>
          <w:rPr>
            <w:noProof/>
            <w:webHidden/>
          </w:rPr>
          <w:t>40</w:t>
        </w:r>
        <w:r>
          <w:rPr>
            <w:noProof/>
            <w:webHidden/>
          </w:rPr>
          <w:fldChar w:fldCharType="end"/>
        </w:r>
      </w:hyperlink>
    </w:p>
    <w:p w14:paraId="391D97A8"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66" w:history="1">
        <w:r w:rsidRPr="009363E2">
          <w:rPr>
            <w:rStyle w:val="Hyperlink"/>
            <w:noProof/>
          </w:rPr>
          <w:t xml:space="preserve">2.3.4 Pi content of </w:t>
        </w:r>
        <w:r w:rsidRPr="009363E2">
          <w:rPr>
            <w:rStyle w:val="Hyperlink"/>
            <w:i/>
            <w:noProof/>
          </w:rPr>
          <w:t>P. involutus</w:t>
        </w:r>
        <w:r w:rsidRPr="009363E2">
          <w:rPr>
            <w:rStyle w:val="Hyperlink"/>
            <w:noProof/>
          </w:rPr>
          <w:t xml:space="preserve"> fungal hyphae grown on M-MMN media with varying Pi</w:t>
        </w:r>
        <w:r>
          <w:rPr>
            <w:noProof/>
            <w:webHidden/>
          </w:rPr>
          <w:tab/>
        </w:r>
        <w:r>
          <w:rPr>
            <w:noProof/>
            <w:webHidden/>
          </w:rPr>
          <w:fldChar w:fldCharType="begin"/>
        </w:r>
        <w:r>
          <w:rPr>
            <w:noProof/>
            <w:webHidden/>
          </w:rPr>
          <w:instrText xml:space="preserve"> PAGEREF _Toc520837866 \h </w:instrText>
        </w:r>
        <w:r>
          <w:rPr>
            <w:noProof/>
            <w:webHidden/>
          </w:rPr>
        </w:r>
        <w:r>
          <w:rPr>
            <w:noProof/>
            <w:webHidden/>
          </w:rPr>
          <w:fldChar w:fldCharType="separate"/>
        </w:r>
        <w:r>
          <w:rPr>
            <w:noProof/>
            <w:webHidden/>
          </w:rPr>
          <w:t>43</w:t>
        </w:r>
        <w:r>
          <w:rPr>
            <w:noProof/>
            <w:webHidden/>
          </w:rPr>
          <w:fldChar w:fldCharType="end"/>
        </w:r>
      </w:hyperlink>
    </w:p>
    <w:p w14:paraId="3F4FE8B0"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67" w:history="1">
        <w:r w:rsidRPr="009363E2">
          <w:rPr>
            <w:rStyle w:val="Hyperlink"/>
            <w:noProof/>
          </w:rPr>
          <w:t>2.3.5 Identification of putative</w:t>
        </w:r>
        <w:r w:rsidRPr="009363E2">
          <w:rPr>
            <w:rStyle w:val="Hyperlink"/>
            <w:i/>
            <w:noProof/>
          </w:rPr>
          <w:t xml:space="preserve"> PiPTs</w:t>
        </w:r>
        <w:r>
          <w:rPr>
            <w:noProof/>
            <w:webHidden/>
          </w:rPr>
          <w:tab/>
        </w:r>
        <w:r>
          <w:rPr>
            <w:noProof/>
            <w:webHidden/>
          </w:rPr>
          <w:fldChar w:fldCharType="begin"/>
        </w:r>
        <w:r>
          <w:rPr>
            <w:noProof/>
            <w:webHidden/>
          </w:rPr>
          <w:instrText xml:space="preserve"> PAGEREF _Toc520837867 \h </w:instrText>
        </w:r>
        <w:r>
          <w:rPr>
            <w:noProof/>
            <w:webHidden/>
          </w:rPr>
        </w:r>
        <w:r>
          <w:rPr>
            <w:noProof/>
            <w:webHidden/>
          </w:rPr>
          <w:fldChar w:fldCharType="separate"/>
        </w:r>
        <w:r>
          <w:rPr>
            <w:noProof/>
            <w:webHidden/>
          </w:rPr>
          <w:t>46</w:t>
        </w:r>
        <w:r>
          <w:rPr>
            <w:noProof/>
            <w:webHidden/>
          </w:rPr>
          <w:fldChar w:fldCharType="end"/>
        </w:r>
      </w:hyperlink>
    </w:p>
    <w:p w14:paraId="779E8DE9"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68" w:history="1">
        <w:r w:rsidRPr="009363E2">
          <w:rPr>
            <w:rStyle w:val="Hyperlink"/>
            <w:noProof/>
          </w:rPr>
          <w:t>2.3.6 Phylogenetic analysis of</w:t>
        </w:r>
        <w:r w:rsidRPr="009363E2">
          <w:rPr>
            <w:rStyle w:val="Hyperlink"/>
            <w:i/>
            <w:noProof/>
          </w:rPr>
          <w:t xml:space="preserve"> </w:t>
        </w:r>
        <w:r w:rsidRPr="009363E2">
          <w:rPr>
            <w:rStyle w:val="Hyperlink"/>
            <w:noProof/>
          </w:rPr>
          <w:t>PiPTs</w:t>
        </w:r>
        <w:r>
          <w:rPr>
            <w:noProof/>
            <w:webHidden/>
          </w:rPr>
          <w:tab/>
        </w:r>
        <w:r>
          <w:rPr>
            <w:noProof/>
            <w:webHidden/>
          </w:rPr>
          <w:fldChar w:fldCharType="begin"/>
        </w:r>
        <w:r>
          <w:rPr>
            <w:noProof/>
            <w:webHidden/>
          </w:rPr>
          <w:instrText xml:space="preserve"> PAGEREF _Toc520837868 \h </w:instrText>
        </w:r>
        <w:r>
          <w:rPr>
            <w:noProof/>
            <w:webHidden/>
          </w:rPr>
        </w:r>
        <w:r>
          <w:rPr>
            <w:noProof/>
            <w:webHidden/>
          </w:rPr>
          <w:fldChar w:fldCharType="separate"/>
        </w:r>
        <w:r>
          <w:rPr>
            <w:noProof/>
            <w:webHidden/>
          </w:rPr>
          <w:t>46</w:t>
        </w:r>
        <w:r>
          <w:rPr>
            <w:noProof/>
            <w:webHidden/>
          </w:rPr>
          <w:fldChar w:fldCharType="end"/>
        </w:r>
      </w:hyperlink>
    </w:p>
    <w:p w14:paraId="18B72C04"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69" w:history="1">
        <w:r w:rsidRPr="009363E2">
          <w:rPr>
            <w:rStyle w:val="Hyperlink"/>
            <w:noProof/>
          </w:rPr>
          <w:t xml:space="preserve">2.3.7 Gene expression analysis of </w:t>
        </w:r>
        <w:r w:rsidRPr="009363E2">
          <w:rPr>
            <w:rStyle w:val="Hyperlink"/>
            <w:i/>
            <w:noProof/>
          </w:rPr>
          <w:t>PiPTs</w:t>
        </w:r>
        <w:r w:rsidRPr="009363E2">
          <w:rPr>
            <w:rStyle w:val="Hyperlink"/>
            <w:noProof/>
          </w:rPr>
          <w:t xml:space="preserve"> in response to Pi availability during </w:t>
        </w:r>
        <w:r w:rsidRPr="009363E2">
          <w:rPr>
            <w:rStyle w:val="Hyperlink"/>
            <w:i/>
            <w:noProof/>
          </w:rPr>
          <w:t>P. involutus</w:t>
        </w:r>
        <w:r w:rsidRPr="009363E2">
          <w:rPr>
            <w:rStyle w:val="Hyperlink"/>
            <w:noProof/>
          </w:rPr>
          <w:t xml:space="preserve"> growth under the NS and S conditions</w:t>
        </w:r>
        <w:r>
          <w:rPr>
            <w:noProof/>
            <w:webHidden/>
          </w:rPr>
          <w:tab/>
        </w:r>
        <w:r>
          <w:rPr>
            <w:noProof/>
            <w:webHidden/>
          </w:rPr>
          <w:fldChar w:fldCharType="begin"/>
        </w:r>
        <w:r>
          <w:rPr>
            <w:noProof/>
            <w:webHidden/>
          </w:rPr>
          <w:instrText xml:space="preserve"> PAGEREF _Toc520837869 \h </w:instrText>
        </w:r>
        <w:r>
          <w:rPr>
            <w:noProof/>
            <w:webHidden/>
          </w:rPr>
        </w:r>
        <w:r>
          <w:rPr>
            <w:noProof/>
            <w:webHidden/>
          </w:rPr>
          <w:fldChar w:fldCharType="separate"/>
        </w:r>
        <w:r>
          <w:rPr>
            <w:noProof/>
            <w:webHidden/>
          </w:rPr>
          <w:t>48</w:t>
        </w:r>
        <w:r>
          <w:rPr>
            <w:noProof/>
            <w:webHidden/>
          </w:rPr>
          <w:fldChar w:fldCharType="end"/>
        </w:r>
      </w:hyperlink>
    </w:p>
    <w:p w14:paraId="46205F68"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70" w:history="1">
        <w:r w:rsidRPr="009363E2">
          <w:rPr>
            <w:rStyle w:val="Hyperlink"/>
            <w:noProof/>
          </w:rPr>
          <w:t>2.4 Discussion</w:t>
        </w:r>
        <w:r>
          <w:rPr>
            <w:noProof/>
            <w:webHidden/>
          </w:rPr>
          <w:tab/>
        </w:r>
        <w:r>
          <w:rPr>
            <w:noProof/>
            <w:webHidden/>
          </w:rPr>
          <w:fldChar w:fldCharType="begin"/>
        </w:r>
        <w:r>
          <w:rPr>
            <w:noProof/>
            <w:webHidden/>
          </w:rPr>
          <w:instrText xml:space="preserve"> PAGEREF _Toc520837870 \h </w:instrText>
        </w:r>
        <w:r>
          <w:rPr>
            <w:noProof/>
            <w:webHidden/>
          </w:rPr>
        </w:r>
        <w:r>
          <w:rPr>
            <w:noProof/>
            <w:webHidden/>
          </w:rPr>
          <w:fldChar w:fldCharType="separate"/>
        </w:r>
        <w:r>
          <w:rPr>
            <w:noProof/>
            <w:webHidden/>
          </w:rPr>
          <w:t>53</w:t>
        </w:r>
        <w:r>
          <w:rPr>
            <w:noProof/>
            <w:webHidden/>
          </w:rPr>
          <w:fldChar w:fldCharType="end"/>
        </w:r>
      </w:hyperlink>
    </w:p>
    <w:p w14:paraId="62F8FD55"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71" w:history="1">
        <w:r w:rsidRPr="009363E2">
          <w:rPr>
            <w:rStyle w:val="Hyperlink"/>
            <w:noProof/>
          </w:rPr>
          <w:t>2.4.1 Development of the Pi-varying media</w:t>
        </w:r>
        <w:r>
          <w:rPr>
            <w:noProof/>
            <w:webHidden/>
          </w:rPr>
          <w:tab/>
        </w:r>
        <w:r>
          <w:rPr>
            <w:noProof/>
            <w:webHidden/>
          </w:rPr>
          <w:fldChar w:fldCharType="begin"/>
        </w:r>
        <w:r>
          <w:rPr>
            <w:noProof/>
            <w:webHidden/>
          </w:rPr>
          <w:instrText xml:space="preserve"> PAGEREF _Toc520837871 \h </w:instrText>
        </w:r>
        <w:r>
          <w:rPr>
            <w:noProof/>
            <w:webHidden/>
          </w:rPr>
        </w:r>
        <w:r>
          <w:rPr>
            <w:noProof/>
            <w:webHidden/>
          </w:rPr>
          <w:fldChar w:fldCharType="separate"/>
        </w:r>
        <w:r>
          <w:rPr>
            <w:noProof/>
            <w:webHidden/>
          </w:rPr>
          <w:t>53</w:t>
        </w:r>
        <w:r>
          <w:rPr>
            <w:noProof/>
            <w:webHidden/>
          </w:rPr>
          <w:fldChar w:fldCharType="end"/>
        </w:r>
      </w:hyperlink>
    </w:p>
    <w:p w14:paraId="051B9CF2"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72" w:history="1">
        <w:r w:rsidRPr="009363E2">
          <w:rPr>
            <w:rStyle w:val="Hyperlink"/>
            <w:noProof/>
          </w:rPr>
          <w:t xml:space="preserve">2.4.2 </w:t>
        </w:r>
        <w:r w:rsidRPr="009363E2">
          <w:rPr>
            <w:rStyle w:val="Hyperlink"/>
            <w:i/>
            <w:noProof/>
          </w:rPr>
          <w:t>P. involutus</w:t>
        </w:r>
        <w:r w:rsidRPr="009363E2">
          <w:rPr>
            <w:rStyle w:val="Hyperlink"/>
            <w:noProof/>
          </w:rPr>
          <w:t xml:space="preserve"> growth response on the Pi-varying media</w:t>
        </w:r>
        <w:r>
          <w:rPr>
            <w:noProof/>
            <w:webHidden/>
          </w:rPr>
          <w:tab/>
        </w:r>
        <w:r>
          <w:rPr>
            <w:noProof/>
            <w:webHidden/>
          </w:rPr>
          <w:fldChar w:fldCharType="begin"/>
        </w:r>
        <w:r>
          <w:rPr>
            <w:noProof/>
            <w:webHidden/>
          </w:rPr>
          <w:instrText xml:space="preserve"> PAGEREF _Toc520837872 \h </w:instrText>
        </w:r>
        <w:r>
          <w:rPr>
            <w:noProof/>
            <w:webHidden/>
          </w:rPr>
        </w:r>
        <w:r>
          <w:rPr>
            <w:noProof/>
            <w:webHidden/>
          </w:rPr>
          <w:fldChar w:fldCharType="separate"/>
        </w:r>
        <w:r>
          <w:rPr>
            <w:noProof/>
            <w:webHidden/>
          </w:rPr>
          <w:t>54</w:t>
        </w:r>
        <w:r>
          <w:rPr>
            <w:noProof/>
            <w:webHidden/>
          </w:rPr>
          <w:fldChar w:fldCharType="end"/>
        </w:r>
      </w:hyperlink>
    </w:p>
    <w:p w14:paraId="0F609515"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73" w:history="1">
        <w:r w:rsidRPr="009363E2">
          <w:rPr>
            <w:rStyle w:val="Hyperlink"/>
            <w:noProof/>
          </w:rPr>
          <w:t xml:space="preserve">2.4.3 Effect of Pi-varying media on the </w:t>
        </w:r>
        <w:r w:rsidRPr="009363E2">
          <w:rPr>
            <w:rStyle w:val="Hyperlink"/>
            <w:i/>
            <w:noProof/>
          </w:rPr>
          <w:t>P. involutus</w:t>
        </w:r>
        <w:r w:rsidRPr="009363E2">
          <w:rPr>
            <w:rStyle w:val="Hyperlink"/>
            <w:noProof/>
          </w:rPr>
          <w:t xml:space="preserve"> hyphal and </w:t>
        </w:r>
        <w:r w:rsidRPr="009363E2">
          <w:rPr>
            <w:rStyle w:val="Hyperlink"/>
            <w:i/>
            <w:noProof/>
          </w:rPr>
          <w:t>P. sylvestris</w:t>
        </w:r>
        <w:r w:rsidRPr="009363E2">
          <w:rPr>
            <w:rStyle w:val="Hyperlink"/>
            <w:noProof/>
          </w:rPr>
          <w:t xml:space="preserve"> seedling Pi content</w:t>
        </w:r>
        <w:r>
          <w:rPr>
            <w:noProof/>
            <w:webHidden/>
          </w:rPr>
          <w:tab/>
        </w:r>
        <w:r>
          <w:rPr>
            <w:noProof/>
            <w:webHidden/>
          </w:rPr>
          <w:fldChar w:fldCharType="begin"/>
        </w:r>
        <w:r>
          <w:rPr>
            <w:noProof/>
            <w:webHidden/>
          </w:rPr>
          <w:instrText xml:space="preserve"> PAGEREF _Toc520837873 \h </w:instrText>
        </w:r>
        <w:r>
          <w:rPr>
            <w:noProof/>
            <w:webHidden/>
          </w:rPr>
        </w:r>
        <w:r>
          <w:rPr>
            <w:noProof/>
            <w:webHidden/>
          </w:rPr>
          <w:fldChar w:fldCharType="separate"/>
        </w:r>
        <w:r>
          <w:rPr>
            <w:noProof/>
            <w:webHidden/>
          </w:rPr>
          <w:t>54</w:t>
        </w:r>
        <w:r>
          <w:rPr>
            <w:noProof/>
            <w:webHidden/>
          </w:rPr>
          <w:fldChar w:fldCharType="end"/>
        </w:r>
      </w:hyperlink>
    </w:p>
    <w:p w14:paraId="0743FDB4"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74" w:history="1">
        <w:r w:rsidRPr="009363E2">
          <w:rPr>
            <w:rStyle w:val="Hyperlink"/>
            <w:noProof/>
          </w:rPr>
          <w:t xml:space="preserve">2.4.4 Effect of Pi-varying media on </w:t>
        </w:r>
        <w:r w:rsidRPr="009363E2">
          <w:rPr>
            <w:rStyle w:val="Hyperlink"/>
            <w:i/>
            <w:noProof/>
          </w:rPr>
          <w:t>P. involutus</w:t>
        </w:r>
        <w:r w:rsidRPr="009363E2">
          <w:rPr>
            <w:rStyle w:val="Hyperlink"/>
            <w:noProof/>
          </w:rPr>
          <w:t xml:space="preserve"> hyphal and </w:t>
        </w:r>
        <w:r w:rsidRPr="009363E2">
          <w:rPr>
            <w:rStyle w:val="Hyperlink"/>
            <w:i/>
            <w:noProof/>
          </w:rPr>
          <w:t>P. sylvestris</w:t>
        </w:r>
        <w:r w:rsidRPr="009363E2">
          <w:rPr>
            <w:rStyle w:val="Hyperlink"/>
            <w:noProof/>
          </w:rPr>
          <w:t xml:space="preserve"> seedling dry mass</w:t>
        </w:r>
        <w:r>
          <w:rPr>
            <w:noProof/>
            <w:webHidden/>
          </w:rPr>
          <w:tab/>
        </w:r>
        <w:r>
          <w:rPr>
            <w:noProof/>
            <w:webHidden/>
          </w:rPr>
          <w:fldChar w:fldCharType="begin"/>
        </w:r>
        <w:r>
          <w:rPr>
            <w:noProof/>
            <w:webHidden/>
          </w:rPr>
          <w:instrText xml:space="preserve"> PAGEREF _Toc520837874 \h </w:instrText>
        </w:r>
        <w:r>
          <w:rPr>
            <w:noProof/>
            <w:webHidden/>
          </w:rPr>
        </w:r>
        <w:r>
          <w:rPr>
            <w:noProof/>
            <w:webHidden/>
          </w:rPr>
          <w:fldChar w:fldCharType="separate"/>
        </w:r>
        <w:r>
          <w:rPr>
            <w:noProof/>
            <w:webHidden/>
          </w:rPr>
          <w:t>55</w:t>
        </w:r>
        <w:r>
          <w:rPr>
            <w:noProof/>
            <w:webHidden/>
          </w:rPr>
          <w:fldChar w:fldCharType="end"/>
        </w:r>
      </w:hyperlink>
    </w:p>
    <w:p w14:paraId="5668A946"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75" w:history="1">
        <w:r w:rsidRPr="009363E2">
          <w:rPr>
            <w:rStyle w:val="Hyperlink"/>
            <w:noProof/>
          </w:rPr>
          <w:t xml:space="preserve">2.4.5 Phylogenetic analysis of putative </w:t>
        </w:r>
        <w:r w:rsidRPr="009363E2">
          <w:rPr>
            <w:rStyle w:val="Hyperlink"/>
            <w:i/>
            <w:noProof/>
          </w:rPr>
          <w:t>P. involutus</w:t>
        </w:r>
        <w:r w:rsidRPr="009363E2">
          <w:rPr>
            <w:rStyle w:val="Hyperlink"/>
            <w:noProof/>
          </w:rPr>
          <w:t xml:space="preserve"> PTs</w:t>
        </w:r>
        <w:r>
          <w:rPr>
            <w:noProof/>
            <w:webHidden/>
          </w:rPr>
          <w:tab/>
        </w:r>
        <w:r>
          <w:rPr>
            <w:noProof/>
            <w:webHidden/>
          </w:rPr>
          <w:fldChar w:fldCharType="begin"/>
        </w:r>
        <w:r>
          <w:rPr>
            <w:noProof/>
            <w:webHidden/>
          </w:rPr>
          <w:instrText xml:space="preserve"> PAGEREF _Toc520837875 \h </w:instrText>
        </w:r>
        <w:r>
          <w:rPr>
            <w:noProof/>
            <w:webHidden/>
          </w:rPr>
        </w:r>
        <w:r>
          <w:rPr>
            <w:noProof/>
            <w:webHidden/>
          </w:rPr>
          <w:fldChar w:fldCharType="separate"/>
        </w:r>
        <w:r>
          <w:rPr>
            <w:noProof/>
            <w:webHidden/>
          </w:rPr>
          <w:t>56</w:t>
        </w:r>
        <w:r>
          <w:rPr>
            <w:noProof/>
            <w:webHidden/>
          </w:rPr>
          <w:fldChar w:fldCharType="end"/>
        </w:r>
      </w:hyperlink>
    </w:p>
    <w:p w14:paraId="0832B5D4"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76" w:history="1">
        <w:r w:rsidRPr="009363E2">
          <w:rPr>
            <w:rStyle w:val="Hyperlink"/>
            <w:noProof/>
          </w:rPr>
          <w:t xml:space="preserve">2.4.6 Gene transcriptional responses of </w:t>
        </w:r>
        <w:r w:rsidRPr="009363E2">
          <w:rPr>
            <w:rStyle w:val="Hyperlink"/>
            <w:i/>
            <w:noProof/>
          </w:rPr>
          <w:t xml:space="preserve">PiPTs </w:t>
        </w:r>
        <w:r w:rsidRPr="009363E2">
          <w:rPr>
            <w:rStyle w:val="Hyperlink"/>
            <w:noProof/>
          </w:rPr>
          <w:t>to Pi availability</w:t>
        </w:r>
        <w:r>
          <w:rPr>
            <w:noProof/>
            <w:webHidden/>
          </w:rPr>
          <w:tab/>
        </w:r>
        <w:r>
          <w:rPr>
            <w:noProof/>
            <w:webHidden/>
          </w:rPr>
          <w:fldChar w:fldCharType="begin"/>
        </w:r>
        <w:r>
          <w:rPr>
            <w:noProof/>
            <w:webHidden/>
          </w:rPr>
          <w:instrText xml:space="preserve"> PAGEREF _Toc520837876 \h </w:instrText>
        </w:r>
        <w:r>
          <w:rPr>
            <w:noProof/>
            <w:webHidden/>
          </w:rPr>
        </w:r>
        <w:r>
          <w:rPr>
            <w:noProof/>
            <w:webHidden/>
          </w:rPr>
          <w:fldChar w:fldCharType="separate"/>
        </w:r>
        <w:r>
          <w:rPr>
            <w:noProof/>
            <w:webHidden/>
          </w:rPr>
          <w:t>57</w:t>
        </w:r>
        <w:r>
          <w:rPr>
            <w:noProof/>
            <w:webHidden/>
          </w:rPr>
          <w:fldChar w:fldCharType="end"/>
        </w:r>
      </w:hyperlink>
    </w:p>
    <w:p w14:paraId="1C763FDD"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77" w:history="1">
        <w:r w:rsidRPr="009363E2">
          <w:rPr>
            <w:rStyle w:val="Hyperlink"/>
            <w:noProof/>
          </w:rPr>
          <w:t>2.5 Conclusions</w:t>
        </w:r>
        <w:r>
          <w:rPr>
            <w:noProof/>
            <w:webHidden/>
          </w:rPr>
          <w:tab/>
        </w:r>
        <w:r>
          <w:rPr>
            <w:noProof/>
            <w:webHidden/>
          </w:rPr>
          <w:fldChar w:fldCharType="begin"/>
        </w:r>
        <w:r>
          <w:rPr>
            <w:noProof/>
            <w:webHidden/>
          </w:rPr>
          <w:instrText xml:space="preserve"> PAGEREF _Toc520837877 \h </w:instrText>
        </w:r>
        <w:r>
          <w:rPr>
            <w:noProof/>
            <w:webHidden/>
          </w:rPr>
        </w:r>
        <w:r>
          <w:rPr>
            <w:noProof/>
            <w:webHidden/>
          </w:rPr>
          <w:fldChar w:fldCharType="separate"/>
        </w:r>
        <w:r>
          <w:rPr>
            <w:noProof/>
            <w:webHidden/>
          </w:rPr>
          <w:t>59</w:t>
        </w:r>
        <w:r>
          <w:rPr>
            <w:noProof/>
            <w:webHidden/>
          </w:rPr>
          <w:fldChar w:fldCharType="end"/>
        </w:r>
      </w:hyperlink>
    </w:p>
    <w:p w14:paraId="7F7CBD73" w14:textId="77777777" w:rsidR="003B197E" w:rsidRDefault="003B197E" w:rsidP="003B197E">
      <w:pPr>
        <w:pStyle w:val="TOC1"/>
        <w:tabs>
          <w:tab w:val="right" w:leader="dot" w:pos="9350"/>
        </w:tabs>
        <w:rPr>
          <w:rFonts w:asciiTheme="minorHAnsi" w:eastAsiaTheme="minorEastAsia" w:hAnsiTheme="minorHAnsi"/>
          <w:b w:val="0"/>
          <w:iCs w:val="0"/>
          <w:noProof/>
          <w:color w:val="auto"/>
          <w:sz w:val="22"/>
          <w:szCs w:val="22"/>
          <w:lang w:eastAsia="en-GB"/>
        </w:rPr>
      </w:pPr>
      <w:hyperlink w:anchor="_Toc520837878" w:history="1">
        <w:r w:rsidRPr="009363E2">
          <w:rPr>
            <w:rStyle w:val="Hyperlink"/>
            <w:noProof/>
          </w:rPr>
          <w:t xml:space="preserve">Chapter 3. </w:t>
        </w:r>
        <w:r w:rsidRPr="009363E2">
          <w:rPr>
            <w:rStyle w:val="Hyperlink"/>
            <w:i/>
            <w:noProof/>
          </w:rPr>
          <w:t>Paxillus involutus</w:t>
        </w:r>
        <w:r w:rsidRPr="009363E2">
          <w:rPr>
            <w:rStyle w:val="Hyperlink"/>
            <w:noProof/>
          </w:rPr>
          <w:t xml:space="preserve"> gene transcriptional responses driven by phosphate availability and ectomycorrhizal symbiosis</w:t>
        </w:r>
        <w:r>
          <w:rPr>
            <w:noProof/>
            <w:webHidden/>
          </w:rPr>
          <w:tab/>
        </w:r>
        <w:r>
          <w:rPr>
            <w:noProof/>
            <w:webHidden/>
          </w:rPr>
          <w:fldChar w:fldCharType="begin"/>
        </w:r>
        <w:r>
          <w:rPr>
            <w:noProof/>
            <w:webHidden/>
          </w:rPr>
          <w:instrText xml:space="preserve"> PAGEREF _Toc520837878 \h </w:instrText>
        </w:r>
        <w:r>
          <w:rPr>
            <w:noProof/>
            <w:webHidden/>
          </w:rPr>
        </w:r>
        <w:r>
          <w:rPr>
            <w:noProof/>
            <w:webHidden/>
          </w:rPr>
          <w:fldChar w:fldCharType="separate"/>
        </w:r>
        <w:r>
          <w:rPr>
            <w:noProof/>
            <w:webHidden/>
          </w:rPr>
          <w:t>61</w:t>
        </w:r>
        <w:r>
          <w:rPr>
            <w:noProof/>
            <w:webHidden/>
          </w:rPr>
          <w:fldChar w:fldCharType="end"/>
        </w:r>
      </w:hyperlink>
    </w:p>
    <w:p w14:paraId="6F7CDF82"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79" w:history="1">
        <w:r w:rsidRPr="009363E2">
          <w:rPr>
            <w:rStyle w:val="Hyperlink"/>
            <w:noProof/>
          </w:rPr>
          <w:t>3.1 Introduction</w:t>
        </w:r>
        <w:r>
          <w:rPr>
            <w:noProof/>
            <w:webHidden/>
          </w:rPr>
          <w:tab/>
        </w:r>
        <w:r>
          <w:rPr>
            <w:noProof/>
            <w:webHidden/>
          </w:rPr>
          <w:fldChar w:fldCharType="begin"/>
        </w:r>
        <w:r>
          <w:rPr>
            <w:noProof/>
            <w:webHidden/>
          </w:rPr>
          <w:instrText xml:space="preserve"> PAGEREF _Toc520837879 \h </w:instrText>
        </w:r>
        <w:r>
          <w:rPr>
            <w:noProof/>
            <w:webHidden/>
          </w:rPr>
        </w:r>
        <w:r>
          <w:rPr>
            <w:noProof/>
            <w:webHidden/>
          </w:rPr>
          <w:fldChar w:fldCharType="separate"/>
        </w:r>
        <w:r>
          <w:rPr>
            <w:noProof/>
            <w:webHidden/>
          </w:rPr>
          <w:t>61</w:t>
        </w:r>
        <w:r>
          <w:rPr>
            <w:noProof/>
            <w:webHidden/>
          </w:rPr>
          <w:fldChar w:fldCharType="end"/>
        </w:r>
      </w:hyperlink>
    </w:p>
    <w:p w14:paraId="24976C73"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80" w:history="1">
        <w:r w:rsidRPr="009363E2">
          <w:rPr>
            <w:rStyle w:val="Hyperlink"/>
            <w:noProof/>
          </w:rPr>
          <w:t>3.2 Materials and Methods</w:t>
        </w:r>
        <w:r>
          <w:rPr>
            <w:noProof/>
            <w:webHidden/>
          </w:rPr>
          <w:tab/>
        </w:r>
        <w:r>
          <w:rPr>
            <w:noProof/>
            <w:webHidden/>
          </w:rPr>
          <w:fldChar w:fldCharType="begin"/>
        </w:r>
        <w:r>
          <w:rPr>
            <w:noProof/>
            <w:webHidden/>
          </w:rPr>
          <w:instrText xml:space="preserve"> PAGEREF _Toc520837880 \h </w:instrText>
        </w:r>
        <w:r>
          <w:rPr>
            <w:noProof/>
            <w:webHidden/>
          </w:rPr>
        </w:r>
        <w:r>
          <w:rPr>
            <w:noProof/>
            <w:webHidden/>
          </w:rPr>
          <w:fldChar w:fldCharType="separate"/>
        </w:r>
        <w:r>
          <w:rPr>
            <w:noProof/>
            <w:webHidden/>
          </w:rPr>
          <w:t>64</w:t>
        </w:r>
        <w:r>
          <w:rPr>
            <w:noProof/>
            <w:webHidden/>
          </w:rPr>
          <w:fldChar w:fldCharType="end"/>
        </w:r>
      </w:hyperlink>
    </w:p>
    <w:p w14:paraId="602832BF"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81" w:history="1">
        <w:r w:rsidRPr="009363E2">
          <w:rPr>
            <w:rStyle w:val="Hyperlink"/>
            <w:noProof/>
          </w:rPr>
          <w:t>3.2.1 Pi-varying M-MMN media</w:t>
        </w:r>
        <w:r>
          <w:rPr>
            <w:noProof/>
            <w:webHidden/>
          </w:rPr>
          <w:tab/>
        </w:r>
        <w:r>
          <w:rPr>
            <w:noProof/>
            <w:webHidden/>
          </w:rPr>
          <w:fldChar w:fldCharType="begin"/>
        </w:r>
        <w:r>
          <w:rPr>
            <w:noProof/>
            <w:webHidden/>
          </w:rPr>
          <w:instrText xml:space="preserve"> PAGEREF _Toc520837881 \h </w:instrText>
        </w:r>
        <w:r>
          <w:rPr>
            <w:noProof/>
            <w:webHidden/>
          </w:rPr>
        </w:r>
        <w:r>
          <w:rPr>
            <w:noProof/>
            <w:webHidden/>
          </w:rPr>
          <w:fldChar w:fldCharType="separate"/>
        </w:r>
        <w:r>
          <w:rPr>
            <w:noProof/>
            <w:webHidden/>
          </w:rPr>
          <w:t>64</w:t>
        </w:r>
        <w:r>
          <w:rPr>
            <w:noProof/>
            <w:webHidden/>
          </w:rPr>
          <w:fldChar w:fldCharType="end"/>
        </w:r>
      </w:hyperlink>
    </w:p>
    <w:p w14:paraId="012FA15B"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82" w:history="1">
        <w:r w:rsidRPr="009363E2">
          <w:rPr>
            <w:rStyle w:val="Hyperlink"/>
            <w:noProof/>
          </w:rPr>
          <w:t>3.2.2 Fungal/plant experimental design</w:t>
        </w:r>
        <w:r>
          <w:rPr>
            <w:noProof/>
            <w:webHidden/>
          </w:rPr>
          <w:tab/>
        </w:r>
        <w:r>
          <w:rPr>
            <w:noProof/>
            <w:webHidden/>
          </w:rPr>
          <w:fldChar w:fldCharType="begin"/>
        </w:r>
        <w:r>
          <w:rPr>
            <w:noProof/>
            <w:webHidden/>
          </w:rPr>
          <w:instrText xml:space="preserve"> PAGEREF _Toc520837882 \h </w:instrText>
        </w:r>
        <w:r>
          <w:rPr>
            <w:noProof/>
            <w:webHidden/>
          </w:rPr>
        </w:r>
        <w:r>
          <w:rPr>
            <w:noProof/>
            <w:webHidden/>
          </w:rPr>
          <w:fldChar w:fldCharType="separate"/>
        </w:r>
        <w:r>
          <w:rPr>
            <w:noProof/>
            <w:webHidden/>
          </w:rPr>
          <w:t>64</w:t>
        </w:r>
        <w:r>
          <w:rPr>
            <w:noProof/>
            <w:webHidden/>
          </w:rPr>
          <w:fldChar w:fldCharType="end"/>
        </w:r>
      </w:hyperlink>
    </w:p>
    <w:p w14:paraId="1B4DDCFA"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83" w:history="1">
        <w:r w:rsidRPr="009363E2">
          <w:rPr>
            <w:rStyle w:val="Hyperlink"/>
            <w:noProof/>
          </w:rPr>
          <w:t>3.2.3 Determination of fungal and plant dry mass</w:t>
        </w:r>
        <w:r>
          <w:rPr>
            <w:noProof/>
            <w:webHidden/>
          </w:rPr>
          <w:tab/>
        </w:r>
        <w:r>
          <w:rPr>
            <w:noProof/>
            <w:webHidden/>
          </w:rPr>
          <w:fldChar w:fldCharType="begin"/>
        </w:r>
        <w:r>
          <w:rPr>
            <w:noProof/>
            <w:webHidden/>
          </w:rPr>
          <w:instrText xml:space="preserve"> PAGEREF _Toc520837883 \h </w:instrText>
        </w:r>
        <w:r>
          <w:rPr>
            <w:noProof/>
            <w:webHidden/>
          </w:rPr>
        </w:r>
        <w:r>
          <w:rPr>
            <w:noProof/>
            <w:webHidden/>
          </w:rPr>
          <w:fldChar w:fldCharType="separate"/>
        </w:r>
        <w:r>
          <w:rPr>
            <w:noProof/>
            <w:webHidden/>
          </w:rPr>
          <w:t>65</w:t>
        </w:r>
        <w:r>
          <w:rPr>
            <w:noProof/>
            <w:webHidden/>
          </w:rPr>
          <w:fldChar w:fldCharType="end"/>
        </w:r>
      </w:hyperlink>
    </w:p>
    <w:p w14:paraId="15233027"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84" w:history="1">
        <w:r w:rsidRPr="009363E2">
          <w:rPr>
            <w:rStyle w:val="Hyperlink"/>
            <w:noProof/>
          </w:rPr>
          <w:t>3.2.4 Determination of fungal and plant Pi content</w:t>
        </w:r>
        <w:r>
          <w:rPr>
            <w:noProof/>
            <w:webHidden/>
          </w:rPr>
          <w:tab/>
        </w:r>
        <w:r>
          <w:rPr>
            <w:noProof/>
            <w:webHidden/>
          </w:rPr>
          <w:fldChar w:fldCharType="begin"/>
        </w:r>
        <w:r>
          <w:rPr>
            <w:noProof/>
            <w:webHidden/>
          </w:rPr>
          <w:instrText xml:space="preserve"> PAGEREF _Toc520837884 \h </w:instrText>
        </w:r>
        <w:r>
          <w:rPr>
            <w:noProof/>
            <w:webHidden/>
          </w:rPr>
        </w:r>
        <w:r>
          <w:rPr>
            <w:noProof/>
            <w:webHidden/>
          </w:rPr>
          <w:fldChar w:fldCharType="separate"/>
        </w:r>
        <w:r>
          <w:rPr>
            <w:noProof/>
            <w:webHidden/>
          </w:rPr>
          <w:t>65</w:t>
        </w:r>
        <w:r>
          <w:rPr>
            <w:noProof/>
            <w:webHidden/>
          </w:rPr>
          <w:fldChar w:fldCharType="end"/>
        </w:r>
      </w:hyperlink>
    </w:p>
    <w:p w14:paraId="01FAF22B"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85" w:history="1">
        <w:r w:rsidRPr="009363E2">
          <w:rPr>
            <w:rStyle w:val="Hyperlink"/>
            <w:noProof/>
          </w:rPr>
          <w:t>3.2.5 RNA extraction and semi-quantitative reverse transcription PCR (qRT-PCR)</w:t>
        </w:r>
        <w:r>
          <w:rPr>
            <w:noProof/>
            <w:webHidden/>
          </w:rPr>
          <w:tab/>
        </w:r>
        <w:r>
          <w:rPr>
            <w:noProof/>
            <w:webHidden/>
          </w:rPr>
          <w:fldChar w:fldCharType="begin"/>
        </w:r>
        <w:r>
          <w:rPr>
            <w:noProof/>
            <w:webHidden/>
          </w:rPr>
          <w:instrText xml:space="preserve"> PAGEREF _Toc520837885 \h </w:instrText>
        </w:r>
        <w:r>
          <w:rPr>
            <w:noProof/>
            <w:webHidden/>
          </w:rPr>
        </w:r>
        <w:r>
          <w:rPr>
            <w:noProof/>
            <w:webHidden/>
          </w:rPr>
          <w:fldChar w:fldCharType="separate"/>
        </w:r>
        <w:r>
          <w:rPr>
            <w:noProof/>
            <w:webHidden/>
          </w:rPr>
          <w:t>65</w:t>
        </w:r>
        <w:r>
          <w:rPr>
            <w:noProof/>
            <w:webHidden/>
          </w:rPr>
          <w:fldChar w:fldCharType="end"/>
        </w:r>
      </w:hyperlink>
    </w:p>
    <w:p w14:paraId="13291AFA"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86" w:history="1">
        <w:r w:rsidRPr="009363E2">
          <w:rPr>
            <w:rStyle w:val="Hyperlink"/>
            <w:noProof/>
          </w:rPr>
          <w:t>3.2.6 Statistical analyses carried out in Section 3.3.1</w:t>
        </w:r>
        <w:r>
          <w:rPr>
            <w:noProof/>
            <w:webHidden/>
          </w:rPr>
          <w:tab/>
        </w:r>
        <w:r>
          <w:rPr>
            <w:noProof/>
            <w:webHidden/>
          </w:rPr>
          <w:fldChar w:fldCharType="begin"/>
        </w:r>
        <w:r>
          <w:rPr>
            <w:noProof/>
            <w:webHidden/>
          </w:rPr>
          <w:instrText xml:space="preserve"> PAGEREF _Toc520837886 \h </w:instrText>
        </w:r>
        <w:r>
          <w:rPr>
            <w:noProof/>
            <w:webHidden/>
          </w:rPr>
        </w:r>
        <w:r>
          <w:rPr>
            <w:noProof/>
            <w:webHidden/>
          </w:rPr>
          <w:fldChar w:fldCharType="separate"/>
        </w:r>
        <w:r>
          <w:rPr>
            <w:noProof/>
            <w:webHidden/>
          </w:rPr>
          <w:t>66</w:t>
        </w:r>
        <w:r>
          <w:rPr>
            <w:noProof/>
            <w:webHidden/>
          </w:rPr>
          <w:fldChar w:fldCharType="end"/>
        </w:r>
      </w:hyperlink>
    </w:p>
    <w:p w14:paraId="2AFC9F42"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87" w:history="1">
        <w:r w:rsidRPr="009363E2">
          <w:rPr>
            <w:rStyle w:val="Hyperlink"/>
            <w:noProof/>
          </w:rPr>
          <w:t>3.2.7 RNA-seq library preparation and sequencing</w:t>
        </w:r>
        <w:r>
          <w:rPr>
            <w:noProof/>
            <w:webHidden/>
          </w:rPr>
          <w:tab/>
        </w:r>
        <w:r>
          <w:rPr>
            <w:noProof/>
            <w:webHidden/>
          </w:rPr>
          <w:fldChar w:fldCharType="begin"/>
        </w:r>
        <w:r>
          <w:rPr>
            <w:noProof/>
            <w:webHidden/>
          </w:rPr>
          <w:instrText xml:space="preserve"> PAGEREF _Toc520837887 \h </w:instrText>
        </w:r>
        <w:r>
          <w:rPr>
            <w:noProof/>
            <w:webHidden/>
          </w:rPr>
        </w:r>
        <w:r>
          <w:rPr>
            <w:noProof/>
            <w:webHidden/>
          </w:rPr>
          <w:fldChar w:fldCharType="separate"/>
        </w:r>
        <w:r>
          <w:rPr>
            <w:noProof/>
            <w:webHidden/>
          </w:rPr>
          <w:t>66</w:t>
        </w:r>
        <w:r>
          <w:rPr>
            <w:noProof/>
            <w:webHidden/>
          </w:rPr>
          <w:fldChar w:fldCharType="end"/>
        </w:r>
      </w:hyperlink>
    </w:p>
    <w:p w14:paraId="3876832D"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88" w:history="1">
        <w:r w:rsidRPr="009363E2">
          <w:rPr>
            <w:rStyle w:val="Hyperlink"/>
            <w:noProof/>
          </w:rPr>
          <w:t>3.2.8 RNA-seq data analysis</w:t>
        </w:r>
        <w:r>
          <w:rPr>
            <w:noProof/>
            <w:webHidden/>
          </w:rPr>
          <w:tab/>
        </w:r>
        <w:r>
          <w:rPr>
            <w:noProof/>
            <w:webHidden/>
          </w:rPr>
          <w:fldChar w:fldCharType="begin"/>
        </w:r>
        <w:r>
          <w:rPr>
            <w:noProof/>
            <w:webHidden/>
          </w:rPr>
          <w:instrText xml:space="preserve"> PAGEREF _Toc520837888 \h </w:instrText>
        </w:r>
        <w:r>
          <w:rPr>
            <w:noProof/>
            <w:webHidden/>
          </w:rPr>
        </w:r>
        <w:r>
          <w:rPr>
            <w:noProof/>
            <w:webHidden/>
          </w:rPr>
          <w:fldChar w:fldCharType="separate"/>
        </w:r>
        <w:r>
          <w:rPr>
            <w:noProof/>
            <w:webHidden/>
          </w:rPr>
          <w:t>67</w:t>
        </w:r>
        <w:r>
          <w:rPr>
            <w:noProof/>
            <w:webHidden/>
          </w:rPr>
          <w:fldChar w:fldCharType="end"/>
        </w:r>
      </w:hyperlink>
    </w:p>
    <w:p w14:paraId="35932F86"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889" w:history="1">
        <w:r w:rsidRPr="009363E2">
          <w:rPr>
            <w:rStyle w:val="Hyperlink"/>
            <w:noProof/>
          </w:rPr>
          <w:t>3.2.8.1 Reads trimming</w:t>
        </w:r>
        <w:r>
          <w:rPr>
            <w:noProof/>
            <w:webHidden/>
          </w:rPr>
          <w:tab/>
        </w:r>
        <w:r>
          <w:rPr>
            <w:noProof/>
            <w:webHidden/>
          </w:rPr>
          <w:fldChar w:fldCharType="begin"/>
        </w:r>
        <w:r>
          <w:rPr>
            <w:noProof/>
            <w:webHidden/>
          </w:rPr>
          <w:instrText xml:space="preserve"> PAGEREF _Toc520837889 \h </w:instrText>
        </w:r>
        <w:r>
          <w:rPr>
            <w:noProof/>
            <w:webHidden/>
          </w:rPr>
        </w:r>
        <w:r>
          <w:rPr>
            <w:noProof/>
            <w:webHidden/>
          </w:rPr>
          <w:fldChar w:fldCharType="separate"/>
        </w:r>
        <w:r>
          <w:rPr>
            <w:noProof/>
            <w:webHidden/>
          </w:rPr>
          <w:t>67</w:t>
        </w:r>
        <w:r>
          <w:rPr>
            <w:noProof/>
            <w:webHidden/>
          </w:rPr>
          <w:fldChar w:fldCharType="end"/>
        </w:r>
      </w:hyperlink>
    </w:p>
    <w:p w14:paraId="6A93057D"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890" w:history="1">
        <w:r w:rsidRPr="009363E2">
          <w:rPr>
            <w:rStyle w:val="Hyperlink"/>
            <w:noProof/>
          </w:rPr>
          <w:t>3.2.8.2 Reference genome</w:t>
        </w:r>
        <w:r>
          <w:rPr>
            <w:noProof/>
            <w:webHidden/>
          </w:rPr>
          <w:tab/>
        </w:r>
        <w:r>
          <w:rPr>
            <w:noProof/>
            <w:webHidden/>
          </w:rPr>
          <w:fldChar w:fldCharType="begin"/>
        </w:r>
        <w:r>
          <w:rPr>
            <w:noProof/>
            <w:webHidden/>
          </w:rPr>
          <w:instrText xml:space="preserve"> PAGEREF _Toc520837890 \h </w:instrText>
        </w:r>
        <w:r>
          <w:rPr>
            <w:noProof/>
            <w:webHidden/>
          </w:rPr>
        </w:r>
        <w:r>
          <w:rPr>
            <w:noProof/>
            <w:webHidden/>
          </w:rPr>
          <w:fldChar w:fldCharType="separate"/>
        </w:r>
        <w:r>
          <w:rPr>
            <w:noProof/>
            <w:webHidden/>
          </w:rPr>
          <w:t>67</w:t>
        </w:r>
        <w:r>
          <w:rPr>
            <w:noProof/>
            <w:webHidden/>
          </w:rPr>
          <w:fldChar w:fldCharType="end"/>
        </w:r>
      </w:hyperlink>
    </w:p>
    <w:p w14:paraId="25467623"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891" w:history="1">
        <w:r w:rsidRPr="009363E2">
          <w:rPr>
            <w:rStyle w:val="Hyperlink"/>
            <w:noProof/>
          </w:rPr>
          <w:t>3.2.8.3 Reads alignment</w:t>
        </w:r>
        <w:r>
          <w:rPr>
            <w:noProof/>
            <w:webHidden/>
          </w:rPr>
          <w:tab/>
        </w:r>
        <w:r>
          <w:rPr>
            <w:noProof/>
            <w:webHidden/>
          </w:rPr>
          <w:fldChar w:fldCharType="begin"/>
        </w:r>
        <w:r>
          <w:rPr>
            <w:noProof/>
            <w:webHidden/>
          </w:rPr>
          <w:instrText xml:space="preserve"> PAGEREF _Toc520837891 \h </w:instrText>
        </w:r>
        <w:r>
          <w:rPr>
            <w:noProof/>
            <w:webHidden/>
          </w:rPr>
        </w:r>
        <w:r>
          <w:rPr>
            <w:noProof/>
            <w:webHidden/>
          </w:rPr>
          <w:fldChar w:fldCharType="separate"/>
        </w:r>
        <w:r>
          <w:rPr>
            <w:noProof/>
            <w:webHidden/>
          </w:rPr>
          <w:t>67</w:t>
        </w:r>
        <w:r>
          <w:rPr>
            <w:noProof/>
            <w:webHidden/>
          </w:rPr>
          <w:fldChar w:fldCharType="end"/>
        </w:r>
      </w:hyperlink>
    </w:p>
    <w:p w14:paraId="1B2EDB82"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892" w:history="1">
        <w:r w:rsidRPr="009363E2">
          <w:rPr>
            <w:rStyle w:val="Hyperlink"/>
            <w:noProof/>
          </w:rPr>
          <w:t>3.2.8.4 Read counting</w:t>
        </w:r>
        <w:r>
          <w:rPr>
            <w:noProof/>
            <w:webHidden/>
          </w:rPr>
          <w:tab/>
        </w:r>
        <w:r>
          <w:rPr>
            <w:noProof/>
            <w:webHidden/>
          </w:rPr>
          <w:fldChar w:fldCharType="begin"/>
        </w:r>
        <w:r>
          <w:rPr>
            <w:noProof/>
            <w:webHidden/>
          </w:rPr>
          <w:instrText xml:space="preserve"> PAGEREF _Toc520837892 \h </w:instrText>
        </w:r>
        <w:r>
          <w:rPr>
            <w:noProof/>
            <w:webHidden/>
          </w:rPr>
        </w:r>
        <w:r>
          <w:rPr>
            <w:noProof/>
            <w:webHidden/>
          </w:rPr>
          <w:fldChar w:fldCharType="separate"/>
        </w:r>
        <w:r>
          <w:rPr>
            <w:noProof/>
            <w:webHidden/>
          </w:rPr>
          <w:t>67</w:t>
        </w:r>
        <w:r>
          <w:rPr>
            <w:noProof/>
            <w:webHidden/>
          </w:rPr>
          <w:fldChar w:fldCharType="end"/>
        </w:r>
      </w:hyperlink>
    </w:p>
    <w:p w14:paraId="6FA7C5F1"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893" w:history="1">
        <w:r w:rsidRPr="009363E2">
          <w:rPr>
            <w:rStyle w:val="Hyperlink"/>
            <w:noProof/>
          </w:rPr>
          <w:t>3.2.8.5 Count pre-processing</w:t>
        </w:r>
        <w:r>
          <w:rPr>
            <w:noProof/>
            <w:webHidden/>
          </w:rPr>
          <w:tab/>
        </w:r>
        <w:r>
          <w:rPr>
            <w:noProof/>
            <w:webHidden/>
          </w:rPr>
          <w:fldChar w:fldCharType="begin"/>
        </w:r>
        <w:r>
          <w:rPr>
            <w:noProof/>
            <w:webHidden/>
          </w:rPr>
          <w:instrText xml:space="preserve"> PAGEREF _Toc520837893 \h </w:instrText>
        </w:r>
        <w:r>
          <w:rPr>
            <w:noProof/>
            <w:webHidden/>
          </w:rPr>
        </w:r>
        <w:r>
          <w:rPr>
            <w:noProof/>
            <w:webHidden/>
          </w:rPr>
          <w:fldChar w:fldCharType="separate"/>
        </w:r>
        <w:r>
          <w:rPr>
            <w:noProof/>
            <w:webHidden/>
          </w:rPr>
          <w:t>68</w:t>
        </w:r>
        <w:r>
          <w:rPr>
            <w:noProof/>
            <w:webHidden/>
          </w:rPr>
          <w:fldChar w:fldCharType="end"/>
        </w:r>
      </w:hyperlink>
    </w:p>
    <w:p w14:paraId="1261A5D7"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894" w:history="1">
        <w:r w:rsidRPr="009363E2">
          <w:rPr>
            <w:rStyle w:val="Hyperlink"/>
            <w:noProof/>
          </w:rPr>
          <w:t>3.2.8.6 Count normalization, exploratory analysis and differential analysis</w:t>
        </w:r>
        <w:r>
          <w:rPr>
            <w:noProof/>
            <w:webHidden/>
          </w:rPr>
          <w:tab/>
        </w:r>
        <w:r>
          <w:rPr>
            <w:noProof/>
            <w:webHidden/>
          </w:rPr>
          <w:fldChar w:fldCharType="begin"/>
        </w:r>
        <w:r>
          <w:rPr>
            <w:noProof/>
            <w:webHidden/>
          </w:rPr>
          <w:instrText xml:space="preserve"> PAGEREF _Toc520837894 \h </w:instrText>
        </w:r>
        <w:r>
          <w:rPr>
            <w:noProof/>
            <w:webHidden/>
          </w:rPr>
        </w:r>
        <w:r>
          <w:rPr>
            <w:noProof/>
            <w:webHidden/>
          </w:rPr>
          <w:fldChar w:fldCharType="separate"/>
        </w:r>
        <w:r>
          <w:rPr>
            <w:noProof/>
            <w:webHidden/>
          </w:rPr>
          <w:t>68</w:t>
        </w:r>
        <w:r>
          <w:rPr>
            <w:noProof/>
            <w:webHidden/>
          </w:rPr>
          <w:fldChar w:fldCharType="end"/>
        </w:r>
      </w:hyperlink>
    </w:p>
    <w:p w14:paraId="4723E32D"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895" w:history="1">
        <w:r w:rsidRPr="009363E2">
          <w:rPr>
            <w:rStyle w:val="Hyperlink"/>
            <w:noProof/>
          </w:rPr>
          <w:t>3.3.8.7 RNA-seq data visualisation</w:t>
        </w:r>
        <w:r>
          <w:rPr>
            <w:noProof/>
            <w:webHidden/>
          </w:rPr>
          <w:tab/>
        </w:r>
        <w:r>
          <w:rPr>
            <w:noProof/>
            <w:webHidden/>
          </w:rPr>
          <w:fldChar w:fldCharType="begin"/>
        </w:r>
        <w:r>
          <w:rPr>
            <w:noProof/>
            <w:webHidden/>
          </w:rPr>
          <w:instrText xml:space="preserve"> PAGEREF _Toc520837895 \h </w:instrText>
        </w:r>
        <w:r>
          <w:rPr>
            <w:noProof/>
            <w:webHidden/>
          </w:rPr>
        </w:r>
        <w:r>
          <w:rPr>
            <w:noProof/>
            <w:webHidden/>
          </w:rPr>
          <w:fldChar w:fldCharType="separate"/>
        </w:r>
        <w:r>
          <w:rPr>
            <w:noProof/>
            <w:webHidden/>
          </w:rPr>
          <w:t>68</w:t>
        </w:r>
        <w:r>
          <w:rPr>
            <w:noProof/>
            <w:webHidden/>
          </w:rPr>
          <w:fldChar w:fldCharType="end"/>
        </w:r>
      </w:hyperlink>
    </w:p>
    <w:p w14:paraId="46CF066C"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896" w:history="1">
        <w:r w:rsidRPr="009363E2">
          <w:rPr>
            <w:rStyle w:val="Hyperlink"/>
            <w:noProof/>
          </w:rPr>
          <w:t>3.3 Results</w:t>
        </w:r>
        <w:r>
          <w:rPr>
            <w:noProof/>
            <w:webHidden/>
          </w:rPr>
          <w:tab/>
        </w:r>
        <w:r>
          <w:rPr>
            <w:noProof/>
            <w:webHidden/>
          </w:rPr>
          <w:fldChar w:fldCharType="begin"/>
        </w:r>
        <w:r>
          <w:rPr>
            <w:noProof/>
            <w:webHidden/>
          </w:rPr>
          <w:instrText xml:space="preserve"> PAGEREF _Toc520837896 \h </w:instrText>
        </w:r>
        <w:r>
          <w:rPr>
            <w:noProof/>
            <w:webHidden/>
          </w:rPr>
        </w:r>
        <w:r>
          <w:rPr>
            <w:noProof/>
            <w:webHidden/>
          </w:rPr>
          <w:fldChar w:fldCharType="separate"/>
        </w:r>
        <w:r>
          <w:rPr>
            <w:noProof/>
            <w:webHidden/>
          </w:rPr>
          <w:t>69</w:t>
        </w:r>
        <w:r>
          <w:rPr>
            <w:noProof/>
            <w:webHidden/>
          </w:rPr>
          <w:fldChar w:fldCharType="end"/>
        </w:r>
      </w:hyperlink>
    </w:p>
    <w:p w14:paraId="0F36253E"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97" w:history="1">
        <w:r w:rsidRPr="009363E2">
          <w:rPr>
            <w:rStyle w:val="Hyperlink"/>
            <w:noProof/>
          </w:rPr>
          <w:t>3.3.1 Experimental set up</w:t>
        </w:r>
        <w:r>
          <w:rPr>
            <w:noProof/>
            <w:webHidden/>
          </w:rPr>
          <w:tab/>
        </w:r>
        <w:r>
          <w:rPr>
            <w:noProof/>
            <w:webHidden/>
          </w:rPr>
          <w:fldChar w:fldCharType="begin"/>
        </w:r>
        <w:r>
          <w:rPr>
            <w:noProof/>
            <w:webHidden/>
          </w:rPr>
          <w:instrText xml:space="preserve"> PAGEREF _Toc520837897 \h </w:instrText>
        </w:r>
        <w:r>
          <w:rPr>
            <w:noProof/>
            <w:webHidden/>
          </w:rPr>
        </w:r>
        <w:r>
          <w:rPr>
            <w:noProof/>
            <w:webHidden/>
          </w:rPr>
          <w:fldChar w:fldCharType="separate"/>
        </w:r>
        <w:r>
          <w:rPr>
            <w:noProof/>
            <w:webHidden/>
          </w:rPr>
          <w:t>69</w:t>
        </w:r>
        <w:r>
          <w:rPr>
            <w:noProof/>
            <w:webHidden/>
          </w:rPr>
          <w:fldChar w:fldCharType="end"/>
        </w:r>
      </w:hyperlink>
    </w:p>
    <w:p w14:paraId="2B3F845B"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98" w:history="1">
        <w:r w:rsidRPr="009363E2">
          <w:rPr>
            <w:rStyle w:val="Hyperlink"/>
            <w:noProof/>
          </w:rPr>
          <w:t>3.3.2 RNA-seq PCA</w:t>
        </w:r>
        <w:r>
          <w:rPr>
            <w:noProof/>
            <w:webHidden/>
          </w:rPr>
          <w:tab/>
        </w:r>
        <w:r>
          <w:rPr>
            <w:noProof/>
            <w:webHidden/>
          </w:rPr>
          <w:fldChar w:fldCharType="begin"/>
        </w:r>
        <w:r>
          <w:rPr>
            <w:noProof/>
            <w:webHidden/>
          </w:rPr>
          <w:instrText xml:space="preserve"> PAGEREF _Toc520837898 \h </w:instrText>
        </w:r>
        <w:r>
          <w:rPr>
            <w:noProof/>
            <w:webHidden/>
          </w:rPr>
        </w:r>
        <w:r>
          <w:rPr>
            <w:noProof/>
            <w:webHidden/>
          </w:rPr>
          <w:fldChar w:fldCharType="separate"/>
        </w:r>
        <w:r>
          <w:rPr>
            <w:noProof/>
            <w:webHidden/>
          </w:rPr>
          <w:t>75</w:t>
        </w:r>
        <w:r>
          <w:rPr>
            <w:noProof/>
            <w:webHidden/>
          </w:rPr>
          <w:fldChar w:fldCharType="end"/>
        </w:r>
      </w:hyperlink>
    </w:p>
    <w:p w14:paraId="3EC55FD0"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899" w:history="1">
        <w:r w:rsidRPr="009363E2">
          <w:rPr>
            <w:rStyle w:val="Hyperlink"/>
            <w:noProof/>
          </w:rPr>
          <w:t>3.3.3 Differential gene expression analysis</w:t>
        </w:r>
        <w:r>
          <w:rPr>
            <w:noProof/>
            <w:webHidden/>
          </w:rPr>
          <w:tab/>
        </w:r>
        <w:r>
          <w:rPr>
            <w:noProof/>
            <w:webHidden/>
          </w:rPr>
          <w:fldChar w:fldCharType="begin"/>
        </w:r>
        <w:r>
          <w:rPr>
            <w:noProof/>
            <w:webHidden/>
          </w:rPr>
          <w:instrText xml:space="preserve"> PAGEREF _Toc520837899 \h </w:instrText>
        </w:r>
        <w:r>
          <w:rPr>
            <w:noProof/>
            <w:webHidden/>
          </w:rPr>
        </w:r>
        <w:r>
          <w:rPr>
            <w:noProof/>
            <w:webHidden/>
          </w:rPr>
          <w:fldChar w:fldCharType="separate"/>
        </w:r>
        <w:r>
          <w:rPr>
            <w:noProof/>
            <w:webHidden/>
          </w:rPr>
          <w:t>76</w:t>
        </w:r>
        <w:r>
          <w:rPr>
            <w:noProof/>
            <w:webHidden/>
          </w:rPr>
          <w:fldChar w:fldCharType="end"/>
        </w:r>
      </w:hyperlink>
    </w:p>
    <w:p w14:paraId="34F996B7"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00" w:history="1">
        <w:r w:rsidRPr="009363E2">
          <w:rPr>
            <w:rStyle w:val="Hyperlink"/>
            <w:noProof/>
          </w:rPr>
          <w:t xml:space="preserve">3.3.4 </w:t>
        </w:r>
        <w:r w:rsidRPr="009363E2">
          <w:rPr>
            <w:rStyle w:val="Hyperlink"/>
            <w:i/>
            <w:noProof/>
          </w:rPr>
          <w:t>P. involutus</w:t>
        </w:r>
        <w:r w:rsidRPr="009363E2">
          <w:rPr>
            <w:rStyle w:val="Hyperlink"/>
            <w:noProof/>
          </w:rPr>
          <w:t xml:space="preserve"> </w:t>
        </w:r>
        <w:r w:rsidRPr="009363E2">
          <w:rPr>
            <w:rStyle w:val="Hyperlink"/>
            <w:i/>
            <w:noProof/>
          </w:rPr>
          <w:t>ATCC 200175</w:t>
        </w:r>
        <w:r w:rsidRPr="009363E2">
          <w:rPr>
            <w:rStyle w:val="Hyperlink"/>
            <w:noProof/>
          </w:rPr>
          <w:t xml:space="preserve"> genes differentially regulated in response to Pi availability in NS condition</w:t>
        </w:r>
        <w:r>
          <w:rPr>
            <w:noProof/>
            <w:webHidden/>
          </w:rPr>
          <w:tab/>
        </w:r>
        <w:r>
          <w:rPr>
            <w:noProof/>
            <w:webHidden/>
          </w:rPr>
          <w:fldChar w:fldCharType="begin"/>
        </w:r>
        <w:r>
          <w:rPr>
            <w:noProof/>
            <w:webHidden/>
          </w:rPr>
          <w:instrText xml:space="preserve"> PAGEREF _Toc520837900 \h </w:instrText>
        </w:r>
        <w:r>
          <w:rPr>
            <w:noProof/>
            <w:webHidden/>
          </w:rPr>
        </w:r>
        <w:r>
          <w:rPr>
            <w:noProof/>
            <w:webHidden/>
          </w:rPr>
          <w:fldChar w:fldCharType="separate"/>
        </w:r>
        <w:r>
          <w:rPr>
            <w:noProof/>
            <w:webHidden/>
          </w:rPr>
          <w:t>77</w:t>
        </w:r>
        <w:r>
          <w:rPr>
            <w:noProof/>
            <w:webHidden/>
          </w:rPr>
          <w:fldChar w:fldCharType="end"/>
        </w:r>
      </w:hyperlink>
    </w:p>
    <w:p w14:paraId="6617B063"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01" w:history="1">
        <w:r w:rsidRPr="009363E2">
          <w:rPr>
            <w:rStyle w:val="Hyperlink"/>
            <w:noProof/>
          </w:rPr>
          <w:t xml:space="preserve">3.3.5 </w:t>
        </w:r>
        <w:r w:rsidRPr="009363E2">
          <w:rPr>
            <w:rStyle w:val="Hyperlink"/>
            <w:i/>
            <w:noProof/>
          </w:rPr>
          <w:t xml:space="preserve">P. involutus ATCC 200175 </w:t>
        </w:r>
        <w:r w:rsidRPr="009363E2">
          <w:rPr>
            <w:rStyle w:val="Hyperlink"/>
            <w:noProof/>
          </w:rPr>
          <w:t>genes differentially regulated in response to Pi availability during EM symbiosis</w:t>
        </w:r>
        <w:r>
          <w:rPr>
            <w:noProof/>
            <w:webHidden/>
          </w:rPr>
          <w:tab/>
        </w:r>
        <w:r>
          <w:rPr>
            <w:noProof/>
            <w:webHidden/>
          </w:rPr>
          <w:fldChar w:fldCharType="begin"/>
        </w:r>
        <w:r>
          <w:rPr>
            <w:noProof/>
            <w:webHidden/>
          </w:rPr>
          <w:instrText xml:space="preserve"> PAGEREF _Toc520837901 \h </w:instrText>
        </w:r>
        <w:r>
          <w:rPr>
            <w:noProof/>
            <w:webHidden/>
          </w:rPr>
        </w:r>
        <w:r>
          <w:rPr>
            <w:noProof/>
            <w:webHidden/>
          </w:rPr>
          <w:fldChar w:fldCharType="separate"/>
        </w:r>
        <w:r>
          <w:rPr>
            <w:noProof/>
            <w:webHidden/>
          </w:rPr>
          <w:t>80</w:t>
        </w:r>
        <w:r>
          <w:rPr>
            <w:noProof/>
            <w:webHidden/>
          </w:rPr>
          <w:fldChar w:fldCharType="end"/>
        </w:r>
      </w:hyperlink>
    </w:p>
    <w:p w14:paraId="35D6B1DD"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02" w:history="1">
        <w:r w:rsidRPr="009363E2">
          <w:rPr>
            <w:rStyle w:val="Hyperlink"/>
            <w:noProof/>
          </w:rPr>
          <w:t xml:space="preserve">3.3.6 </w:t>
        </w:r>
        <w:r w:rsidRPr="009363E2">
          <w:rPr>
            <w:rStyle w:val="Hyperlink"/>
            <w:i/>
            <w:noProof/>
          </w:rPr>
          <w:t>P. involutus</w:t>
        </w:r>
        <w:r w:rsidRPr="009363E2">
          <w:rPr>
            <w:rStyle w:val="Hyperlink"/>
            <w:noProof/>
          </w:rPr>
          <w:t xml:space="preserve"> </w:t>
        </w:r>
        <w:r w:rsidRPr="009363E2">
          <w:rPr>
            <w:rStyle w:val="Hyperlink"/>
            <w:i/>
            <w:noProof/>
          </w:rPr>
          <w:t xml:space="preserve">ATCC 200175 </w:t>
        </w:r>
        <w:r w:rsidRPr="009363E2">
          <w:rPr>
            <w:rStyle w:val="Hyperlink"/>
            <w:noProof/>
          </w:rPr>
          <w:t>genes differentially regulated in response to symbiotic status at low Pi availability</w:t>
        </w:r>
        <w:r>
          <w:rPr>
            <w:noProof/>
            <w:webHidden/>
          </w:rPr>
          <w:tab/>
        </w:r>
        <w:r>
          <w:rPr>
            <w:noProof/>
            <w:webHidden/>
          </w:rPr>
          <w:fldChar w:fldCharType="begin"/>
        </w:r>
        <w:r>
          <w:rPr>
            <w:noProof/>
            <w:webHidden/>
          </w:rPr>
          <w:instrText xml:space="preserve"> PAGEREF _Toc520837902 \h </w:instrText>
        </w:r>
        <w:r>
          <w:rPr>
            <w:noProof/>
            <w:webHidden/>
          </w:rPr>
        </w:r>
        <w:r>
          <w:rPr>
            <w:noProof/>
            <w:webHidden/>
          </w:rPr>
          <w:fldChar w:fldCharType="separate"/>
        </w:r>
        <w:r>
          <w:rPr>
            <w:noProof/>
            <w:webHidden/>
          </w:rPr>
          <w:t>82</w:t>
        </w:r>
        <w:r>
          <w:rPr>
            <w:noProof/>
            <w:webHidden/>
          </w:rPr>
          <w:fldChar w:fldCharType="end"/>
        </w:r>
      </w:hyperlink>
    </w:p>
    <w:p w14:paraId="08723458"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03" w:history="1">
        <w:r w:rsidRPr="009363E2">
          <w:rPr>
            <w:rStyle w:val="Hyperlink"/>
            <w:noProof/>
          </w:rPr>
          <w:t xml:space="preserve">3.3.7 </w:t>
        </w:r>
        <w:r w:rsidRPr="009363E2">
          <w:rPr>
            <w:rStyle w:val="Hyperlink"/>
            <w:i/>
            <w:noProof/>
          </w:rPr>
          <w:t>P. involutus</w:t>
        </w:r>
        <w:r w:rsidRPr="009363E2">
          <w:rPr>
            <w:rStyle w:val="Hyperlink"/>
            <w:noProof/>
          </w:rPr>
          <w:t xml:space="preserve"> </w:t>
        </w:r>
        <w:r w:rsidRPr="009363E2">
          <w:rPr>
            <w:rStyle w:val="Hyperlink"/>
            <w:i/>
            <w:noProof/>
          </w:rPr>
          <w:t xml:space="preserve">ATCC 200175 </w:t>
        </w:r>
        <w:r w:rsidRPr="009363E2">
          <w:rPr>
            <w:rStyle w:val="Hyperlink"/>
            <w:noProof/>
          </w:rPr>
          <w:t>genes differentially regulated by Pi availability and EM symbiosis</w:t>
        </w:r>
        <w:r>
          <w:rPr>
            <w:noProof/>
            <w:webHidden/>
          </w:rPr>
          <w:tab/>
        </w:r>
        <w:r>
          <w:rPr>
            <w:noProof/>
            <w:webHidden/>
          </w:rPr>
          <w:fldChar w:fldCharType="begin"/>
        </w:r>
        <w:r>
          <w:rPr>
            <w:noProof/>
            <w:webHidden/>
          </w:rPr>
          <w:instrText xml:space="preserve"> PAGEREF _Toc520837903 \h </w:instrText>
        </w:r>
        <w:r>
          <w:rPr>
            <w:noProof/>
            <w:webHidden/>
          </w:rPr>
        </w:r>
        <w:r>
          <w:rPr>
            <w:noProof/>
            <w:webHidden/>
          </w:rPr>
          <w:fldChar w:fldCharType="separate"/>
        </w:r>
        <w:r>
          <w:rPr>
            <w:noProof/>
            <w:webHidden/>
          </w:rPr>
          <w:t>84</w:t>
        </w:r>
        <w:r>
          <w:rPr>
            <w:noProof/>
            <w:webHidden/>
          </w:rPr>
          <w:fldChar w:fldCharType="end"/>
        </w:r>
      </w:hyperlink>
    </w:p>
    <w:p w14:paraId="204ECB45"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04" w:history="1">
        <w:r w:rsidRPr="009363E2">
          <w:rPr>
            <w:rStyle w:val="Hyperlink"/>
            <w:noProof/>
          </w:rPr>
          <w:t>3.4 Discussion</w:t>
        </w:r>
        <w:r>
          <w:rPr>
            <w:noProof/>
            <w:webHidden/>
          </w:rPr>
          <w:tab/>
        </w:r>
        <w:r>
          <w:rPr>
            <w:noProof/>
            <w:webHidden/>
          </w:rPr>
          <w:fldChar w:fldCharType="begin"/>
        </w:r>
        <w:r>
          <w:rPr>
            <w:noProof/>
            <w:webHidden/>
          </w:rPr>
          <w:instrText xml:space="preserve"> PAGEREF _Toc520837904 \h </w:instrText>
        </w:r>
        <w:r>
          <w:rPr>
            <w:noProof/>
            <w:webHidden/>
          </w:rPr>
        </w:r>
        <w:r>
          <w:rPr>
            <w:noProof/>
            <w:webHidden/>
          </w:rPr>
          <w:fldChar w:fldCharType="separate"/>
        </w:r>
        <w:r>
          <w:rPr>
            <w:noProof/>
            <w:webHidden/>
          </w:rPr>
          <w:t>90</w:t>
        </w:r>
        <w:r>
          <w:rPr>
            <w:noProof/>
            <w:webHidden/>
          </w:rPr>
          <w:fldChar w:fldCharType="end"/>
        </w:r>
      </w:hyperlink>
    </w:p>
    <w:p w14:paraId="09D8CB7E"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05" w:history="1">
        <w:r w:rsidRPr="009363E2">
          <w:rPr>
            <w:rStyle w:val="Hyperlink"/>
            <w:noProof/>
          </w:rPr>
          <w:t xml:space="preserve">3.4.1 </w:t>
        </w:r>
        <w:r w:rsidRPr="009363E2">
          <w:rPr>
            <w:rStyle w:val="Hyperlink"/>
            <w:i/>
            <w:noProof/>
          </w:rPr>
          <w:t xml:space="preserve">P. involutus ATCC 200175 </w:t>
        </w:r>
        <w:r w:rsidRPr="009363E2">
          <w:rPr>
            <w:rStyle w:val="Hyperlink"/>
            <w:noProof/>
          </w:rPr>
          <w:t>global gene transcriptional response to varying Pi availability and EM symbiosis</w:t>
        </w:r>
        <w:r>
          <w:rPr>
            <w:noProof/>
            <w:webHidden/>
          </w:rPr>
          <w:tab/>
        </w:r>
        <w:r>
          <w:rPr>
            <w:noProof/>
            <w:webHidden/>
          </w:rPr>
          <w:fldChar w:fldCharType="begin"/>
        </w:r>
        <w:r>
          <w:rPr>
            <w:noProof/>
            <w:webHidden/>
          </w:rPr>
          <w:instrText xml:space="preserve"> PAGEREF _Toc520837905 \h </w:instrText>
        </w:r>
        <w:r>
          <w:rPr>
            <w:noProof/>
            <w:webHidden/>
          </w:rPr>
        </w:r>
        <w:r>
          <w:rPr>
            <w:noProof/>
            <w:webHidden/>
          </w:rPr>
          <w:fldChar w:fldCharType="separate"/>
        </w:r>
        <w:r>
          <w:rPr>
            <w:noProof/>
            <w:webHidden/>
          </w:rPr>
          <w:t>90</w:t>
        </w:r>
        <w:r>
          <w:rPr>
            <w:noProof/>
            <w:webHidden/>
          </w:rPr>
          <w:fldChar w:fldCharType="end"/>
        </w:r>
      </w:hyperlink>
    </w:p>
    <w:p w14:paraId="5D0367CE"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06" w:history="1">
        <w:r w:rsidRPr="009363E2">
          <w:rPr>
            <w:rStyle w:val="Hyperlink"/>
            <w:noProof/>
          </w:rPr>
          <w:t xml:space="preserve">3.4.2 </w:t>
        </w:r>
        <w:r w:rsidRPr="009363E2">
          <w:rPr>
            <w:rStyle w:val="Hyperlink"/>
            <w:i/>
            <w:noProof/>
          </w:rPr>
          <w:t>P. involutus</w:t>
        </w:r>
        <w:r w:rsidRPr="009363E2">
          <w:rPr>
            <w:rStyle w:val="Hyperlink"/>
            <w:noProof/>
          </w:rPr>
          <w:t xml:space="preserve"> </w:t>
        </w:r>
        <w:r w:rsidRPr="009363E2">
          <w:rPr>
            <w:rStyle w:val="Hyperlink"/>
            <w:i/>
            <w:noProof/>
          </w:rPr>
          <w:t>ATCC 200175</w:t>
        </w:r>
        <w:r w:rsidRPr="009363E2">
          <w:rPr>
            <w:rStyle w:val="Hyperlink"/>
            <w:noProof/>
          </w:rPr>
          <w:t xml:space="preserve"> genes responsive to Pi availability in NS or S conditions</w:t>
        </w:r>
        <w:r>
          <w:rPr>
            <w:noProof/>
            <w:webHidden/>
          </w:rPr>
          <w:tab/>
        </w:r>
        <w:r>
          <w:rPr>
            <w:noProof/>
            <w:webHidden/>
          </w:rPr>
          <w:fldChar w:fldCharType="begin"/>
        </w:r>
        <w:r>
          <w:rPr>
            <w:noProof/>
            <w:webHidden/>
          </w:rPr>
          <w:instrText xml:space="preserve"> PAGEREF _Toc520837906 \h </w:instrText>
        </w:r>
        <w:r>
          <w:rPr>
            <w:noProof/>
            <w:webHidden/>
          </w:rPr>
        </w:r>
        <w:r>
          <w:rPr>
            <w:noProof/>
            <w:webHidden/>
          </w:rPr>
          <w:fldChar w:fldCharType="separate"/>
        </w:r>
        <w:r>
          <w:rPr>
            <w:noProof/>
            <w:webHidden/>
          </w:rPr>
          <w:t>90</w:t>
        </w:r>
        <w:r>
          <w:rPr>
            <w:noProof/>
            <w:webHidden/>
          </w:rPr>
          <w:fldChar w:fldCharType="end"/>
        </w:r>
      </w:hyperlink>
    </w:p>
    <w:p w14:paraId="66B22B2A"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07" w:history="1">
        <w:r w:rsidRPr="009363E2">
          <w:rPr>
            <w:rStyle w:val="Hyperlink"/>
            <w:noProof/>
          </w:rPr>
          <w:t xml:space="preserve">3.4.3 </w:t>
        </w:r>
        <w:r w:rsidRPr="009363E2">
          <w:rPr>
            <w:rStyle w:val="Hyperlink"/>
            <w:i/>
            <w:noProof/>
          </w:rPr>
          <w:t>P. involutus</w:t>
        </w:r>
        <w:r w:rsidRPr="009363E2">
          <w:rPr>
            <w:rStyle w:val="Hyperlink"/>
            <w:noProof/>
          </w:rPr>
          <w:t xml:space="preserve"> </w:t>
        </w:r>
        <w:r w:rsidRPr="009363E2">
          <w:rPr>
            <w:rStyle w:val="Hyperlink"/>
            <w:i/>
            <w:noProof/>
          </w:rPr>
          <w:t xml:space="preserve">ATCC 200175 </w:t>
        </w:r>
        <w:r w:rsidRPr="009363E2">
          <w:rPr>
            <w:rStyle w:val="Hyperlink"/>
            <w:noProof/>
          </w:rPr>
          <w:t>genes co-regulated by low Pi availability and EM symbiosis</w:t>
        </w:r>
        <w:r>
          <w:rPr>
            <w:noProof/>
            <w:webHidden/>
          </w:rPr>
          <w:tab/>
        </w:r>
        <w:r>
          <w:rPr>
            <w:noProof/>
            <w:webHidden/>
          </w:rPr>
          <w:fldChar w:fldCharType="begin"/>
        </w:r>
        <w:r>
          <w:rPr>
            <w:noProof/>
            <w:webHidden/>
          </w:rPr>
          <w:instrText xml:space="preserve"> PAGEREF _Toc520837907 \h </w:instrText>
        </w:r>
        <w:r>
          <w:rPr>
            <w:noProof/>
            <w:webHidden/>
          </w:rPr>
        </w:r>
        <w:r>
          <w:rPr>
            <w:noProof/>
            <w:webHidden/>
          </w:rPr>
          <w:fldChar w:fldCharType="separate"/>
        </w:r>
        <w:r>
          <w:rPr>
            <w:noProof/>
            <w:webHidden/>
          </w:rPr>
          <w:t>92</w:t>
        </w:r>
        <w:r>
          <w:rPr>
            <w:noProof/>
            <w:webHidden/>
          </w:rPr>
          <w:fldChar w:fldCharType="end"/>
        </w:r>
      </w:hyperlink>
    </w:p>
    <w:p w14:paraId="5C2EE896"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08" w:history="1">
        <w:r w:rsidRPr="009363E2">
          <w:rPr>
            <w:rStyle w:val="Hyperlink"/>
            <w:noProof/>
          </w:rPr>
          <w:t>3.5 Conclusions</w:t>
        </w:r>
        <w:r>
          <w:rPr>
            <w:noProof/>
            <w:webHidden/>
          </w:rPr>
          <w:tab/>
        </w:r>
        <w:r>
          <w:rPr>
            <w:noProof/>
            <w:webHidden/>
          </w:rPr>
          <w:fldChar w:fldCharType="begin"/>
        </w:r>
        <w:r>
          <w:rPr>
            <w:noProof/>
            <w:webHidden/>
          </w:rPr>
          <w:instrText xml:space="preserve"> PAGEREF _Toc520837908 \h </w:instrText>
        </w:r>
        <w:r>
          <w:rPr>
            <w:noProof/>
            <w:webHidden/>
          </w:rPr>
        </w:r>
        <w:r>
          <w:rPr>
            <w:noProof/>
            <w:webHidden/>
          </w:rPr>
          <w:fldChar w:fldCharType="separate"/>
        </w:r>
        <w:r>
          <w:rPr>
            <w:noProof/>
            <w:webHidden/>
          </w:rPr>
          <w:t>94</w:t>
        </w:r>
        <w:r>
          <w:rPr>
            <w:noProof/>
            <w:webHidden/>
          </w:rPr>
          <w:fldChar w:fldCharType="end"/>
        </w:r>
      </w:hyperlink>
    </w:p>
    <w:p w14:paraId="0E9DA5C7" w14:textId="77777777" w:rsidR="003B197E" w:rsidRDefault="003B197E" w:rsidP="003B197E">
      <w:pPr>
        <w:pStyle w:val="TOC1"/>
        <w:tabs>
          <w:tab w:val="right" w:leader="dot" w:pos="9350"/>
        </w:tabs>
        <w:rPr>
          <w:rFonts w:asciiTheme="minorHAnsi" w:eastAsiaTheme="minorEastAsia" w:hAnsiTheme="minorHAnsi"/>
          <w:b w:val="0"/>
          <w:iCs w:val="0"/>
          <w:noProof/>
          <w:color w:val="auto"/>
          <w:sz w:val="22"/>
          <w:szCs w:val="22"/>
          <w:lang w:eastAsia="en-GB"/>
        </w:rPr>
      </w:pPr>
      <w:hyperlink w:anchor="_Toc520837909" w:history="1">
        <w:r w:rsidRPr="009363E2">
          <w:rPr>
            <w:rStyle w:val="Hyperlink"/>
            <w:noProof/>
          </w:rPr>
          <w:t xml:space="preserve">Chapter 4. Evidence for the ectomycorrhizal fungus </w:t>
        </w:r>
        <w:r w:rsidRPr="009363E2">
          <w:rPr>
            <w:rStyle w:val="Hyperlink"/>
            <w:i/>
            <w:noProof/>
          </w:rPr>
          <w:t>Paxillus involutus</w:t>
        </w:r>
        <w:r w:rsidRPr="009363E2">
          <w:rPr>
            <w:rStyle w:val="Hyperlink"/>
            <w:noProof/>
          </w:rPr>
          <w:t xml:space="preserve"> solubilizing microcrystalline hydroxyapatite</w:t>
        </w:r>
        <w:r>
          <w:rPr>
            <w:noProof/>
            <w:webHidden/>
          </w:rPr>
          <w:tab/>
        </w:r>
        <w:r>
          <w:rPr>
            <w:noProof/>
            <w:webHidden/>
          </w:rPr>
          <w:fldChar w:fldCharType="begin"/>
        </w:r>
        <w:r>
          <w:rPr>
            <w:noProof/>
            <w:webHidden/>
          </w:rPr>
          <w:instrText xml:space="preserve"> PAGEREF _Toc520837909 \h </w:instrText>
        </w:r>
        <w:r>
          <w:rPr>
            <w:noProof/>
            <w:webHidden/>
          </w:rPr>
        </w:r>
        <w:r>
          <w:rPr>
            <w:noProof/>
            <w:webHidden/>
          </w:rPr>
          <w:fldChar w:fldCharType="separate"/>
        </w:r>
        <w:r>
          <w:rPr>
            <w:noProof/>
            <w:webHidden/>
          </w:rPr>
          <w:t>95</w:t>
        </w:r>
        <w:r>
          <w:rPr>
            <w:noProof/>
            <w:webHidden/>
          </w:rPr>
          <w:fldChar w:fldCharType="end"/>
        </w:r>
      </w:hyperlink>
    </w:p>
    <w:p w14:paraId="50ED6A41"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10" w:history="1">
        <w:r w:rsidRPr="009363E2">
          <w:rPr>
            <w:rStyle w:val="Hyperlink"/>
            <w:noProof/>
          </w:rPr>
          <w:t>4.1 Introduction</w:t>
        </w:r>
        <w:r>
          <w:rPr>
            <w:noProof/>
            <w:webHidden/>
          </w:rPr>
          <w:tab/>
        </w:r>
        <w:r>
          <w:rPr>
            <w:noProof/>
            <w:webHidden/>
          </w:rPr>
          <w:fldChar w:fldCharType="begin"/>
        </w:r>
        <w:r>
          <w:rPr>
            <w:noProof/>
            <w:webHidden/>
          </w:rPr>
          <w:instrText xml:space="preserve"> PAGEREF _Toc520837910 \h </w:instrText>
        </w:r>
        <w:r>
          <w:rPr>
            <w:noProof/>
            <w:webHidden/>
          </w:rPr>
        </w:r>
        <w:r>
          <w:rPr>
            <w:noProof/>
            <w:webHidden/>
          </w:rPr>
          <w:fldChar w:fldCharType="separate"/>
        </w:r>
        <w:r>
          <w:rPr>
            <w:noProof/>
            <w:webHidden/>
          </w:rPr>
          <w:t>95</w:t>
        </w:r>
        <w:r>
          <w:rPr>
            <w:noProof/>
            <w:webHidden/>
          </w:rPr>
          <w:fldChar w:fldCharType="end"/>
        </w:r>
      </w:hyperlink>
    </w:p>
    <w:p w14:paraId="3F122AD6"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11" w:history="1">
        <w:r w:rsidRPr="009363E2">
          <w:rPr>
            <w:rStyle w:val="Hyperlink"/>
            <w:noProof/>
          </w:rPr>
          <w:t>4.2 Materials and Methods</w:t>
        </w:r>
        <w:r>
          <w:rPr>
            <w:noProof/>
            <w:webHidden/>
          </w:rPr>
          <w:tab/>
        </w:r>
        <w:r>
          <w:rPr>
            <w:noProof/>
            <w:webHidden/>
          </w:rPr>
          <w:fldChar w:fldCharType="begin"/>
        </w:r>
        <w:r>
          <w:rPr>
            <w:noProof/>
            <w:webHidden/>
          </w:rPr>
          <w:instrText xml:space="preserve"> PAGEREF _Toc520837911 \h </w:instrText>
        </w:r>
        <w:r>
          <w:rPr>
            <w:noProof/>
            <w:webHidden/>
          </w:rPr>
        </w:r>
        <w:r>
          <w:rPr>
            <w:noProof/>
            <w:webHidden/>
          </w:rPr>
          <w:fldChar w:fldCharType="separate"/>
        </w:r>
        <w:r>
          <w:rPr>
            <w:noProof/>
            <w:webHidden/>
          </w:rPr>
          <w:t>98</w:t>
        </w:r>
        <w:r>
          <w:rPr>
            <w:noProof/>
            <w:webHidden/>
          </w:rPr>
          <w:fldChar w:fldCharType="end"/>
        </w:r>
      </w:hyperlink>
    </w:p>
    <w:p w14:paraId="37022ACF"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12" w:history="1">
        <w:r w:rsidRPr="009363E2">
          <w:rPr>
            <w:rStyle w:val="Hyperlink"/>
            <w:noProof/>
          </w:rPr>
          <w:t>4.2.1 Preparation of synthetic HAP-coated discs</w:t>
        </w:r>
        <w:r>
          <w:rPr>
            <w:noProof/>
            <w:webHidden/>
          </w:rPr>
          <w:tab/>
        </w:r>
        <w:r>
          <w:rPr>
            <w:noProof/>
            <w:webHidden/>
          </w:rPr>
          <w:fldChar w:fldCharType="begin"/>
        </w:r>
        <w:r>
          <w:rPr>
            <w:noProof/>
            <w:webHidden/>
          </w:rPr>
          <w:instrText xml:space="preserve"> PAGEREF _Toc520837912 \h </w:instrText>
        </w:r>
        <w:r>
          <w:rPr>
            <w:noProof/>
            <w:webHidden/>
          </w:rPr>
        </w:r>
        <w:r>
          <w:rPr>
            <w:noProof/>
            <w:webHidden/>
          </w:rPr>
          <w:fldChar w:fldCharType="separate"/>
        </w:r>
        <w:r>
          <w:rPr>
            <w:noProof/>
            <w:webHidden/>
          </w:rPr>
          <w:t>98</w:t>
        </w:r>
        <w:r>
          <w:rPr>
            <w:noProof/>
            <w:webHidden/>
          </w:rPr>
          <w:fldChar w:fldCharType="end"/>
        </w:r>
      </w:hyperlink>
    </w:p>
    <w:p w14:paraId="69312395"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13" w:history="1">
        <w:r w:rsidRPr="009363E2">
          <w:rPr>
            <w:rStyle w:val="Hyperlink"/>
            <w:noProof/>
          </w:rPr>
          <w:t>4.2.2 Experimental design of the HAP solubilisation experimental system</w:t>
        </w:r>
        <w:r>
          <w:rPr>
            <w:noProof/>
            <w:webHidden/>
          </w:rPr>
          <w:tab/>
        </w:r>
        <w:r>
          <w:rPr>
            <w:noProof/>
            <w:webHidden/>
          </w:rPr>
          <w:fldChar w:fldCharType="begin"/>
        </w:r>
        <w:r>
          <w:rPr>
            <w:noProof/>
            <w:webHidden/>
          </w:rPr>
          <w:instrText xml:space="preserve"> PAGEREF _Toc520837913 \h </w:instrText>
        </w:r>
        <w:r>
          <w:rPr>
            <w:noProof/>
            <w:webHidden/>
          </w:rPr>
        </w:r>
        <w:r>
          <w:rPr>
            <w:noProof/>
            <w:webHidden/>
          </w:rPr>
          <w:fldChar w:fldCharType="separate"/>
        </w:r>
        <w:r>
          <w:rPr>
            <w:noProof/>
            <w:webHidden/>
          </w:rPr>
          <w:t>98</w:t>
        </w:r>
        <w:r>
          <w:rPr>
            <w:noProof/>
            <w:webHidden/>
          </w:rPr>
          <w:fldChar w:fldCharType="end"/>
        </w:r>
      </w:hyperlink>
    </w:p>
    <w:p w14:paraId="1D2F09E9"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14" w:history="1">
        <w:r w:rsidRPr="009363E2">
          <w:rPr>
            <w:rStyle w:val="Hyperlink"/>
            <w:noProof/>
          </w:rPr>
          <w:t>4.2.3 Fungal material</w:t>
        </w:r>
        <w:r>
          <w:rPr>
            <w:noProof/>
            <w:webHidden/>
          </w:rPr>
          <w:tab/>
        </w:r>
        <w:r>
          <w:rPr>
            <w:noProof/>
            <w:webHidden/>
          </w:rPr>
          <w:fldChar w:fldCharType="begin"/>
        </w:r>
        <w:r>
          <w:rPr>
            <w:noProof/>
            <w:webHidden/>
          </w:rPr>
          <w:instrText xml:space="preserve"> PAGEREF _Toc520837914 \h </w:instrText>
        </w:r>
        <w:r>
          <w:rPr>
            <w:noProof/>
            <w:webHidden/>
          </w:rPr>
        </w:r>
        <w:r>
          <w:rPr>
            <w:noProof/>
            <w:webHidden/>
          </w:rPr>
          <w:fldChar w:fldCharType="separate"/>
        </w:r>
        <w:r>
          <w:rPr>
            <w:noProof/>
            <w:webHidden/>
          </w:rPr>
          <w:t>99</w:t>
        </w:r>
        <w:r>
          <w:rPr>
            <w:noProof/>
            <w:webHidden/>
          </w:rPr>
          <w:fldChar w:fldCharType="end"/>
        </w:r>
      </w:hyperlink>
    </w:p>
    <w:p w14:paraId="309BF002"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15" w:history="1">
        <w:r w:rsidRPr="009363E2">
          <w:rPr>
            <w:rStyle w:val="Hyperlink"/>
            <w:noProof/>
          </w:rPr>
          <w:t>4.2.4 SEM-EDX analysis</w:t>
        </w:r>
        <w:r>
          <w:rPr>
            <w:noProof/>
            <w:webHidden/>
          </w:rPr>
          <w:tab/>
        </w:r>
        <w:r>
          <w:rPr>
            <w:noProof/>
            <w:webHidden/>
          </w:rPr>
          <w:fldChar w:fldCharType="begin"/>
        </w:r>
        <w:r>
          <w:rPr>
            <w:noProof/>
            <w:webHidden/>
          </w:rPr>
          <w:instrText xml:space="preserve"> PAGEREF _Toc520837915 \h </w:instrText>
        </w:r>
        <w:r>
          <w:rPr>
            <w:noProof/>
            <w:webHidden/>
          </w:rPr>
        </w:r>
        <w:r>
          <w:rPr>
            <w:noProof/>
            <w:webHidden/>
          </w:rPr>
          <w:fldChar w:fldCharType="separate"/>
        </w:r>
        <w:r>
          <w:rPr>
            <w:noProof/>
            <w:webHidden/>
          </w:rPr>
          <w:t>100</w:t>
        </w:r>
        <w:r>
          <w:rPr>
            <w:noProof/>
            <w:webHidden/>
          </w:rPr>
          <w:fldChar w:fldCharType="end"/>
        </w:r>
      </w:hyperlink>
    </w:p>
    <w:p w14:paraId="695357B0"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16" w:history="1">
        <w:r w:rsidRPr="009363E2">
          <w:rPr>
            <w:rStyle w:val="Hyperlink"/>
            <w:noProof/>
          </w:rPr>
          <w:t>4.2.5 Optical microscopy and imaging</w:t>
        </w:r>
        <w:r>
          <w:rPr>
            <w:noProof/>
            <w:webHidden/>
          </w:rPr>
          <w:tab/>
        </w:r>
        <w:r>
          <w:rPr>
            <w:noProof/>
            <w:webHidden/>
          </w:rPr>
          <w:fldChar w:fldCharType="begin"/>
        </w:r>
        <w:r>
          <w:rPr>
            <w:noProof/>
            <w:webHidden/>
          </w:rPr>
          <w:instrText xml:space="preserve"> PAGEREF _Toc520837916 \h </w:instrText>
        </w:r>
        <w:r>
          <w:rPr>
            <w:noProof/>
            <w:webHidden/>
          </w:rPr>
        </w:r>
        <w:r>
          <w:rPr>
            <w:noProof/>
            <w:webHidden/>
          </w:rPr>
          <w:fldChar w:fldCharType="separate"/>
        </w:r>
        <w:r>
          <w:rPr>
            <w:noProof/>
            <w:webHidden/>
          </w:rPr>
          <w:t>101</w:t>
        </w:r>
        <w:r>
          <w:rPr>
            <w:noProof/>
            <w:webHidden/>
          </w:rPr>
          <w:fldChar w:fldCharType="end"/>
        </w:r>
      </w:hyperlink>
    </w:p>
    <w:p w14:paraId="3D57E869"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17" w:history="1">
        <w:r w:rsidRPr="009363E2">
          <w:rPr>
            <w:rStyle w:val="Hyperlink"/>
            <w:noProof/>
          </w:rPr>
          <w:t xml:space="preserve">4.2.6 Identification of </w:t>
        </w:r>
        <w:r w:rsidRPr="009363E2">
          <w:rPr>
            <w:rStyle w:val="Hyperlink"/>
            <w:i/>
            <w:noProof/>
          </w:rPr>
          <w:t>P. involutus</w:t>
        </w:r>
        <w:r w:rsidRPr="009363E2">
          <w:rPr>
            <w:rStyle w:val="Hyperlink"/>
            <w:noProof/>
          </w:rPr>
          <w:t xml:space="preserve"> candidate HAP solubilisation genes</w:t>
        </w:r>
        <w:r>
          <w:rPr>
            <w:noProof/>
            <w:webHidden/>
          </w:rPr>
          <w:tab/>
        </w:r>
        <w:r>
          <w:rPr>
            <w:noProof/>
            <w:webHidden/>
          </w:rPr>
          <w:fldChar w:fldCharType="begin"/>
        </w:r>
        <w:r>
          <w:rPr>
            <w:noProof/>
            <w:webHidden/>
          </w:rPr>
          <w:instrText xml:space="preserve"> PAGEREF _Toc520837917 \h </w:instrText>
        </w:r>
        <w:r>
          <w:rPr>
            <w:noProof/>
            <w:webHidden/>
          </w:rPr>
        </w:r>
        <w:r>
          <w:rPr>
            <w:noProof/>
            <w:webHidden/>
          </w:rPr>
          <w:fldChar w:fldCharType="separate"/>
        </w:r>
        <w:r>
          <w:rPr>
            <w:noProof/>
            <w:webHidden/>
          </w:rPr>
          <w:t>101</w:t>
        </w:r>
        <w:r>
          <w:rPr>
            <w:noProof/>
            <w:webHidden/>
          </w:rPr>
          <w:fldChar w:fldCharType="end"/>
        </w:r>
      </w:hyperlink>
    </w:p>
    <w:p w14:paraId="707BC614"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18" w:history="1">
        <w:r w:rsidRPr="009363E2">
          <w:rPr>
            <w:rStyle w:val="Hyperlink"/>
            <w:noProof/>
          </w:rPr>
          <w:t>4.2.7 RNA extraction and qRT-PCR analysis</w:t>
        </w:r>
        <w:r>
          <w:rPr>
            <w:noProof/>
            <w:webHidden/>
          </w:rPr>
          <w:tab/>
        </w:r>
        <w:r>
          <w:rPr>
            <w:noProof/>
            <w:webHidden/>
          </w:rPr>
          <w:fldChar w:fldCharType="begin"/>
        </w:r>
        <w:r>
          <w:rPr>
            <w:noProof/>
            <w:webHidden/>
          </w:rPr>
          <w:instrText xml:space="preserve"> PAGEREF _Toc520837918 \h </w:instrText>
        </w:r>
        <w:r>
          <w:rPr>
            <w:noProof/>
            <w:webHidden/>
          </w:rPr>
        </w:r>
        <w:r>
          <w:rPr>
            <w:noProof/>
            <w:webHidden/>
          </w:rPr>
          <w:fldChar w:fldCharType="separate"/>
        </w:r>
        <w:r>
          <w:rPr>
            <w:noProof/>
            <w:webHidden/>
          </w:rPr>
          <w:t>102</w:t>
        </w:r>
        <w:r>
          <w:rPr>
            <w:noProof/>
            <w:webHidden/>
          </w:rPr>
          <w:fldChar w:fldCharType="end"/>
        </w:r>
      </w:hyperlink>
    </w:p>
    <w:p w14:paraId="576AE779"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19" w:history="1">
        <w:r w:rsidRPr="009363E2">
          <w:rPr>
            <w:rStyle w:val="Hyperlink"/>
            <w:noProof/>
          </w:rPr>
          <w:t>4.2.8 Statistical analysis</w:t>
        </w:r>
        <w:r>
          <w:rPr>
            <w:noProof/>
            <w:webHidden/>
          </w:rPr>
          <w:tab/>
        </w:r>
        <w:r>
          <w:rPr>
            <w:noProof/>
            <w:webHidden/>
          </w:rPr>
          <w:fldChar w:fldCharType="begin"/>
        </w:r>
        <w:r>
          <w:rPr>
            <w:noProof/>
            <w:webHidden/>
          </w:rPr>
          <w:instrText xml:space="preserve"> PAGEREF _Toc520837919 \h </w:instrText>
        </w:r>
        <w:r>
          <w:rPr>
            <w:noProof/>
            <w:webHidden/>
          </w:rPr>
        </w:r>
        <w:r>
          <w:rPr>
            <w:noProof/>
            <w:webHidden/>
          </w:rPr>
          <w:fldChar w:fldCharType="separate"/>
        </w:r>
        <w:r>
          <w:rPr>
            <w:noProof/>
            <w:webHidden/>
          </w:rPr>
          <w:t>103</w:t>
        </w:r>
        <w:r>
          <w:rPr>
            <w:noProof/>
            <w:webHidden/>
          </w:rPr>
          <w:fldChar w:fldCharType="end"/>
        </w:r>
      </w:hyperlink>
    </w:p>
    <w:p w14:paraId="3B3EF0B0"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20" w:history="1">
        <w:r w:rsidRPr="009363E2">
          <w:rPr>
            <w:rStyle w:val="Hyperlink"/>
            <w:noProof/>
          </w:rPr>
          <w:t>4.3 Results</w:t>
        </w:r>
        <w:r>
          <w:rPr>
            <w:noProof/>
            <w:webHidden/>
          </w:rPr>
          <w:tab/>
        </w:r>
        <w:r>
          <w:rPr>
            <w:noProof/>
            <w:webHidden/>
          </w:rPr>
          <w:fldChar w:fldCharType="begin"/>
        </w:r>
        <w:r>
          <w:rPr>
            <w:noProof/>
            <w:webHidden/>
          </w:rPr>
          <w:instrText xml:space="preserve"> PAGEREF _Toc520837920 \h </w:instrText>
        </w:r>
        <w:r>
          <w:rPr>
            <w:noProof/>
            <w:webHidden/>
          </w:rPr>
        </w:r>
        <w:r>
          <w:rPr>
            <w:noProof/>
            <w:webHidden/>
          </w:rPr>
          <w:fldChar w:fldCharType="separate"/>
        </w:r>
        <w:r>
          <w:rPr>
            <w:noProof/>
            <w:webHidden/>
          </w:rPr>
          <w:t>104</w:t>
        </w:r>
        <w:r>
          <w:rPr>
            <w:noProof/>
            <w:webHidden/>
          </w:rPr>
          <w:fldChar w:fldCharType="end"/>
        </w:r>
      </w:hyperlink>
    </w:p>
    <w:p w14:paraId="78A460B5"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21" w:history="1">
        <w:r w:rsidRPr="009363E2">
          <w:rPr>
            <w:rStyle w:val="Hyperlink"/>
            <w:noProof/>
          </w:rPr>
          <w:t>4.3.1 Characterisation of HAP-coated polystyrene discs with SEM-EDX</w:t>
        </w:r>
        <w:r>
          <w:rPr>
            <w:noProof/>
            <w:webHidden/>
          </w:rPr>
          <w:tab/>
        </w:r>
        <w:r>
          <w:rPr>
            <w:noProof/>
            <w:webHidden/>
          </w:rPr>
          <w:fldChar w:fldCharType="begin"/>
        </w:r>
        <w:r>
          <w:rPr>
            <w:noProof/>
            <w:webHidden/>
          </w:rPr>
          <w:instrText xml:space="preserve"> PAGEREF _Toc520837921 \h </w:instrText>
        </w:r>
        <w:r>
          <w:rPr>
            <w:noProof/>
            <w:webHidden/>
          </w:rPr>
        </w:r>
        <w:r>
          <w:rPr>
            <w:noProof/>
            <w:webHidden/>
          </w:rPr>
          <w:fldChar w:fldCharType="separate"/>
        </w:r>
        <w:r>
          <w:rPr>
            <w:noProof/>
            <w:webHidden/>
          </w:rPr>
          <w:t>104</w:t>
        </w:r>
        <w:r>
          <w:rPr>
            <w:noProof/>
            <w:webHidden/>
          </w:rPr>
          <w:fldChar w:fldCharType="end"/>
        </w:r>
      </w:hyperlink>
    </w:p>
    <w:p w14:paraId="551EF89D"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22" w:history="1">
        <w:r w:rsidRPr="009363E2">
          <w:rPr>
            <w:rStyle w:val="Hyperlink"/>
            <w:noProof/>
          </w:rPr>
          <w:t xml:space="preserve">4.3.2 Growth and hyphal morphology responses of </w:t>
        </w:r>
        <w:r w:rsidRPr="009363E2">
          <w:rPr>
            <w:rStyle w:val="Hyperlink"/>
            <w:i/>
            <w:noProof/>
          </w:rPr>
          <w:t>P. involutus</w:t>
        </w:r>
        <w:r w:rsidRPr="009363E2">
          <w:rPr>
            <w:rStyle w:val="Hyperlink"/>
            <w:noProof/>
          </w:rPr>
          <w:t xml:space="preserve"> within the HAP solubilisation system</w:t>
        </w:r>
        <w:r>
          <w:rPr>
            <w:noProof/>
            <w:webHidden/>
          </w:rPr>
          <w:tab/>
        </w:r>
        <w:r>
          <w:rPr>
            <w:noProof/>
            <w:webHidden/>
          </w:rPr>
          <w:fldChar w:fldCharType="begin"/>
        </w:r>
        <w:r>
          <w:rPr>
            <w:noProof/>
            <w:webHidden/>
          </w:rPr>
          <w:instrText xml:space="preserve"> PAGEREF _Toc520837922 \h </w:instrText>
        </w:r>
        <w:r>
          <w:rPr>
            <w:noProof/>
            <w:webHidden/>
          </w:rPr>
        </w:r>
        <w:r>
          <w:rPr>
            <w:noProof/>
            <w:webHidden/>
          </w:rPr>
          <w:fldChar w:fldCharType="separate"/>
        </w:r>
        <w:r>
          <w:rPr>
            <w:noProof/>
            <w:webHidden/>
          </w:rPr>
          <w:t>106</w:t>
        </w:r>
        <w:r>
          <w:rPr>
            <w:noProof/>
            <w:webHidden/>
          </w:rPr>
          <w:fldChar w:fldCharType="end"/>
        </w:r>
      </w:hyperlink>
    </w:p>
    <w:p w14:paraId="2034786D"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23" w:history="1">
        <w:r w:rsidRPr="009363E2">
          <w:rPr>
            <w:rStyle w:val="Hyperlink"/>
            <w:noProof/>
          </w:rPr>
          <w:t xml:space="preserve">4.3.3 Formation of secondary minerals in response to HAP solubilisation by the hyphae of </w:t>
        </w:r>
        <w:r w:rsidRPr="009363E2">
          <w:rPr>
            <w:rStyle w:val="Hyperlink"/>
            <w:i/>
            <w:noProof/>
          </w:rPr>
          <w:t>P. involutus</w:t>
        </w:r>
        <w:r>
          <w:rPr>
            <w:noProof/>
            <w:webHidden/>
          </w:rPr>
          <w:tab/>
        </w:r>
        <w:r>
          <w:rPr>
            <w:noProof/>
            <w:webHidden/>
          </w:rPr>
          <w:fldChar w:fldCharType="begin"/>
        </w:r>
        <w:r>
          <w:rPr>
            <w:noProof/>
            <w:webHidden/>
          </w:rPr>
          <w:instrText xml:space="preserve"> PAGEREF _Toc520837923 \h </w:instrText>
        </w:r>
        <w:r>
          <w:rPr>
            <w:noProof/>
            <w:webHidden/>
          </w:rPr>
        </w:r>
        <w:r>
          <w:rPr>
            <w:noProof/>
            <w:webHidden/>
          </w:rPr>
          <w:fldChar w:fldCharType="separate"/>
        </w:r>
        <w:r>
          <w:rPr>
            <w:noProof/>
            <w:webHidden/>
          </w:rPr>
          <w:t>110</w:t>
        </w:r>
        <w:r>
          <w:rPr>
            <w:noProof/>
            <w:webHidden/>
          </w:rPr>
          <w:fldChar w:fldCharType="end"/>
        </w:r>
      </w:hyperlink>
    </w:p>
    <w:p w14:paraId="17FCBBD3"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24" w:history="1">
        <w:r w:rsidRPr="009363E2">
          <w:rPr>
            <w:rStyle w:val="Hyperlink"/>
            <w:noProof/>
          </w:rPr>
          <w:t xml:space="preserve">4.3.4 Elemental analysis and microscopy of HAP-coated polystyrene discs post colonisation by the hyphae of </w:t>
        </w:r>
        <w:r w:rsidRPr="009363E2">
          <w:rPr>
            <w:rStyle w:val="Hyperlink"/>
            <w:i/>
            <w:noProof/>
          </w:rPr>
          <w:t xml:space="preserve">P. involutus </w:t>
        </w:r>
        <w:r w:rsidRPr="009363E2">
          <w:rPr>
            <w:rStyle w:val="Hyperlink"/>
            <w:noProof/>
          </w:rPr>
          <w:t>using SEM-EDX</w:t>
        </w:r>
        <w:r>
          <w:rPr>
            <w:noProof/>
            <w:webHidden/>
          </w:rPr>
          <w:tab/>
        </w:r>
        <w:r>
          <w:rPr>
            <w:noProof/>
            <w:webHidden/>
          </w:rPr>
          <w:fldChar w:fldCharType="begin"/>
        </w:r>
        <w:r>
          <w:rPr>
            <w:noProof/>
            <w:webHidden/>
          </w:rPr>
          <w:instrText xml:space="preserve"> PAGEREF _Toc520837924 \h </w:instrText>
        </w:r>
        <w:r>
          <w:rPr>
            <w:noProof/>
            <w:webHidden/>
          </w:rPr>
        </w:r>
        <w:r>
          <w:rPr>
            <w:noProof/>
            <w:webHidden/>
          </w:rPr>
          <w:fldChar w:fldCharType="separate"/>
        </w:r>
        <w:r>
          <w:rPr>
            <w:noProof/>
            <w:webHidden/>
          </w:rPr>
          <w:t>114</w:t>
        </w:r>
        <w:r>
          <w:rPr>
            <w:noProof/>
            <w:webHidden/>
          </w:rPr>
          <w:fldChar w:fldCharType="end"/>
        </w:r>
      </w:hyperlink>
    </w:p>
    <w:p w14:paraId="55BE5967"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25" w:history="1">
        <w:r w:rsidRPr="009363E2">
          <w:rPr>
            <w:rStyle w:val="Hyperlink"/>
            <w:noProof/>
          </w:rPr>
          <w:t xml:space="preserve">4.3.5 Gene expression responses of </w:t>
        </w:r>
        <w:r w:rsidRPr="009363E2">
          <w:rPr>
            <w:rStyle w:val="Hyperlink"/>
            <w:i/>
            <w:noProof/>
          </w:rPr>
          <w:t>P. involutus</w:t>
        </w:r>
        <w:r w:rsidRPr="009363E2">
          <w:rPr>
            <w:rStyle w:val="Hyperlink"/>
            <w:noProof/>
          </w:rPr>
          <w:t xml:space="preserve"> candidate weathering genes to HAP solubilisation with qRT-PCR</w:t>
        </w:r>
        <w:r>
          <w:rPr>
            <w:noProof/>
            <w:webHidden/>
          </w:rPr>
          <w:tab/>
        </w:r>
        <w:r>
          <w:rPr>
            <w:noProof/>
            <w:webHidden/>
          </w:rPr>
          <w:fldChar w:fldCharType="begin"/>
        </w:r>
        <w:r>
          <w:rPr>
            <w:noProof/>
            <w:webHidden/>
          </w:rPr>
          <w:instrText xml:space="preserve"> PAGEREF _Toc520837925 \h </w:instrText>
        </w:r>
        <w:r>
          <w:rPr>
            <w:noProof/>
            <w:webHidden/>
          </w:rPr>
        </w:r>
        <w:r>
          <w:rPr>
            <w:noProof/>
            <w:webHidden/>
          </w:rPr>
          <w:fldChar w:fldCharType="separate"/>
        </w:r>
        <w:r>
          <w:rPr>
            <w:noProof/>
            <w:webHidden/>
          </w:rPr>
          <w:t>121</w:t>
        </w:r>
        <w:r>
          <w:rPr>
            <w:noProof/>
            <w:webHidden/>
          </w:rPr>
          <w:fldChar w:fldCharType="end"/>
        </w:r>
      </w:hyperlink>
    </w:p>
    <w:p w14:paraId="0278B6C3"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26" w:history="1">
        <w:r w:rsidRPr="009363E2">
          <w:rPr>
            <w:rStyle w:val="Hyperlink"/>
            <w:noProof/>
          </w:rPr>
          <w:t>4.4 Discussion</w:t>
        </w:r>
        <w:r>
          <w:rPr>
            <w:noProof/>
            <w:webHidden/>
          </w:rPr>
          <w:tab/>
        </w:r>
        <w:r>
          <w:rPr>
            <w:noProof/>
            <w:webHidden/>
          </w:rPr>
          <w:fldChar w:fldCharType="begin"/>
        </w:r>
        <w:r>
          <w:rPr>
            <w:noProof/>
            <w:webHidden/>
          </w:rPr>
          <w:instrText xml:space="preserve"> PAGEREF _Toc520837926 \h </w:instrText>
        </w:r>
        <w:r>
          <w:rPr>
            <w:noProof/>
            <w:webHidden/>
          </w:rPr>
        </w:r>
        <w:r>
          <w:rPr>
            <w:noProof/>
            <w:webHidden/>
          </w:rPr>
          <w:fldChar w:fldCharType="separate"/>
        </w:r>
        <w:r>
          <w:rPr>
            <w:noProof/>
            <w:webHidden/>
          </w:rPr>
          <w:t>124</w:t>
        </w:r>
        <w:r>
          <w:rPr>
            <w:noProof/>
            <w:webHidden/>
          </w:rPr>
          <w:fldChar w:fldCharType="end"/>
        </w:r>
      </w:hyperlink>
    </w:p>
    <w:p w14:paraId="6C08115B"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27" w:history="1">
        <w:r w:rsidRPr="009363E2">
          <w:rPr>
            <w:rStyle w:val="Hyperlink"/>
            <w:noProof/>
          </w:rPr>
          <w:t xml:space="preserve">4.4.1 Colonisation and solubilisation of synthetic HAP by </w:t>
        </w:r>
        <w:r w:rsidRPr="009363E2">
          <w:rPr>
            <w:rStyle w:val="Hyperlink"/>
            <w:i/>
            <w:noProof/>
          </w:rPr>
          <w:t>P. involutus</w:t>
        </w:r>
        <w:r>
          <w:rPr>
            <w:noProof/>
            <w:webHidden/>
          </w:rPr>
          <w:tab/>
        </w:r>
        <w:r>
          <w:rPr>
            <w:noProof/>
            <w:webHidden/>
          </w:rPr>
          <w:fldChar w:fldCharType="begin"/>
        </w:r>
        <w:r>
          <w:rPr>
            <w:noProof/>
            <w:webHidden/>
          </w:rPr>
          <w:instrText xml:space="preserve"> PAGEREF _Toc520837927 \h </w:instrText>
        </w:r>
        <w:r>
          <w:rPr>
            <w:noProof/>
            <w:webHidden/>
          </w:rPr>
        </w:r>
        <w:r>
          <w:rPr>
            <w:noProof/>
            <w:webHidden/>
          </w:rPr>
          <w:fldChar w:fldCharType="separate"/>
        </w:r>
        <w:r>
          <w:rPr>
            <w:noProof/>
            <w:webHidden/>
          </w:rPr>
          <w:t>124</w:t>
        </w:r>
        <w:r>
          <w:rPr>
            <w:noProof/>
            <w:webHidden/>
          </w:rPr>
          <w:fldChar w:fldCharType="end"/>
        </w:r>
      </w:hyperlink>
    </w:p>
    <w:p w14:paraId="0C8ECAF2"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28" w:history="1">
        <w:r w:rsidRPr="009363E2">
          <w:rPr>
            <w:rStyle w:val="Hyperlink"/>
            <w:noProof/>
          </w:rPr>
          <w:t xml:space="preserve">4.4.2 Formation of secondary minerals by </w:t>
        </w:r>
        <w:r w:rsidRPr="009363E2">
          <w:rPr>
            <w:rStyle w:val="Hyperlink"/>
            <w:i/>
            <w:noProof/>
          </w:rPr>
          <w:t>P. involutus</w:t>
        </w:r>
        <w:r w:rsidRPr="009363E2">
          <w:rPr>
            <w:rStyle w:val="Hyperlink"/>
            <w:noProof/>
          </w:rPr>
          <w:t xml:space="preserve"> on the surface of HAP-coated disks</w:t>
        </w:r>
        <w:r>
          <w:rPr>
            <w:noProof/>
            <w:webHidden/>
          </w:rPr>
          <w:tab/>
        </w:r>
        <w:r>
          <w:rPr>
            <w:noProof/>
            <w:webHidden/>
          </w:rPr>
          <w:fldChar w:fldCharType="begin"/>
        </w:r>
        <w:r>
          <w:rPr>
            <w:noProof/>
            <w:webHidden/>
          </w:rPr>
          <w:instrText xml:space="preserve"> PAGEREF _Toc520837928 \h </w:instrText>
        </w:r>
        <w:r>
          <w:rPr>
            <w:noProof/>
            <w:webHidden/>
          </w:rPr>
        </w:r>
        <w:r>
          <w:rPr>
            <w:noProof/>
            <w:webHidden/>
          </w:rPr>
          <w:fldChar w:fldCharType="separate"/>
        </w:r>
        <w:r>
          <w:rPr>
            <w:noProof/>
            <w:webHidden/>
          </w:rPr>
          <w:t>125</w:t>
        </w:r>
        <w:r>
          <w:rPr>
            <w:noProof/>
            <w:webHidden/>
          </w:rPr>
          <w:fldChar w:fldCharType="end"/>
        </w:r>
      </w:hyperlink>
    </w:p>
    <w:p w14:paraId="5D0C6C45"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29" w:history="1">
        <w:r w:rsidRPr="009363E2">
          <w:rPr>
            <w:rStyle w:val="Hyperlink"/>
            <w:noProof/>
          </w:rPr>
          <w:t xml:space="preserve">4.4.3 Gene expression analysis of </w:t>
        </w:r>
        <w:r w:rsidRPr="009363E2">
          <w:rPr>
            <w:rStyle w:val="Hyperlink"/>
            <w:i/>
            <w:noProof/>
          </w:rPr>
          <w:t>P. involutus</w:t>
        </w:r>
        <w:r w:rsidRPr="009363E2">
          <w:rPr>
            <w:rStyle w:val="Hyperlink"/>
            <w:noProof/>
          </w:rPr>
          <w:t xml:space="preserve"> genes putatively involved in the process of HAP solubilisation with qRT-PCR</w:t>
        </w:r>
        <w:r>
          <w:rPr>
            <w:noProof/>
            <w:webHidden/>
          </w:rPr>
          <w:tab/>
        </w:r>
        <w:r>
          <w:rPr>
            <w:noProof/>
            <w:webHidden/>
          </w:rPr>
          <w:fldChar w:fldCharType="begin"/>
        </w:r>
        <w:r>
          <w:rPr>
            <w:noProof/>
            <w:webHidden/>
          </w:rPr>
          <w:instrText xml:space="preserve"> PAGEREF _Toc520837929 \h </w:instrText>
        </w:r>
        <w:r>
          <w:rPr>
            <w:noProof/>
            <w:webHidden/>
          </w:rPr>
        </w:r>
        <w:r>
          <w:rPr>
            <w:noProof/>
            <w:webHidden/>
          </w:rPr>
          <w:fldChar w:fldCharType="separate"/>
        </w:r>
        <w:r>
          <w:rPr>
            <w:noProof/>
            <w:webHidden/>
          </w:rPr>
          <w:t>126</w:t>
        </w:r>
        <w:r>
          <w:rPr>
            <w:noProof/>
            <w:webHidden/>
          </w:rPr>
          <w:fldChar w:fldCharType="end"/>
        </w:r>
      </w:hyperlink>
    </w:p>
    <w:p w14:paraId="40A28269"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30" w:history="1">
        <w:r w:rsidRPr="009363E2">
          <w:rPr>
            <w:rStyle w:val="Hyperlink"/>
            <w:noProof/>
          </w:rPr>
          <w:t xml:space="preserve">4.4.4 Gene expression analysis of </w:t>
        </w:r>
        <w:r w:rsidRPr="009363E2">
          <w:rPr>
            <w:rStyle w:val="Hyperlink"/>
            <w:i/>
            <w:noProof/>
          </w:rPr>
          <w:t>P. involutus</w:t>
        </w:r>
        <w:r w:rsidRPr="009363E2">
          <w:rPr>
            <w:rStyle w:val="Hyperlink"/>
            <w:noProof/>
          </w:rPr>
          <w:t xml:space="preserve"> high-affinity Pi transporter gene </w:t>
        </w:r>
        <w:r w:rsidRPr="009363E2">
          <w:rPr>
            <w:rStyle w:val="Hyperlink"/>
            <w:i/>
            <w:noProof/>
          </w:rPr>
          <w:t>PiPT1</w:t>
        </w:r>
        <w:r>
          <w:rPr>
            <w:noProof/>
            <w:webHidden/>
          </w:rPr>
          <w:tab/>
        </w:r>
        <w:r>
          <w:rPr>
            <w:noProof/>
            <w:webHidden/>
          </w:rPr>
          <w:fldChar w:fldCharType="begin"/>
        </w:r>
        <w:r>
          <w:rPr>
            <w:noProof/>
            <w:webHidden/>
          </w:rPr>
          <w:instrText xml:space="preserve"> PAGEREF _Toc520837930 \h </w:instrText>
        </w:r>
        <w:r>
          <w:rPr>
            <w:noProof/>
            <w:webHidden/>
          </w:rPr>
        </w:r>
        <w:r>
          <w:rPr>
            <w:noProof/>
            <w:webHidden/>
          </w:rPr>
          <w:fldChar w:fldCharType="separate"/>
        </w:r>
        <w:r>
          <w:rPr>
            <w:noProof/>
            <w:webHidden/>
          </w:rPr>
          <w:t>127</w:t>
        </w:r>
        <w:r>
          <w:rPr>
            <w:noProof/>
            <w:webHidden/>
          </w:rPr>
          <w:fldChar w:fldCharType="end"/>
        </w:r>
      </w:hyperlink>
    </w:p>
    <w:p w14:paraId="3571CCD6"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31" w:history="1">
        <w:r w:rsidRPr="009363E2">
          <w:rPr>
            <w:rStyle w:val="Hyperlink"/>
            <w:noProof/>
          </w:rPr>
          <w:t>4.5 Conclusions</w:t>
        </w:r>
        <w:r>
          <w:rPr>
            <w:noProof/>
            <w:webHidden/>
          </w:rPr>
          <w:tab/>
        </w:r>
        <w:r>
          <w:rPr>
            <w:noProof/>
            <w:webHidden/>
          </w:rPr>
          <w:fldChar w:fldCharType="begin"/>
        </w:r>
        <w:r>
          <w:rPr>
            <w:noProof/>
            <w:webHidden/>
          </w:rPr>
          <w:instrText xml:space="preserve"> PAGEREF _Toc520837931 \h </w:instrText>
        </w:r>
        <w:r>
          <w:rPr>
            <w:noProof/>
            <w:webHidden/>
          </w:rPr>
        </w:r>
        <w:r>
          <w:rPr>
            <w:noProof/>
            <w:webHidden/>
          </w:rPr>
          <w:fldChar w:fldCharType="separate"/>
        </w:r>
        <w:r>
          <w:rPr>
            <w:noProof/>
            <w:webHidden/>
          </w:rPr>
          <w:t>128</w:t>
        </w:r>
        <w:r>
          <w:rPr>
            <w:noProof/>
            <w:webHidden/>
          </w:rPr>
          <w:fldChar w:fldCharType="end"/>
        </w:r>
      </w:hyperlink>
    </w:p>
    <w:p w14:paraId="69CC0DA6" w14:textId="77777777" w:rsidR="003B197E" w:rsidRDefault="003B197E" w:rsidP="003B197E">
      <w:pPr>
        <w:pStyle w:val="TOC1"/>
        <w:tabs>
          <w:tab w:val="right" w:leader="dot" w:pos="9350"/>
        </w:tabs>
        <w:rPr>
          <w:rFonts w:asciiTheme="minorHAnsi" w:eastAsiaTheme="minorEastAsia" w:hAnsiTheme="minorHAnsi"/>
          <w:b w:val="0"/>
          <w:iCs w:val="0"/>
          <w:noProof/>
          <w:color w:val="auto"/>
          <w:sz w:val="22"/>
          <w:szCs w:val="22"/>
          <w:lang w:eastAsia="en-GB"/>
        </w:rPr>
      </w:pPr>
      <w:hyperlink w:anchor="_Toc520837932" w:history="1">
        <w:r w:rsidRPr="009363E2">
          <w:rPr>
            <w:rStyle w:val="Hyperlink"/>
            <w:noProof/>
          </w:rPr>
          <w:t xml:space="preserve">Chapter 5. Investigating the “omics” of </w:t>
        </w:r>
        <w:r w:rsidRPr="009363E2">
          <w:rPr>
            <w:rStyle w:val="Hyperlink"/>
            <w:i/>
            <w:noProof/>
          </w:rPr>
          <w:t>Paxillus involutus</w:t>
        </w:r>
        <w:r w:rsidRPr="009363E2">
          <w:rPr>
            <w:rStyle w:val="Hyperlink"/>
            <w:noProof/>
          </w:rPr>
          <w:t xml:space="preserve"> on hydroxyapatite solubilisation during ectomycorrhizal symbiosis</w:t>
        </w:r>
        <w:r>
          <w:rPr>
            <w:noProof/>
            <w:webHidden/>
          </w:rPr>
          <w:tab/>
        </w:r>
        <w:r>
          <w:rPr>
            <w:noProof/>
            <w:webHidden/>
          </w:rPr>
          <w:fldChar w:fldCharType="begin"/>
        </w:r>
        <w:r>
          <w:rPr>
            <w:noProof/>
            <w:webHidden/>
          </w:rPr>
          <w:instrText xml:space="preserve"> PAGEREF _Toc520837932 \h </w:instrText>
        </w:r>
        <w:r>
          <w:rPr>
            <w:noProof/>
            <w:webHidden/>
          </w:rPr>
        </w:r>
        <w:r>
          <w:rPr>
            <w:noProof/>
            <w:webHidden/>
          </w:rPr>
          <w:fldChar w:fldCharType="separate"/>
        </w:r>
        <w:r>
          <w:rPr>
            <w:noProof/>
            <w:webHidden/>
          </w:rPr>
          <w:t>129</w:t>
        </w:r>
        <w:r>
          <w:rPr>
            <w:noProof/>
            <w:webHidden/>
          </w:rPr>
          <w:fldChar w:fldCharType="end"/>
        </w:r>
      </w:hyperlink>
    </w:p>
    <w:p w14:paraId="54348653"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33" w:history="1">
        <w:r w:rsidRPr="009363E2">
          <w:rPr>
            <w:rStyle w:val="Hyperlink"/>
            <w:noProof/>
          </w:rPr>
          <w:t>5.1 Introduction</w:t>
        </w:r>
        <w:r>
          <w:rPr>
            <w:noProof/>
            <w:webHidden/>
          </w:rPr>
          <w:tab/>
        </w:r>
        <w:r>
          <w:rPr>
            <w:noProof/>
            <w:webHidden/>
          </w:rPr>
          <w:fldChar w:fldCharType="begin"/>
        </w:r>
        <w:r>
          <w:rPr>
            <w:noProof/>
            <w:webHidden/>
          </w:rPr>
          <w:instrText xml:space="preserve"> PAGEREF _Toc520837933 \h </w:instrText>
        </w:r>
        <w:r>
          <w:rPr>
            <w:noProof/>
            <w:webHidden/>
          </w:rPr>
        </w:r>
        <w:r>
          <w:rPr>
            <w:noProof/>
            <w:webHidden/>
          </w:rPr>
          <w:fldChar w:fldCharType="separate"/>
        </w:r>
        <w:r>
          <w:rPr>
            <w:noProof/>
            <w:webHidden/>
          </w:rPr>
          <w:t>129</w:t>
        </w:r>
        <w:r>
          <w:rPr>
            <w:noProof/>
            <w:webHidden/>
          </w:rPr>
          <w:fldChar w:fldCharType="end"/>
        </w:r>
      </w:hyperlink>
    </w:p>
    <w:p w14:paraId="7E120301"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34" w:history="1">
        <w:r w:rsidRPr="009363E2">
          <w:rPr>
            <w:rStyle w:val="Hyperlink"/>
            <w:noProof/>
          </w:rPr>
          <w:t>5.2 Materials and Methods</w:t>
        </w:r>
        <w:r>
          <w:rPr>
            <w:noProof/>
            <w:webHidden/>
          </w:rPr>
          <w:tab/>
        </w:r>
        <w:r>
          <w:rPr>
            <w:noProof/>
            <w:webHidden/>
          </w:rPr>
          <w:fldChar w:fldCharType="begin"/>
        </w:r>
        <w:r>
          <w:rPr>
            <w:noProof/>
            <w:webHidden/>
          </w:rPr>
          <w:instrText xml:space="preserve"> PAGEREF _Toc520837934 \h </w:instrText>
        </w:r>
        <w:r>
          <w:rPr>
            <w:noProof/>
            <w:webHidden/>
          </w:rPr>
        </w:r>
        <w:r>
          <w:rPr>
            <w:noProof/>
            <w:webHidden/>
          </w:rPr>
          <w:fldChar w:fldCharType="separate"/>
        </w:r>
        <w:r>
          <w:rPr>
            <w:noProof/>
            <w:webHidden/>
          </w:rPr>
          <w:t>133</w:t>
        </w:r>
        <w:r>
          <w:rPr>
            <w:noProof/>
            <w:webHidden/>
          </w:rPr>
          <w:fldChar w:fldCharType="end"/>
        </w:r>
      </w:hyperlink>
    </w:p>
    <w:p w14:paraId="140A29F0"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35" w:history="1">
        <w:r w:rsidRPr="009363E2">
          <w:rPr>
            <w:rStyle w:val="Hyperlink"/>
            <w:noProof/>
          </w:rPr>
          <w:t>5.2.1 Preparation of synthetic HAP-coated discs</w:t>
        </w:r>
        <w:r>
          <w:rPr>
            <w:noProof/>
            <w:webHidden/>
          </w:rPr>
          <w:tab/>
        </w:r>
        <w:r>
          <w:rPr>
            <w:noProof/>
            <w:webHidden/>
          </w:rPr>
          <w:fldChar w:fldCharType="begin"/>
        </w:r>
        <w:r>
          <w:rPr>
            <w:noProof/>
            <w:webHidden/>
          </w:rPr>
          <w:instrText xml:space="preserve"> PAGEREF _Toc520837935 \h </w:instrText>
        </w:r>
        <w:r>
          <w:rPr>
            <w:noProof/>
            <w:webHidden/>
          </w:rPr>
        </w:r>
        <w:r>
          <w:rPr>
            <w:noProof/>
            <w:webHidden/>
          </w:rPr>
          <w:fldChar w:fldCharType="separate"/>
        </w:r>
        <w:r>
          <w:rPr>
            <w:noProof/>
            <w:webHidden/>
          </w:rPr>
          <w:t>133</w:t>
        </w:r>
        <w:r>
          <w:rPr>
            <w:noProof/>
            <w:webHidden/>
          </w:rPr>
          <w:fldChar w:fldCharType="end"/>
        </w:r>
      </w:hyperlink>
    </w:p>
    <w:p w14:paraId="64F7974E"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36" w:history="1">
        <w:r w:rsidRPr="009363E2">
          <w:rPr>
            <w:rStyle w:val="Hyperlink"/>
            <w:noProof/>
          </w:rPr>
          <w:t>5.2.2 Experimental design of the HAP solubilisation system</w:t>
        </w:r>
        <w:r>
          <w:rPr>
            <w:noProof/>
            <w:webHidden/>
          </w:rPr>
          <w:tab/>
        </w:r>
        <w:r>
          <w:rPr>
            <w:noProof/>
            <w:webHidden/>
          </w:rPr>
          <w:fldChar w:fldCharType="begin"/>
        </w:r>
        <w:r>
          <w:rPr>
            <w:noProof/>
            <w:webHidden/>
          </w:rPr>
          <w:instrText xml:space="preserve"> PAGEREF _Toc520837936 \h </w:instrText>
        </w:r>
        <w:r>
          <w:rPr>
            <w:noProof/>
            <w:webHidden/>
          </w:rPr>
        </w:r>
        <w:r>
          <w:rPr>
            <w:noProof/>
            <w:webHidden/>
          </w:rPr>
          <w:fldChar w:fldCharType="separate"/>
        </w:r>
        <w:r>
          <w:rPr>
            <w:noProof/>
            <w:webHidden/>
          </w:rPr>
          <w:t>133</w:t>
        </w:r>
        <w:r>
          <w:rPr>
            <w:noProof/>
            <w:webHidden/>
          </w:rPr>
          <w:fldChar w:fldCharType="end"/>
        </w:r>
      </w:hyperlink>
    </w:p>
    <w:p w14:paraId="0974713E"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37" w:history="1">
        <w:r w:rsidRPr="009363E2">
          <w:rPr>
            <w:rStyle w:val="Hyperlink"/>
            <w:noProof/>
          </w:rPr>
          <w:t>5.2.3 Fungal material</w:t>
        </w:r>
        <w:r>
          <w:rPr>
            <w:noProof/>
            <w:webHidden/>
          </w:rPr>
          <w:tab/>
        </w:r>
        <w:r>
          <w:rPr>
            <w:noProof/>
            <w:webHidden/>
          </w:rPr>
          <w:fldChar w:fldCharType="begin"/>
        </w:r>
        <w:r>
          <w:rPr>
            <w:noProof/>
            <w:webHidden/>
          </w:rPr>
          <w:instrText xml:space="preserve"> PAGEREF _Toc520837937 \h </w:instrText>
        </w:r>
        <w:r>
          <w:rPr>
            <w:noProof/>
            <w:webHidden/>
          </w:rPr>
        </w:r>
        <w:r>
          <w:rPr>
            <w:noProof/>
            <w:webHidden/>
          </w:rPr>
          <w:fldChar w:fldCharType="separate"/>
        </w:r>
        <w:r>
          <w:rPr>
            <w:noProof/>
            <w:webHidden/>
          </w:rPr>
          <w:t>134</w:t>
        </w:r>
        <w:r>
          <w:rPr>
            <w:noProof/>
            <w:webHidden/>
          </w:rPr>
          <w:fldChar w:fldCharType="end"/>
        </w:r>
      </w:hyperlink>
    </w:p>
    <w:p w14:paraId="53290C32"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38" w:history="1">
        <w:r w:rsidRPr="009363E2">
          <w:rPr>
            <w:rStyle w:val="Hyperlink"/>
            <w:noProof/>
          </w:rPr>
          <w:t>5.2.4 Determination of fungal and plant dry mass</w:t>
        </w:r>
        <w:r>
          <w:rPr>
            <w:noProof/>
            <w:webHidden/>
          </w:rPr>
          <w:tab/>
        </w:r>
        <w:r>
          <w:rPr>
            <w:noProof/>
            <w:webHidden/>
          </w:rPr>
          <w:fldChar w:fldCharType="begin"/>
        </w:r>
        <w:r>
          <w:rPr>
            <w:noProof/>
            <w:webHidden/>
          </w:rPr>
          <w:instrText xml:space="preserve"> PAGEREF _Toc520837938 \h </w:instrText>
        </w:r>
        <w:r>
          <w:rPr>
            <w:noProof/>
            <w:webHidden/>
          </w:rPr>
        </w:r>
        <w:r>
          <w:rPr>
            <w:noProof/>
            <w:webHidden/>
          </w:rPr>
          <w:fldChar w:fldCharType="separate"/>
        </w:r>
        <w:r>
          <w:rPr>
            <w:noProof/>
            <w:webHidden/>
          </w:rPr>
          <w:t>135</w:t>
        </w:r>
        <w:r>
          <w:rPr>
            <w:noProof/>
            <w:webHidden/>
          </w:rPr>
          <w:fldChar w:fldCharType="end"/>
        </w:r>
      </w:hyperlink>
    </w:p>
    <w:p w14:paraId="68C5CE9A"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39" w:history="1">
        <w:r w:rsidRPr="009363E2">
          <w:rPr>
            <w:rStyle w:val="Hyperlink"/>
            <w:noProof/>
          </w:rPr>
          <w:t>5.2.5 Determination of fungal and plant Pi content</w:t>
        </w:r>
        <w:r>
          <w:rPr>
            <w:noProof/>
            <w:webHidden/>
          </w:rPr>
          <w:tab/>
        </w:r>
        <w:r>
          <w:rPr>
            <w:noProof/>
            <w:webHidden/>
          </w:rPr>
          <w:fldChar w:fldCharType="begin"/>
        </w:r>
        <w:r>
          <w:rPr>
            <w:noProof/>
            <w:webHidden/>
          </w:rPr>
          <w:instrText xml:space="preserve"> PAGEREF _Toc520837939 \h </w:instrText>
        </w:r>
        <w:r>
          <w:rPr>
            <w:noProof/>
            <w:webHidden/>
          </w:rPr>
        </w:r>
        <w:r>
          <w:rPr>
            <w:noProof/>
            <w:webHidden/>
          </w:rPr>
          <w:fldChar w:fldCharType="separate"/>
        </w:r>
        <w:r>
          <w:rPr>
            <w:noProof/>
            <w:webHidden/>
          </w:rPr>
          <w:t>135</w:t>
        </w:r>
        <w:r>
          <w:rPr>
            <w:noProof/>
            <w:webHidden/>
          </w:rPr>
          <w:fldChar w:fldCharType="end"/>
        </w:r>
      </w:hyperlink>
    </w:p>
    <w:p w14:paraId="0793CE21"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40" w:history="1">
        <w:r w:rsidRPr="009363E2">
          <w:rPr>
            <w:rStyle w:val="Hyperlink"/>
            <w:noProof/>
          </w:rPr>
          <w:t>5.2.6 SEM-EDX analysis</w:t>
        </w:r>
        <w:r>
          <w:rPr>
            <w:noProof/>
            <w:webHidden/>
          </w:rPr>
          <w:tab/>
        </w:r>
        <w:r>
          <w:rPr>
            <w:noProof/>
            <w:webHidden/>
          </w:rPr>
          <w:fldChar w:fldCharType="begin"/>
        </w:r>
        <w:r>
          <w:rPr>
            <w:noProof/>
            <w:webHidden/>
          </w:rPr>
          <w:instrText xml:space="preserve"> PAGEREF _Toc520837940 \h </w:instrText>
        </w:r>
        <w:r>
          <w:rPr>
            <w:noProof/>
            <w:webHidden/>
          </w:rPr>
        </w:r>
        <w:r>
          <w:rPr>
            <w:noProof/>
            <w:webHidden/>
          </w:rPr>
          <w:fldChar w:fldCharType="separate"/>
        </w:r>
        <w:r>
          <w:rPr>
            <w:noProof/>
            <w:webHidden/>
          </w:rPr>
          <w:t>135</w:t>
        </w:r>
        <w:r>
          <w:rPr>
            <w:noProof/>
            <w:webHidden/>
          </w:rPr>
          <w:fldChar w:fldCharType="end"/>
        </w:r>
      </w:hyperlink>
    </w:p>
    <w:p w14:paraId="4C5775D8"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41" w:history="1">
        <w:r w:rsidRPr="009363E2">
          <w:rPr>
            <w:rStyle w:val="Hyperlink"/>
            <w:noProof/>
          </w:rPr>
          <w:t>5.2.7 Optical microscopy and imaging</w:t>
        </w:r>
        <w:r>
          <w:rPr>
            <w:noProof/>
            <w:webHidden/>
          </w:rPr>
          <w:tab/>
        </w:r>
        <w:r>
          <w:rPr>
            <w:noProof/>
            <w:webHidden/>
          </w:rPr>
          <w:fldChar w:fldCharType="begin"/>
        </w:r>
        <w:r>
          <w:rPr>
            <w:noProof/>
            <w:webHidden/>
          </w:rPr>
          <w:instrText xml:space="preserve"> PAGEREF _Toc520837941 \h </w:instrText>
        </w:r>
        <w:r>
          <w:rPr>
            <w:noProof/>
            <w:webHidden/>
          </w:rPr>
        </w:r>
        <w:r>
          <w:rPr>
            <w:noProof/>
            <w:webHidden/>
          </w:rPr>
          <w:fldChar w:fldCharType="separate"/>
        </w:r>
        <w:r>
          <w:rPr>
            <w:noProof/>
            <w:webHidden/>
          </w:rPr>
          <w:t>136</w:t>
        </w:r>
        <w:r>
          <w:rPr>
            <w:noProof/>
            <w:webHidden/>
          </w:rPr>
          <w:fldChar w:fldCharType="end"/>
        </w:r>
      </w:hyperlink>
    </w:p>
    <w:p w14:paraId="5250BF9A"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42" w:history="1">
        <w:r w:rsidRPr="009363E2">
          <w:rPr>
            <w:rStyle w:val="Hyperlink"/>
            <w:noProof/>
          </w:rPr>
          <w:t>5.2.8 Statistical analysis</w:t>
        </w:r>
        <w:r>
          <w:rPr>
            <w:noProof/>
            <w:webHidden/>
          </w:rPr>
          <w:tab/>
        </w:r>
        <w:r>
          <w:rPr>
            <w:noProof/>
            <w:webHidden/>
          </w:rPr>
          <w:fldChar w:fldCharType="begin"/>
        </w:r>
        <w:r>
          <w:rPr>
            <w:noProof/>
            <w:webHidden/>
          </w:rPr>
          <w:instrText xml:space="preserve"> PAGEREF _Toc520837942 \h </w:instrText>
        </w:r>
        <w:r>
          <w:rPr>
            <w:noProof/>
            <w:webHidden/>
          </w:rPr>
        </w:r>
        <w:r>
          <w:rPr>
            <w:noProof/>
            <w:webHidden/>
          </w:rPr>
          <w:fldChar w:fldCharType="separate"/>
        </w:r>
        <w:r>
          <w:rPr>
            <w:noProof/>
            <w:webHidden/>
          </w:rPr>
          <w:t>136</w:t>
        </w:r>
        <w:r>
          <w:rPr>
            <w:noProof/>
            <w:webHidden/>
          </w:rPr>
          <w:fldChar w:fldCharType="end"/>
        </w:r>
      </w:hyperlink>
    </w:p>
    <w:p w14:paraId="7ED35281"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43" w:history="1">
        <w:r w:rsidRPr="009363E2">
          <w:rPr>
            <w:rStyle w:val="Hyperlink"/>
            <w:noProof/>
          </w:rPr>
          <w:t>5.2.9 RNA-seq library preparation and sequencing</w:t>
        </w:r>
        <w:r>
          <w:rPr>
            <w:noProof/>
            <w:webHidden/>
          </w:rPr>
          <w:tab/>
        </w:r>
        <w:r>
          <w:rPr>
            <w:noProof/>
            <w:webHidden/>
          </w:rPr>
          <w:fldChar w:fldCharType="begin"/>
        </w:r>
        <w:r>
          <w:rPr>
            <w:noProof/>
            <w:webHidden/>
          </w:rPr>
          <w:instrText xml:space="preserve"> PAGEREF _Toc520837943 \h </w:instrText>
        </w:r>
        <w:r>
          <w:rPr>
            <w:noProof/>
            <w:webHidden/>
          </w:rPr>
        </w:r>
        <w:r>
          <w:rPr>
            <w:noProof/>
            <w:webHidden/>
          </w:rPr>
          <w:fldChar w:fldCharType="separate"/>
        </w:r>
        <w:r>
          <w:rPr>
            <w:noProof/>
            <w:webHidden/>
          </w:rPr>
          <w:t>136</w:t>
        </w:r>
        <w:r>
          <w:rPr>
            <w:noProof/>
            <w:webHidden/>
          </w:rPr>
          <w:fldChar w:fldCharType="end"/>
        </w:r>
      </w:hyperlink>
    </w:p>
    <w:p w14:paraId="0C111DB8"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44" w:history="1">
        <w:r w:rsidRPr="009363E2">
          <w:rPr>
            <w:rStyle w:val="Hyperlink"/>
            <w:noProof/>
          </w:rPr>
          <w:t>5.2.10 RNA-seq data analysis</w:t>
        </w:r>
        <w:r>
          <w:rPr>
            <w:noProof/>
            <w:webHidden/>
          </w:rPr>
          <w:tab/>
        </w:r>
        <w:r>
          <w:rPr>
            <w:noProof/>
            <w:webHidden/>
          </w:rPr>
          <w:fldChar w:fldCharType="begin"/>
        </w:r>
        <w:r>
          <w:rPr>
            <w:noProof/>
            <w:webHidden/>
          </w:rPr>
          <w:instrText xml:space="preserve"> PAGEREF _Toc520837944 \h </w:instrText>
        </w:r>
        <w:r>
          <w:rPr>
            <w:noProof/>
            <w:webHidden/>
          </w:rPr>
        </w:r>
        <w:r>
          <w:rPr>
            <w:noProof/>
            <w:webHidden/>
          </w:rPr>
          <w:fldChar w:fldCharType="separate"/>
        </w:r>
        <w:r>
          <w:rPr>
            <w:noProof/>
            <w:webHidden/>
          </w:rPr>
          <w:t>137</w:t>
        </w:r>
        <w:r>
          <w:rPr>
            <w:noProof/>
            <w:webHidden/>
          </w:rPr>
          <w:fldChar w:fldCharType="end"/>
        </w:r>
      </w:hyperlink>
    </w:p>
    <w:p w14:paraId="07ADE341"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945" w:history="1">
        <w:r w:rsidRPr="009363E2">
          <w:rPr>
            <w:rStyle w:val="Hyperlink"/>
            <w:noProof/>
          </w:rPr>
          <w:t>5.2.10.1 Reads trimming</w:t>
        </w:r>
        <w:r>
          <w:rPr>
            <w:noProof/>
            <w:webHidden/>
          </w:rPr>
          <w:tab/>
        </w:r>
        <w:r>
          <w:rPr>
            <w:noProof/>
            <w:webHidden/>
          </w:rPr>
          <w:fldChar w:fldCharType="begin"/>
        </w:r>
        <w:r>
          <w:rPr>
            <w:noProof/>
            <w:webHidden/>
          </w:rPr>
          <w:instrText xml:space="preserve"> PAGEREF _Toc520837945 \h </w:instrText>
        </w:r>
        <w:r>
          <w:rPr>
            <w:noProof/>
            <w:webHidden/>
          </w:rPr>
        </w:r>
        <w:r>
          <w:rPr>
            <w:noProof/>
            <w:webHidden/>
          </w:rPr>
          <w:fldChar w:fldCharType="separate"/>
        </w:r>
        <w:r>
          <w:rPr>
            <w:noProof/>
            <w:webHidden/>
          </w:rPr>
          <w:t>137</w:t>
        </w:r>
        <w:r>
          <w:rPr>
            <w:noProof/>
            <w:webHidden/>
          </w:rPr>
          <w:fldChar w:fldCharType="end"/>
        </w:r>
      </w:hyperlink>
    </w:p>
    <w:p w14:paraId="34F3EC10"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946" w:history="1">
        <w:r w:rsidRPr="009363E2">
          <w:rPr>
            <w:rStyle w:val="Hyperlink"/>
            <w:noProof/>
          </w:rPr>
          <w:t>5.2.10.2 Reference genome</w:t>
        </w:r>
        <w:r>
          <w:rPr>
            <w:noProof/>
            <w:webHidden/>
          </w:rPr>
          <w:tab/>
        </w:r>
        <w:r>
          <w:rPr>
            <w:noProof/>
            <w:webHidden/>
          </w:rPr>
          <w:fldChar w:fldCharType="begin"/>
        </w:r>
        <w:r>
          <w:rPr>
            <w:noProof/>
            <w:webHidden/>
          </w:rPr>
          <w:instrText xml:space="preserve"> PAGEREF _Toc520837946 \h </w:instrText>
        </w:r>
        <w:r>
          <w:rPr>
            <w:noProof/>
            <w:webHidden/>
          </w:rPr>
        </w:r>
        <w:r>
          <w:rPr>
            <w:noProof/>
            <w:webHidden/>
          </w:rPr>
          <w:fldChar w:fldCharType="separate"/>
        </w:r>
        <w:r>
          <w:rPr>
            <w:noProof/>
            <w:webHidden/>
          </w:rPr>
          <w:t>137</w:t>
        </w:r>
        <w:r>
          <w:rPr>
            <w:noProof/>
            <w:webHidden/>
          </w:rPr>
          <w:fldChar w:fldCharType="end"/>
        </w:r>
      </w:hyperlink>
    </w:p>
    <w:p w14:paraId="0CB3E52D"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947" w:history="1">
        <w:r w:rsidRPr="009363E2">
          <w:rPr>
            <w:rStyle w:val="Hyperlink"/>
            <w:noProof/>
          </w:rPr>
          <w:t>5.2.10.3 Reads alignment</w:t>
        </w:r>
        <w:r>
          <w:rPr>
            <w:noProof/>
            <w:webHidden/>
          </w:rPr>
          <w:tab/>
        </w:r>
        <w:r>
          <w:rPr>
            <w:noProof/>
            <w:webHidden/>
          </w:rPr>
          <w:fldChar w:fldCharType="begin"/>
        </w:r>
        <w:r>
          <w:rPr>
            <w:noProof/>
            <w:webHidden/>
          </w:rPr>
          <w:instrText xml:space="preserve"> PAGEREF _Toc520837947 \h </w:instrText>
        </w:r>
        <w:r>
          <w:rPr>
            <w:noProof/>
            <w:webHidden/>
          </w:rPr>
        </w:r>
        <w:r>
          <w:rPr>
            <w:noProof/>
            <w:webHidden/>
          </w:rPr>
          <w:fldChar w:fldCharType="separate"/>
        </w:r>
        <w:r>
          <w:rPr>
            <w:noProof/>
            <w:webHidden/>
          </w:rPr>
          <w:t>137</w:t>
        </w:r>
        <w:r>
          <w:rPr>
            <w:noProof/>
            <w:webHidden/>
          </w:rPr>
          <w:fldChar w:fldCharType="end"/>
        </w:r>
      </w:hyperlink>
    </w:p>
    <w:p w14:paraId="6C6BAE23"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948" w:history="1">
        <w:r w:rsidRPr="009363E2">
          <w:rPr>
            <w:rStyle w:val="Hyperlink"/>
            <w:noProof/>
          </w:rPr>
          <w:t>5.2.10.4 Read counting</w:t>
        </w:r>
        <w:r>
          <w:rPr>
            <w:noProof/>
            <w:webHidden/>
          </w:rPr>
          <w:tab/>
        </w:r>
        <w:r>
          <w:rPr>
            <w:noProof/>
            <w:webHidden/>
          </w:rPr>
          <w:fldChar w:fldCharType="begin"/>
        </w:r>
        <w:r>
          <w:rPr>
            <w:noProof/>
            <w:webHidden/>
          </w:rPr>
          <w:instrText xml:space="preserve"> PAGEREF _Toc520837948 \h </w:instrText>
        </w:r>
        <w:r>
          <w:rPr>
            <w:noProof/>
            <w:webHidden/>
          </w:rPr>
        </w:r>
        <w:r>
          <w:rPr>
            <w:noProof/>
            <w:webHidden/>
          </w:rPr>
          <w:fldChar w:fldCharType="separate"/>
        </w:r>
        <w:r>
          <w:rPr>
            <w:noProof/>
            <w:webHidden/>
          </w:rPr>
          <w:t>137</w:t>
        </w:r>
        <w:r>
          <w:rPr>
            <w:noProof/>
            <w:webHidden/>
          </w:rPr>
          <w:fldChar w:fldCharType="end"/>
        </w:r>
      </w:hyperlink>
    </w:p>
    <w:p w14:paraId="7A0456CB"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949" w:history="1">
        <w:r w:rsidRPr="009363E2">
          <w:rPr>
            <w:rStyle w:val="Hyperlink"/>
            <w:noProof/>
          </w:rPr>
          <w:t>5.2.10.5 Count pre-processing</w:t>
        </w:r>
        <w:r>
          <w:rPr>
            <w:noProof/>
            <w:webHidden/>
          </w:rPr>
          <w:tab/>
        </w:r>
        <w:r>
          <w:rPr>
            <w:noProof/>
            <w:webHidden/>
          </w:rPr>
          <w:fldChar w:fldCharType="begin"/>
        </w:r>
        <w:r>
          <w:rPr>
            <w:noProof/>
            <w:webHidden/>
          </w:rPr>
          <w:instrText xml:space="preserve"> PAGEREF _Toc520837949 \h </w:instrText>
        </w:r>
        <w:r>
          <w:rPr>
            <w:noProof/>
            <w:webHidden/>
          </w:rPr>
        </w:r>
        <w:r>
          <w:rPr>
            <w:noProof/>
            <w:webHidden/>
          </w:rPr>
          <w:fldChar w:fldCharType="separate"/>
        </w:r>
        <w:r>
          <w:rPr>
            <w:noProof/>
            <w:webHidden/>
          </w:rPr>
          <w:t>138</w:t>
        </w:r>
        <w:r>
          <w:rPr>
            <w:noProof/>
            <w:webHidden/>
          </w:rPr>
          <w:fldChar w:fldCharType="end"/>
        </w:r>
      </w:hyperlink>
    </w:p>
    <w:p w14:paraId="1382A11C"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950" w:history="1">
        <w:r w:rsidRPr="009363E2">
          <w:rPr>
            <w:rStyle w:val="Hyperlink"/>
            <w:noProof/>
          </w:rPr>
          <w:t>5.2.10.6 Count normalization, exploratory analysis and differential analysis.</w:t>
        </w:r>
        <w:r>
          <w:rPr>
            <w:noProof/>
            <w:webHidden/>
          </w:rPr>
          <w:tab/>
        </w:r>
        <w:r>
          <w:rPr>
            <w:noProof/>
            <w:webHidden/>
          </w:rPr>
          <w:fldChar w:fldCharType="begin"/>
        </w:r>
        <w:r>
          <w:rPr>
            <w:noProof/>
            <w:webHidden/>
          </w:rPr>
          <w:instrText xml:space="preserve"> PAGEREF _Toc520837950 \h </w:instrText>
        </w:r>
        <w:r>
          <w:rPr>
            <w:noProof/>
            <w:webHidden/>
          </w:rPr>
        </w:r>
        <w:r>
          <w:rPr>
            <w:noProof/>
            <w:webHidden/>
          </w:rPr>
          <w:fldChar w:fldCharType="separate"/>
        </w:r>
        <w:r>
          <w:rPr>
            <w:noProof/>
            <w:webHidden/>
          </w:rPr>
          <w:t>138</w:t>
        </w:r>
        <w:r>
          <w:rPr>
            <w:noProof/>
            <w:webHidden/>
          </w:rPr>
          <w:fldChar w:fldCharType="end"/>
        </w:r>
      </w:hyperlink>
    </w:p>
    <w:p w14:paraId="156B704A"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951" w:history="1">
        <w:r w:rsidRPr="009363E2">
          <w:rPr>
            <w:rStyle w:val="Hyperlink"/>
            <w:noProof/>
          </w:rPr>
          <w:t>5.3.10.7 RNA-seq data visualisation</w:t>
        </w:r>
        <w:r>
          <w:rPr>
            <w:noProof/>
            <w:webHidden/>
          </w:rPr>
          <w:tab/>
        </w:r>
        <w:r>
          <w:rPr>
            <w:noProof/>
            <w:webHidden/>
          </w:rPr>
          <w:fldChar w:fldCharType="begin"/>
        </w:r>
        <w:r>
          <w:rPr>
            <w:noProof/>
            <w:webHidden/>
          </w:rPr>
          <w:instrText xml:space="preserve"> PAGEREF _Toc520837951 \h </w:instrText>
        </w:r>
        <w:r>
          <w:rPr>
            <w:noProof/>
            <w:webHidden/>
          </w:rPr>
        </w:r>
        <w:r>
          <w:rPr>
            <w:noProof/>
            <w:webHidden/>
          </w:rPr>
          <w:fldChar w:fldCharType="separate"/>
        </w:r>
        <w:r>
          <w:rPr>
            <w:noProof/>
            <w:webHidden/>
          </w:rPr>
          <w:t>138</w:t>
        </w:r>
        <w:r>
          <w:rPr>
            <w:noProof/>
            <w:webHidden/>
          </w:rPr>
          <w:fldChar w:fldCharType="end"/>
        </w:r>
      </w:hyperlink>
    </w:p>
    <w:p w14:paraId="55BF7470"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52" w:history="1">
        <w:r w:rsidRPr="009363E2">
          <w:rPr>
            <w:rStyle w:val="Hyperlink"/>
            <w:noProof/>
          </w:rPr>
          <w:t>5.2.11 Samples preparation for UPLC-Q-TOF-</w:t>
        </w:r>
        <w:r w:rsidRPr="009363E2">
          <w:rPr>
            <w:rStyle w:val="Hyperlink"/>
            <w:rFonts w:ascii="Helvetica" w:hAnsi="Helvetica" w:cs="Helvetica"/>
            <w:noProof/>
          </w:rPr>
          <w:t xml:space="preserve">MS </w:t>
        </w:r>
        <w:r w:rsidRPr="009363E2">
          <w:rPr>
            <w:rStyle w:val="Hyperlink"/>
            <w:noProof/>
          </w:rPr>
          <w:t>analysis</w:t>
        </w:r>
        <w:r>
          <w:rPr>
            <w:noProof/>
            <w:webHidden/>
          </w:rPr>
          <w:tab/>
        </w:r>
        <w:r>
          <w:rPr>
            <w:noProof/>
            <w:webHidden/>
          </w:rPr>
          <w:fldChar w:fldCharType="begin"/>
        </w:r>
        <w:r>
          <w:rPr>
            <w:noProof/>
            <w:webHidden/>
          </w:rPr>
          <w:instrText xml:space="preserve"> PAGEREF _Toc520837952 \h </w:instrText>
        </w:r>
        <w:r>
          <w:rPr>
            <w:noProof/>
            <w:webHidden/>
          </w:rPr>
        </w:r>
        <w:r>
          <w:rPr>
            <w:noProof/>
            <w:webHidden/>
          </w:rPr>
          <w:fldChar w:fldCharType="separate"/>
        </w:r>
        <w:r>
          <w:rPr>
            <w:noProof/>
            <w:webHidden/>
          </w:rPr>
          <w:t>139</w:t>
        </w:r>
        <w:r>
          <w:rPr>
            <w:noProof/>
            <w:webHidden/>
          </w:rPr>
          <w:fldChar w:fldCharType="end"/>
        </w:r>
      </w:hyperlink>
    </w:p>
    <w:p w14:paraId="2CE2D750"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53" w:history="1">
        <w:r w:rsidRPr="009363E2">
          <w:rPr>
            <w:rStyle w:val="Hyperlink"/>
            <w:noProof/>
          </w:rPr>
          <w:t>5.2.12 UPLC-Q-TOF-</w:t>
        </w:r>
        <w:r w:rsidRPr="009363E2">
          <w:rPr>
            <w:rStyle w:val="Hyperlink"/>
            <w:rFonts w:ascii="Helvetica" w:hAnsi="Helvetica" w:cs="Helvetica"/>
            <w:noProof/>
          </w:rPr>
          <w:t>MS</w:t>
        </w:r>
        <w:r w:rsidRPr="009363E2">
          <w:rPr>
            <w:rStyle w:val="Hyperlink"/>
            <w:noProof/>
          </w:rPr>
          <w:t xml:space="preserve"> analysis</w:t>
        </w:r>
        <w:r>
          <w:rPr>
            <w:noProof/>
            <w:webHidden/>
          </w:rPr>
          <w:tab/>
        </w:r>
        <w:r>
          <w:rPr>
            <w:noProof/>
            <w:webHidden/>
          </w:rPr>
          <w:fldChar w:fldCharType="begin"/>
        </w:r>
        <w:r>
          <w:rPr>
            <w:noProof/>
            <w:webHidden/>
          </w:rPr>
          <w:instrText xml:space="preserve"> PAGEREF _Toc520837953 \h </w:instrText>
        </w:r>
        <w:r>
          <w:rPr>
            <w:noProof/>
            <w:webHidden/>
          </w:rPr>
        </w:r>
        <w:r>
          <w:rPr>
            <w:noProof/>
            <w:webHidden/>
          </w:rPr>
          <w:fldChar w:fldCharType="separate"/>
        </w:r>
        <w:r>
          <w:rPr>
            <w:noProof/>
            <w:webHidden/>
          </w:rPr>
          <w:t>139</w:t>
        </w:r>
        <w:r>
          <w:rPr>
            <w:noProof/>
            <w:webHidden/>
          </w:rPr>
          <w:fldChar w:fldCharType="end"/>
        </w:r>
      </w:hyperlink>
    </w:p>
    <w:p w14:paraId="156ADDC0" w14:textId="77777777" w:rsidR="003B197E" w:rsidRDefault="003B197E" w:rsidP="003B197E">
      <w:pPr>
        <w:pStyle w:val="TOC4"/>
        <w:tabs>
          <w:tab w:val="right" w:leader="dot" w:pos="9350"/>
        </w:tabs>
        <w:rPr>
          <w:rFonts w:asciiTheme="minorHAnsi" w:eastAsiaTheme="minorEastAsia" w:hAnsiTheme="minorHAnsi"/>
          <w:iCs w:val="0"/>
          <w:noProof/>
          <w:color w:val="auto"/>
          <w:sz w:val="22"/>
          <w:szCs w:val="22"/>
          <w:lang w:eastAsia="en-GB"/>
        </w:rPr>
      </w:pPr>
      <w:hyperlink w:anchor="_Toc520837954" w:history="1">
        <w:r w:rsidRPr="009363E2">
          <w:rPr>
            <w:rStyle w:val="Hyperlink"/>
            <w:noProof/>
          </w:rPr>
          <w:t>5.2.12.1 Statistical analysis of UPLC-Q-TOF-MS data</w:t>
        </w:r>
        <w:r>
          <w:rPr>
            <w:noProof/>
            <w:webHidden/>
          </w:rPr>
          <w:tab/>
        </w:r>
        <w:r>
          <w:rPr>
            <w:noProof/>
            <w:webHidden/>
          </w:rPr>
          <w:fldChar w:fldCharType="begin"/>
        </w:r>
        <w:r>
          <w:rPr>
            <w:noProof/>
            <w:webHidden/>
          </w:rPr>
          <w:instrText xml:space="preserve"> PAGEREF _Toc520837954 \h </w:instrText>
        </w:r>
        <w:r>
          <w:rPr>
            <w:noProof/>
            <w:webHidden/>
          </w:rPr>
        </w:r>
        <w:r>
          <w:rPr>
            <w:noProof/>
            <w:webHidden/>
          </w:rPr>
          <w:fldChar w:fldCharType="separate"/>
        </w:r>
        <w:r>
          <w:rPr>
            <w:noProof/>
            <w:webHidden/>
          </w:rPr>
          <w:t>140</w:t>
        </w:r>
        <w:r>
          <w:rPr>
            <w:noProof/>
            <w:webHidden/>
          </w:rPr>
          <w:fldChar w:fldCharType="end"/>
        </w:r>
      </w:hyperlink>
    </w:p>
    <w:p w14:paraId="3FC9BF61"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55" w:history="1">
        <w:r w:rsidRPr="009363E2">
          <w:rPr>
            <w:rStyle w:val="Hyperlink"/>
            <w:noProof/>
          </w:rPr>
          <w:t>5.3 Results</w:t>
        </w:r>
        <w:r>
          <w:rPr>
            <w:noProof/>
            <w:webHidden/>
          </w:rPr>
          <w:tab/>
        </w:r>
        <w:r>
          <w:rPr>
            <w:noProof/>
            <w:webHidden/>
          </w:rPr>
          <w:fldChar w:fldCharType="begin"/>
        </w:r>
        <w:r>
          <w:rPr>
            <w:noProof/>
            <w:webHidden/>
          </w:rPr>
          <w:instrText xml:space="preserve"> PAGEREF _Toc520837955 \h </w:instrText>
        </w:r>
        <w:r>
          <w:rPr>
            <w:noProof/>
            <w:webHidden/>
          </w:rPr>
        </w:r>
        <w:r>
          <w:rPr>
            <w:noProof/>
            <w:webHidden/>
          </w:rPr>
          <w:fldChar w:fldCharType="separate"/>
        </w:r>
        <w:r>
          <w:rPr>
            <w:noProof/>
            <w:webHidden/>
          </w:rPr>
          <w:t>141</w:t>
        </w:r>
        <w:r>
          <w:rPr>
            <w:noProof/>
            <w:webHidden/>
          </w:rPr>
          <w:fldChar w:fldCharType="end"/>
        </w:r>
      </w:hyperlink>
    </w:p>
    <w:p w14:paraId="39BFC1A8"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56" w:history="1">
        <w:r w:rsidRPr="009363E2">
          <w:rPr>
            <w:rStyle w:val="Hyperlink"/>
            <w:noProof/>
          </w:rPr>
          <w:t>5.3.1 HAP solubilisation experimental setup</w:t>
        </w:r>
        <w:r>
          <w:rPr>
            <w:noProof/>
            <w:webHidden/>
          </w:rPr>
          <w:tab/>
        </w:r>
        <w:r>
          <w:rPr>
            <w:noProof/>
            <w:webHidden/>
          </w:rPr>
          <w:fldChar w:fldCharType="begin"/>
        </w:r>
        <w:r>
          <w:rPr>
            <w:noProof/>
            <w:webHidden/>
          </w:rPr>
          <w:instrText xml:space="preserve"> PAGEREF _Toc520837956 \h </w:instrText>
        </w:r>
        <w:r>
          <w:rPr>
            <w:noProof/>
            <w:webHidden/>
          </w:rPr>
        </w:r>
        <w:r>
          <w:rPr>
            <w:noProof/>
            <w:webHidden/>
          </w:rPr>
          <w:fldChar w:fldCharType="separate"/>
        </w:r>
        <w:r>
          <w:rPr>
            <w:noProof/>
            <w:webHidden/>
          </w:rPr>
          <w:t>141</w:t>
        </w:r>
        <w:r>
          <w:rPr>
            <w:noProof/>
            <w:webHidden/>
          </w:rPr>
          <w:fldChar w:fldCharType="end"/>
        </w:r>
      </w:hyperlink>
    </w:p>
    <w:p w14:paraId="0C752692"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57" w:history="1">
        <w:r w:rsidRPr="009363E2">
          <w:rPr>
            <w:rStyle w:val="Hyperlink"/>
            <w:noProof/>
          </w:rPr>
          <w:t>5.3.2 RNA-seq PCA</w:t>
        </w:r>
        <w:r>
          <w:rPr>
            <w:noProof/>
            <w:webHidden/>
          </w:rPr>
          <w:tab/>
        </w:r>
        <w:r>
          <w:rPr>
            <w:noProof/>
            <w:webHidden/>
          </w:rPr>
          <w:fldChar w:fldCharType="begin"/>
        </w:r>
        <w:r>
          <w:rPr>
            <w:noProof/>
            <w:webHidden/>
          </w:rPr>
          <w:instrText xml:space="preserve"> PAGEREF _Toc520837957 \h </w:instrText>
        </w:r>
        <w:r>
          <w:rPr>
            <w:noProof/>
            <w:webHidden/>
          </w:rPr>
        </w:r>
        <w:r>
          <w:rPr>
            <w:noProof/>
            <w:webHidden/>
          </w:rPr>
          <w:fldChar w:fldCharType="separate"/>
        </w:r>
        <w:r>
          <w:rPr>
            <w:noProof/>
            <w:webHidden/>
          </w:rPr>
          <w:t>147</w:t>
        </w:r>
        <w:r>
          <w:rPr>
            <w:noProof/>
            <w:webHidden/>
          </w:rPr>
          <w:fldChar w:fldCharType="end"/>
        </w:r>
      </w:hyperlink>
    </w:p>
    <w:p w14:paraId="05556F08"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58" w:history="1">
        <w:r w:rsidRPr="009363E2">
          <w:rPr>
            <w:rStyle w:val="Hyperlink"/>
            <w:noProof/>
          </w:rPr>
          <w:t>5.3.3 Differential gene expression analysis</w:t>
        </w:r>
        <w:r>
          <w:rPr>
            <w:noProof/>
            <w:webHidden/>
          </w:rPr>
          <w:tab/>
        </w:r>
        <w:r>
          <w:rPr>
            <w:noProof/>
            <w:webHidden/>
          </w:rPr>
          <w:fldChar w:fldCharType="begin"/>
        </w:r>
        <w:r>
          <w:rPr>
            <w:noProof/>
            <w:webHidden/>
          </w:rPr>
          <w:instrText xml:space="preserve"> PAGEREF _Toc520837958 \h </w:instrText>
        </w:r>
        <w:r>
          <w:rPr>
            <w:noProof/>
            <w:webHidden/>
          </w:rPr>
        </w:r>
        <w:r>
          <w:rPr>
            <w:noProof/>
            <w:webHidden/>
          </w:rPr>
          <w:fldChar w:fldCharType="separate"/>
        </w:r>
        <w:r>
          <w:rPr>
            <w:noProof/>
            <w:webHidden/>
          </w:rPr>
          <w:t>149</w:t>
        </w:r>
        <w:r>
          <w:rPr>
            <w:noProof/>
            <w:webHidden/>
          </w:rPr>
          <w:fldChar w:fldCharType="end"/>
        </w:r>
      </w:hyperlink>
    </w:p>
    <w:p w14:paraId="39913E07"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59" w:history="1">
        <w:r w:rsidRPr="009363E2">
          <w:rPr>
            <w:rStyle w:val="Hyperlink"/>
            <w:noProof/>
          </w:rPr>
          <w:t xml:space="preserve">5.3.4 </w:t>
        </w:r>
        <w:r w:rsidRPr="009363E2">
          <w:rPr>
            <w:rStyle w:val="Hyperlink"/>
            <w:i/>
            <w:noProof/>
          </w:rPr>
          <w:t>P. involutus DJR1</w:t>
        </w:r>
        <w:r w:rsidRPr="009363E2">
          <w:rPr>
            <w:rStyle w:val="Hyperlink"/>
            <w:noProof/>
          </w:rPr>
          <w:t xml:space="preserve"> genes differentially regulated in response to the presence of HAP in NS condition</w:t>
        </w:r>
        <w:r>
          <w:rPr>
            <w:noProof/>
            <w:webHidden/>
          </w:rPr>
          <w:tab/>
        </w:r>
        <w:r>
          <w:rPr>
            <w:noProof/>
            <w:webHidden/>
          </w:rPr>
          <w:fldChar w:fldCharType="begin"/>
        </w:r>
        <w:r>
          <w:rPr>
            <w:noProof/>
            <w:webHidden/>
          </w:rPr>
          <w:instrText xml:space="preserve"> PAGEREF _Toc520837959 \h </w:instrText>
        </w:r>
        <w:r>
          <w:rPr>
            <w:noProof/>
            <w:webHidden/>
          </w:rPr>
        </w:r>
        <w:r>
          <w:rPr>
            <w:noProof/>
            <w:webHidden/>
          </w:rPr>
          <w:fldChar w:fldCharType="separate"/>
        </w:r>
        <w:r>
          <w:rPr>
            <w:noProof/>
            <w:webHidden/>
          </w:rPr>
          <w:t>150</w:t>
        </w:r>
        <w:r>
          <w:rPr>
            <w:noProof/>
            <w:webHidden/>
          </w:rPr>
          <w:fldChar w:fldCharType="end"/>
        </w:r>
      </w:hyperlink>
    </w:p>
    <w:p w14:paraId="14056E42"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60" w:history="1">
        <w:r w:rsidRPr="009363E2">
          <w:rPr>
            <w:rStyle w:val="Hyperlink"/>
            <w:noProof/>
          </w:rPr>
          <w:t xml:space="preserve">5.3.5 </w:t>
        </w:r>
        <w:r w:rsidRPr="009363E2">
          <w:rPr>
            <w:rStyle w:val="Hyperlink"/>
            <w:i/>
            <w:noProof/>
          </w:rPr>
          <w:t>P. involutus</w:t>
        </w:r>
        <w:r w:rsidRPr="009363E2">
          <w:rPr>
            <w:rStyle w:val="Hyperlink"/>
            <w:noProof/>
          </w:rPr>
          <w:t xml:space="preserve"> </w:t>
        </w:r>
        <w:r w:rsidRPr="009363E2">
          <w:rPr>
            <w:rStyle w:val="Hyperlink"/>
            <w:i/>
            <w:noProof/>
          </w:rPr>
          <w:t xml:space="preserve">DJR1 </w:t>
        </w:r>
        <w:r w:rsidRPr="009363E2">
          <w:rPr>
            <w:rStyle w:val="Hyperlink"/>
            <w:noProof/>
          </w:rPr>
          <w:t>genes differentially regulated in response to the presence of HAP during EM symbiosis</w:t>
        </w:r>
        <w:r>
          <w:rPr>
            <w:noProof/>
            <w:webHidden/>
          </w:rPr>
          <w:tab/>
        </w:r>
        <w:r>
          <w:rPr>
            <w:noProof/>
            <w:webHidden/>
          </w:rPr>
          <w:fldChar w:fldCharType="begin"/>
        </w:r>
        <w:r>
          <w:rPr>
            <w:noProof/>
            <w:webHidden/>
          </w:rPr>
          <w:instrText xml:space="preserve"> PAGEREF _Toc520837960 \h </w:instrText>
        </w:r>
        <w:r>
          <w:rPr>
            <w:noProof/>
            <w:webHidden/>
          </w:rPr>
        </w:r>
        <w:r>
          <w:rPr>
            <w:noProof/>
            <w:webHidden/>
          </w:rPr>
          <w:fldChar w:fldCharType="separate"/>
        </w:r>
        <w:r>
          <w:rPr>
            <w:noProof/>
            <w:webHidden/>
          </w:rPr>
          <w:t>153</w:t>
        </w:r>
        <w:r>
          <w:rPr>
            <w:noProof/>
            <w:webHidden/>
          </w:rPr>
          <w:fldChar w:fldCharType="end"/>
        </w:r>
      </w:hyperlink>
    </w:p>
    <w:p w14:paraId="2F639A0B"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61" w:history="1">
        <w:r w:rsidRPr="009363E2">
          <w:rPr>
            <w:rStyle w:val="Hyperlink"/>
            <w:noProof/>
          </w:rPr>
          <w:t xml:space="preserve">5.3.6 </w:t>
        </w:r>
        <w:r w:rsidRPr="009363E2">
          <w:rPr>
            <w:rStyle w:val="Hyperlink"/>
            <w:i/>
            <w:noProof/>
          </w:rPr>
          <w:t>P. involutus DJR1</w:t>
        </w:r>
        <w:r w:rsidRPr="009363E2">
          <w:rPr>
            <w:rStyle w:val="Hyperlink"/>
            <w:noProof/>
          </w:rPr>
          <w:t xml:space="preserve"> genes differentially regulated in response to EM symbiosis and the presence of HAP</w:t>
        </w:r>
        <w:r>
          <w:rPr>
            <w:noProof/>
            <w:webHidden/>
          </w:rPr>
          <w:tab/>
        </w:r>
        <w:r>
          <w:rPr>
            <w:noProof/>
            <w:webHidden/>
          </w:rPr>
          <w:fldChar w:fldCharType="begin"/>
        </w:r>
        <w:r>
          <w:rPr>
            <w:noProof/>
            <w:webHidden/>
          </w:rPr>
          <w:instrText xml:space="preserve"> PAGEREF _Toc520837961 \h </w:instrText>
        </w:r>
        <w:r>
          <w:rPr>
            <w:noProof/>
            <w:webHidden/>
          </w:rPr>
        </w:r>
        <w:r>
          <w:rPr>
            <w:noProof/>
            <w:webHidden/>
          </w:rPr>
          <w:fldChar w:fldCharType="separate"/>
        </w:r>
        <w:r>
          <w:rPr>
            <w:noProof/>
            <w:webHidden/>
          </w:rPr>
          <w:t>156</w:t>
        </w:r>
        <w:r>
          <w:rPr>
            <w:noProof/>
            <w:webHidden/>
          </w:rPr>
          <w:fldChar w:fldCharType="end"/>
        </w:r>
      </w:hyperlink>
    </w:p>
    <w:p w14:paraId="1B195717"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62" w:history="1">
        <w:r w:rsidRPr="009363E2">
          <w:rPr>
            <w:rStyle w:val="Hyperlink"/>
            <w:noProof/>
          </w:rPr>
          <w:t xml:space="preserve">5.3.7 </w:t>
        </w:r>
        <w:r w:rsidRPr="009363E2">
          <w:rPr>
            <w:rStyle w:val="Hyperlink"/>
            <w:i/>
            <w:noProof/>
          </w:rPr>
          <w:t xml:space="preserve">P. involutus DJR1 </w:t>
        </w:r>
        <w:r w:rsidRPr="009363E2">
          <w:rPr>
            <w:rStyle w:val="Hyperlink"/>
            <w:noProof/>
          </w:rPr>
          <w:t>genes differentially and putatively regulated in response to HAP weathering during EM symbiosis</w:t>
        </w:r>
        <w:r>
          <w:rPr>
            <w:noProof/>
            <w:webHidden/>
          </w:rPr>
          <w:tab/>
        </w:r>
        <w:r>
          <w:rPr>
            <w:noProof/>
            <w:webHidden/>
          </w:rPr>
          <w:fldChar w:fldCharType="begin"/>
        </w:r>
        <w:r>
          <w:rPr>
            <w:noProof/>
            <w:webHidden/>
          </w:rPr>
          <w:instrText xml:space="preserve"> PAGEREF _Toc520837962 \h </w:instrText>
        </w:r>
        <w:r>
          <w:rPr>
            <w:noProof/>
            <w:webHidden/>
          </w:rPr>
        </w:r>
        <w:r>
          <w:rPr>
            <w:noProof/>
            <w:webHidden/>
          </w:rPr>
          <w:fldChar w:fldCharType="separate"/>
        </w:r>
        <w:r>
          <w:rPr>
            <w:noProof/>
            <w:webHidden/>
          </w:rPr>
          <w:t>158</w:t>
        </w:r>
        <w:r>
          <w:rPr>
            <w:noProof/>
            <w:webHidden/>
          </w:rPr>
          <w:fldChar w:fldCharType="end"/>
        </w:r>
      </w:hyperlink>
    </w:p>
    <w:p w14:paraId="362EBE96"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63" w:history="1">
        <w:r w:rsidRPr="009363E2">
          <w:rPr>
            <w:rStyle w:val="Hyperlink"/>
            <w:noProof/>
          </w:rPr>
          <w:t>5.3.8 UPLC-Q-TOF-</w:t>
        </w:r>
        <w:r w:rsidRPr="009363E2">
          <w:rPr>
            <w:rStyle w:val="Hyperlink"/>
            <w:rFonts w:ascii="Helvetica" w:hAnsi="Helvetica" w:cs="Helvetica"/>
            <w:noProof/>
          </w:rPr>
          <w:t>MS</w:t>
        </w:r>
        <w:r w:rsidRPr="009363E2">
          <w:rPr>
            <w:rStyle w:val="Hyperlink"/>
            <w:noProof/>
          </w:rPr>
          <w:t xml:space="preserve"> analysis: PCA</w:t>
        </w:r>
        <w:r>
          <w:rPr>
            <w:noProof/>
            <w:webHidden/>
          </w:rPr>
          <w:tab/>
        </w:r>
        <w:r>
          <w:rPr>
            <w:noProof/>
            <w:webHidden/>
          </w:rPr>
          <w:fldChar w:fldCharType="begin"/>
        </w:r>
        <w:r>
          <w:rPr>
            <w:noProof/>
            <w:webHidden/>
          </w:rPr>
          <w:instrText xml:space="preserve"> PAGEREF _Toc520837963 \h </w:instrText>
        </w:r>
        <w:r>
          <w:rPr>
            <w:noProof/>
            <w:webHidden/>
          </w:rPr>
        </w:r>
        <w:r>
          <w:rPr>
            <w:noProof/>
            <w:webHidden/>
          </w:rPr>
          <w:fldChar w:fldCharType="separate"/>
        </w:r>
        <w:r>
          <w:rPr>
            <w:noProof/>
            <w:webHidden/>
          </w:rPr>
          <w:t>163</w:t>
        </w:r>
        <w:r>
          <w:rPr>
            <w:noProof/>
            <w:webHidden/>
          </w:rPr>
          <w:fldChar w:fldCharType="end"/>
        </w:r>
      </w:hyperlink>
    </w:p>
    <w:p w14:paraId="3A5240EE"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64" w:history="1">
        <w:r w:rsidRPr="009363E2">
          <w:rPr>
            <w:rStyle w:val="Hyperlink"/>
            <w:noProof/>
          </w:rPr>
          <w:t xml:space="preserve">5.3.9 </w:t>
        </w:r>
        <w:r w:rsidRPr="009363E2">
          <w:rPr>
            <w:rStyle w:val="Hyperlink"/>
            <w:i/>
            <w:noProof/>
          </w:rPr>
          <w:t>P. involutus DJR1 - P. sylvestris</w:t>
        </w:r>
        <w:r w:rsidRPr="009363E2">
          <w:rPr>
            <w:rStyle w:val="Hyperlink"/>
            <w:noProof/>
          </w:rPr>
          <w:t xml:space="preserve"> metabolome profiling in response to HAP weathering</w:t>
        </w:r>
        <w:r>
          <w:rPr>
            <w:noProof/>
            <w:webHidden/>
          </w:rPr>
          <w:tab/>
        </w:r>
        <w:r>
          <w:rPr>
            <w:noProof/>
            <w:webHidden/>
          </w:rPr>
          <w:fldChar w:fldCharType="begin"/>
        </w:r>
        <w:r>
          <w:rPr>
            <w:noProof/>
            <w:webHidden/>
          </w:rPr>
          <w:instrText xml:space="preserve"> PAGEREF _Toc520837964 \h </w:instrText>
        </w:r>
        <w:r>
          <w:rPr>
            <w:noProof/>
            <w:webHidden/>
          </w:rPr>
        </w:r>
        <w:r>
          <w:rPr>
            <w:noProof/>
            <w:webHidden/>
          </w:rPr>
          <w:fldChar w:fldCharType="separate"/>
        </w:r>
        <w:r>
          <w:rPr>
            <w:noProof/>
            <w:webHidden/>
          </w:rPr>
          <w:t>165</w:t>
        </w:r>
        <w:r>
          <w:rPr>
            <w:noProof/>
            <w:webHidden/>
          </w:rPr>
          <w:fldChar w:fldCharType="end"/>
        </w:r>
      </w:hyperlink>
    </w:p>
    <w:p w14:paraId="0091CC65"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65" w:history="1">
        <w:r w:rsidRPr="009363E2">
          <w:rPr>
            <w:rStyle w:val="Hyperlink"/>
            <w:noProof/>
          </w:rPr>
          <w:t>5.4 Discussion</w:t>
        </w:r>
        <w:r>
          <w:rPr>
            <w:noProof/>
            <w:webHidden/>
          </w:rPr>
          <w:tab/>
        </w:r>
        <w:r>
          <w:rPr>
            <w:noProof/>
            <w:webHidden/>
          </w:rPr>
          <w:fldChar w:fldCharType="begin"/>
        </w:r>
        <w:r>
          <w:rPr>
            <w:noProof/>
            <w:webHidden/>
          </w:rPr>
          <w:instrText xml:space="preserve"> PAGEREF _Toc520837965 \h </w:instrText>
        </w:r>
        <w:r>
          <w:rPr>
            <w:noProof/>
            <w:webHidden/>
          </w:rPr>
        </w:r>
        <w:r>
          <w:rPr>
            <w:noProof/>
            <w:webHidden/>
          </w:rPr>
          <w:fldChar w:fldCharType="separate"/>
        </w:r>
        <w:r>
          <w:rPr>
            <w:noProof/>
            <w:webHidden/>
          </w:rPr>
          <w:t>168</w:t>
        </w:r>
        <w:r>
          <w:rPr>
            <w:noProof/>
            <w:webHidden/>
          </w:rPr>
          <w:fldChar w:fldCharType="end"/>
        </w:r>
      </w:hyperlink>
    </w:p>
    <w:p w14:paraId="745B01AD"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66" w:history="1">
        <w:r w:rsidRPr="009363E2">
          <w:rPr>
            <w:rStyle w:val="Hyperlink"/>
            <w:noProof/>
          </w:rPr>
          <w:t>5.4.1 Experimental setup: the role of symbiosis in HAP enhanced weathering</w:t>
        </w:r>
        <w:r>
          <w:rPr>
            <w:noProof/>
            <w:webHidden/>
          </w:rPr>
          <w:tab/>
        </w:r>
        <w:r>
          <w:rPr>
            <w:noProof/>
            <w:webHidden/>
          </w:rPr>
          <w:fldChar w:fldCharType="begin"/>
        </w:r>
        <w:r>
          <w:rPr>
            <w:noProof/>
            <w:webHidden/>
          </w:rPr>
          <w:instrText xml:space="preserve"> PAGEREF _Toc520837966 \h </w:instrText>
        </w:r>
        <w:r>
          <w:rPr>
            <w:noProof/>
            <w:webHidden/>
          </w:rPr>
        </w:r>
        <w:r>
          <w:rPr>
            <w:noProof/>
            <w:webHidden/>
          </w:rPr>
          <w:fldChar w:fldCharType="separate"/>
        </w:r>
        <w:r>
          <w:rPr>
            <w:noProof/>
            <w:webHidden/>
          </w:rPr>
          <w:t>168</w:t>
        </w:r>
        <w:r>
          <w:rPr>
            <w:noProof/>
            <w:webHidden/>
          </w:rPr>
          <w:fldChar w:fldCharType="end"/>
        </w:r>
      </w:hyperlink>
    </w:p>
    <w:p w14:paraId="625C3286"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67" w:history="1">
        <w:r w:rsidRPr="009363E2">
          <w:rPr>
            <w:rStyle w:val="Hyperlink"/>
            <w:noProof/>
          </w:rPr>
          <w:t xml:space="preserve">5.4.2 </w:t>
        </w:r>
        <w:r w:rsidRPr="009363E2">
          <w:rPr>
            <w:rStyle w:val="Hyperlink"/>
            <w:i/>
            <w:noProof/>
          </w:rPr>
          <w:t>P. involutus</w:t>
        </w:r>
        <w:r w:rsidRPr="009363E2">
          <w:rPr>
            <w:rStyle w:val="Hyperlink"/>
            <w:noProof/>
          </w:rPr>
          <w:t xml:space="preserve"> </w:t>
        </w:r>
        <w:r w:rsidRPr="009363E2">
          <w:rPr>
            <w:rStyle w:val="Hyperlink"/>
            <w:i/>
            <w:noProof/>
          </w:rPr>
          <w:t>DJR1</w:t>
        </w:r>
        <w:r w:rsidRPr="009363E2">
          <w:rPr>
            <w:rStyle w:val="Hyperlink"/>
            <w:noProof/>
          </w:rPr>
          <w:t xml:space="preserve"> gene transcriptional regulation of HAP weathering in NS condition</w:t>
        </w:r>
        <w:r>
          <w:rPr>
            <w:noProof/>
            <w:webHidden/>
          </w:rPr>
          <w:tab/>
        </w:r>
        <w:r>
          <w:rPr>
            <w:noProof/>
            <w:webHidden/>
          </w:rPr>
          <w:fldChar w:fldCharType="begin"/>
        </w:r>
        <w:r>
          <w:rPr>
            <w:noProof/>
            <w:webHidden/>
          </w:rPr>
          <w:instrText xml:space="preserve"> PAGEREF _Toc520837967 \h </w:instrText>
        </w:r>
        <w:r>
          <w:rPr>
            <w:noProof/>
            <w:webHidden/>
          </w:rPr>
        </w:r>
        <w:r>
          <w:rPr>
            <w:noProof/>
            <w:webHidden/>
          </w:rPr>
          <w:fldChar w:fldCharType="separate"/>
        </w:r>
        <w:r>
          <w:rPr>
            <w:noProof/>
            <w:webHidden/>
          </w:rPr>
          <w:t>169</w:t>
        </w:r>
        <w:r>
          <w:rPr>
            <w:noProof/>
            <w:webHidden/>
          </w:rPr>
          <w:fldChar w:fldCharType="end"/>
        </w:r>
      </w:hyperlink>
    </w:p>
    <w:p w14:paraId="060B1A9F"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68" w:history="1">
        <w:r w:rsidRPr="009363E2">
          <w:rPr>
            <w:rStyle w:val="Hyperlink"/>
            <w:noProof/>
          </w:rPr>
          <w:t xml:space="preserve">5.4.3 </w:t>
        </w:r>
        <w:r w:rsidRPr="009363E2">
          <w:rPr>
            <w:rStyle w:val="Hyperlink"/>
            <w:i/>
            <w:noProof/>
          </w:rPr>
          <w:t>P. involutus DJR1</w:t>
        </w:r>
        <w:r w:rsidRPr="009363E2">
          <w:rPr>
            <w:rStyle w:val="Hyperlink"/>
            <w:noProof/>
          </w:rPr>
          <w:t xml:space="preserve"> gene transcriptional regulation of HAP weathering in S condition</w:t>
        </w:r>
        <w:r>
          <w:rPr>
            <w:noProof/>
            <w:webHidden/>
          </w:rPr>
          <w:tab/>
        </w:r>
        <w:r>
          <w:rPr>
            <w:noProof/>
            <w:webHidden/>
          </w:rPr>
          <w:fldChar w:fldCharType="begin"/>
        </w:r>
        <w:r>
          <w:rPr>
            <w:noProof/>
            <w:webHidden/>
          </w:rPr>
          <w:instrText xml:space="preserve"> PAGEREF _Toc520837968 \h </w:instrText>
        </w:r>
        <w:r>
          <w:rPr>
            <w:noProof/>
            <w:webHidden/>
          </w:rPr>
        </w:r>
        <w:r>
          <w:rPr>
            <w:noProof/>
            <w:webHidden/>
          </w:rPr>
          <w:fldChar w:fldCharType="separate"/>
        </w:r>
        <w:r>
          <w:rPr>
            <w:noProof/>
            <w:webHidden/>
          </w:rPr>
          <w:t>173</w:t>
        </w:r>
        <w:r>
          <w:rPr>
            <w:noProof/>
            <w:webHidden/>
          </w:rPr>
          <w:fldChar w:fldCharType="end"/>
        </w:r>
      </w:hyperlink>
    </w:p>
    <w:p w14:paraId="7308F45D"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69" w:history="1">
        <w:r w:rsidRPr="009363E2">
          <w:rPr>
            <w:rStyle w:val="Hyperlink"/>
            <w:noProof/>
          </w:rPr>
          <w:t xml:space="preserve">5.4.4 </w:t>
        </w:r>
        <w:r w:rsidRPr="009363E2">
          <w:rPr>
            <w:rStyle w:val="Hyperlink"/>
            <w:i/>
            <w:noProof/>
          </w:rPr>
          <w:t>P. involutus DJR1</w:t>
        </w:r>
        <w:r w:rsidRPr="009363E2">
          <w:rPr>
            <w:rStyle w:val="Hyperlink"/>
            <w:noProof/>
          </w:rPr>
          <w:t xml:space="preserve"> gene transcriptional regulation of HAP weathering in either NS or S conditions</w:t>
        </w:r>
        <w:r>
          <w:rPr>
            <w:noProof/>
            <w:webHidden/>
          </w:rPr>
          <w:tab/>
        </w:r>
        <w:r>
          <w:rPr>
            <w:noProof/>
            <w:webHidden/>
          </w:rPr>
          <w:fldChar w:fldCharType="begin"/>
        </w:r>
        <w:r>
          <w:rPr>
            <w:noProof/>
            <w:webHidden/>
          </w:rPr>
          <w:instrText xml:space="preserve"> PAGEREF _Toc520837969 \h </w:instrText>
        </w:r>
        <w:r>
          <w:rPr>
            <w:noProof/>
            <w:webHidden/>
          </w:rPr>
        </w:r>
        <w:r>
          <w:rPr>
            <w:noProof/>
            <w:webHidden/>
          </w:rPr>
          <w:fldChar w:fldCharType="separate"/>
        </w:r>
        <w:r>
          <w:rPr>
            <w:noProof/>
            <w:webHidden/>
          </w:rPr>
          <w:t>182</w:t>
        </w:r>
        <w:r>
          <w:rPr>
            <w:noProof/>
            <w:webHidden/>
          </w:rPr>
          <w:fldChar w:fldCharType="end"/>
        </w:r>
      </w:hyperlink>
    </w:p>
    <w:p w14:paraId="3993933D"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70" w:history="1">
        <w:r w:rsidRPr="009363E2">
          <w:rPr>
            <w:rStyle w:val="Hyperlink"/>
            <w:noProof/>
          </w:rPr>
          <w:t>5.4.5 Metabolites produced at the fungal-mineral interface in response to HAP weathering in either NS or S conditions</w:t>
        </w:r>
        <w:r>
          <w:rPr>
            <w:noProof/>
            <w:webHidden/>
          </w:rPr>
          <w:tab/>
        </w:r>
        <w:r>
          <w:rPr>
            <w:noProof/>
            <w:webHidden/>
          </w:rPr>
          <w:fldChar w:fldCharType="begin"/>
        </w:r>
        <w:r>
          <w:rPr>
            <w:noProof/>
            <w:webHidden/>
          </w:rPr>
          <w:instrText xml:space="preserve"> PAGEREF _Toc520837970 \h </w:instrText>
        </w:r>
        <w:r>
          <w:rPr>
            <w:noProof/>
            <w:webHidden/>
          </w:rPr>
        </w:r>
        <w:r>
          <w:rPr>
            <w:noProof/>
            <w:webHidden/>
          </w:rPr>
          <w:fldChar w:fldCharType="separate"/>
        </w:r>
        <w:r>
          <w:rPr>
            <w:noProof/>
            <w:webHidden/>
          </w:rPr>
          <w:t>184</w:t>
        </w:r>
        <w:r>
          <w:rPr>
            <w:noProof/>
            <w:webHidden/>
          </w:rPr>
          <w:fldChar w:fldCharType="end"/>
        </w:r>
      </w:hyperlink>
    </w:p>
    <w:p w14:paraId="6D8463F3"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71" w:history="1">
        <w:r w:rsidRPr="009363E2">
          <w:rPr>
            <w:rStyle w:val="Hyperlink"/>
            <w:noProof/>
          </w:rPr>
          <w:t>5.5 Conclusions</w:t>
        </w:r>
        <w:r>
          <w:rPr>
            <w:noProof/>
            <w:webHidden/>
          </w:rPr>
          <w:tab/>
        </w:r>
        <w:r>
          <w:rPr>
            <w:noProof/>
            <w:webHidden/>
          </w:rPr>
          <w:fldChar w:fldCharType="begin"/>
        </w:r>
        <w:r>
          <w:rPr>
            <w:noProof/>
            <w:webHidden/>
          </w:rPr>
          <w:instrText xml:space="preserve"> PAGEREF _Toc520837971 \h </w:instrText>
        </w:r>
        <w:r>
          <w:rPr>
            <w:noProof/>
            <w:webHidden/>
          </w:rPr>
        </w:r>
        <w:r>
          <w:rPr>
            <w:noProof/>
            <w:webHidden/>
          </w:rPr>
          <w:fldChar w:fldCharType="separate"/>
        </w:r>
        <w:r>
          <w:rPr>
            <w:noProof/>
            <w:webHidden/>
          </w:rPr>
          <w:t>187</w:t>
        </w:r>
        <w:r>
          <w:rPr>
            <w:noProof/>
            <w:webHidden/>
          </w:rPr>
          <w:fldChar w:fldCharType="end"/>
        </w:r>
      </w:hyperlink>
    </w:p>
    <w:p w14:paraId="0AFB447C" w14:textId="77777777" w:rsidR="003B197E" w:rsidRDefault="003B197E" w:rsidP="003B197E">
      <w:pPr>
        <w:pStyle w:val="TOC1"/>
        <w:tabs>
          <w:tab w:val="right" w:leader="dot" w:pos="9350"/>
        </w:tabs>
        <w:rPr>
          <w:rFonts w:asciiTheme="minorHAnsi" w:eastAsiaTheme="minorEastAsia" w:hAnsiTheme="minorHAnsi"/>
          <w:b w:val="0"/>
          <w:iCs w:val="0"/>
          <w:noProof/>
          <w:color w:val="auto"/>
          <w:sz w:val="22"/>
          <w:szCs w:val="22"/>
          <w:lang w:eastAsia="en-GB"/>
        </w:rPr>
      </w:pPr>
      <w:hyperlink w:anchor="_Toc520837972" w:history="1">
        <w:r w:rsidRPr="009363E2">
          <w:rPr>
            <w:rStyle w:val="Hyperlink"/>
            <w:noProof/>
          </w:rPr>
          <w:t xml:space="preserve">Chapter 6. Unravelling the molecular mechanisms of hydroxyapatite weathering driven by the ectomycorrhizal fungus </w:t>
        </w:r>
        <w:r w:rsidRPr="009363E2">
          <w:rPr>
            <w:rStyle w:val="Hyperlink"/>
            <w:i/>
            <w:noProof/>
          </w:rPr>
          <w:t>Paxillus involutus</w:t>
        </w:r>
        <w:r>
          <w:rPr>
            <w:noProof/>
            <w:webHidden/>
          </w:rPr>
          <w:tab/>
        </w:r>
        <w:r>
          <w:rPr>
            <w:noProof/>
            <w:webHidden/>
          </w:rPr>
          <w:fldChar w:fldCharType="begin"/>
        </w:r>
        <w:r>
          <w:rPr>
            <w:noProof/>
            <w:webHidden/>
          </w:rPr>
          <w:instrText xml:space="preserve"> PAGEREF _Toc520837972 \h </w:instrText>
        </w:r>
        <w:r>
          <w:rPr>
            <w:noProof/>
            <w:webHidden/>
          </w:rPr>
        </w:r>
        <w:r>
          <w:rPr>
            <w:noProof/>
            <w:webHidden/>
          </w:rPr>
          <w:fldChar w:fldCharType="separate"/>
        </w:r>
        <w:r>
          <w:rPr>
            <w:noProof/>
            <w:webHidden/>
          </w:rPr>
          <w:t>188</w:t>
        </w:r>
        <w:r>
          <w:rPr>
            <w:noProof/>
            <w:webHidden/>
          </w:rPr>
          <w:fldChar w:fldCharType="end"/>
        </w:r>
      </w:hyperlink>
    </w:p>
    <w:p w14:paraId="647F0F67"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73" w:history="1">
        <w:r w:rsidRPr="009363E2">
          <w:rPr>
            <w:rStyle w:val="Hyperlink"/>
            <w:noProof/>
          </w:rPr>
          <w:t>6.1 General Discussion</w:t>
        </w:r>
        <w:r>
          <w:rPr>
            <w:noProof/>
            <w:webHidden/>
          </w:rPr>
          <w:tab/>
        </w:r>
        <w:r>
          <w:rPr>
            <w:noProof/>
            <w:webHidden/>
          </w:rPr>
          <w:fldChar w:fldCharType="begin"/>
        </w:r>
        <w:r>
          <w:rPr>
            <w:noProof/>
            <w:webHidden/>
          </w:rPr>
          <w:instrText xml:space="preserve"> PAGEREF _Toc520837973 \h </w:instrText>
        </w:r>
        <w:r>
          <w:rPr>
            <w:noProof/>
            <w:webHidden/>
          </w:rPr>
        </w:r>
        <w:r>
          <w:rPr>
            <w:noProof/>
            <w:webHidden/>
          </w:rPr>
          <w:fldChar w:fldCharType="separate"/>
        </w:r>
        <w:r>
          <w:rPr>
            <w:noProof/>
            <w:webHidden/>
          </w:rPr>
          <w:t>188</w:t>
        </w:r>
        <w:r>
          <w:rPr>
            <w:noProof/>
            <w:webHidden/>
          </w:rPr>
          <w:fldChar w:fldCharType="end"/>
        </w:r>
      </w:hyperlink>
    </w:p>
    <w:p w14:paraId="797ED1C2"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74" w:history="1">
        <w:r w:rsidRPr="009363E2">
          <w:rPr>
            <w:rStyle w:val="Hyperlink"/>
            <w:noProof/>
          </w:rPr>
          <w:t>6.1.1 Inorganic phosphorus availability and hydroxyapatite weathering</w:t>
        </w:r>
        <w:r>
          <w:rPr>
            <w:noProof/>
            <w:webHidden/>
          </w:rPr>
          <w:tab/>
        </w:r>
        <w:r>
          <w:rPr>
            <w:noProof/>
            <w:webHidden/>
          </w:rPr>
          <w:fldChar w:fldCharType="begin"/>
        </w:r>
        <w:r>
          <w:rPr>
            <w:noProof/>
            <w:webHidden/>
          </w:rPr>
          <w:instrText xml:space="preserve"> PAGEREF _Toc520837974 \h </w:instrText>
        </w:r>
        <w:r>
          <w:rPr>
            <w:noProof/>
            <w:webHidden/>
          </w:rPr>
        </w:r>
        <w:r>
          <w:rPr>
            <w:noProof/>
            <w:webHidden/>
          </w:rPr>
          <w:fldChar w:fldCharType="separate"/>
        </w:r>
        <w:r>
          <w:rPr>
            <w:noProof/>
            <w:webHidden/>
          </w:rPr>
          <w:t>188</w:t>
        </w:r>
        <w:r>
          <w:rPr>
            <w:noProof/>
            <w:webHidden/>
          </w:rPr>
          <w:fldChar w:fldCharType="end"/>
        </w:r>
      </w:hyperlink>
    </w:p>
    <w:p w14:paraId="1141FC89"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75" w:history="1">
        <w:r w:rsidRPr="009363E2">
          <w:rPr>
            <w:rStyle w:val="Hyperlink"/>
            <w:noProof/>
          </w:rPr>
          <w:t>6.1.2 Molecular mechanisms of HAP weathering</w:t>
        </w:r>
        <w:r>
          <w:rPr>
            <w:noProof/>
            <w:webHidden/>
          </w:rPr>
          <w:tab/>
        </w:r>
        <w:r>
          <w:rPr>
            <w:noProof/>
            <w:webHidden/>
          </w:rPr>
          <w:fldChar w:fldCharType="begin"/>
        </w:r>
        <w:r>
          <w:rPr>
            <w:noProof/>
            <w:webHidden/>
          </w:rPr>
          <w:instrText xml:space="preserve"> PAGEREF _Toc520837975 \h </w:instrText>
        </w:r>
        <w:r>
          <w:rPr>
            <w:noProof/>
            <w:webHidden/>
          </w:rPr>
        </w:r>
        <w:r>
          <w:rPr>
            <w:noProof/>
            <w:webHidden/>
          </w:rPr>
          <w:fldChar w:fldCharType="separate"/>
        </w:r>
        <w:r>
          <w:rPr>
            <w:noProof/>
            <w:webHidden/>
          </w:rPr>
          <w:t>189</w:t>
        </w:r>
        <w:r>
          <w:rPr>
            <w:noProof/>
            <w:webHidden/>
          </w:rPr>
          <w:fldChar w:fldCharType="end"/>
        </w:r>
      </w:hyperlink>
    </w:p>
    <w:p w14:paraId="2B81CD64"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76" w:history="1">
        <w:r w:rsidRPr="009363E2">
          <w:rPr>
            <w:rStyle w:val="Hyperlink"/>
            <w:noProof/>
          </w:rPr>
          <w:t>6.2 Main conclusions</w:t>
        </w:r>
        <w:r>
          <w:rPr>
            <w:noProof/>
            <w:webHidden/>
          </w:rPr>
          <w:tab/>
        </w:r>
        <w:r>
          <w:rPr>
            <w:noProof/>
            <w:webHidden/>
          </w:rPr>
          <w:fldChar w:fldCharType="begin"/>
        </w:r>
        <w:r>
          <w:rPr>
            <w:noProof/>
            <w:webHidden/>
          </w:rPr>
          <w:instrText xml:space="preserve"> PAGEREF _Toc520837976 \h </w:instrText>
        </w:r>
        <w:r>
          <w:rPr>
            <w:noProof/>
            <w:webHidden/>
          </w:rPr>
        </w:r>
        <w:r>
          <w:rPr>
            <w:noProof/>
            <w:webHidden/>
          </w:rPr>
          <w:fldChar w:fldCharType="separate"/>
        </w:r>
        <w:r>
          <w:rPr>
            <w:noProof/>
            <w:webHidden/>
          </w:rPr>
          <w:t>195</w:t>
        </w:r>
        <w:r>
          <w:rPr>
            <w:noProof/>
            <w:webHidden/>
          </w:rPr>
          <w:fldChar w:fldCharType="end"/>
        </w:r>
      </w:hyperlink>
    </w:p>
    <w:p w14:paraId="2DB142F5" w14:textId="77777777" w:rsidR="003B197E" w:rsidRDefault="003B197E" w:rsidP="003B197E">
      <w:pPr>
        <w:pStyle w:val="TOC2"/>
        <w:tabs>
          <w:tab w:val="right" w:leader="dot" w:pos="9350"/>
        </w:tabs>
        <w:rPr>
          <w:rFonts w:asciiTheme="minorHAnsi" w:eastAsiaTheme="minorEastAsia" w:hAnsiTheme="minorHAnsi"/>
          <w:b w:val="0"/>
          <w:iCs w:val="0"/>
          <w:noProof/>
          <w:color w:val="auto"/>
          <w:szCs w:val="22"/>
          <w:lang w:eastAsia="en-GB"/>
        </w:rPr>
      </w:pPr>
      <w:hyperlink w:anchor="_Toc520837977" w:history="1">
        <w:r w:rsidRPr="009363E2">
          <w:rPr>
            <w:rStyle w:val="Hyperlink"/>
            <w:noProof/>
          </w:rPr>
          <w:t>6.3 Future work</w:t>
        </w:r>
        <w:r>
          <w:rPr>
            <w:noProof/>
            <w:webHidden/>
          </w:rPr>
          <w:tab/>
        </w:r>
        <w:r>
          <w:rPr>
            <w:noProof/>
            <w:webHidden/>
          </w:rPr>
          <w:fldChar w:fldCharType="begin"/>
        </w:r>
        <w:r>
          <w:rPr>
            <w:noProof/>
            <w:webHidden/>
          </w:rPr>
          <w:instrText xml:space="preserve"> PAGEREF _Toc520837977 \h </w:instrText>
        </w:r>
        <w:r>
          <w:rPr>
            <w:noProof/>
            <w:webHidden/>
          </w:rPr>
        </w:r>
        <w:r>
          <w:rPr>
            <w:noProof/>
            <w:webHidden/>
          </w:rPr>
          <w:fldChar w:fldCharType="separate"/>
        </w:r>
        <w:r>
          <w:rPr>
            <w:noProof/>
            <w:webHidden/>
          </w:rPr>
          <w:t>196</w:t>
        </w:r>
        <w:r>
          <w:rPr>
            <w:noProof/>
            <w:webHidden/>
          </w:rPr>
          <w:fldChar w:fldCharType="end"/>
        </w:r>
      </w:hyperlink>
    </w:p>
    <w:p w14:paraId="04626B61" w14:textId="77777777" w:rsidR="003B197E" w:rsidRDefault="003B197E" w:rsidP="003B197E">
      <w:pPr>
        <w:pStyle w:val="TOC1"/>
        <w:tabs>
          <w:tab w:val="right" w:leader="dot" w:pos="9350"/>
        </w:tabs>
        <w:rPr>
          <w:rFonts w:asciiTheme="minorHAnsi" w:eastAsiaTheme="minorEastAsia" w:hAnsiTheme="minorHAnsi"/>
          <w:b w:val="0"/>
          <w:iCs w:val="0"/>
          <w:noProof/>
          <w:color w:val="auto"/>
          <w:sz w:val="22"/>
          <w:szCs w:val="22"/>
          <w:lang w:eastAsia="en-GB"/>
        </w:rPr>
      </w:pPr>
      <w:hyperlink w:anchor="_Toc520837978" w:history="1">
        <w:r w:rsidRPr="009363E2">
          <w:rPr>
            <w:rStyle w:val="Hyperlink"/>
            <w:noProof/>
          </w:rPr>
          <w:t>Appendix</w:t>
        </w:r>
        <w:r>
          <w:rPr>
            <w:noProof/>
            <w:webHidden/>
          </w:rPr>
          <w:tab/>
        </w:r>
        <w:r>
          <w:rPr>
            <w:noProof/>
            <w:webHidden/>
          </w:rPr>
          <w:fldChar w:fldCharType="begin"/>
        </w:r>
        <w:r>
          <w:rPr>
            <w:noProof/>
            <w:webHidden/>
          </w:rPr>
          <w:instrText xml:space="preserve"> PAGEREF _Toc520837978 \h </w:instrText>
        </w:r>
        <w:r>
          <w:rPr>
            <w:noProof/>
            <w:webHidden/>
          </w:rPr>
        </w:r>
        <w:r>
          <w:rPr>
            <w:noProof/>
            <w:webHidden/>
          </w:rPr>
          <w:fldChar w:fldCharType="separate"/>
        </w:r>
        <w:r>
          <w:rPr>
            <w:noProof/>
            <w:webHidden/>
          </w:rPr>
          <w:t>197</w:t>
        </w:r>
        <w:r>
          <w:rPr>
            <w:noProof/>
            <w:webHidden/>
          </w:rPr>
          <w:fldChar w:fldCharType="end"/>
        </w:r>
      </w:hyperlink>
    </w:p>
    <w:p w14:paraId="4EBE0875"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79" w:history="1">
        <w:r w:rsidRPr="009363E2">
          <w:rPr>
            <w:rStyle w:val="Hyperlink"/>
            <w:noProof/>
          </w:rPr>
          <w:t>Figure 1.</w:t>
        </w:r>
        <w:r>
          <w:rPr>
            <w:noProof/>
            <w:webHidden/>
          </w:rPr>
          <w:tab/>
        </w:r>
        <w:r>
          <w:rPr>
            <w:noProof/>
            <w:webHidden/>
          </w:rPr>
          <w:fldChar w:fldCharType="begin"/>
        </w:r>
        <w:r>
          <w:rPr>
            <w:noProof/>
            <w:webHidden/>
          </w:rPr>
          <w:instrText xml:space="preserve"> PAGEREF _Toc520837979 \h </w:instrText>
        </w:r>
        <w:r>
          <w:rPr>
            <w:noProof/>
            <w:webHidden/>
          </w:rPr>
        </w:r>
        <w:r>
          <w:rPr>
            <w:noProof/>
            <w:webHidden/>
          </w:rPr>
          <w:fldChar w:fldCharType="separate"/>
        </w:r>
        <w:r>
          <w:rPr>
            <w:noProof/>
            <w:webHidden/>
          </w:rPr>
          <w:t>197</w:t>
        </w:r>
        <w:r>
          <w:rPr>
            <w:noProof/>
            <w:webHidden/>
          </w:rPr>
          <w:fldChar w:fldCharType="end"/>
        </w:r>
      </w:hyperlink>
    </w:p>
    <w:p w14:paraId="6B574E63"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80" w:history="1">
        <w:r>
          <w:rPr>
            <w:rStyle w:val="Hyperlink"/>
            <w:noProof/>
          </w:rPr>
          <w:t>Figure 2</w:t>
        </w:r>
        <w:r>
          <w:rPr>
            <w:noProof/>
            <w:webHidden/>
          </w:rPr>
          <w:tab/>
        </w:r>
        <w:r>
          <w:rPr>
            <w:noProof/>
            <w:webHidden/>
          </w:rPr>
          <w:fldChar w:fldCharType="begin"/>
        </w:r>
        <w:r>
          <w:rPr>
            <w:noProof/>
            <w:webHidden/>
          </w:rPr>
          <w:instrText xml:space="preserve"> PAGEREF _Toc520837980 \h </w:instrText>
        </w:r>
        <w:r>
          <w:rPr>
            <w:noProof/>
            <w:webHidden/>
          </w:rPr>
        </w:r>
        <w:r>
          <w:rPr>
            <w:noProof/>
            <w:webHidden/>
          </w:rPr>
          <w:fldChar w:fldCharType="separate"/>
        </w:r>
        <w:r>
          <w:rPr>
            <w:noProof/>
            <w:webHidden/>
          </w:rPr>
          <w:t>198</w:t>
        </w:r>
        <w:r>
          <w:rPr>
            <w:noProof/>
            <w:webHidden/>
          </w:rPr>
          <w:fldChar w:fldCharType="end"/>
        </w:r>
      </w:hyperlink>
    </w:p>
    <w:p w14:paraId="0F671CA9"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81" w:history="1">
        <w:r w:rsidRPr="009363E2">
          <w:rPr>
            <w:rStyle w:val="Hyperlink"/>
            <w:noProof/>
          </w:rPr>
          <w:t>Supplementary data 1.</w:t>
        </w:r>
        <w:r>
          <w:rPr>
            <w:noProof/>
            <w:webHidden/>
          </w:rPr>
          <w:tab/>
        </w:r>
        <w:r>
          <w:rPr>
            <w:noProof/>
            <w:webHidden/>
          </w:rPr>
          <w:fldChar w:fldCharType="begin"/>
        </w:r>
        <w:r>
          <w:rPr>
            <w:noProof/>
            <w:webHidden/>
          </w:rPr>
          <w:instrText xml:space="preserve"> PAGEREF _Toc520837981 \h </w:instrText>
        </w:r>
        <w:r>
          <w:rPr>
            <w:noProof/>
            <w:webHidden/>
          </w:rPr>
        </w:r>
        <w:r>
          <w:rPr>
            <w:noProof/>
            <w:webHidden/>
          </w:rPr>
          <w:fldChar w:fldCharType="separate"/>
        </w:r>
        <w:r>
          <w:rPr>
            <w:noProof/>
            <w:webHidden/>
          </w:rPr>
          <w:t>199</w:t>
        </w:r>
        <w:r>
          <w:rPr>
            <w:noProof/>
            <w:webHidden/>
          </w:rPr>
          <w:fldChar w:fldCharType="end"/>
        </w:r>
      </w:hyperlink>
    </w:p>
    <w:p w14:paraId="01C33A11"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82" w:history="1">
        <w:r>
          <w:rPr>
            <w:rStyle w:val="Hyperlink"/>
            <w:noProof/>
          </w:rPr>
          <w:t>Supplementary data 2</w:t>
        </w:r>
        <w:r>
          <w:rPr>
            <w:noProof/>
            <w:webHidden/>
          </w:rPr>
          <w:tab/>
        </w:r>
        <w:r>
          <w:rPr>
            <w:noProof/>
            <w:webHidden/>
          </w:rPr>
          <w:fldChar w:fldCharType="begin"/>
        </w:r>
        <w:r>
          <w:rPr>
            <w:noProof/>
            <w:webHidden/>
          </w:rPr>
          <w:instrText xml:space="preserve"> PAGEREF _Toc520837982 \h </w:instrText>
        </w:r>
        <w:r>
          <w:rPr>
            <w:noProof/>
            <w:webHidden/>
          </w:rPr>
        </w:r>
        <w:r>
          <w:rPr>
            <w:noProof/>
            <w:webHidden/>
          </w:rPr>
          <w:fldChar w:fldCharType="separate"/>
        </w:r>
        <w:r>
          <w:rPr>
            <w:noProof/>
            <w:webHidden/>
          </w:rPr>
          <w:t>205</w:t>
        </w:r>
        <w:r>
          <w:rPr>
            <w:noProof/>
            <w:webHidden/>
          </w:rPr>
          <w:fldChar w:fldCharType="end"/>
        </w:r>
      </w:hyperlink>
    </w:p>
    <w:p w14:paraId="39975A45"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83" w:history="1">
        <w:r w:rsidRPr="009363E2">
          <w:rPr>
            <w:rStyle w:val="Hyperlink"/>
            <w:noProof/>
          </w:rPr>
          <w:t>Supplementary data 3.</w:t>
        </w:r>
        <w:r>
          <w:rPr>
            <w:noProof/>
            <w:webHidden/>
          </w:rPr>
          <w:tab/>
        </w:r>
        <w:r>
          <w:rPr>
            <w:noProof/>
            <w:webHidden/>
          </w:rPr>
          <w:fldChar w:fldCharType="begin"/>
        </w:r>
        <w:r>
          <w:rPr>
            <w:noProof/>
            <w:webHidden/>
          </w:rPr>
          <w:instrText xml:space="preserve"> PAGEREF _Toc520837983 \h </w:instrText>
        </w:r>
        <w:r>
          <w:rPr>
            <w:noProof/>
            <w:webHidden/>
          </w:rPr>
        </w:r>
        <w:r>
          <w:rPr>
            <w:noProof/>
            <w:webHidden/>
          </w:rPr>
          <w:fldChar w:fldCharType="separate"/>
        </w:r>
        <w:r>
          <w:rPr>
            <w:noProof/>
            <w:webHidden/>
          </w:rPr>
          <w:t>207</w:t>
        </w:r>
        <w:r>
          <w:rPr>
            <w:noProof/>
            <w:webHidden/>
          </w:rPr>
          <w:fldChar w:fldCharType="end"/>
        </w:r>
      </w:hyperlink>
    </w:p>
    <w:p w14:paraId="7E6ED677"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84" w:history="1">
        <w:r w:rsidRPr="009363E2">
          <w:rPr>
            <w:rStyle w:val="Hyperlink"/>
            <w:noProof/>
          </w:rPr>
          <w:t>Supplementary data 4.</w:t>
        </w:r>
        <w:r>
          <w:rPr>
            <w:noProof/>
            <w:webHidden/>
          </w:rPr>
          <w:tab/>
        </w:r>
        <w:r>
          <w:rPr>
            <w:noProof/>
            <w:webHidden/>
          </w:rPr>
          <w:fldChar w:fldCharType="begin"/>
        </w:r>
        <w:r>
          <w:rPr>
            <w:noProof/>
            <w:webHidden/>
          </w:rPr>
          <w:instrText xml:space="preserve"> PAGEREF _Toc520837984 \h </w:instrText>
        </w:r>
        <w:r>
          <w:rPr>
            <w:noProof/>
            <w:webHidden/>
          </w:rPr>
        </w:r>
        <w:r>
          <w:rPr>
            <w:noProof/>
            <w:webHidden/>
          </w:rPr>
          <w:fldChar w:fldCharType="separate"/>
        </w:r>
        <w:r>
          <w:rPr>
            <w:noProof/>
            <w:webHidden/>
          </w:rPr>
          <w:t>211</w:t>
        </w:r>
        <w:r>
          <w:rPr>
            <w:noProof/>
            <w:webHidden/>
          </w:rPr>
          <w:fldChar w:fldCharType="end"/>
        </w:r>
      </w:hyperlink>
    </w:p>
    <w:p w14:paraId="7D269C6C"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85" w:history="1">
        <w:r>
          <w:rPr>
            <w:rStyle w:val="Hyperlink"/>
            <w:noProof/>
          </w:rPr>
          <w:t>Table 1</w:t>
        </w:r>
        <w:r>
          <w:rPr>
            <w:noProof/>
            <w:webHidden/>
          </w:rPr>
          <w:tab/>
        </w:r>
        <w:r>
          <w:rPr>
            <w:noProof/>
            <w:webHidden/>
          </w:rPr>
          <w:fldChar w:fldCharType="begin"/>
        </w:r>
        <w:r>
          <w:rPr>
            <w:noProof/>
            <w:webHidden/>
          </w:rPr>
          <w:instrText xml:space="preserve"> PAGEREF _Toc520837985 \h </w:instrText>
        </w:r>
        <w:r>
          <w:rPr>
            <w:noProof/>
            <w:webHidden/>
          </w:rPr>
        </w:r>
        <w:r>
          <w:rPr>
            <w:noProof/>
            <w:webHidden/>
          </w:rPr>
          <w:fldChar w:fldCharType="separate"/>
        </w:r>
        <w:r>
          <w:rPr>
            <w:noProof/>
            <w:webHidden/>
          </w:rPr>
          <w:t>212</w:t>
        </w:r>
        <w:r>
          <w:rPr>
            <w:noProof/>
            <w:webHidden/>
          </w:rPr>
          <w:fldChar w:fldCharType="end"/>
        </w:r>
      </w:hyperlink>
    </w:p>
    <w:p w14:paraId="4D4BCB8D"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86" w:history="1">
        <w:r>
          <w:rPr>
            <w:rStyle w:val="Hyperlink"/>
            <w:noProof/>
          </w:rPr>
          <w:t>Table 2</w:t>
        </w:r>
        <w:r>
          <w:rPr>
            <w:noProof/>
            <w:webHidden/>
          </w:rPr>
          <w:tab/>
        </w:r>
        <w:r>
          <w:rPr>
            <w:noProof/>
            <w:webHidden/>
          </w:rPr>
          <w:fldChar w:fldCharType="begin"/>
        </w:r>
        <w:r>
          <w:rPr>
            <w:noProof/>
            <w:webHidden/>
          </w:rPr>
          <w:instrText xml:space="preserve"> PAGEREF _Toc520837986 \h </w:instrText>
        </w:r>
        <w:r>
          <w:rPr>
            <w:noProof/>
            <w:webHidden/>
          </w:rPr>
        </w:r>
        <w:r>
          <w:rPr>
            <w:noProof/>
            <w:webHidden/>
          </w:rPr>
          <w:fldChar w:fldCharType="separate"/>
        </w:r>
        <w:r>
          <w:rPr>
            <w:noProof/>
            <w:webHidden/>
          </w:rPr>
          <w:t>213</w:t>
        </w:r>
        <w:r>
          <w:rPr>
            <w:noProof/>
            <w:webHidden/>
          </w:rPr>
          <w:fldChar w:fldCharType="end"/>
        </w:r>
      </w:hyperlink>
    </w:p>
    <w:p w14:paraId="6FCCC4D9"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87" w:history="1">
        <w:r>
          <w:rPr>
            <w:rStyle w:val="Hyperlink"/>
            <w:noProof/>
          </w:rPr>
          <w:t>Table 3</w:t>
        </w:r>
        <w:r>
          <w:rPr>
            <w:noProof/>
            <w:webHidden/>
          </w:rPr>
          <w:tab/>
        </w:r>
        <w:r>
          <w:rPr>
            <w:noProof/>
            <w:webHidden/>
          </w:rPr>
          <w:fldChar w:fldCharType="begin"/>
        </w:r>
        <w:r>
          <w:rPr>
            <w:noProof/>
            <w:webHidden/>
          </w:rPr>
          <w:instrText xml:space="preserve"> PAGEREF _Toc520837987 \h </w:instrText>
        </w:r>
        <w:r>
          <w:rPr>
            <w:noProof/>
            <w:webHidden/>
          </w:rPr>
        </w:r>
        <w:r>
          <w:rPr>
            <w:noProof/>
            <w:webHidden/>
          </w:rPr>
          <w:fldChar w:fldCharType="separate"/>
        </w:r>
        <w:r>
          <w:rPr>
            <w:noProof/>
            <w:webHidden/>
          </w:rPr>
          <w:t>214</w:t>
        </w:r>
        <w:r>
          <w:rPr>
            <w:noProof/>
            <w:webHidden/>
          </w:rPr>
          <w:fldChar w:fldCharType="end"/>
        </w:r>
      </w:hyperlink>
    </w:p>
    <w:p w14:paraId="1DA8B6DD"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88" w:history="1">
        <w:r w:rsidRPr="009363E2">
          <w:rPr>
            <w:rStyle w:val="Hyperlink"/>
            <w:noProof/>
          </w:rPr>
          <w:t>Table 4</w:t>
        </w:r>
        <w:r>
          <w:rPr>
            <w:noProof/>
            <w:webHidden/>
          </w:rPr>
          <w:tab/>
        </w:r>
        <w:r>
          <w:rPr>
            <w:noProof/>
            <w:webHidden/>
          </w:rPr>
          <w:fldChar w:fldCharType="begin"/>
        </w:r>
        <w:r>
          <w:rPr>
            <w:noProof/>
            <w:webHidden/>
          </w:rPr>
          <w:instrText xml:space="preserve"> PAGEREF _Toc520837988 \h </w:instrText>
        </w:r>
        <w:r>
          <w:rPr>
            <w:noProof/>
            <w:webHidden/>
          </w:rPr>
        </w:r>
        <w:r>
          <w:rPr>
            <w:noProof/>
            <w:webHidden/>
          </w:rPr>
          <w:fldChar w:fldCharType="separate"/>
        </w:r>
        <w:r>
          <w:rPr>
            <w:noProof/>
            <w:webHidden/>
          </w:rPr>
          <w:t>215</w:t>
        </w:r>
        <w:r>
          <w:rPr>
            <w:noProof/>
            <w:webHidden/>
          </w:rPr>
          <w:fldChar w:fldCharType="end"/>
        </w:r>
      </w:hyperlink>
    </w:p>
    <w:p w14:paraId="6C7C03D7"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89" w:history="1">
        <w:r>
          <w:rPr>
            <w:rStyle w:val="Hyperlink"/>
            <w:noProof/>
          </w:rPr>
          <w:t>Table 5</w:t>
        </w:r>
        <w:r>
          <w:rPr>
            <w:noProof/>
            <w:webHidden/>
          </w:rPr>
          <w:tab/>
        </w:r>
        <w:r>
          <w:rPr>
            <w:noProof/>
            <w:webHidden/>
          </w:rPr>
          <w:fldChar w:fldCharType="begin"/>
        </w:r>
        <w:r>
          <w:rPr>
            <w:noProof/>
            <w:webHidden/>
          </w:rPr>
          <w:instrText xml:space="preserve"> PAGEREF _Toc520837989 \h </w:instrText>
        </w:r>
        <w:r>
          <w:rPr>
            <w:noProof/>
            <w:webHidden/>
          </w:rPr>
        </w:r>
        <w:r>
          <w:rPr>
            <w:noProof/>
            <w:webHidden/>
          </w:rPr>
          <w:fldChar w:fldCharType="separate"/>
        </w:r>
        <w:r>
          <w:rPr>
            <w:noProof/>
            <w:webHidden/>
          </w:rPr>
          <w:t>216</w:t>
        </w:r>
        <w:r>
          <w:rPr>
            <w:noProof/>
            <w:webHidden/>
          </w:rPr>
          <w:fldChar w:fldCharType="end"/>
        </w:r>
      </w:hyperlink>
    </w:p>
    <w:p w14:paraId="6CAC3ADA"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90" w:history="1">
        <w:r w:rsidRPr="009363E2">
          <w:rPr>
            <w:rStyle w:val="Hyperlink"/>
            <w:noProof/>
            <w:lang w:val="en-US"/>
          </w:rPr>
          <w:t>Table 6</w:t>
        </w:r>
        <w:r>
          <w:rPr>
            <w:noProof/>
            <w:webHidden/>
          </w:rPr>
          <w:tab/>
        </w:r>
        <w:r>
          <w:rPr>
            <w:noProof/>
            <w:webHidden/>
          </w:rPr>
          <w:fldChar w:fldCharType="begin"/>
        </w:r>
        <w:r>
          <w:rPr>
            <w:noProof/>
            <w:webHidden/>
          </w:rPr>
          <w:instrText xml:space="preserve"> PAGEREF _Toc520837990 \h </w:instrText>
        </w:r>
        <w:r>
          <w:rPr>
            <w:noProof/>
            <w:webHidden/>
          </w:rPr>
        </w:r>
        <w:r>
          <w:rPr>
            <w:noProof/>
            <w:webHidden/>
          </w:rPr>
          <w:fldChar w:fldCharType="separate"/>
        </w:r>
        <w:r>
          <w:rPr>
            <w:noProof/>
            <w:webHidden/>
          </w:rPr>
          <w:t>217</w:t>
        </w:r>
        <w:r>
          <w:rPr>
            <w:noProof/>
            <w:webHidden/>
          </w:rPr>
          <w:fldChar w:fldCharType="end"/>
        </w:r>
      </w:hyperlink>
    </w:p>
    <w:p w14:paraId="265A9ED4"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91" w:history="1">
        <w:r w:rsidRPr="009363E2">
          <w:rPr>
            <w:rStyle w:val="Hyperlink"/>
            <w:noProof/>
            <w:lang w:val="en-US"/>
          </w:rPr>
          <w:t>Table 7</w:t>
        </w:r>
        <w:r>
          <w:rPr>
            <w:noProof/>
            <w:webHidden/>
          </w:rPr>
          <w:tab/>
        </w:r>
        <w:r>
          <w:rPr>
            <w:noProof/>
            <w:webHidden/>
          </w:rPr>
          <w:fldChar w:fldCharType="begin"/>
        </w:r>
        <w:r>
          <w:rPr>
            <w:noProof/>
            <w:webHidden/>
          </w:rPr>
          <w:instrText xml:space="preserve"> PAGEREF _Toc520837991 \h </w:instrText>
        </w:r>
        <w:r>
          <w:rPr>
            <w:noProof/>
            <w:webHidden/>
          </w:rPr>
        </w:r>
        <w:r>
          <w:rPr>
            <w:noProof/>
            <w:webHidden/>
          </w:rPr>
          <w:fldChar w:fldCharType="separate"/>
        </w:r>
        <w:r>
          <w:rPr>
            <w:noProof/>
            <w:webHidden/>
          </w:rPr>
          <w:t>220</w:t>
        </w:r>
        <w:r>
          <w:rPr>
            <w:noProof/>
            <w:webHidden/>
          </w:rPr>
          <w:fldChar w:fldCharType="end"/>
        </w:r>
      </w:hyperlink>
    </w:p>
    <w:p w14:paraId="7D8BF890"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92" w:history="1">
        <w:r w:rsidRPr="009363E2">
          <w:rPr>
            <w:rStyle w:val="Hyperlink"/>
            <w:noProof/>
          </w:rPr>
          <w:t>Table 8</w:t>
        </w:r>
        <w:r>
          <w:rPr>
            <w:noProof/>
            <w:webHidden/>
          </w:rPr>
          <w:tab/>
        </w:r>
        <w:r>
          <w:rPr>
            <w:noProof/>
            <w:webHidden/>
          </w:rPr>
          <w:fldChar w:fldCharType="begin"/>
        </w:r>
        <w:r>
          <w:rPr>
            <w:noProof/>
            <w:webHidden/>
          </w:rPr>
          <w:instrText xml:space="preserve"> PAGEREF _Toc520837992 \h </w:instrText>
        </w:r>
        <w:r>
          <w:rPr>
            <w:noProof/>
            <w:webHidden/>
          </w:rPr>
        </w:r>
        <w:r>
          <w:rPr>
            <w:noProof/>
            <w:webHidden/>
          </w:rPr>
          <w:fldChar w:fldCharType="separate"/>
        </w:r>
        <w:r>
          <w:rPr>
            <w:noProof/>
            <w:webHidden/>
          </w:rPr>
          <w:t>222</w:t>
        </w:r>
        <w:r>
          <w:rPr>
            <w:noProof/>
            <w:webHidden/>
          </w:rPr>
          <w:fldChar w:fldCharType="end"/>
        </w:r>
      </w:hyperlink>
    </w:p>
    <w:p w14:paraId="7DCBAC70" w14:textId="77777777" w:rsidR="003B197E" w:rsidRDefault="003B197E" w:rsidP="003B197E">
      <w:pPr>
        <w:pStyle w:val="TOC3"/>
        <w:tabs>
          <w:tab w:val="right" w:leader="dot" w:pos="9350"/>
        </w:tabs>
        <w:rPr>
          <w:rFonts w:asciiTheme="minorHAnsi" w:eastAsiaTheme="minorEastAsia" w:hAnsiTheme="minorHAnsi"/>
          <w:iCs w:val="0"/>
          <w:noProof/>
          <w:color w:val="auto"/>
          <w:sz w:val="22"/>
          <w:szCs w:val="22"/>
          <w:lang w:eastAsia="en-GB"/>
        </w:rPr>
      </w:pPr>
      <w:hyperlink w:anchor="_Toc520837993" w:history="1">
        <w:r w:rsidRPr="009363E2">
          <w:rPr>
            <w:rStyle w:val="Hyperlink"/>
            <w:noProof/>
          </w:rPr>
          <w:t>Table 9</w:t>
        </w:r>
        <w:r>
          <w:rPr>
            <w:noProof/>
            <w:webHidden/>
          </w:rPr>
          <w:tab/>
        </w:r>
        <w:r>
          <w:rPr>
            <w:noProof/>
            <w:webHidden/>
          </w:rPr>
          <w:fldChar w:fldCharType="begin"/>
        </w:r>
        <w:r>
          <w:rPr>
            <w:noProof/>
            <w:webHidden/>
          </w:rPr>
          <w:instrText xml:space="preserve"> PAGEREF _Toc520837993 \h </w:instrText>
        </w:r>
        <w:r>
          <w:rPr>
            <w:noProof/>
            <w:webHidden/>
          </w:rPr>
        </w:r>
        <w:r>
          <w:rPr>
            <w:noProof/>
            <w:webHidden/>
          </w:rPr>
          <w:fldChar w:fldCharType="separate"/>
        </w:r>
        <w:r>
          <w:rPr>
            <w:noProof/>
            <w:webHidden/>
          </w:rPr>
          <w:t>223</w:t>
        </w:r>
        <w:r>
          <w:rPr>
            <w:noProof/>
            <w:webHidden/>
          </w:rPr>
          <w:fldChar w:fldCharType="end"/>
        </w:r>
      </w:hyperlink>
    </w:p>
    <w:p w14:paraId="09A335E8" w14:textId="77777777" w:rsidR="003B197E" w:rsidRDefault="003B197E" w:rsidP="003B197E">
      <w:pPr>
        <w:pStyle w:val="TOC1"/>
        <w:tabs>
          <w:tab w:val="right" w:leader="dot" w:pos="9350"/>
        </w:tabs>
        <w:rPr>
          <w:rFonts w:asciiTheme="minorHAnsi" w:eastAsiaTheme="minorEastAsia" w:hAnsiTheme="minorHAnsi"/>
          <w:b w:val="0"/>
          <w:iCs w:val="0"/>
          <w:noProof/>
          <w:color w:val="auto"/>
          <w:sz w:val="22"/>
          <w:szCs w:val="22"/>
          <w:lang w:eastAsia="en-GB"/>
        </w:rPr>
      </w:pPr>
      <w:hyperlink w:anchor="_Toc520837994" w:history="1">
        <w:r w:rsidRPr="009363E2">
          <w:rPr>
            <w:rStyle w:val="Hyperlink"/>
            <w:noProof/>
          </w:rPr>
          <w:t>References</w:t>
        </w:r>
        <w:r>
          <w:rPr>
            <w:noProof/>
            <w:webHidden/>
          </w:rPr>
          <w:tab/>
        </w:r>
        <w:r>
          <w:rPr>
            <w:noProof/>
            <w:webHidden/>
          </w:rPr>
          <w:fldChar w:fldCharType="begin"/>
        </w:r>
        <w:r>
          <w:rPr>
            <w:noProof/>
            <w:webHidden/>
          </w:rPr>
          <w:instrText xml:space="preserve"> PAGEREF _Toc520837994 \h </w:instrText>
        </w:r>
        <w:r>
          <w:rPr>
            <w:noProof/>
            <w:webHidden/>
          </w:rPr>
        </w:r>
        <w:r>
          <w:rPr>
            <w:noProof/>
            <w:webHidden/>
          </w:rPr>
          <w:fldChar w:fldCharType="separate"/>
        </w:r>
        <w:r>
          <w:rPr>
            <w:noProof/>
            <w:webHidden/>
          </w:rPr>
          <w:t>224</w:t>
        </w:r>
        <w:r>
          <w:rPr>
            <w:noProof/>
            <w:webHidden/>
          </w:rPr>
          <w:fldChar w:fldCharType="end"/>
        </w:r>
      </w:hyperlink>
    </w:p>
    <w:p w14:paraId="5D788954" w14:textId="77777777" w:rsidR="00C2737A" w:rsidRDefault="003B197E" w:rsidP="003B197E">
      <w:pPr>
        <w:sectPr w:rsidR="00C2737A" w:rsidSect="00C2737A">
          <w:footerReference w:type="default" r:id="rId10"/>
          <w:pgSz w:w="12240" w:h="15840"/>
          <w:pgMar w:top="1440" w:right="1440" w:bottom="1440" w:left="1440" w:header="720" w:footer="170" w:gutter="0"/>
          <w:pgNumType w:fmt="lowerRoman" w:start="1"/>
          <w:cols w:space="720"/>
          <w:docGrid w:linePitch="360"/>
        </w:sectPr>
      </w:pPr>
      <w:r>
        <w:fldChar w:fldCharType="end"/>
      </w:r>
    </w:p>
    <w:p w14:paraId="1FFF8705" w14:textId="0C12FB27" w:rsidR="00223DC5" w:rsidRPr="004F2542" w:rsidRDefault="00223DC5" w:rsidP="00635993">
      <w:pPr>
        <w:pStyle w:val="Title"/>
      </w:pPr>
      <w:r w:rsidRPr="004F2542">
        <w:lastRenderedPageBreak/>
        <w:t xml:space="preserve">Chapter 1. Phosphate mineral weathering and </w:t>
      </w:r>
      <w:r w:rsidR="00654E64">
        <w:t>phosphate</w:t>
      </w:r>
      <w:r w:rsidRPr="004F2542">
        <w:t xml:space="preserve"> uptake by </w:t>
      </w:r>
      <w:r w:rsidR="00654E64">
        <w:t>ectomycorrhizal fungi</w:t>
      </w:r>
      <w:bookmarkEnd w:id="0"/>
      <w:bookmarkEnd w:id="1"/>
      <w:bookmarkEnd w:id="2"/>
      <w:bookmarkEnd w:id="3"/>
      <w:r w:rsidRPr="004F2542">
        <w:t xml:space="preserve"> </w:t>
      </w:r>
    </w:p>
    <w:p w14:paraId="28EB808B" w14:textId="77777777" w:rsidR="00223DC5" w:rsidRPr="00223DC5" w:rsidRDefault="00223DC5" w:rsidP="003F7054"/>
    <w:p w14:paraId="6DAF1109" w14:textId="0AB41CDE" w:rsidR="001A7DDC" w:rsidRPr="001A7DDC" w:rsidRDefault="00223DC5" w:rsidP="00635993">
      <w:pPr>
        <w:pStyle w:val="Heading1"/>
      </w:pPr>
      <w:bookmarkStart w:id="9" w:name="_Toc507603953"/>
      <w:bookmarkStart w:id="10" w:name="_Toc507604220"/>
      <w:bookmarkStart w:id="11" w:name="_Toc519016937"/>
      <w:bookmarkStart w:id="12" w:name="_Toc520837835"/>
      <w:r w:rsidRPr="001A7DDC">
        <w:t xml:space="preserve">1.1 General </w:t>
      </w:r>
      <w:r w:rsidR="001A7DDC" w:rsidRPr="001A7DDC">
        <w:t>introduction</w:t>
      </w:r>
      <w:bookmarkEnd w:id="9"/>
      <w:bookmarkEnd w:id="10"/>
      <w:bookmarkEnd w:id="11"/>
      <w:bookmarkEnd w:id="12"/>
    </w:p>
    <w:p w14:paraId="0622B3F3" w14:textId="107F6C9A" w:rsidR="00223DC5" w:rsidRPr="00223DC5" w:rsidRDefault="00223DC5">
      <w:r w:rsidRPr="00223DC5">
        <w:t xml:space="preserve">Weathering is the primary process that leads to the generation of almost all essential elements required for the growth of living organisms, except carbon (C) and nitrogen (N), from minerals and rocks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 xml:space="preserve">. During the weathering of rocks and minerals essential elements, such as phosphorus (P), calcium (Ca), magnesium (Mg) and potassium (K), are released in a form which is directly available to the living organisms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 xml:space="preserve">. Hence, weathering leads to a significant inflow of the inorganic elements in a bio-available form in the majority of ecosystems and ultimately makes a significant contribution to soil fertility and ecosystem productivity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w:t>
      </w:r>
    </w:p>
    <w:p w14:paraId="7C5E1564" w14:textId="61BE8224" w:rsidR="00223DC5" w:rsidRPr="00223DC5" w:rsidRDefault="00223DC5">
      <w:pPr>
        <w:ind w:firstLine="720"/>
      </w:pPr>
      <w:r w:rsidRPr="00223DC5">
        <w:t xml:space="preserve">Different abiotic and biotic factors can contribute to rock weathering. Abiotic factors of weathering refer to the geological process caused by prolonged exposure of rocks to the atmosphere and climate resulting in their chemical breakdown, with importance to inorganic nutrient cycling within ecosystems </w:t>
      </w:r>
      <w:r w:rsidRPr="00223DC5">
        <w:fldChar w:fldCharType="begin" w:fldLock="1"/>
      </w:r>
      <w:r w:rsidR="00EE33AB">
        <w:instrText>ADDIN CSL_CITATION {"citationItems":[{"id":"ITEM-1","itemData":{"DOI":"10.1111/j.1472-4669.2010.00264.x","ISSN":"1472-4669","PMID":"21231992","abstract":"Critical Zone (CZ) research investigates the chemical, physical, and biological processes that modulate the Earth's surface. Here, we advance 12 hypotheses that must be tested to improve our understanding of the CZ: (1) Solar-to-chemical conversion of energy by plants regulates flows of carbon, water, and nutrients through plant-microbe soil networks, thereby controlling the location and extent of biological weathering. (2) Biological stoichiometry drives changes in mineral stoichiometry and distribution through weathering. (3) On landscapes experiencing little erosion, biology drives weathering during initial succession, whereas weathering drives biology over the long term. (4) In eroding landscapes, weathering-front advance at depth is coupled to surface denudation via biotic processes. (5) Biology shapes the topography of the Critical Zone. (6) The impact of climate forcing on denudation rates in natural systems can be predicted from models incorporating biogeochemical reaction rates and geomorphological transport laws. (7) Rising global temperatures will increase carbon losses from the Critical Zone. (8) Rising atmospheric P(CO2) will increase rates and extents of mineral weathering in soils. (9) Riverine solute fluxes will respond to changes in climate primarily due to changes in water fluxes and secondarily through changes in biologically mediated weathering. (10) Land use change will impact Critical Zone processes and exports more than climate change. (11) In many severely altered settings, restoration of hydrological processes is possible in decades or less, whereas restoration of biodiversity and biogeochemical processes requires longer timescales. (12) Biogeochemical properties impart thresholds or tipping points beyond which rapid and irreversible losses of ecosystem health, function, and services can occur.","author":[{"dropping-particle":"","family":"Brantley","given":"S L","non-dropping-particle":"","parse-names":false,"suffix":""},{"dropping-particle":"","family":"Megonigal","given":"J P","non-dropping-particle":"","parse-names":false,"suffix":""},{"dropping-particle":"","family":"Scatena","given":"F N","non-dropping-particle":"","parse-names":false,"suffix":""},{"dropping-particle":"","family":"Balogh-Brunstad","given":"Z","non-dropping-particle":"","parse-names":false,"suffix":""},{"dropping-particle":"","family":"Barnes","given":"R T","non-dropping-particle":"","parse-names":false,"suffix":""},{"dropping-particle":"","family":"Bruns","given":"M a","non-dropping-particle":"","parse-names":false,"suffix":""},{"dropping-particle":"","family":"Cappellen","given":"P","non-dropping-particle":"Van","parse-names":false,"suffix":""},{"dropping-particle":"","family":"Dontsova","given":"K","non-dropping-particle":"","parse-names":false,"suffix":""},{"dropping-particle":"","family":"Hartnett","given":"H E","non-dropping-particle":"","parse-names":false,"suffix":""},{"dropping-particle":"","family":"Hartshorn","given":"a S","non-dropping-particle":"","parse-names":false,"suffix":""},{"dropping-particle":"","family":"Heimsath","given":"a","non-dropping-particle":"","parse-names":false,"suffix":""},{"dropping-particle":"","family":"Herndon","given":"E","non-dropping-particle":"","parse-names":false,"suffix":""},{"dropping-particle":"","family":"Jin","given":"L","non-dropping-particle":"","parse-names":false,"suffix":""},{"dropping-particle":"","family":"Keller","given":"C K","non-dropping-particle":"","parse-names":false,"suffix":""},{"dropping-particle":"","family":"Leake","given":"J R","non-dropping-particle":"","parse-names":false,"suffix":""},{"dropping-particle":"","family":"McDowell","given":"W H","non-dropping-particle":"","parse-names":false,"suffix":""},{"dropping-particle":"","family":"Meinzer","given":"F C","non-dropping-particle":"","parse-names":false,"suffix":""},{"dropping-particle":"","family":"Mozdzer","given":"T J","non-dropping-particle":"","parse-names":false,"suffix":""},{"dropping-particle":"","family":"Petsch","given":"S","non-dropping-particle":"","parse-names":false,"suffix":""},{"dropping-particle":"","family":"Pett-Ridge","given":"J","non-dropping-particle":"","parse-names":false,"suffix":""},{"dropping-particle":"","family":"Pregitzer","given":"K S","non-dropping-particle":"","parse-names":false,"suffix":""},{"dropping-particle":"","family":"Raymond","given":"P a","non-dropping-particle":"","parse-names":false,"suffix":""},{"dropping-particle":"","family":"Riebe","given":"C S","non-dropping-particle":"","parse-names":false,"suffix":""},{"dropping-particle":"","family":"Shumaker","given":"K","non-dropping-particle":"","parse-names":false,"suffix":""},{"dropping-particle":"","family":"Sutton-Grier","given":"a","non-dropping-particle":"","parse-names":false,"suffix":""},{"dropping-particle":"","family":"Walter","given":"R","non-dropping-particle":"","parse-names":false,"suffix":""},{"dropping-particle":"","family":"Yoo","given":"K","non-dropping-particle":"","parse-names":false,"suffix":""}],"container-title":"Geobiology","id":"ITEM-1","issue":"2","issued":{"date-parts":[["2011","3"]]},"page":"140-65","title":"Twelve testable hypotheses on the geobiology of weathering.","type":"article-journal","volume":"9"},"uris":["http://www.mendeley.com/documents/?uuid=b5fb9d05-4a4c-4512-906f-2bdd2189772c"]}],"mendeley":{"formattedCitation":"(Brantley et al., 2011)","plainTextFormattedCitation":"(Brantley et al., 2011)","previouslyFormattedCitation":"(Brantley et al., 2011)"},"properties":{"noteIndex":0},"schema":"https://github.com/citation-style-language/schema/raw/master/csl-citation.json"}</w:instrText>
      </w:r>
      <w:r w:rsidRPr="00223DC5">
        <w:fldChar w:fldCharType="separate"/>
      </w:r>
      <w:r w:rsidRPr="00223DC5">
        <w:rPr>
          <w:noProof/>
        </w:rPr>
        <w:t>(Brantley et al., 2011)</w:t>
      </w:r>
      <w:r w:rsidRPr="00223DC5">
        <w:fldChar w:fldCharType="end"/>
      </w:r>
      <w:r w:rsidRPr="00223DC5">
        <w:t xml:space="preserve">. Major abiotic weathering factors include for instance temperature, which can expand and contract water within rocks leading to weathering (frost weathering) </w:t>
      </w:r>
      <w:r w:rsidRPr="00223DC5">
        <w:fldChar w:fldCharType="begin" w:fldLock="1"/>
      </w:r>
      <w:r w:rsidR="00EE33AB">
        <w:instrText>ADDIN CSL_CITATION {"citationItems":[{"id":"ITEM-1","itemData":{"author":[{"dropping-particle":"","family":"Tan","given":"K H","non-dropping-particle":"","parse-names":false,"suffix":""}],"edition":"Third Edit","id":"ITEM-1","issued":{"date-parts":[["2009"]]},"publisher":"Boca Raton: CRC Press.","title":"Environmental Soil Science","type":"book"},"uris":["http://www.mendeley.com/documents/?uuid=5602823f-31f9-4a1e-a3ce-c224f257a262"]}],"mendeley":{"formattedCitation":"(Tan, 2009)","plainTextFormattedCitation":"(Tan, 2009)","previouslyFormattedCitation":"(Tan, 2009)"},"properties":{"noteIndex":0},"schema":"https://github.com/citation-style-language/schema/raw/master/csl-citation.json"}</w:instrText>
      </w:r>
      <w:r w:rsidRPr="00223DC5">
        <w:fldChar w:fldCharType="separate"/>
      </w:r>
      <w:r w:rsidRPr="00223DC5">
        <w:rPr>
          <w:noProof/>
        </w:rPr>
        <w:t>(Tan, 2009)</w:t>
      </w:r>
      <w:r w:rsidRPr="00223DC5">
        <w:fldChar w:fldCharType="end"/>
      </w:r>
      <w:r w:rsidRPr="00223DC5">
        <w:t xml:space="preserve">, or water and wind, which can weather rocks as a result of friction-erosion and through the process of abrasion respectively </w:t>
      </w:r>
      <w:r w:rsidRPr="00223DC5">
        <w:fldChar w:fldCharType="begin" w:fldLock="1"/>
      </w:r>
      <w:r w:rsidR="00EE33AB">
        <w:instrText>ADDIN CSL_CITATION {"citationItems":[{"id":"ITEM-1","itemData":{"author":[{"dropping-particle":"","family":"Tan","given":"K H","non-dropping-particle":"","parse-names":false,"suffix":""}],"edition":"Third Edit","id":"ITEM-1","issued":{"date-parts":[["2009"]]},"publisher":"Boca Raton: CRC Press.","title":"Environmental Soil Science","type":"book"},"uris":["http://www.mendeley.com/documents/?uuid=5602823f-31f9-4a1e-a3ce-c224f257a262"]}],"mendeley":{"formattedCitation":"(Tan, 2009)","plainTextFormattedCitation":"(Tan, 2009)","previouslyFormattedCitation":"(Tan, 2009)"},"properties":{"noteIndex":0},"schema":"https://github.com/citation-style-language/schema/raw/master/csl-citation.json"}</w:instrText>
      </w:r>
      <w:r w:rsidRPr="00223DC5">
        <w:fldChar w:fldCharType="separate"/>
      </w:r>
      <w:r w:rsidRPr="00223DC5">
        <w:rPr>
          <w:noProof/>
        </w:rPr>
        <w:t>(Tan, 2009)</w:t>
      </w:r>
      <w:r w:rsidRPr="00223DC5">
        <w:fldChar w:fldCharType="end"/>
      </w:r>
      <w:r w:rsidRPr="00223DC5">
        <w:t>. Chemical weathering is also a type of abiotic weathering, where a typical example is iron</w:t>
      </w:r>
      <w:r w:rsidR="00587880">
        <w:t>(Fe)</w:t>
      </w:r>
      <w:r w:rsidRPr="00223DC5">
        <w:t>-containing rocks which react with the atmospheric oxygen</w:t>
      </w:r>
      <w:r w:rsidR="00587880">
        <w:t xml:space="preserve"> (O)</w:t>
      </w:r>
      <w:r w:rsidRPr="00223DC5">
        <w:t xml:space="preserve"> to form soluble oxides of iron </w:t>
      </w:r>
      <w:r w:rsidRPr="00223DC5">
        <w:fldChar w:fldCharType="begin" w:fldLock="1"/>
      </w:r>
      <w:r w:rsidR="00EE33AB">
        <w:instrText>ADDIN CSL_CITATION {"citationItems":[{"id":"ITEM-1","itemData":{"author":[{"dropping-particle":"","family":"Tan","given":"K H","non-dropping-particle":"","parse-names":false,"suffix":""}],"edition":"Third Edit","id":"ITEM-1","issued":{"date-parts":[["2009"]]},"publisher":"Boca Raton: CRC Press.","title":"Environmental Soil Science","type":"book"},"uris":["http://www.mendeley.com/documents/?uuid=5602823f-31f9-4a1e-a3ce-c224f257a262"]}],"mendeley":{"formattedCitation":"(Tan, 2009)","plainTextFormattedCitation":"(Tan, 2009)","previouslyFormattedCitation":"(Tan, 2009)"},"properties":{"noteIndex":0},"schema":"https://github.com/citation-style-language/schema/raw/master/csl-citation.json"}</w:instrText>
      </w:r>
      <w:r w:rsidRPr="00223DC5">
        <w:fldChar w:fldCharType="separate"/>
      </w:r>
      <w:r w:rsidRPr="00223DC5">
        <w:rPr>
          <w:noProof/>
        </w:rPr>
        <w:t>(Tan, 2009)</w:t>
      </w:r>
      <w:r w:rsidRPr="00223DC5">
        <w:fldChar w:fldCharType="end"/>
      </w:r>
      <w:r w:rsidRPr="00223DC5">
        <w:t>.</w:t>
      </w:r>
    </w:p>
    <w:p w14:paraId="40678C4C" w14:textId="482F1990" w:rsidR="00223DC5" w:rsidRPr="00223DC5" w:rsidRDefault="00223DC5">
      <w:pPr>
        <w:ind w:firstLine="720"/>
      </w:pPr>
      <w:r w:rsidRPr="00223DC5">
        <w:t xml:space="preserve">Biological agents of weathering, include </w:t>
      </w:r>
      <w:r w:rsidR="003A69BA">
        <w:t xml:space="preserve">the </w:t>
      </w:r>
      <w:r w:rsidRPr="00223DC5">
        <w:t xml:space="preserve">action of animals, the growth of plants and the penetration of their roots on the Earth’s crust, which results in the breaking of rocks </w:t>
      </w:r>
      <w:r w:rsidRPr="00223DC5">
        <w:fldChar w:fldCharType="begin" w:fldLock="1"/>
      </w:r>
      <w:r w:rsidR="00EE33AB">
        <w:instrText>ADDIN CSL_CITATION {"citationItems":[{"id":"ITEM-1","itemData":{"author":[{"dropping-particle":"","family":"Tan","given":"K H","non-dropping-particle":"","parse-names":false,"suffix":""}],"edition":"Third Edit","id":"ITEM-1","issued":{"date-parts":[["2009"]]},"publisher":"Boca Raton: CRC Press.","title":"Environmental Soil Science","type":"book"},"uris":["http://www.mendeley.com/documents/?uuid=5602823f-31f9-4a1e-a3ce-c224f257a262"]}],"mendeley":{"formattedCitation":"(Tan, 2009)","plainTextFormattedCitation":"(Tan, 2009)","previouslyFormattedCitation":"(Tan, 2009)"},"properties":{"noteIndex":0},"schema":"https://github.com/citation-style-language/schema/raw/master/csl-citation.json"}</w:instrText>
      </w:r>
      <w:r w:rsidRPr="00223DC5">
        <w:fldChar w:fldCharType="separate"/>
      </w:r>
      <w:r w:rsidRPr="00223DC5">
        <w:rPr>
          <w:noProof/>
        </w:rPr>
        <w:t>(Tan, 2009)</w:t>
      </w:r>
      <w:r w:rsidRPr="00223DC5">
        <w:fldChar w:fldCharType="end"/>
      </w:r>
      <w:r w:rsidRPr="00223DC5">
        <w:t>. Current research focusing on the relationships between biota and mineral weathering has successfully demonstrated that soil-living organisms, including mycorrhizal fungi, sapr</w:t>
      </w:r>
      <w:r w:rsidR="00ED380A">
        <w:t xml:space="preserve">otrophic fungi, and </w:t>
      </w:r>
      <w:r w:rsidRPr="00223DC5">
        <w:t xml:space="preserve">bacteria, contribute significantly in the weathering processes </w:t>
      </w:r>
      <w:r w:rsidRPr="00223DC5">
        <w:fldChar w:fldCharType="begin" w:fldLock="1"/>
      </w:r>
      <w:r w:rsidR="00EE33AB">
        <w:instrText>ADDIN CSL_CITATION {"citationItems":[{"id":"ITEM-1","itemData":{"DOI":"10.1111/j.1472-4669.2010.00264.x","ISSN":"1472-4669","PMID":"21231992","abstract":"Critical Zone (CZ) research investigates the chemical, physical, and biological processes that modulate the Earth's surface. Here, we advance 12 hypotheses that must be tested to improve our understanding of the CZ: (1) Solar-to-chemical conversion of energy by plants regulates flows of carbon, water, and nutrients through plant-microbe soil networks, thereby controlling the location and extent of biological weathering. (2) Biological stoichiometry drives changes in mineral stoichiometry and distribution through weathering. (3) On landscapes experiencing little erosion, biology drives weathering during initial succession, whereas weathering drives biology over the long term. (4) In eroding landscapes, weathering-front advance at depth is coupled to surface denudation via biotic processes. (5) Biology shapes the topography of the Critical Zone. (6) The impact of climate forcing on denudation rates in natural systems can be predicted from models incorporating biogeochemical reaction rates and geomorphological transport laws. (7) Rising global temperatures will increase carbon losses from the Critical Zone. (8) Rising atmospheric P(CO2) will increase rates and extents of mineral weathering in soils. (9) Riverine solute fluxes will respond to changes in climate primarily due to changes in water fluxes and secondarily through changes in biologically mediated weathering. (10) Land use change will impact Critical Zone processes and exports more than climate change. (11) In many severely altered settings, restoration of hydrological processes is possible in decades or less, whereas restoration of biodiversity and biogeochemical processes requires longer timescales. (12) Biogeochemical properties impart thresholds or tipping points beyond which rapid and irreversible losses of ecosystem health, function, and services can occur.","author":[{"dropping-particle":"","family":"Brantley","given":"S L","non-dropping-particle":"","parse-names":false,"suffix":""},{"dropping-particle":"","family":"Megonigal","given":"J P","non-dropping-particle":"","parse-names":false,"suffix":""},{"dropping-particle":"","family":"Scatena","given":"F N","non-dropping-particle":"","parse-names":false,"suffix":""},{"dropping-particle":"","family":"Balogh-Brunstad","given":"Z","non-dropping-particle":"","parse-names":false,"suffix":""},{"dropping-particle":"","family":"Barnes","given":"R T","non-dropping-particle":"","parse-names":false,"suffix":""},{"dropping-particle":"","family":"Bruns","given":"M a","non-dropping-particle":"","parse-names":false,"suffix":""},{"dropping-particle":"","family":"Cappellen","given":"P","non-dropping-particle":"Van","parse-names":false,"suffix":""},{"dropping-particle":"","family":"Dontsova","given":"K","non-dropping-particle":"","parse-names":false,"suffix":""},{"dropping-particle":"","family":"Hartnett","given":"H E","non-dropping-particle":"","parse-names":false,"suffix":""},{"dropping-particle":"","family":"Hartshorn","given":"a S","non-dropping-particle":"","parse-names":false,"suffix":""},{"dropping-particle":"","family":"Heimsath","given":"a","non-dropping-particle":"","parse-names":false,"suffix":""},{"dropping-particle":"","family":"Herndon","given":"E","non-dropping-particle":"","parse-names":false,"suffix":""},{"dropping-particle":"","family":"Jin","given":"L","non-dropping-particle":"","parse-names":false,"suffix":""},{"dropping-particle":"","family":"Keller","given":"C K","non-dropping-particle":"","parse-names":false,"suffix":""},{"dropping-particle":"","family":"Leake","given":"J R","non-dropping-particle":"","parse-names":false,"suffix":""},{"dropping-particle":"","family":"McDowell","given":"W H","non-dropping-particle":"","parse-names":false,"suffix":""},{"dropping-particle":"","family":"Meinzer","given":"F C","non-dropping-particle":"","parse-names":false,"suffix":""},{"dropping-particle":"","family":"Mozdzer","given":"T J","non-dropping-particle":"","parse-names":false,"suffix":""},{"dropping-particle":"","family":"Petsch","given":"S","non-dropping-particle":"","parse-names":false,"suffix":""},{"dropping-particle":"","family":"Pett-Ridge","given":"J","non-dropping-particle":"","parse-names":false,"suffix":""},{"dropping-particle":"","family":"Pregitzer","given":"K S","non-dropping-particle":"","parse-names":false,"suffix":""},{"dropping-particle":"","family":"Raymond","given":"P a","non-dropping-particle":"","parse-names":false,"suffix":""},{"dropping-particle":"","family":"Riebe","given":"C S","non-dropping-particle":"","parse-names":false,"suffix":""},{"dropping-particle":"","family":"Shumaker","given":"K","non-dropping-particle":"","parse-names":false,"suffix":""},{"dropping-particle":"","family":"Sutton-Grier","given":"a","non-dropping-particle":"","parse-names":false,"suffix":""},{"dropping-particle":"","family":"Walter","given":"R","non-dropping-particle":"","parse-names":false,"suffix":""},{"dropping-particle":"","family":"Yoo","given":"K","non-dropping-particle":"","parse-names":false,"suffix":""}],"container-title":"Geobiology","id":"ITEM-1","issue":"2","issued":{"date-parts":[["2011","3"]]},"page":"140-65","title":"Twelve testable hypotheses on the geobiology of weathering.","type":"article-journal","volume":"9"},"uris":["http://www.mendeley.com/documents/?uuid=b5fb9d05-4a4c-4512-906f-2bdd2189772c"]}],"mendeley":{"formattedCitation":"(Brantley et al., 2011)","plainTextFormattedCitation":"(Brantley et al., 2011)","previouslyFormattedCitation":"(Brantley et al., 2011)"},"properties":{"noteIndex":0},"schema":"https://github.com/citation-style-language/schema/raw/master/csl-citation.json"}</w:instrText>
      </w:r>
      <w:r w:rsidRPr="00223DC5">
        <w:fldChar w:fldCharType="separate"/>
      </w:r>
      <w:r w:rsidRPr="00223DC5">
        <w:rPr>
          <w:noProof/>
        </w:rPr>
        <w:t>(Brantley et al., 2011)</w:t>
      </w:r>
      <w:r w:rsidRPr="00223DC5">
        <w:fldChar w:fldCharType="end"/>
      </w:r>
      <w:r w:rsidRPr="00223DC5">
        <w:t xml:space="preserve">. Hence, weathering is a dynamic process </w:t>
      </w:r>
      <w:r w:rsidRPr="00223DC5">
        <w:lastRenderedPageBreak/>
        <w:t xml:space="preserve">investigated by the discipline of Geobiology, which is an interdisciplinary study of life sciences and earth sciences </w:t>
      </w:r>
      <w:r w:rsidRPr="00223DC5">
        <w:fldChar w:fldCharType="begin" w:fldLock="1"/>
      </w:r>
      <w:r w:rsidR="00EE33AB">
        <w:instrText>ADDIN CSL_CITATION {"citationItems":[{"id":"ITEM-1","itemData":{"DOI":"10.1093/nsr/nwu048","ISBN":"2095-5138\\r2053-714X","ISSN":"2053714X","author":[{"dropping-particle":"","family":"Benton","given":"M J","non-dropping-particle":"","parse-names":false,"suffix":""},{"dropping-particle":"","family":"Xie","given":"S","non-dropping-particle":"","parse-names":false,"suffix":""}],"container-title":"National Science Review","id":"ITEM-1","issue":"4","issued":{"date-parts":[["2014"]]},"page":"483-485","title":"Defining the discipline of geobiology","type":"article-journal","volume":"1"},"uris":["http://www.mendeley.com/documents/?uuid=1a1d5abd-7f2d-4601-8d90-a006c64e8b4e"]}],"mendeley":{"formattedCitation":"(Benton and Xie, 2014)","plainTextFormattedCitation":"(Benton and Xie, 2014)","previouslyFormattedCitation":"(Benton and Xie, 2014)"},"properties":{"noteIndex":0},"schema":"https://github.com/citation-style-language/schema/raw/master/csl-citation.json"}</w:instrText>
      </w:r>
      <w:r w:rsidRPr="00223DC5">
        <w:fldChar w:fldCharType="separate"/>
      </w:r>
      <w:r w:rsidRPr="00223DC5">
        <w:rPr>
          <w:noProof/>
        </w:rPr>
        <w:t>(Benton and Xie, 2014)</w:t>
      </w:r>
      <w:r w:rsidRPr="00223DC5">
        <w:fldChar w:fldCharType="end"/>
      </w:r>
      <w:r w:rsidRPr="00223DC5">
        <w:t>.</w:t>
      </w:r>
    </w:p>
    <w:p w14:paraId="5F7E19E5" w14:textId="16DA1B51" w:rsidR="00223DC5" w:rsidRPr="00223DC5" w:rsidRDefault="00223DC5">
      <w:pPr>
        <w:ind w:firstLine="720"/>
      </w:pPr>
      <w:r w:rsidRPr="00223DC5">
        <w:t xml:space="preserve">Fungi belong to one of the largest eukaryotic kingdoms, where its members exhibit diverse lifestyles such as parasitism, commensalism, and mutualism, and play an essential role in the weathering of rocks and minerals </w:t>
      </w:r>
      <w:r w:rsidRPr="00223DC5">
        <w:fldChar w:fldCharType="begin" w:fldLock="1"/>
      </w:r>
      <w:r w:rsidR="00EE33AB">
        <w:instrText>ADDIN CSL_CITATION {"citationItems":[{"id":"ITEM-1","itemData":{"DOI":"10.1073/pnas.1711939114","ISSN":"0027-8424","PMID":"28808018","abstract":"Fungi belong to one of the largest and most diverse kingdoms of living organisms. The evolutionary kinship within a fungal population has so far been inferred mostly from the gene-information-based trees (\"gene trees\"), constructed commonly based on the degree of differences of proteins or DNA sequences of a small number of highly conserved genes common among the population by a multiple sequence alignment (MSA) method. Since each gene evolves under different evolutionary pressure and time scale, it has been known that one gene tree for a population may differ from other gene trees for the same population depending on the subjective selection of the genes. Within the last decade, a large number of whole-genome sequences of fungi have become publicly available, which represent, at present, the most fundamental and complete information about each fungal organism. This presents an opportunity to infer kinship among fungi using a whole-genome information-based tree (\"genome tree\"). The method we used allows comparison of whole-genome information without MSA, and is a variation of a computational algorithm developed to find semantic similarities or plagiarism in two books, where we represent whole-genomic information of an organism as a book of words without spaces. The genome tree reveals several significant and notable differences from the gene trees, and these differences invoke new discussions about alternative narratives for the evolution of some of the currently accepted fungal groups.","author":[{"dropping-particle":"","family":"Choi","given":"JaeJin","non-dropping-particle":"","parse-names":false,"suffix":""},{"dropping-particle":"","family":"Kim","given":"Sung-Hou","non-dropping-particle":"","parse-names":false,"suffix":""}],"container-title":"Proceedings of the National Academy of Sciences","id":"ITEM-1","issue":"35","issued":{"date-parts":[["2017"]]},"page":"201711939","title":"A genome Tree of Life for the Fungi kingdom","type":"article-journal","volume":"114"},"uris":["http://www.mendeley.com/documents/?uuid=00b2af80-d5f6-4c0c-b08f-20ddd01c730b"]},{"id":"ITEM-2","itemData":{"DOI":"10.1180/0026461036760154","ISSN":"0026461X","author":[{"dropping-particle":"","family":"Burford","given":"E. P.","non-dropping-particle":"","parse-names":false,"suffix":""},{"dropping-particle":"","family":"Fomina","given":"M.","non-dropping-particle":"","parse-names":false,"suffix":""},{"dropping-particle":"","family":"Gadd","given":"G. M.","non-dropping-particle":"","parse-names":false,"suffix":""}],"container-title":"Mineralogical Magazine","id":"ITEM-2","issue":"6","issued":{"date-parts":[["2003","12","1"]]},"page":"1127-1155","title":"Fungal involvement in bioweathering and biotransformation of rocks and minerals","type":"article-journal","volume":"67"},"uris":["http://www.mendeley.com/documents/?uuid=e8afe172-7f4f-4943-8de4-844725c128ce"]}],"mendeley":{"formattedCitation":"(Choi and Kim, 2017; Burford et al., 2003)","plainTextFormattedCitation":"(Choi and Kim, 2017; Burford et al., 2003)","previouslyFormattedCitation":"(Choi and Kim, 2017; Burford et al., 2003)"},"properties":{"noteIndex":0},"schema":"https://github.com/citation-style-language/schema/raw/master/csl-citation.json"}</w:instrText>
      </w:r>
      <w:r w:rsidRPr="00223DC5">
        <w:fldChar w:fldCharType="separate"/>
      </w:r>
      <w:r w:rsidRPr="00223DC5">
        <w:rPr>
          <w:noProof/>
        </w:rPr>
        <w:t>(Choi and Kim, 2017; Burford et al., 2003)</w:t>
      </w:r>
      <w:r w:rsidRPr="00223DC5">
        <w:fldChar w:fldCharType="end"/>
      </w:r>
      <w:r w:rsidRPr="00223DC5">
        <w:t xml:space="preserve">. Although research on the role of fungi in geochemical processes remains limited, evidence showing that fungi are among the most critical mineral biological weathering agents is emerging </w:t>
      </w:r>
      <w:r w:rsidRPr="00223DC5">
        <w:fldChar w:fldCharType="begin" w:fldLock="1"/>
      </w:r>
      <w:r w:rsidR="00EE33AB">
        <w:instrText>ADDIN CSL_CITATION {"citationItems":[{"id":"ITEM-1","itemData":{"DOI":"10.2113/gselements.13.3.171","ISSN":"18115217","abstract":"Fungi are ubiquitous inhabitants of rock and mineral surfaces and are significant geoactive agents. Capable of numerous transformations of metals and minerals, fungi can prosper in the most adverse of environments, their activities underpinned by growth form and metabolism. Free-living filamentous species, microcolonial fungi and lichens can significantly change a rock's surficial structure and appearance, ranging from discolouration and staining to biodeterioration and the formation of new biogenic minerals and rock coatings. The presence and activity of fungi should be considered in any study of rock and mineral transformations that seeks to understand the biotic and abiotic processes that underpin geochemical change in the biosphere.","author":[{"dropping-particle":"","family":"Gadd","given":"Geoffrey M.","non-dropping-particle":"","parse-names":false,"suffix":""}],"container-title":"Elements","id":"ITEM-1","issue":"3","issued":{"date-parts":[["2017"]]},"page":"171-176","title":"Fungi, rocks, and minerals","type":"article-journal","volume":"13"},"uris":["http://www.mendeley.com/documents/?uuid=67f40e93-d721-411b-9d5d-67fc8c9a0b59"]}],"mendeley":{"formattedCitation":"(Gadd, 2017)","plainTextFormattedCitation":"(Gadd, 2017)","previouslyFormattedCitation":"(Gadd, 2017)"},"properties":{"noteIndex":0},"schema":"https://github.com/citation-style-language/schema/raw/master/csl-citation.json"}</w:instrText>
      </w:r>
      <w:r w:rsidRPr="00223DC5">
        <w:fldChar w:fldCharType="separate"/>
      </w:r>
      <w:r w:rsidRPr="00223DC5">
        <w:rPr>
          <w:noProof/>
        </w:rPr>
        <w:t>(Gadd, 2017)</w:t>
      </w:r>
      <w:r w:rsidRPr="00223DC5">
        <w:fldChar w:fldCharType="end"/>
      </w:r>
      <w:r w:rsidRPr="00223DC5">
        <w:t xml:space="preserve">. Indeed, fungi are actively engaged in bio-transformations as well as in biogeochemical cycling of elements, metal and mineral transformations, decomposition of organic materials, weathering, and the formation of soil and sediments </w:t>
      </w:r>
      <w:r w:rsidRPr="00223DC5">
        <w:fldChar w:fldCharType="begin" w:fldLock="1"/>
      </w:r>
      <w:r w:rsidR="00EE33AB">
        <w:instrText>ADDIN CSL_CITATION {"citationItems":[{"id":"ITEM-1","itemData":{"DOI":"10.1128/AEM.00726-15","ISBN":"1098-5336 (Electronic)\r0099-2240 (Linking)","ISSN":"10985336","PMID":"25979898","abstract":"Fungi play important roles in biogeochemical processes such as organic matter decomposition, bioweathering of minerals and rocks, and metal transformations, and therefore influence elemental cycles for essential and potentially-toxic elements, e.g. P, S, Pb, and As. Arsenic is a potentially-toxic metalloid for most organisms, and naturally occurs in trace quantities in soil, rocks, water, air and living organisms. Among more than 300 arsenic minerals occurring in nature, mimetite [Pb5(AsO4)3Cl] is the most stable lead arsenate and holds considerable promise in metal stabilization for in situ and ex situ sequestration and remediation through precipitation, as do other insoluble lead apatites, such as pyromorphite [Pb5(PO4)3Cl] and vanadinite [Pb5(VO4)3Cl]. Despite the insolubility of mimetite, the organic acid-producing soil fungus Aspergillus niger was able to solubilize mimetite with simultaneous precipitation of lead oxalate as a new mycogenic biomineral. Since fungal biotransformation of both pyromorphite and vanadinite have been previously documented a new biogeochemical model for the biogenic transformation of lead apatites (mimetite, pyromorphite and vanadinite) by fungi is hypothesised in this study by application of geochemical modelling together with experimental data. The models closely agreed with experimental data and provided accurate simulation of As and Pb complexation and biomineral formation dependent on, e.g. pH, cation-anion composition and concentration. A general pattern for fungal biotransformation of lead apatite minerals is proposed, proving new understanding of ecological implications of the biogeochemical cycling of component elements as well as industrial applications in metal stabilization, bioremediation and biorecovery.","author":[{"dropping-particle":"","family":"Ceci","given":"Andrea","non-dropping-particle":"","parse-names":false,"suffix":""},{"dropping-particle":"","family":"Kierans","given":"Martin","non-dropping-particle":"","parse-names":false,"suffix":""},{"dropping-particle":"","family":"Hillier","given":"Stephen","non-dropping-particle":"","parse-names":false,"suffix":""},{"dropping-particle":"","family":"Persiani","given":"Anna Maria","non-dropping-particle":"","parse-names":false,"suffix":""},{"dropping-particle":"","family":"Gadd","given":"Geoffrey Michael","non-dropping-particle":"","parse-names":false,"suffix":""}],"container-title":"Applied and Environmental Microbiology","id":"ITEM-1","issue":"15","issued":{"date-parts":[["2015"]]},"page":"4955-4964","title":"Fungal bioweathering of mimetite and a general geomycological model for lead apatite mineral biotransformations","type":"article-journal","volume":"81"},"uris":["http://www.mendeley.com/documents/?uuid=45400dcb-95a6-40b1-a6a6-0d1e8f77b765"]}],"mendeley":{"formattedCitation":"(Ceci et al., 2015)","plainTextFormattedCitation":"(Ceci et al., 2015)","previouslyFormattedCitation":"(Ceci et al., 2015)"},"properties":{"noteIndex":0},"schema":"https://github.com/citation-style-language/schema/raw/master/csl-citation.json"}</w:instrText>
      </w:r>
      <w:r w:rsidRPr="00223DC5">
        <w:fldChar w:fldCharType="separate"/>
      </w:r>
      <w:r w:rsidRPr="00223DC5">
        <w:rPr>
          <w:noProof/>
        </w:rPr>
        <w:t>(Ceci et al., 2015)</w:t>
      </w:r>
      <w:r w:rsidRPr="00223DC5">
        <w:fldChar w:fldCharType="end"/>
      </w:r>
      <w:r w:rsidRPr="00223DC5">
        <w:t>.</w:t>
      </w:r>
    </w:p>
    <w:p w14:paraId="03B461AD" w14:textId="0A39980C" w:rsidR="00223DC5" w:rsidRPr="00223DC5" w:rsidRDefault="00223DC5">
      <w:pPr>
        <w:ind w:firstLine="720"/>
      </w:pPr>
      <w:r w:rsidRPr="00223DC5">
        <w:t xml:space="preserve">In terrestrial systems, the roots of over 80% of plant species form symbiotic associations with hyphae of soil fungi, namely mycorrhiza </w:t>
      </w:r>
      <w:r w:rsidRPr="00223DC5">
        <w:fldChar w:fldCharType="begin" w:fldLock="1"/>
      </w:r>
      <w:r w:rsidR="00EE33AB">
        <w:instrText>ADDIN CSL_CITATION {"citationItems":[{"id":"ITEM-1","itemData":{"ISSN":"0169-5347","PMID":"11301154","abstract":"Plant nutrients, with the exception of nitrogen, are ultimately derived from weathering of primary minerals. Traditional theories about the role of ectomycorrhizal fungi in plant nutrition have emphasized quantitative effects on uptake and transport of dissolved nutrients. Qualitative effects of the symbiosis on the ability of plants to access organic nitrogen and phosphorus sources have also become increasingly apparent. Recent research suggests that ectomycorrhizal fungi mobilize other essential plant nutrients directly from minerals through excretion of organic acids. This enables ectomycorrhizal plants to utilize essential nutrients from insoluble mineral sources and affects nutrient cycling in forest systems.","author":[{"dropping-particle":"","family":"Landeweert","given":"R","non-dropping-particle":"","parse-names":false,"suffix":""},{"dropping-particle":"","family":"Hoffland","given":"E","non-dropping-particle":"","parse-names":false,"suffix":""},{"dropping-particle":"","family":"Finlay","given":"R D.","non-dropping-particle":"","parse-names":false,"suffix":""},{"dropping-particle":"","family":"Kuyper","given":"T W.","non-dropping-particle":"","parse-names":false,"suffix":""},{"dropping-particle":"","family":"Breemen","given":"N","non-dropping-particle":"van","parse-names":false,"suffix":""}],"container-title":"Trends in ecology &amp; evolution","id":"ITEM-1","issue":"5","issued":{"date-parts":[["2001","5","1"]]},"page":"248-254","title":"Linking plants to rocks: ectomycorrhizal fungi mobilize nutrients from minerals.","type":"article-journal","volume":"16"},"uris":["http://www.mendeley.com/documents/?uuid=f953cb96-975b-480b-b56e-16ba47afa02f"]}],"mendeley":{"formattedCitation":"(Landeweert et al., 2001)","plainTextFormattedCitation":"(Landeweert et al., 2001)","previouslyFormattedCitation":"(Landeweert et al., 2001)"},"properties":{"noteIndex":0},"schema":"https://github.com/citation-style-language/schema/raw/master/csl-citation.json"}</w:instrText>
      </w:r>
      <w:r w:rsidRPr="00223DC5">
        <w:fldChar w:fldCharType="separate"/>
      </w:r>
      <w:r w:rsidRPr="00223DC5">
        <w:rPr>
          <w:noProof/>
        </w:rPr>
        <w:t>(Landeweert et al., 2001)</w:t>
      </w:r>
      <w:r w:rsidRPr="00223DC5">
        <w:fldChar w:fldCharType="end"/>
      </w:r>
      <w:r w:rsidRPr="00223DC5">
        <w:t xml:space="preserve">. Mycorrhizas mainly divide into endomycorrhiza, which includes the orchid, ericoid and arbuscular mycorrhiza (AM), and the ectomycorrhiza (EM) </w:t>
      </w:r>
      <w:r w:rsidRPr="00223DC5">
        <w:fldChar w:fldCharType="begin" w:fldLock="1"/>
      </w:r>
      <w:r w:rsidR="00EE33AB">
        <w:instrText>ADDIN CSL_CITATION {"citationItems":[{"id":"ITEM-1","itemData":{"DOI":"10.1038/nrmicro1987","ISSN":"1740-1534","PMID":"18794914","abstract":"Arbuscular mycorrhiza (AM), a symbiosis between plants and members of an ancient phylum of fungi, the Glomeromycota, improves the supply of water and nutrients, such as phosphate and nitrogen, to the host plant. In return, up to 20% of plant-fixed carbon is transferred to the fungus. Nutrient transport occurs through symbiotic structures inside plant root cells known as arbuscules. AM development is accompanied by an exchange of signalling molecules between the symbionts. A novel class of plant hormones known as strigolactones are exuded by the plant roots. On the one hand, strigolactones stimulate fungal metabolism and branching. On the other hand, they also trigger seed germination of parasitic plants. Fungi release signalling molecules, in the form of 'Myc factors' that trigger symbiotic root responses. Plant genes required for AM development have been characterized. During evolution, the genetic programme for AM has been recruited for other plant root symbioses: functional adaptation of a plant receptor kinase that is essential for AM symbiosis paved the way for nitrogen-fixing bacteria to form intracellular symbioses with plant cells.","author":[{"dropping-particle":"","family":"Parniske","given":"Martin","non-dropping-particle":"","parse-names":false,"suffix":""}],"container-title":"Nature reviews. Microbiology","id":"ITEM-1","issue":"10","issued":{"date-parts":[["2008","10"]]},"page":"763-75","title":"Arbuscular mycorrhiza: the mother of plant root endosymbioses.","type":"article-journal","volume":"6"},"uris":["http://www.mendeley.com/documents/?uuid=45b794d4-17bb-4e5c-80fc-d0d9ea27d499"]},{"id":"ITEM-2","itemData":{"DOI":"https://doi.org/10.1016/B978-012370526-6.50010-6","ISBN":"978-0-12-370526-6","author":[{"dropping-particle":"","family":"Smith","given":"Sally E","non-dropping-particle":"","parse-names":false,"suffix":""},{"dropping-particle":"","family":"Read","given":"David J","non-dropping-particle":"","parse-names":false,"suffix":""}],"id":"ITEM-2","issued":{"date-parts":[["2008"]]},"publisher":"Academic Press","publisher-place":"London","title":"Mycorrhizal Symbiosis","type":"book"},"uris":["http://www.mendeley.com/documents/?uuid=3512e947-7fd0-40a3-b154-0c58a7c5a76d"]}],"mendeley":{"formattedCitation":"(Parniske, 2008; Smith and Read, 2008)","plainTextFormattedCitation":"(Parniske, 2008; Smith and Read, 2008)","previouslyFormattedCitation":"(Parniske, 2008; Smith and Read, 2008)"},"properties":{"noteIndex":0},"schema":"https://github.com/citation-style-language/schema/raw/master/csl-citation.json"}</w:instrText>
      </w:r>
      <w:r w:rsidRPr="00223DC5">
        <w:fldChar w:fldCharType="separate"/>
      </w:r>
      <w:r w:rsidRPr="00223DC5">
        <w:rPr>
          <w:noProof/>
        </w:rPr>
        <w:t>(Parniske, 2008; Smith and Read, 2008)</w:t>
      </w:r>
      <w:r w:rsidRPr="00223DC5">
        <w:fldChar w:fldCharType="end"/>
      </w:r>
      <w:r w:rsidRPr="00223DC5">
        <w:t xml:space="preserve">. The two dominant mycorrhizal symbioses are the ancestral AM form and later evolving EM form; both are mutualistic symbioses mediating the reciprocal exchange of nutrients and photosynthetic sugars between plants and fungi </w:t>
      </w:r>
      <w:r w:rsidRPr="00223DC5">
        <w:fldChar w:fldCharType="begin" w:fldLock="1"/>
      </w:r>
      <w:r w:rsidR="00EE33AB">
        <w:instrText>ADDIN CSL_CITATION {"citationItems":[{"id":"ITEM-1","itemData":{"DOI":"10.1126/science.1208473","ISSN":"1095-9203","PMID":"21836016","abstract":"Plants and their arbuscular mycorrhizal fungal symbionts interact in complex underground networks involving multiple partners. This increases the potential for exploitation and defection by individuals, raising the question of how partners maintain a fair, two-way transfer of resources. We manipulated cooperation in plants and fungal partners to show that plants can detect, discriminate, and reward the best fungal partners with more carbohydrates. In turn, their fungal partners enforce cooperation by increasing nutrient transfer only to those roots providing more carbohydrates. On the basis of these observations we conclude that, unlike many other mutualisms, the symbiont cannot be \"enslaved.\" Rather, the mutualism is evolutionarily stable because control is bidirectional, and partners offering the best rate of exchange are rewarded.","author":[{"dropping-particle":"","family":"Kiers","given":"E Toby","non-dropping-particle":"","parse-names":false,"suffix":""},{"dropping-particle":"","family":"Duhamel","given":"Marie","non-dropping-particle":"","parse-names":false,"suffix":""},{"dropping-particle":"","family":"Beesetty","given":"Yugandhar","non-dropping-particle":"","parse-names":false,"suffix":""},{"dropping-particle":"","family":"Mensah","given":"Jerry a","non-dropping-particle":"","parse-names":false,"suffix":""},{"dropping-particle":"","family":"Franken","given":"Oscar","non-dropping-particle":"","parse-names":false,"suffix":""},{"dropping-particle":"","family":"Verbruggen","given":"Erik","non-dropping-particle":"","parse-names":false,"suffix":""},{"dropping-particle":"","family":"Fellbaum","given":"Carl R","non-dropping-particle":"","parse-names":false,"suffix":""},{"dropping-particle":"","family":"Kowalchuk","given":"George a","non-dropping-particle":"","parse-names":false,"suffix":""},{"dropping-particle":"","family":"Hart","given":"Miranda M","non-dropping-particle":"","parse-names":false,"suffix":""},{"dropping-particle":"","family":"Bago","given":"Alberto","non-dropping-particle":"","parse-names":false,"suffix":""},{"dropping-particle":"","family":"Palmer","given":"Todd M","non-dropping-particle":"","parse-names":false,"suffix":""},{"dropping-particle":"","family":"West","given":"Stuart a","non-dropping-particle":"","parse-names":false,"suffix":""},{"dropping-particle":"","family":"Vandenkoornhuyse","given":"Philippe","non-dropping-particle":"","parse-names":false,"suffix":""},{"dropping-particle":"","family":"Jansa","given":"Jan","non-dropping-particle":"","parse-names":false,"suffix":""},{"dropping-particle":"","family":"Bücking","given":"Heike","non-dropping-particle":"","parse-names":false,"suffix":""}],"container-title":"Science (New York, N.Y.)","id":"ITEM-1","issue":"6044","issued":{"date-parts":[["2011","8","12"]]},"page":"880-882","title":"Reciprocal rewards stabilize cooperation in the mycorrhizal symbiosis","type":"article","volume":"333"},"uris":["http://www.mendeley.com/documents/?uuid=33339e21-735a-448f-bee3-d1c0d7b841f2"]},{"id":"ITEM-2","itemData":{"DOI":"10.1007/s00572-004-0337-y","ISSN":"0940-6360","PMID":"15558328","abstract":"High nutrient availability and defoliation generally reduce ectomycorrhizal colonization levels in trees, but it is not known how this affects the functional aspects of mycorrhizal symbiosis. It was therefore investigated whether (1) defoliation or increasing substrate N availability reduce C allocation from the plant to the fungus and N allocation from the fungus to the plant (symbiotic resource exchange), (2) symbiotic resource exchange depends on relative N and P availability, and (3) fungal N translocation to plant and plant C allocation to fungus are interdependent. Birch (Betula pendula) seedlings were grown in symbiosis with the ectomycorrhizal fungus Paxillus involutus at five times excess N, or at five times excess N and P for 6 weeks. One-half of the plants were defoliated and the plant shoots were allowed to photosynthesize 14CO2 while the fungal compartment was exposed to 14NH4. After 3 days, the 14C of plant origin in fungal tissues and 15N of fungal origin in plant tissues were quantified. Nutrient availability had no observable effect on symbiotic resource exchange in non-defoliated systems. Defoliation reduced symbiotic N acquisition by plants at all levels of nutrient availability, with the reduction being most marked at higher N availability, indicating an increased tendency in the symbiotic system to discontinue resource exchange after defoliation at higher fertility levels. The concentration of 14C in extramatrical mycelium correlated significantly with the concentration of 15N in birch shoots. The results support the assumption that N delivery to the host by the mycorrhizal fungus is dependent on C flow from the plant to the fungus, and that exchanges between the partners are reciprocal. No significant reductions in root 14C content as a response to defoliation were observed, indicating that defoliation specifically reduced allocation to fungus, but not markedly to roots.","author":[{"dropping-particle":"","family":"Kytöviita","given":"Minna-Maarit","non-dropping-particle":"","parse-names":false,"suffix":""}],"container-title":"Mycorrhiza","id":"ITEM-2","issue":"1","issued":{"date-parts":[["2005","1"]]},"page":"65-70","title":"Role of nutrient level and defoliation on symbiotic function: experimental evidence by tracing 14C/15N exchange in mycorrhizal birch seedlings.","type":"article-journal","volume":"15"},"uris":["http://www.mendeley.com/documents/?uuid=ff376907-b253-4d0b-878b-869bc5690341"]}],"mendeley":{"formattedCitation":"(Kiers et al., 2011; Kytöviita, 2005)","plainTextFormattedCitation":"(Kiers et al., 2011; Kytöviita, 2005)","previouslyFormattedCitation":"(Kiers et al., 2011; Kytöviita, 2005)"},"properties":{"noteIndex":0},"schema":"https://github.com/citation-style-language/schema/raw/master/csl-citation.json"}</w:instrText>
      </w:r>
      <w:r w:rsidRPr="00223DC5">
        <w:fldChar w:fldCharType="separate"/>
      </w:r>
      <w:r w:rsidRPr="00223DC5">
        <w:rPr>
          <w:noProof/>
        </w:rPr>
        <w:t>(Kiers et al., 2011; Kytöviita, 2005)</w:t>
      </w:r>
      <w:r w:rsidRPr="00223DC5">
        <w:fldChar w:fldCharType="end"/>
      </w:r>
      <w:r w:rsidRPr="00223DC5">
        <w:t xml:space="preserve">. In particular, mycorrhizal fungi receive up to 20-30% of the fixed photosynthetic </w:t>
      </w:r>
      <w:r w:rsidR="00EA3ED2">
        <w:t>C</w:t>
      </w:r>
      <w:r w:rsidRPr="00223DC5">
        <w:t>, and, in return, they supply their plant partners with nutrients</w:t>
      </w:r>
      <w:r w:rsidR="008B52CC">
        <w:t xml:space="preserve"> that the fungal hyphae contact</w:t>
      </w:r>
      <w:r w:rsidRPr="00223DC5">
        <w:t xml:space="preserve"> in the soil, such as P, K, Ca, Mg and Fe </w:t>
      </w:r>
      <w:r w:rsidRPr="00223DC5">
        <w:fldChar w:fldCharType="begin" w:fldLock="1"/>
      </w:r>
      <w:r w:rsidR="00EE33AB">
        <w:instrText>ADDIN CSL_CITATION {"citationItems":[{"id":"ITEM-1","itemData":{"DOI":"10.1130/G25699A.1","ISBN":"0091-7613","ISSN":"00917613","abstract":"Plant-driven fungal weathering is a major pathway of soil formation, yet the precise mechanism by which mycorrhiza alter minerals is poorly understood. Here we report the fi rst direct in situ observations of the effects of a soil fungus on the surface of a min- eral over which it grew in a controlled experiment. An ectomycor- rhizal fungus was grown in symbiosis with a tree seedling so that individual hyphae expanded across the surface of a biotite fl ake over a period of three months. Ultramicroscopic and spectroscopic analysis of the fungus-biotite interfaces revealed intimate fungal- mineral attachment, biomechanical forcing, altered interlayer spac- ings, substantial depletion of potassium (~50 nm depth), oxidation of the biotite Fe(II), and the formation of vermiculite and clusters of Fe(III) oxides. Our study demonstrates the biomechanical-chemical alteration interplay at the fungus-biotite interface at the nanometer scale. Specifi cally, the weathering process is initiated by physical dis- tortion of the lattice structure of biotite within 1 µm of the attached fungal hypha. Only subsequently does the distorted volume become chemically altered through dissolution and oxidation reactions that lead to mineral neoformation.","author":[{"dropping-particle":"","family":"Bonneville","given":"Steeve","non-dropping-particle":"","parse-names":false,"suffix":""},{"dropping-particle":"","family":"Smits","given":"Mark M.","non-dropping-particle":"","parse-names":false,"suffix":""},{"dropping-particle":"","family":"Brown","given":"Andrew","non-dropping-particle":"","parse-names":false,"suffix":""},{"dropping-particle":"","family":"Harrington","given":"John","non-dropping-particle":"","parse-names":false,"suffix":""},{"dropping-particle":"","family":"Leake","given":"Jonathan R.","non-dropping-particle":"","parse-names":false,"suffix":""},{"dropping-particle":"","family":"Brydson","given":"Rik","non-dropping-particle":"","parse-names":false,"suffix":""},{"dropping-particle":"","family":"Benning","given":"Liane G.","non-dropping-particle":"","parse-names":false,"suffix":""}],"container-title":"Geology","id":"ITEM-1","issue":"7","issued":{"date-parts":[["2009"]]},"page":"615-618","title":"Plant-driven fungal weathering: Early stages of mineral alteration at the nanometer scale","type":"article-journal","volume":"37"},"uris":["http://www.mendeley.com/documents/?uuid=c38c068c-8322-459e-ae64-17f1bedd30a2"]}],"mendeley":{"formattedCitation":"(Bonneville et al., 2009)","plainTextFormattedCitation":"(Bonneville et al., 2009)","previouslyFormattedCitation":"(Bonneville et al., 2009)"},"properties":{"noteIndex":0},"schema":"https://github.com/citation-style-language/schema/raw/master/csl-citation.json"}</w:instrText>
      </w:r>
      <w:r w:rsidRPr="00223DC5">
        <w:fldChar w:fldCharType="separate"/>
      </w:r>
      <w:r w:rsidR="00B870DF" w:rsidRPr="00B870DF">
        <w:rPr>
          <w:noProof/>
        </w:rPr>
        <w:t>(Bonneville et al., 2009)</w:t>
      </w:r>
      <w:r w:rsidRPr="00223DC5">
        <w:fldChar w:fldCharType="end"/>
      </w:r>
      <w:r w:rsidRPr="00223DC5">
        <w:t>.</w:t>
      </w:r>
    </w:p>
    <w:p w14:paraId="3A13EA83" w14:textId="0ED40681" w:rsidR="00223DC5" w:rsidRPr="00223DC5" w:rsidRDefault="00223DC5">
      <w:pPr>
        <w:ind w:firstLine="720"/>
      </w:pPr>
      <w:r w:rsidRPr="00223DC5">
        <w:t>Both AM</w:t>
      </w:r>
      <w:r w:rsidR="008B52CC">
        <w:t xml:space="preserve"> fungi (AMF) and EM fungi (EMF)</w:t>
      </w:r>
      <w:r w:rsidRPr="00223DC5">
        <w:t xml:space="preserve"> can actively weather nutrient-rich minerals </w:t>
      </w:r>
      <w:r w:rsidRPr="00223DC5">
        <w:fldChar w:fldCharType="begin" w:fldLock="1"/>
      </w:r>
      <w:r w:rsidR="00EE33AB">
        <w:instrText>ADDIN CSL_CITATION {"citationItems":[{"id":"ITEM-1","itemData":{"DOI":"10.1180/minmag.2008.072.1.131","ISSN":"0026461X","author":[{"dropping-particle":"","family":"Smits","given":"M. M.","non-dropping-particle":"","parse-names":false,"suffix":""},{"dropping-particle":"","family":"Bonneville","given":"S.","non-dropping-particle":"","parse-names":false,"suffix":""},{"dropping-particle":"","family":"Haward","given":"S.","non-dropping-particle":"","parse-names":false,"suffix":""},{"dropping-particle":"","family":"Leake","given":"J. R.","non-dropping-particle":"","parse-names":false,"suffix":""}],"container-title":"Mineralogical Magazine","id":"ITEM-1","issue":"1","issued":{"date-parts":[["2008","2","1"]]},"note":"Sverdrup et al (2002) concluded that there is no feedback between nutrient shortage in the tree and increased weathering of minerals containing these nutrients.\n\n\nhowever i want to show that there is molecular feedback mechanism,\n\n\nsince there is evidence of preferential mineral-rich colonisation by EM fungi (in this paper).","page":"131-134","title":"Ectomycorrhizal weathering, a matter of scale?","type":"article-journal","volume":"72"},"uris":["http://www.mendeley.com/documents/?uuid=fcde0d9f-1953-4ba8-928e-9ceeb3ce98c1"]},{"id":"ITEM-2","itemData":{"DOI":"10.1016/j.clay.2011.06.013","ISSN":"01691317","author":[{"dropping-particle":"","family":"Arocena","given":"J.M.","non-dropping-particle":"","parse-names":false,"suffix":""},{"dropping-particle":"","family":"Velde","given":"B.","non-dropping-particle":"","parse-names":false,"suffix":""},{"dropping-particle":"","family":"Robertson","given":"S.J.","non-dropping-particle":"","parse-names":false,"suffix":""}],"container-title":"Applied Clay Science","id":"ITEM-2","issued":{"date-parts":[["2012","8"]]},"page":"12-17","publisher":"Elsevier B.V.","title":"Weathering of biotite in the presence of arbuscular mycorrhizae in selected agricultural crops","type":"article-journal","volume":"64"},"uris":["http://www.mendeley.com/documents/?uuid=8d3833b1-3ca4-4a00-8c55-60c7a9fc37bd"]},{"id":"ITEM-3","itemData":{"DOI":"10.1098/rsbl.2012.0503","ISSN":"1744-957X","PMID":"22859556","abstract":"Forested ecosystems diversified more than 350 Ma to become major engines of continental silicate weathering, regulating the Earth's atmospheric carbon dioxide concentration by driving calcium export into ocean carbonates. Our field experiments with mature trees demonstrate intensification of this weathering engine as tree lineages diversified in concert with their symbiotic mycorrhizal fungi. Preferential hyphal colonization of the calcium silicate-bearing rock, basalt, progressively increased with advancement from arbuscular mycorrhizal (AM) to later, independently evolved ectomycorrhizal (EM) fungi, and from gymnosperm to angiosperm hosts with both fungal groups. This led to 'trenching' of silicate mineral surfaces by AM and EM fungi, with EM gymnosperms and angiosperms releasing calcium from basalt at twice the rate of AM gymnosperms. Our findings indicate mycorrhiza-driven weathering may have originated hundreds of millions of years earlier than previously recognized and subsequently intensified with the evolution of trees and mycorrhizas to affect the Earth's long-term CO(2) and climate history.","author":[{"dropping-particle":"","family":"Quirk","given":"Joe","non-dropping-particle":"","parse-names":false,"suffix":""},{"dropping-particle":"","family":"Beerling","given":"David J","non-dropping-particle":"","parse-names":false,"suffix":""},{"dropping-particle":"","family":"Banwart","given":"Steve a","non-dropping-particle":"","parse-names":false,"suffix":""},{"dropping-particle":"","family":"Kakonyi","given":"Gabriella","non-dropping-particle":"","parse-names":false,"suffix":""},{"dropping-particle":"","family":"Romero-Gonzalez","given":"Maria E","non-dropping-particle":"","parse-names":false,"suffix":""},{"dropping-particle":"","family":"Leake","given":"Jonathan R","non-dropping-particle":"","parse-names":false,"suffix":""}],"container-title":"Biology letters","id":"ITEM-3","issue":"6","issued":{"date-parts":[["2012","12","23"]]},"page":"1006-11","title":"Evolution of trees and mycorrhizal fungi intensifies silicate mineral weathering.","type":"article-journal","volume":"8"},"uris":["http://www.mendeley.com/documents/?uuid=323dcc0d-1e4e-4082-a6c9-5b6e9f84e09a"]}],"mendeley":{"formattedCitation":"(Smits et al., 2008; Arocena et al., 2012; Quirk et al., 2012)","plainTextFormattedCitation":"(Smits et al., 2008; Arocena et al., 2012; Quirk et al., 2012)","previouslyFormattedCitation":"(Smits et al., 2008; Arocena et al., 2012; Quirk et al., 2012)"},"properties":{"noteIndex":0},"schema":"https://github.com/citation-style-language/schema/raw/master/csl-citation.json"}</w:instrText>
      </w:r>
      <w:r w:rsidRPr="00223DC5">
        <w:fldChar w:fldCharType="separate"/>
      </w:r>
      <w:r w:rsidRPr="00223DC5">
        <w:rPr>
          <w:noProof/>
        </w:rPr>
        <w:t>(Smits et al., 2008; Arocena et al., 2012; Quirk et al., 2012)</w:t>
      </w:r>
      <w:r w:rsidRPr="00223DC5">
        <w:fldChar w:fldCharType="end"/>
      </w:r>
      <w:r w:rsidRPr="00223DC5">
        <w:t xml:space="preserve">. However, possibly due to fundamental functional differences between the two types of mycorrhizal associations, a growing body of evidence indicates that EMF appear to be more capable than AMF in intensifying weathering of various minerals and in controlling the translocation of inorganic elements from soil to the tree </w:t>
      </w:r>
      <w:r w:rsidRPr="00223DC5">
        <w:fldChar w:fldCharType="begin" w:fldLock="1"/>
      </w:r>
      <w:r w:rsidR="00EE33AB">
        <w:instrText>ADDIN CSL_CITATION {"citationItems":[{"id":"ITEM-1","itemData":{"DOI":"10.1098/rsbl.2012.0503","ISSN":"1744-957X","PMID":"22859556","abstract":"Forested ecosystems diversified more than 350 Ma to become major engines of continental silicate weathering, regulating the Earth's atmospheric carbon dioxide concentration by driving calcium export into ocean carbonates. Our field experiments with mature trees demonstrate intensification of this weathering engine as tree lineages diversified in concert with their symbiotic mycorrhizal fungi. Preferential hyphal colonization of the calcium silicate-bearing rock, basalt, progressively increased with advancement from arbuscular mycorrhizal (AM) to later, independently evolved ectomycorrhizal (EM) fungi, and from gymnosperm to angiosperm hosts with both fungal groups. This led to 'trenching' of silicate mineral surfaces by AM and EM fungi, with EM gymnosperms and angiosperms releasing calcium from basalt at twice the rate of AM gymnosperms. Our findings indicate mycorrhiza-driven weathering may have originated hundreds of millions of years earlier than previously recognized and subsequently intensified with the evolution of trees and mycorrhizas to affect the Earth's long-term CO(2) and climate history.","author":[{"dropping-particle":"","family":"Quirk","given":"Joe","non-dropping-particle":"","parse-names":false,"suffix":""},{"dropping-particle":"","family":"Beerling","given":"David J","non-dropping-particle":"","parse-names":false,"suffix":""},{"dropping-particle":"","family":"Banwart","given":"Steve a","non-dropping-particle":"","parse-names":false,"suffix":""},{"dropping-particle":"","family":"Kakonyi","given":"Gabriella","non-dropping-particle":"","parse-names":false,"suffix":""},{"dropping-particle":"","family":"Romero-Gonzalez","given":"Maria E","non-dropping-particle":"","parse-names":false,"suffix":""},{"dropping-particle":"","family":"Leake","given":"Jonathan R","non-dropping-particle":"","parse-names":false,"suffix":""}],"container-title":"Biology letters","id":"ITEM-1","issue":"6","issued":{"date-parts":[["2012","12","23"]]},"page":"1006-11","title":"Evolution of trees and mycorrhizal fungi intensifies silicate mineral weathering.","type":"article-journal","volume":"8"},"uris":["http://www.mendeley.com/documents/?uuid=323dcc0d-1e4e-4082-a6c9-5b6e9f84e09a"]},{"id":"ITEM-2","itemData":{"DOI":"10.1111/pce.12444","ISBN":"0140-7791","ISSN":"01407791","PMID":"25211602","abstract":"On million-year timescales, carbonate rock weathering exerts no net effect on atmospheric CO2 concentration. However, on timescales of decades-to-centuries, it can contribute to sequestration of anthropogenic CO2 and increase land-ocean alkalinity flux, counteracting ocean acidification. Historical evidence indicates this flux is sensitive to land use change, and recent experimental evidence suggests that trees and their associated soil microbial communities are major drivers of continental mineral weathering. Here, we review key physical and chemical mechanisms by which the symbiotic mycorrhizal fungi of forest tree roots potentially enhance carbonate rock weathering. Evidence from our ongoing field study at the UK's national pinetum confirms increased weathering of carbonate rocks by a wide range of gymnosperm and angiosperm tree species that form arbuscular (AM) or ectomycorrhizal (EM) fungal partnerships. We demonstrate that calcite-containing rock grains under EM tree species weather significantly faster than those under AM trees, an effect linked to greater soil acidification by EM trees. Weathering and corresponding alkalinity export are likely to increase with rising atmospheric CO2 and associated climate change. Our analyses suggest that strategic planting of fast-growing EM angiosperm taxa on calcite- and dolomite-rich terrain might accelerate the transient sink for atmospheric CO2 and slow rates of ocean acidification.","author":[{"dropping-particle":"","family":"Thorley","given":"Rachel M. S.","non-dropping-particle":"","parse-names":false,"suffix":""},{"dropping-particle":"","family":"Taylor","given":"Lyla L.","non-dropping-particle":"","parse-names":false,"suffix":""},{"dropping-particle":"","family":"Banwart","given":"Steve A.","non-dropping-particle":"","parse-names":false,"suffix":""},{"dropping-particle":"","family":"Leake","given":"Jonathan R.","non-dropping-particle":"","parse-names":false,"suffix":""},{"dropping-particle":"","family":"Beerling","given":"David J.","non-dropping-particle":"","parse-names":false,"suffix":""}],"container-title":"Plant, Cell &amp; Environment","id":"ITEM-2","issue":"9","issued":{"date-parts":[["2015"]]},"page":"1947-1961","title":"The role of forest trees and their mycorrhizal fungi in carbonate rock weathering and its significance for global carbon cycling","type":"article-journal","volume":"38"},"uris":["http://www.mendeley.com/documents/?uuid=ca667e3a-9fff-4599-87bd-32966a02491d"]}],"mendeley":{"formattedCitation":"(Quirk et al., 2012; Thorley et al., 2015)","plainTextFormattedCitation":"(Quirk et al., 2012; Thorley et al., 2015)","previouslyFormattedCitation":"(Quirk et al., 2012; Thorley et al., 2015)"},"properties":{"noteIndex":0},"schema":"https://github.com/citation-style-language/schema/raw/master/csl-citation.json"}</w:instrText>
      </w:r>
      <w:r w:rsidRPr="00223DC5">
        <w:fldChar w:fldCharType="separate"/>
      </w:r>
      <w:r w:rsidRPr="00223DC5">
        <w:rPr>
          <w:noProof/>
        </w:rPr>
        <w:t>(Quirk et al., 2012; Thorley et al., 2015)</w:t>
      </w:r>
      <w:r w:rsidRPr="00223DC5">
        <w:fldChar w:fldCharType="end"/>
      </w:r>
      <w:r w:rsidRPr="00223DC5">
        <w:t xml:space="preserve">. For instance, Quirk et al. (2012) demonstrated that EMF associated with both Gymnosperm and Angiosperm trees released </w:t>
      </w:r>
      <w:r w:rsidR="00B32E22">
        <w:t>Ca</w:t>
      </w:r>
      <w:r w:rsidRPr="00223DC5">
        <w:t xml:space="preserve"> from basalt at twice the rate </w:t>
      </w:r>
      <w:r w:rsidR="008B52CC">
        <w:t>of</w:t>
      </w:r>
      <w:r w:rsidRPr="00223DC5">
        <w:t xml:space="preserve"> AMF associated with Gymnosperm trees</w:t>
      </w:r>
      <w:r w:rsidR="00E66636">
        <w:t xml:space="preserve"> </w:t>
      </w:r>
      <w:r w:rsidR="00E66636">
        <w:fldChar w:fldCharType="begin" w:fldLock="1"/>
      </w:r>
      <w:r w:rsidR="00EE33AB">
        <w:instrText>ADDIN CSL_CITATION {"citationItems":[{"id":"ITEM-1","itemData":{"DOI":"10.1098/rsbl.2012.0503","ISSN":"1744-957X","PMID":"22859556","abstract":"Forested ecosystems diversified more than 350 Ma to become major engines of continental silicate weathering, regulating the Earth's atmospheric carbon dioxide concentration by driving calcium export into ocean carbonates. Our field experiments with mature trees demonstrate intensification of this weathering engine as tree lineages diversified in concert with their symbiotic mycorrhizal fungi. Preferential hyphal colonization of the calcium silicate-bearing rock, basalt, progressively increased with advancement from arbuscular mycorrhizal (AM) to later, independently evolved ectomycorrhizal (EM) fungi, and from gymnosperm to angiosperm hosts with both fungal groups. This led to 'trenching' of silicate mineral surfaces by AM and EM fungi, with EM gymnosperms and angiosperms releasing calcium from basalt at twice the rate of AM gymnosperms. Our findings indicate mycorrhiza-driven weathering may have originated hundreds of millions of years earlier than previously recognized and subsequently intensified with the evolution of trees and mycorrhizas to affect the Earth's long-term CO(2) and climate history.","author":[{"dropping-particle":"","family":"Quirk","given":"Joe","non-dropping-particle":"","parse-names":false,"suffix":""},{"dropping-particle":"","family":"Beerling","given":"David J","non-dropping-particle":"","parse-names":false,"suffix":""},{"dropping-particle":"","family":"Banwart","given":"Steve a","non-dropping-particle":"","parse-names":false,"suffix":""},{"dropping-particle":"","family":"Kakonyi","given":"Gabriella","non-dropping-particle":"","parse-names":false,"suffix":""},{"dropping-particle":"","family":"Romero-Gonzalez","given":"Maria E","non-dropping-particle":"","parse-names":false,"suffix":""},{"dropping-particle":"","family":"Leake","given":"Jonathan R","non-dropping-particle":"","parse-names":false,"suffix":""}],"container-title":"Biology letters","id":"ITEM-1","issue":"6","issued":{"date-parts":[["2012","12","23"]]},"page":"1006-11","title":"Evolution of trees and mycorrhizal fungi intensifies silicate mineral weathering.","type":"article-journal","volume":"8"},"uris":["http://www.mendeley.com/documents/?uuid=323dcc0d-1e4e-4082-a6c9-5b6e9f84e09a"]}],"mendeley":{"formattedCitation":"(Quirk et al., 2012)","plainTextFormattedCitation":"(Quirk et al., 2012)","previouslyFormattedCitation":"(Quirk et al., 2012)"},"properties":{"noteIndex":0},"schema":"https://github.com/citation-style-language/schema/raw/master/csl-citation.json"}</w:instrText>
      </w:r>
      <w:r w:rsidR="00E66636">
        <w:fldChar w:fldCharType="separate"/>
      </w:r>
      <w:r w:rsidR="00E66636" w:rsidRPr="00E66636">
        <w:rPr>
          <w:noProof/>
        </w:rPr>
        <w:t>(Quirk et al., 2012)</w:t>
      </w:r>
      <w:r w:rsidR="00E66636">
        <w:fldChar w:fldCharType="end"/>
      </w:r>
      <w:r w:rsidRPr="00223DC5">
        <w:t xml:space="preserve">. In addition, Thorley et al. (2015) </w:t>
      </w:r>
      <w:r w:rsidRPr="00223DC5">
        <w:lastRenderedPageBreak/>
        <w:t>showed that EMF in association with Angiosperms resulted in the highest weathering rates of basalt, dolomite, limestone, marble and chalk rock grains</w:t>
      </w:r>
      <w:r w:rsidR="00E66636">
        <w:t xml:space="preserve"> </w:t>
      </w:r>
      <w:r w:rsidR="00E66636">
        <w:fldChar w:fldCharType="begin" w:fldLock="1"/>
      </w:r>
      <w:r w:rsidR="00EE33AB">
        <w:instrText>ADDIN CSL_CITATION {"citationItems":[{"id":"ITEM-1","itemData":{"DOI":"10.1111/pce.12444","ISBN":"0140-7791","ISSN":"01407791","PMID":"25211602","abstract":"On million-year timescales, carbonate rock weathering exerts no net effect on atmospheric CO2 concentration. However, on timescales of decades-to-centuries, it can contribute to sequestration of anthropogenic CO2 and increase land-ocean alkalinity flux, counteracting ocean acidification. Historical evidence indicates this flux is sensitive to land use change, and recent experimental evidence suggests that trees and their associated soil microbial communities are major drivers of continental mineral weathering. Here, we review key physical and chemical mechanisms by which the symbiotic mycorrhizal fungi of forest tree roots potentially enhance carbonate rock weathering. Evidence from our ongoing field study at the UK's national pinetum confirms increased weathering of carbonate rocks by a wide range of gymnosperm and angiosperm tree species that form arbuscular (AM) or ectomycorrhizal (EM) fungal partnerships. We demonstrate that calcite-containing rock grains under EM tree species weather significantly faster than those under AM trees, an effect linked to greater soil acidification by EM trees. Weathering and corresponding alkalinity export are likely to increase with rising atmospheric CO2 and associated climate change. Our analyses suggest that strategic planting of fast-growing EM angiosperm taxa on calcite- and dolomite-rich terrain might accelerate the transient sink for atmospheric CO2 and slow rates of ocean acidification.","author":[{"dropping-particle":"","family":"Thorley","given":"Rachel M. S.","non-dropping-particle":"","parse-names":false,"suffix":""},{"dropping-particle":"","family":"Taylor","given":"Lyla L.","non-dropping-particle":"","parse-names":false,"suffix":""},{"dropping-particle":"","family":"Banwart","given":"Steve A.","non-dropping-particle":"","parse-names":false,"suffix":""},{"dropping-particle":"","family":"Leake","given":"Jonathan R.","non-dropping-particle":"","parse-names":false,"suffix":""},{"dropping-particle":"","family":"Beerling","given":"David J.","non-dropping-particle":"","parse-names":false,"suffix":""}],"container-title":"Plant, Cell &amp; Environment","id":"ITEM-1","issue":"9","issued":{"date-parts":[["2015"]]},"page":"1947-1961","title":"The role of forest trees and their mycorrhizal fungi in carbonate rock weathering and its significance for global carbon cycling","type":"article-journal","volume":"38"},"uris":["http://www.mendeley.com/documents/?uuid=ca667e3a-9fff-4599-87bd-32966a02491d"]}],"mendeley":{"formattedCitation":"(Thorley et al., 2015)","plainTextFormattedCitation":"(Thorley et al., 2015)","previouslyFormattedCitation":"(Thorley et al., 2015)"},"properties":{"noteIndex":0},"schema":"https://github.com/citation-style-language/schema/raw/master/csl-citation.json"}</w:instrText>
      </w:r>
      <w:r w:rsidR="00E66636">
        <w:fldChar w:fldCharType="separate"/>
      </w:r>
      <w:r w:rsidR="00E66636" w:rsidRPr="00E66636">
        <w:rPr>
          <w:noProof/>
        </w:rPr>
        <w:t>(Thorley et al., 2015)</w:t>
      </w:r>
      <w:r w:rsidR="00E66636">
        <w:fldChar w:fldCharType="end"/>
      </w:r>
      <w:r w:rsidRPr="00223DC5">
        <w:t>. The enhanced ability of EMF to wea</w:t>
      </w:r>
      <w:r w:rsidR="009475FB">
        <w:t xml:space="preserve">ther rocks compared with AMF </w:t>
      </w:r>
      <w:r w:rsidRPr="00223DC5">
        <w:t>could be attributed to two dis</w:t>
      </w:r>
      <w:r w:rsidR="009475FB">
        <w:t>tinctive characteristics</w:t>
      </w:r>
      <w:r w:rsidRPr="00223DC5">
        <w:t>. First</w:t>
      </w:r>
      <w:r w:rsidR="009475FB">
        <w:t>ly</w:t>
      </w:r>
      <w:r w:rsidRPr="00223DC5">
        <w:t xml:space="preserve"> the biomechanical force that the growing hyphae of EM mycelia can e</w:t>
      </w:r>
      <w:r w:rsidR="009475FB">
        <w:t>xert on the surface of minerals results</w:t>
      </w:r>
      <w:r w:rsidRPr="00223DC5">
        <w:t xml:space="preserve"> in mechanical weathering </w:t>
      </w:r>
      <w:r w:rsidRPr="00223DC5">
        <w:fldChar w:fldCharType="begin" w:fldLock="1"/>
      </w:r>
      <w:r w:rsidR="00EE33AB">
        <w:instrText>ADDIN CSL_CITATION {"citationItems":[{"id":"ITEM-1","itemData":{"DOI":"10.1021/acs.est.5b06178","ISBN":"0013-936X","ISSN":"15205851","PMID":"27128742","abstract":"Microorganisms are essential agents of Earth’ s soilweathering engine who help transform primary rock-forming minerals into soils. Mycorrhizal fungi, with their vast fi lamentous networks in symbiosis with the roots of most plants can alter a large number of minerals via local acidifi cation, targeted excretion of ligands, submicron-scale biomechanical forcing, and mobilization of Mg, Fe, Al, and K at the hypha-biotite interface. Here, we present experimental evidence thatPaxillus involutus−a basidiomycete fungus</w:instrText>
      </w:r>
      <w:r w:rsidR="00EE33AB">
        <w:rPr>
          <w:rFonts w:hint="eastAsia"/>
        </w:rPr>
        <w:instrText></w:instrText>
      </w:r>
      <w:r w:rsidR="00EE33AB">
        <w:instrText xml:space="preserve"> in ectomycorrhizal symbiosis with Scots pine (Pinus sylvestris ), is able to oxidize a substantial amount of structural Fe(II) in biotite. Iron redox chemistry, quantifi ed by X-ray absorption near edge spectra on 13 fungi− biotite sections along three distinct hypha colonizing the [001] basal plane of biotite, revealed variable but extensive Fe(II) oxidation up to</w:instrText>
      </w:r>
      <w:r w:rsidR="00EE33AB">
        <w:rPr>
          <w:rFonts w:ascii="Cambria Math" w:hAnsi="Cambria Math" w:cs="Cambria Math"/>
        </w:rPr>
        <w:instrText>∼</w:instrText>
      </w:r>
      <w:r w:rsidR="00EE33AB">
        <w:instrText>2</w:instrText>
      </w:r>
      <w:r w:rsidR="00EE33AB">
        <w:rPr>
          <w:rFonts w:cs="Arial"/>
        </w:rPr>
        <w:instrText>μ</w:instrText>
      </w:r>
      <w:r w:rsidR="00EE33AB">
        <w:instrText xml:space="preserve"> m in depth and a Fe(III)/Fetotalratio of up to</w:instrText>
      </w:r>
      <w:r w:rsidR="00EE33AB">
        <w:rPr>
          <w:rFonts w:ascii="Cambria Math" w:hAnsi="Cambria Math" w:cs="Cambria Math"/>
        </w:rPr>
        <w:instrText>∼</w:instrText>
      </w:r>
      <w:r w:rsidR="00EE33AB">
        <w:instrText xml:space="preserve"> 0.8. The growth of Fe(III) hydroxide implies a volumetric change and a strain within the biotite lattice potentially large enough to induce microcrack formation, which are abundant below the hypha− biotite interface. This Fe(II) oxidation also leads to the formation of a large pool of Fe(III) (i.e., structural Fe(III) and Fe(III) oxyhydroxides) within biotite that could participate in the Fe redox cycling in soils.","author":[{"dropping-particle":"","family":"Bonneville","given":"Steeve","non-dropping-particle":"","parse-names":false,"suffix":""},{"dropping-particle":"","family":"Bray","given":"Andrew W.","non-dropping-particle":"","parse-names":false,"suffix":""},{"dropping-particle":"","family":"Benning","given":"Liane G.","non-dropping-particle":"","parse-names":false,"suffix":""}],"container-title":"Environmental Science and Technology","id":"ITEM-1","issue":"11","issued":{"date-parts":[["2016"]]},"page":"5589-5596","title":"Structural Fe(II) Oxidation in Biotite by an Ectomycorrhizal Fungi Drives Mechanical Forcing","type":"article-journal","volume":"50"},"uris":["http://www.mendeley.com/documents/?uuid=c7bc1fc9-0c71-4348-81ed-659c63a99da9"]}],"mendeley":{"formattedCitation":"(Bonneville et al., 2016)","plainTextFormattedCitation":"(Bonneville et al., 2016)","previouslyFormattedCitation":"(Bonneville et al., 2016)"},"properties":{"noteIndex":0},"schema":"https://github.com/citation-style-language/schema/raw/master/csl-citation.json"}</w:instrText>
      </w:r>
      <w:r w:rsidRPr="00223DC5">
        <w:fldChar w:fldCharType="separate"/>
      </w:r>
      <w:r w:rsidRPr="00223DC5">
        <w:rPr>
          <w:noProof/>
        </w:rPr>
        <w:t>(Bonneville et al., 2016)</w:t>
      </w:r>
      <w:r w:rsidRPr="00223DC5">
        <w:fldChar w:fldCharType="end"/>
      </w:r>
      <w:r w:rsidRPr="00223DC5">
        <w:t xml:space="preserve">. Secondly, the enhanced excretion of low molecular weight organic acids (LMWOA), which function as active mineral weathering agents </w:t>
      </w:r>
      <w:r w:rsidRPr="00223DC5">
        <w:fldChar w:fldCharType="begin" w:fldLock="1"/>
      </w:r>
      <w:r w:rsidR="00EE33AB">
        <w:instrText>ADDIN CSL_CITATION {"citationItems":[{"id":"ITEM-1","itemData":{"DOI":"10.1130/G25699A.1","ISBN":"0091-7613","ISSN":"00917613","abstract":"Plant-driven fungal weathering is a major pathway of soil formation, yet the precise mechanism by which mycorrhiza alter minerals is poorly understood. Here we report the fi rst direct in situ observations of the effects of a soil fungus on the surface of a min- eral over which it grew in a controlled experiment. An ectomycor- rhizal fungus was grown in symbiosis with a tree seedling so that individual hyphae expanded across the surface of a biotite fl ake over a period of three months. Ultramicroscopic and spectroscopic analysis of the fungus-biotite interfaces revealed intimate fungal- mineral attachment, biomechanical forcing, altered interlayer spac- ings, substantial depletion of potassium (~50 nm depth), oxidation of the biotite Fe(II), and the formation of vermiculite and clusters of Fe(III) oxides. Our study demonstrates the biomechanical-chemical alteration interplay at the fungus-biotite interface at the nanometer scale. Specifi cally, the weathering process is initiated by physical dis- tortion of the lattice structure of biotite within 1 µm of the attached fungal hypha. Only subsequently does the distorted volume become chemically altered through dissolution and oxidation reactions that lead to mineral neoformation.","author":[{"dropping-particle":"","family":"Bonneville","given":"Steeve","non-dropping-particle":"","parse-names":false,"suffix":""},{"dropping-particle":"","family":"Smits","given":"Mark M.","non-dropping-particle":"","parse-names":false,"suffix":""},{"dropping-particle":"","family":"Brown","given":"Andrew","non-dropping-particle":"","parse-names":false,"suffix":""},{"dropping-particle":"","family":"Harrington","given":"John","non-dropping-particle":"","parse-names":false,"suffix":""},{"dropping-particle":"","family":"Leake","given":"Jonathan R.","non-dropping-particle":"","parse-names":false,"suffix":""},{"dropping-particle":"","family":"Brydson","given":"Rik","non-dropping-particle":"","parse-names":false,"suffix":""},{"dropping-particle":"","family":"Benning","given":"Liane G.","non-dropping-particle":"","parse-names":false,"suffix":""}],"container-title":"Geology","id":"ITEM-1","issue":"7","issued":{"date-parts":[["2009"]]},"page":"615-618","title":"Plant-driven fungal weathering: Early stages of mineral alteration at the nanometer scale","type":"article-journal","volume":"37"},"uris":["http://www.mendeley.com/documents/?uuid=c38c068c-8322-459e-ae64-17f1bedd30a2"]},{"id":"ITEM-2","itemData":{"DOI":"10.1007/s11104-007-9513-0","ISSN":"0032-079X","author":[{"dropping-particle":"","family":"Schöll","given":"Laura","non-dropping-particle":"van","parse-names":false,"suffix":""},{"dropping-particle":"","family":"Kuyper","given":"Thomas W.","non-dropping-particle":"","parse-names":false,"suffix":""},{"dropping-particle":"","family":"Smits","given":"Mark M.","non-dropping-particle":"","parse-names":false,"suffix":""},{"dropping-particle":"","family":"Landeweert","given":"Renske","non-dropping-particle":"","parse-names":false,"suffix":""},{"dropping-particle":"","family":"Hoffland","given":"Ellis","non-dropping-particle":"","parse-names":false,"suffix":""},{"dropping-particle":"Van","family":"Breemen","given":"Nico","non-dropping-particle":"","parse-names":false,"suffix":""}],"container-title":"Plant and Soil","id":"ITEM-2","issue":"1-2","issued":{"date-parts":[["2007","12","21"]]},"page":"35-47","title":"Rock-eating mycorrhizas: their role in plant nutrition and biogeochemical cycles","type":"article-journal","volume":"303"},"uris":["http://www.mendeley.com/documents/?uuid=874583c9-16c0-4aea-84ab-1c03a951fb02"]},{"id":"ITEM-3","itemData":{"ISSN":"0169-5347","PMID":"11301154","abstract":"Plant nutrients, with the exception of nitrogen, are ultimately derived from weathering of primary minerals. Traditional theories about the role of ectomycorrhizal fungi in plant nutrition have emphasized quantitative effects on uptake and transport of dissolved nutrients. Qualitative effects of the symbiosis on the ability of plants to access organic nitrogen and phosphorus sources have also become increasingly apparent. Recent research suggests that ectomycorrhizal fungi mobilize other essential plant nutrients directly from minerals through excretion of organic acids. This enables ectomycorrhizal plants to utilize essential nutrients from insoluble mineral sources and affects nutrient cycling in forest systems.","author":[{"dropping-particle":"","family":"Landeweert","given":"R","non-dropping-particle":"","parse-names":false,"suffix":""},{"dropping-particle":"","family":"Hoffland","given":"E","non-dropping-particle":"","parse-names":false,"suffix":""},{"dropping-particle":"","family":"Finlay","given":"R D.","non-dropping-particle":"","parse-names":false,"suffix":""},{"dropping-particle":"","family":"Kuyper","given":"T W.","non-dropping-particle":"","parse-names":false,"suffix":""},{"dropping-particle":"","family":"Breemen","given":"N","non-dropping-particle":"van","parse-names":false,"suffix":""}],"container-title":"Trends in ecology &amp; evolution","id":"ITEM-3","issue":"5","issued":{"date-parts":[["2001","5","1"]]},"page":"248-254","title":"Linking plants to rocks: ectomycorrhizal fungi mobilize nutrients from minerals.","type":"article-journal","volume":"16"},"uris":["http://www.mendeley.com/documents/?uuid=f953cb96-975b-480b-b56e-16ba47afa02f"]}],"mendeley":{"formattedCitation":"(Bonneville et al., 2009; van Schöll et al., 2007; Landeweert et al., 2001)","plainTextFormattedCitation":"(Bonneville et al., 2009; van Schöll et al., 2007; Landeweert et al., 2001)","previouslyFormattedCitation":"(Bonneville et al., 2009; van Schöll et al., 2007; Landeweert et al., 2001)"},"properties":{"noteIndex":0},"schema":"https://github.com/citation-style-language/schema/raw/master/csl-citation.json"}</w:instrText>
      </w:r>
      <w:r w:rsidRPr="00223DC5">
        <w:fldChar w:fldCharType="separate"/>
      </w:r>
      <w:r w:rsidR="00B870DF" w:rsidRPr="00B870DF">
        <w:rPr>
          <w:noProof/>
        </w:rPr>
        <w:t>(Bonneville et al., 2009; van Schöll et al., 2007; Landeweert et al., 2001)</w:t>
      </w:r>
      <w:r w:rsidRPr="00223DC5">
        <w:fldChar w:fldCharType="end"/>
      </w:r>
      <w:r w:rsidRPr="00223DC5">
        <w:t>.</w:t>
      </w:r>
    </w:p>
    <w:p w14:paraId="29187411" w14:textId="5AE2484C" w:rsidR="00223DC5" w:rsidRPr="00223DC5" w:rsidRDefault="00223DC5">
      <w:pPr>
        <w:ind w:firstLine="720"/>
      </w:pPr>
      <w:r w:rsidRPr="00223DC5">
        <w:t xml:space="preserve">Regarding </w:t>
      </w:r>
      <w:r w:rsidR="00517E69">
        <w:t>phosphate</w:t>
      </w:r>
      <w:r w:rsidRPr="00223DC5">
        <w:t xml:space="preserve">-bearing minerals, experimental evidence has established their solubilisation by EMF and demonstrated the translocation of the solubilised inorganic P (Pi) towards their EM plant symbionts </w:t>
      </w:r>
      <w:r w:rsidRPr="00223DC5">
        <w:fldChar w:fldCharType="begin" w:fldLock="1"/>
      </w:r>
      <w:r w:rsidR="00EE33AB">
        <w:instrText>ADDIN CSL_CITATION {"citationItems":[{"id":"ITEM-1","itemData":{"DOI":"10.1139/b91-046","ISSN":"0008-4026","author":[{"dropping-particle":"","family":"Lapeyrie","given":"F","non-dropping-particle":"","parse-names":false,"suffix":""},{"dropping-particle":"","family":"Ranger","given":"J","non-dropping-particle":"","parse-names":false,"suffix":""},{"dropping-particle":"","family":"Vairelles","given":"D","non-dropping-particle":"","parse-names":false,"suffix":""}],"container-title":"Canadian Journal of Botany","id":"ITEM-1","issue":"2","issued":{"date-parts":[["1991","2","1"]]},"note":"doi: 10.1139/b91-046","page":"342-346","publisher":"NRC Research Press","title":"Phosphate-solubilizing activity of ectomycorrhizal fungi in vitro","type":"article-journal","volume":"69"},"uris":["http://www.mendeley.com/documents/?uuid=4906a540-2ecd-4f2f-a297-154ce76ea523"]},{"id":"ITEM-2","itemData":{"DOI":"10.1180/minmag.2008.072.1.85","ISSN":"0026461X","author":[{"dropping-particle":"","family":"Leake","given":"J. R.","non-dropping-particle":"","parse-names":false,"suffix":""},{"dropping-particle":"","family":"Duran","given":"a. L.","non-dropping-particle":"","parse-names":false,"suffix":""},{"dropping-particle":"","family":"Hardy","given":"K. E.","non-dropping-particle":"","parse-names":false,"suffix":""},{"dropping-particle":"","family":"Johnson","given":"I.","non-dropping-particle":"","parse-names":false,"suffix":""},{"dropping-particle":"","family":"Beerling","given":"D. J.","non-dropping-particle":"","parse-names":false,"suffix":""},{"dropping-particle":"","family":"Banwart","given":"S. a.","non-dropping-particle":"","parse-names":false,"suffix":""},{"dropping-particle":"","family":"Smits","given":"M. M.","non-dropping-particle":"","parse-names":false,"suffix":""}],"container-title":"Mineralogical Magazine","id":"ITEM-2","issue":"1","issued":{"date-parts":[["2008","2","1"]]},"page":"85-89","title":"Biological weathering in soil: the role of symbiotic root-associated fungi biosensing minerals and directing photosynthate-energy into grain-scale mineral weathering","type":"article-journal","volume":"72"},"uris":["http://www.mendeley.com/documents/?uuid=8f1f2313-6e4d-45da-85de-8401fda7a19a"]}],"mendeley":{"formattedCitation":"(Lapeyrie et al., 1991; Leake et al., 2008)","plainTextFormattedCitation":"(Lapeyrie et al., 1991; Leake et al., 2008)","previouslyFormattedCitation":"(Lapeyrie et al., 1991; Leake et al., 2008)"},"properties":{"noteIndex":0},"schema":"https://github.com/citation-style-language/schema/raw/master/csl-citation.json"}</w:instrText>
      </w:r>
      <w:r w:rsidRPr="00223DC5">
        <w:fldChar w:fldCharType="separate"/>
      </w:r>
      <w:r w:rsidRPr="00223DC5">
        <w:rPr>
          <w:noProof/>
        </w:rPr>
        <w:t>(Lapeyrie et al., 1991; Leake et al., 2008)</w:t>
      </w:r>
      <w:r w:rsidRPr="00223DC5">
        <w:fldChar w:fldCharType="end"/>
      </w:r>
      <w:r w:rsidRPr="00223DC5">
        <w:t xml:space="preserve">. Moreover, it has been demonstrated that the release of Pi from phosphate minerals controls the productivity and biomass of forested ecosystems and drives the formation of pedogenic P </w:t>
      </w:r>
      <w:r w:rsidRPr="00223DC5">
        <w:fldChar w:fldCharType="begin" w:fldLock="1"/>
      </w:r>
      <w:r w:rsidR="00EE33AB">
        <w:instrText>ADDIN CSL_CITATION {"citationItems":[{"id":"ITEM-1","itemData":{"DOI":"10.1126/science.1098778","ISSN":"1095-9203","PMID":"15205475","abstract":"During succession, ecosystem development occurs; but in the long-term absence of catastrophic disturbance, a decline phase eventually follows. We studied six long-term chronosequences, in Australia, Sweden, Alaska, Hawaii, and New Zealand; for each, the decline phase was associated with a reduction in tree basal area and an increase in the substrate nitrogen-to-phosphorus ratio, indicating increasing phosphorus limitation over time. These changes were often associated with reductions in litter decomposition rates, phosphorus release from litter, and biomass and activity of decomposer microbes. Our findings suggest that the maximal biomass phase reached during succession cannot be maintained in the long-term absence of major disturbance, and that similar patterns of decline occur in forested ecosystems spanning the tropical, temperate, and boreal zones.","author":[{"dropping-particle":"","family":"Wardle","given":"David A","non-dropping-particle":"","parse-names":false,"suffix":""},{"dropping-particle":"","family":"Walker","given":"Lawrence R","non-dropping-particle":"","parse-names":false,"suffix":""},{"dropping-particle":"","family":"Bardgett","given":"Richard D","non-dropping-particle":"","parse-names":false,"suffix":""}],"container-title":"Science (New York, N.Y.)","id":"ITEM-1","issue":"5683","issued":{"date-parts":[["2004","7","23"]]},"page":"509-13","title":"Ecosystem properties and forest decline in contrasting long-term chronosequences.","type":"article-journal","volume":"305"},"uris":["http://www.mendeley.com/documents/?uuid=fe9b889f-5191-4cd3-93e2-3ad577a634fb","http://www.mendeley.com/documents/?uuid=e8986a17-e6d8-4473-81ef-38a6e1c651ad"]},{"id":"ITEM-2","itemData":{"author":[{"dropping-particle":"","family":"Jobbágy","given":"EG","non-dropping-particle":"","parse-names":false,"suffix":""},{"dropping-particle":"","family":"Jackson","given":"RB","non-dropping-particle":"","parse-names":false,"suffix":""}],"container-title":"Biogeochemistry","id":"ITEM-2","issued":{"date-parts":[["2001"]]},"page":"51-77","title":"The distribution of soil nutrients with depth: global patterns and the imprint of plants","type":"article-journal","volume":"53"},"uris":["http://www.mendeley.com/documents/?uuid=9767126f-1db0-4ec4-825a-53d68b56be32","http://www.mendeley.com/documents/?uuid=25f0350c-a7ef-4cc1-af7f-28d50f65dcf5"]}],"mendeley":{"formattedCitation":"(Wardle et al., 2004; Jobbágy and Jackson, 2001)","plainTextFormattedCitation":"(Wardle et al., 2004; Jobbágy and Jackson, 2001)","previouslyFormattedCitation":"(Wardle et al., 2004; Jobbágy and Jackson, 2001)"},"properties":{"noteIndex":0},"schema":"https://github.com/citation-style-language/schema/raw/master/csl-citation.json"}</w:instrText>
      </w:r>
      <w:r w:rsidRPr="00223DC5">
        <w:fldChar w:fldCharType="separate"/>
      </w:r>
      <w:r w:rsidR="00726544" w:rsidRPr="00726544">
        <w:rPr>
          <w:noProof/>
        </w:rPr>
        <w:t>(Wardle et al., 2004; Jobbágy and Jackson, 2001)</w:t>
      </w:r>
      <w:r w:rsidRPr="00223DC5">
        <w:fldChar w:fldCharType="end"/>
      </w:r>
      <w:r w:rsidRPr="00223DC5">
        <w:t>. Overall, fungi are regarded by most modern geologis</w:t>
      </w:r>
      <w:r w:rsidR="004B61F4">
        <w:t>ts as significant players in</w:t>
      </w:r>
      <w:r w:rsidRPr="00223DC5">
        <w:t xml:space="preserve"> biogeochemical processes and nutrient cycles. Hence, with the consideration of their diversity as well as the metabolic processes that associate with, fungi have a profound influence and impact on the biogeochemical cycle</w:t>
      </w:r>
      <w:r w:rsidR="004B61F4">
        <w:t>s of</w:t>
      </w:r>
      <w:r w:rsidRPr="00223DC5">
        <w:t xml:space="preserve"> both the organic as well as t</w:t>
      </w:r>
      <w:r w:rsidR="004B61F4">
        <w:t>he inorganic components of the E</w:t>
      </w:r>
      <w:r w:rsidRPr="00223DC5">
        <w:t xml:space="preserve">arth </w:t>
      </w:r>
      <w:r w:rsidRPr="00223DC5">
        <w:fldChar w:fldCharType="begin" w:fldLock="1"/>
      </w:r>
      <w:r w:rsidR="00EE33AB">
        <w:instrText>ADDIN CSL_CITATION {"citationItems":[{"id":"ITEM-1","itemData":{"DOI":"10.1080/01490451003702974","ISBN":"0149-0451","ISSN":"01490451","abstract":"Fungi are a major component of the biota in soils and mineral substrates occurring over a wide range of geographical and climatic zones, and are often dominant when compared to other organisms, including bacteria. Due to their filamentous growth habit and ability to excrete organic acids, protons and other metabolites, fungi are perfectly suited as biological weathering agents of natural rocks, minerals, including those used in building materials. Small tunnels discovered inside weatherable minerals in soil were hypothesized to be formed by mineral-solubilizing activities of ectomycorrhizal fungi. Using scanning electron microscopy techniques to visualise in situ fungal weathering of rock, patina formation and secondary mineral precipitation we provide an additional explanation for the occurrence of fungal tunnels inside minerals using carbonates and oxalates as examples. Our findings highlight fungal potential for mineral transformations and their ability to precipitate secondary mycogenic minerals within rock substrata.","author":[{"dropping-particle":"","family":"Fomina","given":"Marina","non-dropping-particle":"","parse-names":false,"suffix":""},{"dropping-particle":"","family":"Burford","given":"Euan P.","non-dropping-particle":"","parse-names":false,"suffix":""},{"dropping-particle":"","family":"Hillier","given":"Steve","non-dropping-particle":"","parse-names":false,"suffix":""},{"dropping-particle":"","family":"Kierans","given":"Martin","non-dropping-particle":"","parse-names":false,"suffix":""},{"dropping-particle":"","family":"Gadd","given":"Geoffrey M.","non-dropping-particle":"","parse-names":false,"suffix":""}],"container-title":"Geomicrobiology Journal","id":"ITEM-1","issue":"6-7","issued":{"date-parts":[["2010"]]},"page":"624-629","title":"Rock-building fungi","type":"article-journal","volume":"27"},"uris":["http://www.mendeley.com/documents/?uuid=bbcf70be-267d-4918-8ab2-fb5a709060c7"]}],"mendeley":{"formattedCitation":"(Fomina et al., 2010)","plainTextFormattedCitation":"(Fomina et al., 2010)","previouslyFormattedCitation":"(Fomina et al., 2010)"},"properties":{"noteIndex":0},"schema":"https://github.com/citation-style-language/schema/raw/master/csl-citation.json"}</w:instrText>
      </w:r>
      <w:r w:rsidRPr="00223DC5">
        <w:fldChar w:fldCharType="separate"/>
      </w:r>
      <w:r w:rsidRPr="00223DC5">
        <w:rPr>
          <w:noProof/>
        </w:rPr>
        <w:t>(Fomina et al., 2010)</w:t>
      </w:r>
      <w:r w:rsidRPr="00223DC5">
        <w:fldChar w:fldCharType="end"/>
      </w:r>
      <w:r w:rsidRPr="00223DC5">
        <w:t>.</w:t>
      </w:r>
    </w:p>
    <w:p w14:paraId="2A2966CD" w14:textId="0EFFF5DD" w:rsidR="00223DC5" w:rsidRPr="00223DC5" w:rsidRDefault="00223DC5">
      <w:pPr>
        <w:ind w:firstLine="720"/>
      </w:pPr>
      <w:r w:rsidRPr="00223DC5">
        <w:t>The research described in this PhD thesis focuses on the weathering mechanisms of P-rich minerals, in particular hydroxyapatite</w:t>
      </w:r>
      <w:r w:rsidR="00701AA0">
        <w:t xml:space="preserve"> (HAP)</w:t>
      </w:r>
      <w:r w:rsidRPr="00223DC5">
        <w:t>, driven by the hyphae of the EM</w:t>
      </w:r>
      <w:r w:rsidR="00DA5284">
        <w:t xml:space="preserve"> fungus</w:t>
      </w:r>
      <w:r w:rsidR="00DA5284" w:rsidRPr="00223DC5">
        <w:t xml:space="preserve"> </w:t>
      </w:r>
      <w:r w:rsidRPr="00223DC5">
        <w:rPr>
          <w:i/>
        </w:rPr>
        <w:t xml:space="preserve">Paxillus involutus </w:t>
      </w:r>
      <w:r w:rsidRPr="00223DC5">
        <w:t>(</w:t>
      </w:r>
      <w:r w:rsidRPr="00223DC5">
        <w:rPr>
          <w:i/>
        </w:rPr>
        <w:t>P. involutus</w:t>
      </w:r>
      <w:r w:rsidRPr="00223DC5">
        <w:t>) at the molecular level. Knowledge of the fungal genes which are actively involved in the process of phosphate mineral weathering is mostly missing. The central aim of this research is primarily to identify EM</w:t>
      </w:r>
      <w:r w:rsidR="00DA5284">
        <w:t xml:space="preserve"> fungal</w:t>
      </w:r>
      <w:r w:rsidRPr="00223DC5">
        <w:t xml:space="preserve"> genes that are essential for the weathering of phosphate minerals at the mineral-fungus interface. Achieving this objective will provide crucial understanding of the molecular mechanisms that underlie biological weathering of phosphate minerals driven by EM symbioses.</w:t>
      </w:r>
    </w:p>
    <w:p w14:paraId="115989E9" w14:textId="285E77C2" w:rsidR="00223DC5" w:rsidRPr="00223DC5" w:rsidRDefault="00223DC5">
      <w:pPr>
        <w:ind w:firstLine="720"/>
      </w:pPr>
      <w:r w:rsidRPr="00223DC5">
        <w:t xml:space="preserve">Focusing on the molecular biology of phosphate mineral weathering by EMF will address questions </w:t>
      </w:r>
      <w:r w:rsidR="004B61F4">
        <w:t>about</w:t>
      </w:r>
      <w:r w:rsidRPr="00223DC5">
        <w:t xml:space="preserve"> the molecular mechanisms involved in phosphate mineral </w:t>
      </w:r>
      <w:r w:rsidRPr="00223DC5">
        <w:lastRenderedPageBreak/>
        <w:t>weathering</w:t>
      </w:r>
      <w:r w:rsidR="00B46FB7">
        <w:t>,</w:t>
      </w:r>
      <w:r w:rsidRPr="00223DC5">
        <w:t xml:space="preserve"> and give further insights to the importance of EMF in the regulation of P-cycling at the molecular scale. Current state-of-the-art molecular tools coupled with the genetic information of recently sequenced genomes of EM</w:t>
      </w:r>
      <w:r w:rsidR="00B46FB7">
        <w:t xml:space="preserve"> fungal</w:t>
      </w:r>
      <w:r w:rsidRPr="00223DC5">
        <w:t xml:space="preserve"> species, in particular that of </w:t>
      </w:r>
      <w:r w:rsidRPr="00223DC5">
        <w:rPr>
          <w:i/>
        </w:rPr>
        <w:t>P. involutus</w:t>
      </w:r>
      <w:r w:rsidRPr="00223DC5">
        <w:t>, are employed during this investigation. This project will be the first of its kind to give answers in the EM-driven phosphate mineral weathering at the molecular level.</w:t>
      </w:r>
    </w:p>
    <w:p w14:paraId="330C7567" w14:textId="77777777" w:rsidR="00223DC5" w:rsidRPr="00223DC5" w:rsidRDefault="00223DC5"/>
    <w:p w14:paraId="0000CE62" w14:textId="5E47630F" w:rsidR="00223DC5" w:rsidRPr="00223DC5" w:rsidRDefault="00223DC5" w:rsidP="00635993">
      <w:pPr>
        <w:pStyle w:val="Heading1"/>
      </w:pPr>
      <w:bookmarkStart w:id="13" w:name="_Toc507603954"/>
      <w:bookmarkStart w:id="14" w:name="_Toc507604221"/>
      <w:bookmarkStart w:id="15" w:name="_Toc519016938"/>
      <w:bookmarkStart w:id="16" w:name="_Toc520837836"/>
      <w:r w:rsidRPr="00223DC5">
        <w:t>1.2 Role of fungi in mineral weathering</w:t>
      </w:r>
      <w:bookmarkEnd w:id="13"/>
      <w:bookmarkEnd w:id="14"/>
      <w:bookmarkEnd w:id="15"/>
      <w:bookmarkEnd w:id="16"/>
    </w:p>
    <w:p w14:paraId="39FA3089" w14:textId="437805AE" w:rsidR="00223DC5" w:rsidRPr="00223DC5" w:rsidRDefault="00223DC5" w:rsidP="003F7054">
      <w:r w:rsidRPr="00223DC5">
        <w:t xml:space="preserve">In consideration of microbial mineral weathering, most of the existing research focuses on the role of prokaryotes and tends to overlook other equally essential microorganisms </w:t>
      </w:r>
      <w:r w:rsidRPr="00223DC5">
        <w:fldChar w:fldCharType="begin" w:fldLock="1"/>
      </w:r>
      <w:r w:rsidR="00EE33AB">
        <w:instrText>ADDIN CSL_CITATION {"citationItems":[{"id":"ITEM-1","itemData":{"DOI":"10.1111/j.1472-4669.2007.00137.x","ISBN":"1472-4669","ISSN":"14724677","PMID":"18498528","abstract":"No abstract","author":[{"dropping-particle":"","family":"Gadd","given":"G. M.","non-dropping-particle":"","parse-names":false,"suffix":""}],"container-title":"Geobiology","id":"ITEM-1","issue":"3","issued":{"date-parts":[["2008"]]},"page":"278-284","title":"Bacterial and fungal geomicrobiology: A problem with communities?","type":"article-journal","volume":"6"},"uris":["http://www.mendeley.com/documents/?uuid=93c19cee-29ae-4583-8bb2-d4d885b60c2f"]},{"id":"ITEM-2","itemData":{"DOI":"10.3390/min6020041","ISSN":"2075-163X","abstract":"In the field of microbial biomineralization, much of the scientific attention is focused on processes carried out by prokaryotes, in particular bacteria, even though fungi are also known to be involved in biogeochemical cycles in numerous ways. They are traditionally recognized as key players in organic matter recycling, as nutrient suppliers via mineral weathering, as well as large producers of organic acids such as oxalic acid for instance, an activity leading to the genesis of various metal complexes such as metal-oxalate. Their implications in the transformation of various mineral and metallic compounds has been widely acknowledged during the last decade, however, currently, their contribution to the genesis of a common biomineral, calcite, needs to be more thoroughly documented. Calcite is observed in many ecosystems and plays an essential role in the biogeochemical cycles of both carbon (C) and calcium (Ca). It may be physicochemical or biogenic in origin and numerous organisms have been recognized to control or induce its biomineralization. While fungi have often been suspected of being involved in this process in terrestrial environments, only scarce information supports this hypothesis in natural settings. As a result, calcite biomineralization by microbes is still largely attributed to bacteria at present. However, in some terrestrial environments there are particular calcitic habits that have been described as being fungal in origin. In addition to this, several studies dealing with axenic cultures of fungi have demonstrated the ability of fungi to produce calcite. Examples of fungal biomineralization range from induced to organomineralization processes. More examples of calcite biomineralization related to direct fungal activity, or at least to their presence, have been described within the last decade. However, the peculiar mechanisms leading to calcite biomineralization by fungi remain incompletely understood and more research is necessary, posing new exciting questions linked to microbial biomineralization processes.","author":[{"dropping-particle":"","family":"Bindschedler","given":"Saskia","non-dropping-particle":"","parse-names":false,"suffix":""},{"dropping-particle":"","family":"Cailleau","given":"Guillaume","non-dropping-particle":"","parse-names":false,"suffix":""},{"dropping-particle":"","family":"Verrecchia","given":"Eric","non-dropping-particle":"","parse-names":false,"suffix":""}],"container-title":"Minerals","id":"ITEM-2","issue":"2","issued":{"date-parts":[["2016"]]},"page":"41","title":"Role of Fungi in the Biomineralization of Calcite","type":"article-journal","volume":"6"},"uris":["http://www.mendeley.com/documents/?uuid=b28e54b1-604f-438c-807d-292b3863ac3e"]}],"mendeley":{"formattedCitation":"(Gadd, 2008; Bindschedler et al., 2016)","plainTextFormattedCitation":"(Gadd, 2008; Bindschedler et al., 2016)","previouslyFormattedCitation":"(Gadd, 2008; Bindschedler et al., 2016)"},"properties":{"noteIndex":0},"schema":"https://github.com/citation-style-language/schema/raw/master/csl-citation.json"}</w:instrText>
      </w:r>
      <w:r w:rsidRPr="00223DC5">
        <w:fldChar w:fldCharType="separate"/>
      </w:r>
      <w:r w:rsidRPr="00223DC5">
        <w:rPr>
          <w:noProof/>
        </w:rPr>
        <w:t>(Gadd, 2008; Bindschedler et al., 2016)</w:t>
      </w:r>
      <w:r w:rsidRPr="00223DC5">
        <w:fldChar w:fldCharType="end"/>
      </w:r>
      <w:r w:rsidRPr="00223DC5">
        <w:t xml:space="preserve">. In particular, mineral weathering driven by eukaryotes is considerably less documented, especially in consideration of the members of the fungi kingdom </w:t>
      </w:r>
      <w:r w:rsidRPr="00223DC5">
        <w:fldChar w:fldCharType="begin" w:fldLock="1"/>
      </w:r>
      <w:r w:rsidR="00EE33AB">
        <w:instrText>ADDIN CSL_CITATION {"citationItems":[{"id":"ITEM-1","itemData":{"DOI":"10.1080/01490451003703006","ISBN":"01490451 (ISSN)","ISSN":"01490451","abstract":"Eukaryotic microbes participate in many biogeochemical cy- cles, although quantifying their role is not easy, and the discussion below comes generally to only qualitative conclusions. Eukary- otes lack a number of the biogeochemically important functions that are carried out only by archaea (e.g., methanogenesis), bac- teria (the anammox chemolithotrophic denitrification reaction), or archaea and bacteria (e.g., chemolithotrophy, diazotrophy, and dissimilatory reduction of sulfate).Microbial eukaryotes have one ancestral attribute, phagotrophy, which adds a novel link to food webs and thus modifies biogeochemical cycles, and have endosym- bioses as well as ectosymbioses which can recruit metabolism from archaeans (methanogenesis) and bacteria (chemolithotrophic sul- fide oxidation, diazotrophy). The ability of eukaryotes to carry out oxidative phosphorylation and the related respiratory car- bonmetabolism, and photosynthesis, as genetically integrated pro- cesses is an outcome of bacterial symbioses. The biogeochemical importance of fungi is significant in several key areas. These in- clude organic and inorganic transformations, nutrient and ele- ment cycling, rock and mineral transformations, bioweathering, mycogenic mineral formation, fungal-clay interactions, and metal- fungal interactions. Although such transformations can occur in both aquatic and terrestrial habitats, it is in the terrestrial environ- ment where fungi probably have the greatest influence especially when considering soil, rock and mineral surfaces, and the plant root-soil interface. Of special significance are the mutualistic sym- bioses, lichens andmycorrhizas.Geochemical transformations that take place can influence plant productivity and the mobility and speciation of toxic elements, and are therefore of considerable so- cioeconomic relevance. Some fungal transformations have benefi- cial applications in environmental biotechnology, e.g., in metal and radionuclide leaching, recovery and detoxification, and xenobioticand organic pollutant degradation. They may also result in adverse effects when these processes are associated with the degradation of foodstuffs, natural products and building materials, including wood, stone and concrete.","author":[{"dropping-particle":"","family":"Gadd","given":"Geoffrey M.","non-dropping-particle":"","parse-names":false,"suffix":""},{"dropping-particle":"","family":"Raven","given":"John A.","non-dropping-particle":"","parse-names":false,"suffix":""}],"container-title":"Geomicrobiology Journal","id":"ITEM-1","issue":"6-7","issued":{"date-parts":[["2010"]]},"page":"491-519","title":"Geomicrobiology of eukaryotic microorganisms","type":"article-journal","volume":"27"},"uris":["http://www.mendeley.com/documents/?uuid=1459262f-22cc-42fe-bce2-18cb6df856a4"]}],"mendeley":{"formattedCitation":"(Gadd and Raven, 2010)","plainTextFormattedCitation":"(Gadd and Raven, 2010)","previouslyFormattedCitation":"(Gadd and Raven, 2010)"},"properties":{"noteIndex":0},"schema":"https://github.com/citation-style-language/schema/raw/master/csl-citation.json"}</w:instrText>
      </w:r>
      <w:r w:rsidRPr="00223DC5">
        <w:fldChar w:fldCharType="separate"/>
      </w:r>
      <w:r w:rsidRPr="00223DC5">
        <w:rPr>
          <w:noProof/>
        </w:rPr>
        <w:t>(Gadd and Raven, 2010)</w:t>
      </w:r>
      <w:r w:rsidRPr="00223DC5">
        <w:fldChar w:fldCharType="end"/>
      </w:r>
      <w:r w:rsidRPr="00223DC5">
        <w:t>. For instance, a related search in the Web of Science</w:t>
      </w:r>
      <w:r w:rsidRPr="00223DC5">
        <w:rPr>
          <w:vertAlign w:val="superscript"/>
        </w:rPr>
        <w:t>TM</w:t>
      </w:r>
      <w:r w:rsidRPr="00223DC5">
        <w:t xml:space="preserve"> for the role of fungi in mineral weathering and that of bacteria results in a total of 169 hits as compared to 571 mentions respectively. Moreover, when the related search restricts to mineral weathering driven by mycorrhizal fungi, then the total hits are just 89. Remarkably, when the search further limits on the role of fungi on phosphate mineral weathering, then there are currently 30 hits only, of which 18 are specific to apatites. Because fungi are ubiquitous in their terrestrial</w:t>
      </w:r>
      <w:r w:rsidR="00F1575E">
        <w:t xml:space="preserve"> environments, this results in</w:t>
      </w:r>
      <w:r w:rsidRPr="00223DC5">
        <w:t xml:space="preserve"> considerable conflict with their perceived ecological significance and their overall contribution to mineral weathering. For instance, it has been shown that fungi are able to leach metals from silicates more efficiently than bacteria </w:t>
      </w:r>
      <w:r w:rsidRPr="00223DC5">
        <w:fldChar w:fldCharType="begin" w:fldLock="1"/>
      </w:r>
      <w:r w:rsidR="00EE33AB">
        <w:instrText>ADDIN CSL_CITATION {"citationItems":[{"id":"ITEM-1","itemData":{"ISSN":"0304-386X","author":[{"dropping-particle":"","family":"Castro","given":"Ieso de Miranda","non-dropping-particle":"","parse-names":false,"suffix":""},{"dropping-particle":"","family":"Fietto","given":"Juliana Lopes Rangel","non-dropping-particle":"","parse-names":false,"suffix":""},{"dropping-particle":"","family":"Vieira","given":"Reinaldo Xisto","non-dropping-particle":"","parse-names":false,"suffix":""},{"dropping-particle":"","family":"Trópia","given":"Maria José Magalhães","non-dropping-particle":"","parse-names":false,"suffix":""},{"dropping-particle":"de","family":"Campos","given":"Lígia Maria Moreira","non-dropping-particle":"","parse-names":false,"suffix":""},{"dropping-particle":"","family":"Paniago","given":"Eucler Bento","non-dropping-particle":"","parse-names":false,"suffix":""},{"dropping-particle":"","family":"Brandão","given":"Rogélio Lopes","non-dropping-particle":"","parse-names":false,"suffix":""}],"container-title":"Hydrometallurgy","id":"ITEM-1","issue":"1","issued":{"date-parts":[["2000"]]},"page":"39-49","title":"Bioleaching of zinc and nickel from silicates using&lt; i&gt; Aspergillus niger&lt;/i&gt; cultures","type":"article-journal","volume":"57"},"uris":["http://www.mendeley.com/documents/?uuid=a02b01f4-cf81-4ebc-b7ca-9a932dd6f363"]}],"mendeley":{"formattedCitation":"(Castro et al., 2000)","plainTextFormattedCitation":"(Castro et al., 2000)","previouslyFormattedCitation":"(Castro et al., 2000)"},"properties":{"noteIndex":0},"schema":"https://github.com/citation-style-language/schema/raw/master/csl-citation.json"}</w:instrText>
      </w:r>
      <w:r w:rsidRPr="00223DC5">
        <w:fldChar w:fldCharType="separate"/>
      </w:r>
      <w:r w:rsidRPr="00223DC5">
        <w:rPr>
          <w:noProof/>
        </w:rPr>
        <w:t>(Castro et al., 2000)</w:t>
      </w:r>
      <w:r w:rsidRPr="00223DC5">
        <w:fldChar w:fldCharType="end"/>
      </w:r>
      <w:r w:rsidRPr="00223DC5">
        <w:t>.</w:t>
      </w:r>
    </w:p>
    <w:p w14:paraId="4E24D4AE" w14:textId="792A58E2" w:rsidR="00223DC5" w:rsidRPr="00223DC5" w:rsidRDefault="00223DC5" w:rsidP="007F746A">
      <w:pPr>
        <w:ind w:firstLine="720"/>
      </w:pPr>
      <w:r w:rsidRPr="00223DC5">
        <w:t>The fungi most involved in the mineral weathering process belong to phyla Ascomy</w:t>
      </w:r>
      <w:r w:rsidR="00064376">
        <w:t>cota, Basidiomycota and Mucor</w:t>
      </w:r>
      <w:r w:rsidRPr="00223DC5">
        <w:t xml:space="preserve">omycota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 These fungal phyla include lichen-forming fungi, saprotrophic fungi</w:t>
      </w:r>
      <w:r w:rsidR="007474E8">
        <w:t>,</w:t>
      </w:r>
      <w:r w:rsidRPr="00223DC5">
        <w:t xml:space="preserve"> meristematic black yeasts and mycorrhizal fungi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w:t>
      </w:r>
      <w:r w:rsidR="00B32E22">
        <w:t xml:space="preserve"> </w:t>
      </w:r>
      <w:r w:rsidRPr="00223DC5">
        <w:t xml:space="preserve">Lichens have been understood to play a considerably important role in the weathering of rocks as well as in the formation of soil. Since the fungi associated with the lichens are closer to the mineral interface as compared to the plants themselves, it has been discussed that the mineral weathering ability of </w:t>
      </w:r>
      <w:r w:rsidRPr="00223DC5">
        <w:lastRenderedPageBreak/>
        <w:t xml:space="preserve">lichens is primarily done by the fungi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 xml:space="preserve">. Saprotrophic fungi, like white and brown rot fungi, are lignocellulolytic organisms which excrete large amounts of organic acids, mainly oxalate, and other phenolic compounds which can also promote </w:t>
      </w:r>
      <w:r w:rsidRPr="00223DC5">
        <w:rPr>
          <w:noProof/>
        </w:rPr>
        <w:t xml:space="preserve">mineral weathering </w:t>
      </w:r>
      <w:r w:rsidRPr="00223DC5">
        <w:rPr>
          <w:noProof/>
        </w:rPr>
        <w:fldChar w:fldCharType="begin" w:fldLock="1"/>
      </w:r>
      <w:r w:rsidR="00EE33AB">
        <w:rPr>
          <w:noProof/>
        </w:rPr>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rPr>
          <w:noProof/>
        </w:rPr>
        <w:fldChar w:fldCharType="separate"/>
      </w:r>
      <w:r w:rsidRPr="00223DC5">
        <w:rPr>
          <w:noProof/>
        </w:rPr>
        <w:t>(Hoffland et al., 2004)</w:t>
      </w:r>
      <w:r w:rsidRPr="00223DC5">
        <w:rPr>
          <w:noProof/>
        </w:rPr>
        <w:fldChar w:fldCharType="end"/>
      </w:r>
      <w:r w:rsidRPr="00223DC5">
        <w:rPr>
          <w:noProof/>
        </w:rPr>
        <w:t xml:space="preserve">. </w:t>
      </w:r>
      <w:r w:rsidRPr="00223DC5">
        <w:t xml:space="preserve">Also, saprotrophic fungi </w:t>
      </w:r>
      <w:r w:rsidR="00602C1B">
        <w:t xml:space="preserve">were possibly </w:t>
      </w:r>
      <w:r w:rsidRPr="00223DC5">
        <w:t>the ancestor</w:t>
      </w:r>
      <w:r w:rsidR="00602C1B">
        <w:t>s</w:t>
      </w:r>
      <w:r w:rsidRPr="00223DC5">
        <w:t xml:space="preserve"> of EM</w:t>
      </w:r>
      <w:r w:rsidR="00B32E22">
        <w:t>F</w:t>
      </w:r>
      <w:r w:rsidRPr="00223DC5">
        <w:t xml:space="preserve">, which evolved about 200 Mya </w:t>
      </w:r>
      <w:r w:rsidRPr="00223DC5">
        <w:fldChar w:fldCharType="begin" w:fldLock="1"/>
      </w:r>
      <w:r w:rsidR="00EE33AB">
        <w:instrText>ADDIN CSL_CITATION {"citationItems":[{"id":"ITEM-1","itemData":{"DOI":"10.1007/s001140050762","ISBN":"0028-1042","ISSN":"00281042","PMID":"11151665","author":[{"dropping-particle":"","family":"Cairney","given":"J. W.G.","non-dropping-particle":"","parse-names":false,"suffix":""}],"container-title":"Naturwissenschaften","id":"ITEM-1","issue":"11","issued":{"date-parts":[["2000"]]},"page":"467-475","title":"Evolution of mycorrhiza systems","type":"article-journal","volume":"87"},"uris":["http://www.mendeley.com/documents/?uuid=ce0577d0-e6c4-45bd-9085-9531790a7830"]}],"mendeley":{"formattedCitation":"(Cairney, 2000)","plainTextFormattedCitation":"(Cairney, 2000)","previouslyFormattedCitation":"(Cairney, 2000)"},"properties":{"noteIndex":0},"schema":"https://github.com/citation-style-language/schema/raw/master/csl-citation.json"}</w:instrText>
      </w:r>
      <w:r w:rsidRPr="00223DC5">
        <w:fldChar w:fldCharType="separate"/>
      </w:r>
      <w:r w:rsidRPr="00223DC5">
        <w:rPr>
          <w:noProof/>
        </w:rPr>
        <w:t>(Cairney, 2000)</w:t>
      </w:r>
      <w:r w:rsidRPr="00223DC5">
        <w:fldChar w:fldCharType="end"/>
      </w:r>
      <w:r w:rsidRPr="00223DC5">
        <w:t xml:space="preserve">. There is also evidence that together saprotrophs and mycorrhizal fungi play a vital role in the mineralogical modifications that characterise weathering </w:t>
      </w:r>
      <w:r w:rsidRPr="00223DC5">
        <w:fldChar w:fldCharType="begin" w:fldLock="1"/>
      </w:r>
      <w:r w:rsidR="00EE33AB">
        <w:instrText>ADDIN CSL_CITATION {"citationItems":[{"id":"ITEM-1","itemData":{"DOI":"10.1007/s10533-008-9202-y","ISBN":"0168-2563","ISSN":"01682563","abstract":"Vascular plants and associated microbial communities affect the nutrient resources of terrestrial ecosystems by impacting chemical weathering that transfers elements from primary minerals to other ecosystem pools, and chemical denudation that transports weathered elements out of the system in solution. We performed a year-long replicated flowthrough column growth experiment to isolate the effects of vascular plants, ectomycorrhiza-forming fungi and associated bacteria on chemical weathering and chemical denudation. The study focused on, Ca&amp;#xb2;&amp;#x207a; K&amp;#x207a; and Mg&amp;#xb2;&amp;#x207a;, for which the sole sources were biotite and anorthite mixed into silica sand. Concentrations of the cations were measured in input and output solutions, and three times during the year in plant biomass and on exchangeable cation sites of the growth medium. Weathering and denudation fluxes were estimated by mass balance, and mineral surface changes, biofilm and microbial attachments to surfaces were investigated with scanning electron microscopy. Both bacteria and fungi increased weathering fluxes compared to abiotic controls. Without a host plant denudation rates were as large as weathering rates i.e. the weathering to denudation ratio was about one. Based on whole year fluxes, ectomycorrhizal seedlings produced the greatest weathering to denudation ratios (1.5). Non-ectomycorrhizal seedlings also showed a high ratio of 1.3. Both ectomycorrhizal hyphal networks and root hairs of non-ectomycorrhizal trees, embedded in biofilm (microorganisms surrounded by extracellular polymers), transferred nutrients to the host while drainage losses were minimized. These results suggest that biofilms localize both weathering and plant nutrient uptake, isolating the root-hypha-mineral interface from bulk soil solution.","author":[{"dropping-particle":"","family":"Balogh-Brunstad","given":"Z.","non-dropping-particle":"","parse-names":false,"suffix":""},{"dropping-particle":"","family":"Keller","given":"C. K.","non-dropping-particle":"","parse-names":false,"suffix":""},{"dropping-particle":"","family":"Gill","given":"R. A.","non-dropping-particle":"","parse-names":false,"suffix":""},{"dropping-particle":"","family":"Bormann","given":"B. T.","non-dropping-particle":"","parse-names":false,"suffix":""},{"dropping-particle":"","family":"Li","given":"C. Y.","non-dropping-particle":"","parse-names":false,"suffix":""}],"container-title":"Biogeochemistry","id":"ITEM-1","issue":"2","issued":{"date-parts":[["2008"]]},"page":"153-167","title":"The effect of bacteria and fungi on chemical weathering and chemical denudation fluxes in pine growth experiments","type":"article-journal","volume":"88"},"uris":["http://www.mendeley.com/documents/?uuid=104c1be0-f8a8-4a22-9919-441e2c0a9834"]}],"mendeley":{"formattedCitation":"(Balogh-Brunstad et al., 2008)","plainTextFormattedCitation":"(Balogh-Brunstad et al., 2008)","previouslyFormattedCitation":"(Balogh-Brunstad et al., 2008)"},"properties":{"noteIndex":0},"schema":"https://github.com/citation-style-language/schema/raw/master/csl-citation.json"}</w:instrText>
      </w:r>
      <w:r w:rsidRPr="00223DC5">
        <w:fldChar w:fldCharType="separate"/>
      </w:r>
      <w:r w:rsidRPr="00223DC5">
        <w:rPr>
          <w:noProof/>
        </w:rPr>
        <w:t>(Balogh-Brunstad et al., 2008)</w:t>
      </w:r>
      <w:r w:rsidRPr="00223DC5">
        <w:fldChar w:fldCharType="end"/>
      </w:r>
      <w:r w:rsidRPr="00223DC5">
        <w:t xml:space="preserve">. The role of meristematic black yeasts in rock weathering were first recognised in the deterioration of ancient marble constructions in the area of Mediterranean, where arid or semiarid environments </w:t>
      </w:r>
      <w:r w:rsidR="00602C1B" w:rsidRPr="00223DC5">
        <w:t xml:space="preserve">prevail </w:t>
      </w:r>
      <w:r w:rsidRPr="00223DC5">
        <w:fldChar w:fldCharType="begin" w:fldLock="1"/>
      </w:r>
      <w:r w:rsidR="00EE33AB">
        <w:instrText>ADDIN CSL_CITATION {"citationItems":[{"id":"ITEM-1","itemData":{"DOI":"10.1080/01490450050023791","ISBN":"0149-0451","ISSN":"15210529","abstract":"Although many studies on fungi and geological processes have been published in recent years,books and congress proceedings on geomicrobiology focus mainly on prokaryotes and algae. Therefore, it istheaimof this reviewtosummarize data on the fungal impacton geological processes.These processes include the alteration and weathering of rock and minerals, the accumulation of metals, and the conversion of fossil organic carbon. Fossil records and fungi in subsurface environments are also discussed. This article especially emphasizes the role of epi- and endolithic black meristematic fungi, discussing their deteriorative potential on rock as well as their taxonomy and phylogeny. Moreover, the impact of fungi on weathering of monuments and building materials is describedand new methods to study fungi-material interactions are presented. The data summarized here show that “geomycology” is a highly interesting discipline in view of basic geological research, as well as biotechnological application.","author":[{"dropping-particle":"","family":"Sterflinger","given":"Katja","non-dropping-particle":"","parse-names":false,"suffix":""}],"container-title":"Geomicrobiology Journal","id":"ITEM-1","issue":"2","issued":{"date-parts":[["2000"]]},"page":"97-124","title":"Fungi as geologic agents","type":"article-journal","volume":"17"},"uris":["http://www.mendeley.com/documents/?uuid=6726828f-1c6a-409b-9c9f-239ff50a1d9c"]}],"mendeley":{"formattedCitation":"(Sterflinger, 2000)","plainTextFormattedCitation":"(Sterflinger, 2000)","previouslyFormattedCitation":"(Sterflinger, 2000)"},"properties":{"noteIndex":0},"schema":"https://github.com/citation-style-language/schema/raw/master/csl-citation.json"}</w:instrText>
      </w:r>
      <w:r w:rsidRPr="00223DC5">
        <w:fldChar w:fldCharType="separate"/>
      </w:r>
      <w:r w:rsidRPr="00223DC5">
        <w:rPr>
          <w:noProof/>
        </w:rPr>
        <w:t>(Sterflinger, 2000)</w:t>
      </w:r>
      <w:r w:rsidRPr="00223DC5">
        <w:fldChar w:fldCharType="end"/>
      </w:r>
      <w:r w:rsidRPr="00223DC5">
        <w:t xml:space="preserve">. Meristematic black yeasts are mainly known to be involved in carbonates weathering via oxalic acid secretion and calcium oxalate precipitation </w:t>
      </w:r>
      <w:r w:rsidRPr="00223DC5">
        <w:fldChar w:fldCharType="begin" w:fldLock="1"/>
      </w:r>
      <w:r w:rsidR="00EE33AB">
        <w:instrText>ADDIN CSL_CITATION {"citationItems":[{"id":"ITEM-1","itemData":{"DOI":"10.1080/01490450050023791","ISBN":"0149-0451","ISSN":"15210529","abstract":"Although many studies on fungi and geological processes have been published in recent years,books and congress proceedings on geomicrobiology focus mainly on prokaryotes and algae. Therefore, it istheaimof this reviewtosummarize data on the fungal impacton geological processes.These processes include the alteration and weathering of rock and minerals, the accumulation of metals, and the conversion of fossil organic carbon. Fossil records and fungi in subsurface environments are also discussed. This article especially emphasizes the role of epi- and endolithic black meristematic fungi, discussing their deteriorative potential on rock as well as their taxonomy and phylogeny. Moreover, the impact of fungi on weathering of monuments and building materials is describedand new methods to study fungi-material interactions are presented. The data summarized here show that “geomycology” is a highly interesting discipline in view of basic geological research, as well as biotechnological application.","author":[{"dropping-particle":"","family":"Sterflinger","given":"Katja","non-dropping-particle":"","parse-names":false,"suffix":""}],"container-title":"Geomicrobiology Journal","id":"ITEM-1","issue":"2","issued":{"date-parts":[["2000"]]},"page":"97-124","title":"Fungi as geologic agents","type":"article-journal","volume":"17"},"uris":["http://www.mendeley.com/documents/?uuid=6726828f-1c6a-409b-9c9f-239ff50a1d9c"]}],"mendeley":{"formattedCitation":"(Sterflinger, 2000)","plainTextFormattedCitation":"(Sterflinger, 2000)","previouslyFormattedCitation":"(Sterflinger, 2000)"},"properties":{"noteIndex":0},"schema":"https://github.com/citation-style-language/schema/raw/master/csl-citation.json"}</w:instrText>
      </w:r>
      <w:r w:rsidRPr="00223DC5">
        <w:fldChar w:fldCharType="separate"/>
      </w:r>
      <w:r w:rsidRPr="00223DC5">
        <w:rPr>
          <w:noProof/>
        </w:rPr>
        <w:t>(Sterflinger, 2000)</w:t>
      </w:r>
      <w:r w:rsidRPr="00223DC5">
        <w:fldChar w:fldCharType="end"/>
      </w:r>
      <w:r w:rsidRPr="00223DC5">
        <w:t>. The role of mycorrhizal fungi</w:t>
      </w:r>
      <w:r w:rsidR="00602C1B">
        <w:t>,</w:t>
      </w:r>
      <w:r w:rsidRPr="00223DC5">
        <w:t xml:space="preserve"> </w:t>
      </w:r>
      <w:r w:rsidR="00602C1B" w:rsidRPr="00223DC5">
        <w:t xml:space="preserve">particularly </w:t>
      </w:r>
      <w:r w:rsidR="00602C1B">
        <w:t>EM</w:t>
      </w:r>
      <w:r w:rsidR="00C35207">
        <w:t>F</w:t>
      </w:r>
      <w:r w:rsidR="00602C1B">
        <w:t>,</w:t>
      </w:r>
      <w:r w:rsidR="00602C1B" w:rsidRPr="00223DC5">
        <w:t xml:space="preserve"> </w:t>
      </w:r>
      <w:r w:rsidR="00602C1B">
        <w:t xml:space="preserve">in mineral weathering </w:t>
      </w:r>
      <w:r w:rsidRPr="00223DC5">
        <w:t>will be presented in more details below.</w:t>
      </w:r>
    </w:p>
    <w:p w14:paraId="760007D3" w14:textId="77777777" w:rsidR="00223DC5" w:rsidRPr="00223DC5" w:rsidRDefault="00223DC5" w:rsidP="00635993"/>
    <w:p w14:paraId="7A392A14" w14:textId="3AEF0415" w:rsidR="00223DC5" w:rsidRPr="004F2542" w:rsidRDefault="00223DC5" w:rsidP="00635993">
      <w:pPr>
        <w:pStyle w:val="Heading2"/>
      </w:pPr>
      <w:bookmarkStart w:id="17" w:name="_Toc507603955"/>
      <w:bookmarkStart w:id="18" w:name="_Toc507604222"/>
      <w:bookmarkStart w:id="19" w:name="_Toc519016939"/>
      <w:bookmarkStart w:id="20" w:name="_Toc520837837"/>
      <w:r w:rsidRPr="004F2542">
        <w:t>1.2.1 Mechanisms of fungal mineral weathering</w:t>
      </w:r>
      <w:bookmarkEnd w:id="17"/>
      <w:bookmarkEnd w:id="18"/>
      <w:bookmarkEnd w:id="19"/>
      <w:bookmarkEnd w:id="20"/>
    </w:p>
    <w:p w14:paraId="7E1027FD" w14:textId="3231E739" w:rsidR="00223DC5" w:rsidRPr="00223DC5" w:rsidRDefault="00223DC5" w:rsidP="003F7054">
      <w:r w:rsidRPr="00223DC5">
        <w:t xml:space="preserve">The interaction between fungi and minerals can be summed up by two groups of weathering processes, namely physical and chemical, leading to mobilisation of the inorganic mineral ions into solution and their uptake by the fungal hyphae </w:t>
      </w:r>
      <w:r w:rsidRPr="00223DC5">
        <w:fldChar w:fldCharType="begin" w:fldLock="1"/>
      </w:r>
      <w:r w:rsidR="00EE33AB">
        <w:instrText>ADDIN CSL_CITATION {"citationItems":[{"id":"ITEM-1","itemData":{"DOI":"10.3390/min6020041","ISSN":"2075-163X","abstract":"In the field of microbial biomineralization, much of the scientific attention is focused on processes carried out by prokaryotes, in particular bacteria, even though fungi are also known to be involved in biogeochemical cycles in numerous ways. They are traditionally recognized as key players in organic matter recycling, as nutrient suppliers via mineral weathering, as well as large producers of organic acids such as oxalic acid for instance, an activity leading to the genesis of various metal complexes such as metal-oxalate. Their implications in the transformation of various mineral and metallic compounds has been widely acknowledged during the last decade, however, currently, their contribution to the genesis of a common biomineral, calcite, needs to be more thoroughly documented. Calcite is observed in many ecosystems and plays an essential role in the biogeochemical cycles of both carbon (C) and calcium (Ca). It may be physicochemical or biogenic in origin and numerous organisms have been recognized to control or induce its biomineralization. While fungi have often been suspected of being involved in this process in terrestrial environments, only scarce information supports this hypothesis in natural settings. As a result, calcite biomineralization by microbes is still largely attributed to bacteria at present. However, in some terrestrial environments there are particular calcitic habits that have been described as being fungal in origin. In addition to this, several studies dealing with axenic cultures of fungi have demonstrated the ability of fungi to produce calcite. Examples of fungal biomineralization range from induced to organomineralization processes. More examples of calcite biomineralization related to direct fungal activity, or at least to their presence, have been described within the last decade. However, the peculiar mechanisms leading to calcite biomineralization by fungi remain incompletely understood and more research is necessary, posing new exciting questions linked to microbial biomineralization processes.","author":[{"dropping-particle":"","family":"Bindschedler","given":"Saskia","non-dropping-particle":"","parse-names":false,"suffix":""},{"dropping-particle":"","family":"Cailleau","given":"Guillaume","non-dropping-particle":"","parse-names":false,"suffix":""},{"dropping-particle":"","family":"Verrecchia","given":"Eric","non-dropping-particle":"","parse-names":false,"suffix":""}],"container-title":"Minerals","id":"ITEM-1","issue":"2","issued":{"date-parts":[["2016"]]},"page":"41","title":"Role of Fungi in the Biomineralization of Calcite","type":"article-journal","volume":"6"},"uris":["http://www.mendeley.com/documents/?uuid=b28e54b1-604f-438c-807d-292b3863ac3e"]}],"mendeley":{"formattedCitation":"(Bindschedler et al., 2016)","plainTextFormattedCitation":"(Bindschedler et al., 2016)","previouslyFormattedCitation":"(Bindschedler et al., 2016)"},"properties":{"noteIndex":0},"schema":"https://github.com/citation-style-language/schema/raw/master/csl-citation.json"}</w:instrText>
      </w:r>
      <w:r w:rsidRPr="00223DC5">
        <w:fldChar w:fldCharType="separate"/>
      </w:r>
      <w:r w:rsidRPr="00223DC5">
        <w:rPr>
          <w:noProof/>
        </w:rPr>
        <w:t>(Bindschedler et al., 2016)</w:t>
      </w:r>
      <w:r w:rsidRPr="00223DC5">
        <w:fldChar w:fldCharType="end"/>
      </w:r>
      <w:r w:rsidRPr="00223DC5">
        <w:t xml:space="preserve">. </w:t>
      </w:r>
    </w:p>
    <w:p w14:paraId="4CDB1650" w14:textId="692A4E9B" w:rsidR="00223DC5" w:rsidRPr="00223DC5" w:rsidRDefault="00223DC5" w:rsidP="007F746A">
      <w:pPr>
        <w:ind w:firstLine="720"/>
      </w:pPr>
      <w:r w:rsidRPr="00223DC5">
        <w:t>Physical weathering results from the abi</w:t>
      </w:r>
      <w:r w:rsidR="00DA568E">
        <w:t>lity of fungal mycelia</w:t>
      </w:r>
      <w:r w:rsidRPr="00223DC5">
        <w:t xml:space="preserve"> to grow into cracks as well as to drill into and within rocks and minerals </w:t>
      </w:r>
      <w:r w:rsidRPr="00223DC5">
        <w:fldChar w:fldCharType="begin" w:fldLock="1"/>
      </w:r>
      <w:r w:rsidR="00EE33AB">
        <w:instrText>ADDIN CSL_CITATION {"citationItems":[{"id":"ITEM-1","itemData":{"DOI":"10.1080/01490451003702974","ISBN":"0149-0451","ISSN":"01490451","abstract":"Fungi are a major component of the biota in soils and mineral substrates occurring over a wide range of geographical and climatic zones, and are often dominant when compared to other organisms, including bacteria. Due to their filamentous growth habit and ability to excrete organic acids, protons and other metabolites, fungi are perfectly suited as biological weathering agents of natural rocks, minerals, including those used in building materials. Small tunnels discovered inside weatherable minerals in soil were hypothesized to be formed by mineral-solubilizing activities of ectomycorrhizal fungi. Using scanning electron microscopy techniques to visualise in situ fungal weathering of rock, patina formation and secondary mineral precipitation we provide an additional explanation for the occurrence of fungal tunnels inside minerals using carbonates and oxalates as examples. Our findings highlight fungal potential for mineral transformations and their ability to precipitate secondary mycogenic minerals within rock substrata.","author":[{"dropping-particle":"","family":"Fomina","given":"Marina","non-dropping-particle":"","parse-names":false,"suffix":""},{"dropping-particle":"","family":"Burford","given":"Euan P.","non-dropping-particle":"","parse-names":false,"suffix":""},{"dropping-particle":"","family":"Hillier","given":"Steve","non-dropping-particle":"","parse-names":false,"suffix":""},{"dropping-particle":"","family":"Kierans","given":"Martin","non-dropping-particle":"","parse-names":false,"suffix":""},{"dropping-particle":"","family":"Gadd","given":"Geoffrey M.","non-dropping-particle":"","parse-names":false,"suffix":""}],"container-title":"Geomicrobiology Journal","id":"ITEM-1","issue":"6-7","issued":{"date-parts":[["2010"]]},"page":"624-629","title":"Rock-building fungi","type":"article-journal","volume":"27"},"uris":["http://www.mendeley.com/documents/?uuid=bbcf70be-267d-4918-8ab2-fb5a709060c7"]}],"mendeley":{"formattedCitation":"(Fomina et al., 2010)","plainTextFormattedCitation":"(Fomina et al., 2010)","previouslyFormattedCitation":"(Fomina et al., 2010)"},"properties":{"noteIndex":0},"schema":"https://github.com/citation-style-language/schema/raw/master/csl-citation.json"}</w:instrText>
      </w:r>
      <w:r w:rsidRPr="00223DC5">
        <w:fldChar w:fldCharType="separate"/>
      </w:r>
      <w:r w:rsidRPr="00223DC5">
        <w:rPr>
          <w:noProof/>
        </w:rPr>
        <w:t>(Fomina et al., 2010)</w:t>
      </w:r>
      <w:r w:rsidRPr="00223DC5">
        <w:fldChar w:fldCharType="end"/>
      </w:r>
      <w:r w:rsidRPr="00223DC5">
        <w:t xml:space="preserve">. The mycelial growth of fungi allows them to exploit cracks and other weaknesses on the surface of the rocks, such as pores and ridges, which may have been first formed from previous abiotic weathering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 In particular, fungal hyphae apply pressures between 10 and 20 μN/μm</w:t>
      </w:r>
      <w:r w:rsidRPr="00223DC5">
        <w:rPr>
          <w:vertAlign w:val="superscript"/>
        </w:rPr>
        <w:t>2</w:t>
      </w:r>
      <w:r w:rsidRPr="00223DC5">
        <w:t xml:space="preserve"> on the surface of the minerals, which is sufficient to penetrate even the hardest materials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 xml:space="preserve">. </w:t>
      </w:r>
    </w:p>
    <w:p w14:paraId="0BF3C937" w14:textId="19C5F017" w:rsidR="00223DC5" w:rsidRPr="00223DC5" w:rsidRDefault="00223DC5" w:rsidP="007F746A">
      <w:pPr>
        <w:ind w:firstLine="720"/>
      </w:pPr>
      <w:r w:rsidRPr="00223DC5">
        <w:t>It is, however, important to note that biomechanical forces are not by themselves enough to weather rocks and minerals, making the use of biochemical tools necessary. Biochemical approaches include proton (H</w:t>
      </w:r>
      <w:r w:rsidRPr="00223DC5">
        <w:rPr>
          <w:vertAlign w:val="superscript"/>
        </w:rPr>
        <w:t>+</w:t>
      </w:r>
      <w:r w:rsidRPr="00223DC5">
        <w:t xml:space="preserve">) extrusion leading to substrate acidification, </w:t>
      </w:r>
      <w:r w:rsidRPr="00223DC5">
        <w:lastRenderedPageBreak/>
        <w:t xml:space="preserve">metal chelation via the excretion of organic acids and siderophores, redox reactions, and even methylation processes on the surface of the minerals </w:t>
      </w:r>
      <w:r w:rsidRPr="00223DC5">
        <w:fldChar w:fldCharType="begin" w:fldLock="1"/>
      </w:r>
      <w:r w:rsidR="00EE33AB">
        <w:instrText>ADDIN CSL_CITATION {"citationItems":[{"id":"ITEM-1","itemData":{"DOI":"10.3390/min6020041","ISSN":"2075-163X","abstract":"In the field of microbial biomineralization, much of the scientific attention is focused on processes carried out by prokaryotes, in particular bacteria, even though fungi are also known to be involved in biogeochemical cycles in numerous ways. They are traditionally recognized as key players in organic matter recycling, as nutrient suppliers via mineral weathering, as well as large producers of organic acids such as oxalic acid for instance, an activity leading to the genesis of various metal complexes such as metal-oxalate. Their implications in the transformation of various mineral and metallic compounds has been widely acknowledged during the last decade, however, currently, their contribution to the genesis of a common biomineral, calcite, needs to be more thoroughly documented. Calcite is observed in many ecosystems and plays an essential role in the biogeochemical cycles of both carbon (C) and calcium (Ca). It may be physicochemical or biogenic in origin and numerous organisms have been recognized to control or induce its biomineralization. While fungi have often been suspected of being involved in this process in terrestrial environments, only scarce information supports this hypothesis in natural settings. As a result, calcite biomineralization by microbes is still largely attributed to bacteria at present. However, in some terrestrial environments there are particular calcitic habits that have been described as being fungal in origin. In addition to this, several studies dealing with axenic cultures of fungi have demonstrated the ability of fungi to produce calcite. Examples of fungal biomineralization range from induced to organomineralization processes. More examples of calcite biomineralization related to direct fungal activity, or at least to their presence, have been described within the last decade. However, the peculiar mechanisms leading to calcite biomineralization by fungi remain incompletely understood and more research is necessary, posing new exciting questions linked to microbial biomineralization processes.","author":[{"dropping-particle":"","family":"Bindschedler","given":"Saskia","non-dropping-particle":"","parse-names":false,"suffix":""},{"dropping-particle":"","family":"Cailleau","given":"Guillaume","non-dropping-particle":"","parse-names":false,"suffix":""},{"dropping-particle":"","family":"Verrecchia","given":"Eric","non-dropping-particle":"","parse-names":false,"suffix":""}],"container-title":"Minerals","id":"ITEM-1","issue":"2","issued":{"date-parts":[["2016"]]},"page":"41","title":"Role of Fungi in the Biomineralization of Calcite","type":"article-journal","volume":"6"},"uris":["http://www.mendeley.com/documents/?uuid=b28e54b1-604f-438c-807d-292b3863ac3e"]},{"id":"ITEM-2","itemData":{"DOI":"10.1180/0026461036760154","ISSN":"0026461X","author":[{"dropping-particle":"","family":"Burford","given":"E. P.","non-dropping-particle":"","parse-names":false,"suffix":""},{"dropping-particle":"","family":"Fomina","given":"M.","non-dropping-particle":"","parse-names":false,"suffix":""},{"dropping-particle":"","family":"Gadd","given":"G. M.","non-dropping-particle":"","parse-names":false,"suffix":""}],"container-title":"Mineralogical Magazine","id":"ITEM-2","issue":"6","issued":{"date-parts":[["2003","12","1"]]},"page":"1127-1155","title":"Fungal involvement in bioweathering and biotransformation of rocks and minerals","type":"article-journal","volume":"67"},"uris":["http://www.mendeley.com/documents/?uuid=e8afe172-7f4f-4943-8de4-844725c128ce"]}],"mendeley":{"formattedCitation":"(Bindschedler et al., 2016; Burford et al., 2003)","plainTextFormattedCitation":"(Bindschedler et al., 2016; Burford et al., 2003)","previouslyFormattedCitation":"(Bindschedler et al., 2016; Burford et al., 2003)"},"properties":{"noteIndex":0},"schema":"https://github.com/citation-style-language/schema/raw/master/csl-citation.json"}</w:instrText>
      </w:r>
      <w:r w:rsidRPr="00223DC5">
        <w:fldChar w:fldCharType="separate"/>
      </w:r>
      <w:r w:rsidRPr="00223DC5">
        <w:rPr>
          <w:noProof/>
        </w:rPr>
        <w:t>(Bindschedler et al., 2016; Burford et al., 2003)</w:t>
      </w:r>
      <w:r w:rsidRPr="00223DC5">
        <w:fldChar w:fldCharType="end"/>
      </w:r>
      <w:r w:rsidRPr="00223DC5">
        <w:t xml:space="preserve">. </w:t>
      </w:r>
      <w:r w:rsidR="00B32E22">
        <w:t>Bioc</w:t>
      </w:r>
      <w:r w:rsidRPr="00223DC5">
        <w:t>hemical weathering can lead to microtopography changes on the surface of minerals exposing new crystal faces that accele</w:t>
      </w:r>
      <w:r w:rsidR="00F1575E">
        <w:t>rate weathering and promote</w:t>
      </w:r>
      <w:r w:rsidRPr="00223DC5">
        <w:t xml:space="preserve"> complete dissolution </w:t>
      </w:r>
      <w:r w:rsidRPr="00223DC5">
        <w:fldChar w:fldCharType="begin" w:fldLock="1"/>
      </w:r>
      <w:r w:rsidR="00EE33AB">
        <w:instrText>ADDIN CSL_CITATION {"citationItems":[{"id":"ITEM-1","itemData":{"DOI":"10.1180/0026461036760154","ISSN":"0026461X","author":[{"dropping-particle":"","family":"Burford","given":"E. P.","non-dropping-particle":"","parse-names":false,"suffix":""},{"dropping-particle":"","family":"Fomina","given":"M.","non-dropping-particle":"","parse-names":false,"suffix":""},{"dropping-particle":"","family":"Gadd","given":"G. M.","non-dropping-particle":"","parse-names":false,"suffix":""}],"container-title":"Mineralogical Magazine","id":"ITEM-1","issue":"6","issued":{"date-parts":[["2003","12","1"]]},"page":"1127-1155","title":"Fungal involvement in bioweathering and biotransformation of rocks and minerals","type":"article-journal","volume":"67"},"uris":["http://www.mendeley.com/documents/?uuid=e8afe172-7f4f-4943-8de4-844725c128ce"]}],"mendeley":{"formattedCitation":"(Burford et al., 2003)","plainTextFormattedCitation":"(Burford et al., 2003)","previouslyFormattedCitation":"(Burford et al., 2003)"},"properties":{"noteIndex":0},"schema":"https://github.com/citation-style-language/schema/raw/master/csl-citation.json"}</w:instrText>
      </w:r>
      <w:r w:rsidRPr="00223DC5">
        <w:fldChar w:fldCharType="separate"/>
      </w:r>
      <w:r w:rsidRPr="00223DC5">
        <w:rPr>
          <w:noProof/>
        </w:rPr>
        <w:t>(Burford et al., 2003)</w:t>
      </w:r>
      <w:r w:rsidRPr="00223DC5">
        <w:fldChar w:fldCharType="end"/>
      </w:r>
      <w:r w:rsidRPr="00223DC5">
        <w:t>.</w:t>
      </w:r>
    </w:p>
    <w:p w14:paraId="227B07C4" w14:textId="102177C8" w:rsidR="00223DC5" w:rsidRPr="00223DC5" w:rsidRDefault="00223DC5" w:rsidP="003F061A">
      <w:pPr>
        <w:ind w:firstLine="720"/>
      </w:pPr>
      <w:r w:rsidRPr="00223DC5">
        <w:t xml:space="preserve">Fungi produce two main categories of </w:t>
      </w:r>
      <w:r w:rsidR="00B32E22">
        <w:t>bio</w:t>
      </w:r>
      <w:r w:rsidRPr="00223DC5">
        <w:t xml:space="preserve">chemical weathering agents, including </w:t>
      </w:r>
      <w:r w:rsidR="00B32E22">
        <w:t>H</w:t>
      </w:r>
      <w:r w:rsidR="00B32E22" w:rsidRPr="00635993">
        <w:rPr>
          <w:vertAlign w:val="superscript"/>
        </w:rPr>
        <w:t>+</w:t>
      </w:r>
      <w:r w:rsidRPr="00223DC5">
        <w:t xml:space="preserve">-based and ligand-based agents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 xml:space="preserve">. </w:t>
      </w:r>
      <w:r w:rsidR="00B32E22">
        <w:t>H</w:t>
      </w:r>
      <w:r w:rsidR="00B32E22" w:rsidRPr="0018719D">
        <w:rPr>
          <w:vertAlign w:val="superscript"/>
        </w:rPr>
        <w:t>+</w:t>
      </w:r>
      <w:r w:rsidRPr="00223DC5">
        <w:t>-based agents include carbon dioxide</w:t>
      </w:r>
      <w:r w:rsidR="00B32E22">
        <w:t xml:space="preserve"> (CO</w:t>
      </w:r>
      <w:r w:rsidR="00B32E22" w:rsidRPr="00635993">
        <w:rPr>
          <w:vertAlign w:val="subscript"/>
        </w:rPr>
        <w:t>2</w:t>
      </w:r>
      <w:r w:rsidR="00B32E22">
        <w:t>)</w:t>
      </w:r>
      <w:r w:rsidRPr="00223DC5">
        <w:t>, produced through respiration, and carbonic acid that resul</w:t>
      </w:r>
      <w:r w:rsidR="00B730DC">
        <w:t>ts from the reaction between</w:t>
      </w:r>
      <w:r w:rsidRPr="00223DC5">
        <w:t xml:space="preserve"> water and the respiratory </w:t>
      </w:r>
      <w:r w:rsidR="00B32E22">
        <w:t>CO</w:t>
      </w:r>
      <w:r w:rsidR="00B32E22" w:rsidRPr="0018719D">
        <w:rPr>
          <w:vertAlign w:val="subscript"/>
        </w:rPr>
        <w:t>2</w:t>
      </w:r>
      <w:r w:rsidRPr="00223DC5">
        <w:t xml:space="preserve">. Respiratory </w:t>
      </w:r>
      <w:r w:rsidR="00B32E22">
        <w:t>CO</w:t>
      </w:r>
      <w:r w:rsidR="00B32E22" w:rsidRPr="0018719D">
        <w:rPr>
          <w:vertAlign w:val="subscript"/>
        </w:rPr>
        <w:t>2</w:t>
      </w:r>
      <w:r w:rsidRPr="00223DC5">
        <w:t xml:space="preserve"> produced is one of the most impactful biochemical agents in fungal mineral weathering of carbonate minerals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 xml:space="preserve">. </w:t>
      </w:r>
      <w:r w:rsidR="007A6644">
        <w:t>CO</w:t>
      </w:r>
      <w:r w:rsidR="007A6644" w:rsidRPr="0018719D">
        <w:rPr>
          <w:vertAlign w:val="subscript"/>
        </w:rPr>
        <w:t>2</w:t>
      </w:r>
      <w:r w:rsidRPr="00223DC5">
        <w:t xml:space="preserve"> dissolution in the presence of water leads to the generation of carbonic acid which dramatically lowers the pH of the local microenvironment, thus further enhancing the solubility of carbonate minerals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 xml:space="preserve">. Fungi also lead to increased acidification due to the uptake of </w:t>
      </w:r>
      <w:r w:rsidR="00B32E22">
        <w:t>N</w:t>
      </w:r>
      <w:r w:rsidRPr="00223DC5">
        <w:t>. As is the case in plants, the increased uptake of ammonium</w:t>
      </w:r>
      <w:r w:rsidR="007A6644">
        <w:t xml:space="preserve"> (NH</w:t>
      </w:r>
      <w:r w:rsidR="007A6644" w:rsidRPr="00635993">
        <w:rPr>
          <w:vertAlign w:val="subscript"/>
        </w:rPr>
        <w:t>4</w:t>
      </w:r>
      <w:r w:rsidR="007A6644" w:rsidRPr="00635993">
        <w:rPr>
          <w:vertAlign w:val="superscript"/>
        </w:rPr>
        <w:t>+</w:t>
      </w:r>
      <w:r w:rsidR="007A6644">
        <w:t>)</w:t>
      </w:r>
      <w:r w:rsidRPr="00223DC5">
        <w:t xml:space="preserve"> by fungi results in excessive uptake of cations. EM</w:t>
      </w:r>
      <w:r w:rsidR="00B32E22">
        <w:t>F</w:t>
      </w:r>
      <w:r w:rsidRPr="00223DC5">
        <w:t xml:space="preserve">, for instance, prefer the uptake of </w:t>
      </w:r>
      <w:r w:rsidR="00FE6B83">
        <w:t>NH</w:t>
      </w:r>
      <w:r w:rsidR="00FE6B83" w:rsidRPr="00CC4CE2">
        <w:rPr>
          <w:vertAlign w:val="subscript"/>
        </w:rPr>
        <w:t>4</w:t>
      </w:r>
      <w:r w:rsidR="00FE6B83" w:rsidRPr="00CC4CE2">
        <w:rPr>
          <w:vertAlign w:val="superscript"/>
        </w:rPr>
        <w:t>+</w:t>
      </w:r>
      <w:r w:rsidRPr="00223DC5">
        <w:t xml:space="preserve"> over nitrates resulting in the release of </w:t>
      </w:r>
      <w:r w:rsidR="006769B0">
        <w:t>H</w:t>
      </w:r>
      <w:r w:rsidR="006769B0" w:rsidRPr="00720F46">
        <w:rPr>
          <w:vertAlign w:val="superscript"/>
        </w:rPr>
        <w:t>+</w:t>
      </w:r>
      <w:r w:rsidRPr="00223DC5">
        <w:t xml:space="preserve"> and hence acidification, found to be primarily responsible for the dissolution of phosphate minerals </w:t>
      </w:r>
      <w:r w:rsidRPr="00223DC5">
        <w:fldChar w:fldCharType="begin" w:fldLock="1"/>
      </w:r>
      <w:r w:rsidR="00EE33AB">
        <w:instrText>ADDIN CSL_CITATION {"citationItems":[{"id":"ITEM-1","itemData":{"DOI":"10.1016/j.soilbio.2004.10.013","ISBN":"0038-0717","ISSN":"00380717","PMID":"228242300006","abstract":"This work investigates the ability of ericoid mycorrhizal (ErM) and ectomycorrhizal (EcM) fungi to solubilize different toxic metal (Cd, Cu, Pb, Zn)-containing minerals. Minerals were incorporated into solidified agar media and solubilization assessed by measuring clearing of the agar after fungal growth. Measurement of radial growth and biomass dry weight provided indications of metal tolerance: accumulated metal in the biomass was measured by atomic absorption spectrophotometry. Metal tolerance and solubilizing ability varied widely between different mineral and fungal species, and strains derived from sites of differing degrees of metal pollution. Zinc phosphate exhibited the least toxicity and was the easiest to solubilize by the majority of tested fungal isolates. Solubilization of toxic metal minerals was connected with both the pH of the medium and growth and tolerance of fungi and it seems that acidification of the medium was the main mechanism of mineral dissolution for most of the mycorrhizal fungi studied. A very strong lethal effect was observed for ectomycorrhizal isolates (&gt;60% of strains) in the presence of Pb phosphate, carbonate, sulphide and tetraoxide. In contrast, ericoid mycorrhizal isolates were able to grow on Pb-mineral-amended media. A significant proportion of ericoid mycorrhizal cultures (70-90%) solubilized Cd and Cu phosphates and cuprite. None of the ericoid mycorrhizal and ectomycorrhizal fungi were able to produce a clear zone in Pb mineral-containing agar. However, many fungi were able to accumulate mobilized Pb in their mycelia. Differences in toxic metal mineral tolerance, mineral solubilization and metal uptake between populations isolated from metal-polluted and uncontaminated sites were related to the toxic metal which was the main pollutant in the original contaminated environment. In general, metal-tolerant fungi grew and solubilized toxic metal minerals better than non-tolerant isolates. ?? 2004 Elsevier Ltd. All rights reserved.","author":[{"dropping-particle":"","family":"Fomina","given":"M. A.","non-dropping-particle":"","parse-names":false,"suffix":""},{"dropping-particle":"","family":"Alexander","given":"I. J.","non-dropping-particle":"","parse-names":false,"suffix":""},{"dropping-particle":"V.","family":"Colpaert","given":"J.","non-dropping-particle":"","parse-names":false,"suffix":""},{"dropping-particle":"","family":"Gadd","given":"G. M.","non-dropping-particle":"","parse-names":false,"suffix":""}],"container-title":"Soil Biology and Biochemistry","id":"ITEM-1","issue":"5","issued":{"date-parts":[["2005"]]},"page":"851-866","title":"Solubilization of toxic metal minerals and metal tolerance of mycorrhizal fungi","type":"article-journal","volume":"37"},"uris":["http://www.mendeley.com/documents/?uuid=22e6638d-0a17-473d-8315-9fcbbe105745"]}],"mendeley":{"formattedCitation":"(Fomina et al., 2005)","plainTextFormattedCitation":"(Fomina et al., 2005)","previouslyFormattedCitation":"(Fomina et al., 2005)"},"properties":{"noteIndex":0},"schema":"https://github.com/citation-style-language/schema/raw/master/csl-citation.json"}</w:instrText>
      </w:r>
      <w:r w:rsidRPr="00223DC5">
        <w:fldChar w:fldCharType="separate"/>
      </w:r>
      <w:r w:rsidRPr="00223DC5">
        <w:rPr>
          <w:noProof/>
        </w:rPr>
        <w:t>(Fomina et al., 2005)</w:t>
      </w:r>
      <w:r w:rsidRPr="00223DC5">
        <w:fldChar w:fldCharType="end"/>
      </w:r>
      <w:r w:rsidRPr="00223DC5">
        <w:t xml:space="preserve">. Besides, any other forms of acids produced </w:t>
      </w:r>
      <w:r w:rsidR="00FE6B83">
        <w:t xml:space="preserve">by </w:t>
      </w:r>
      <w:r w:rsidRPr="00223DC5">
        <w:t xml:space="preserve">the fungal hyphae or </w:t>
      </w:r>
      <w:r w:rsidR="00FE6B83">
        <w:t>by t</w:t>
      </w:r>
      <w:r w:rsidRPr="00223DC5">
        <w:t xml:space="preserve">he roots of the EM </w:t>
      </w:r>
      <w:r w:rsidR="00FE6B83">
        <w:t xml:space="preserve">trees </w:t>
      </w:r>
      <w:r w:rsidR="00B730DC">
        <w:t>consist of</w:t>
      </w:r>
      <w:r w:rsidRPr="00223DC5">
        <w:t xml:space="preserve"> form</w:t>
      </w:r>
      <w:r w:rsidR="00B730DC">
        <w:t>s</w:t>
      </w:r>
      <w:r w:rsidRPr="00223DC5">
        <w:t xml:space="preserve"> of </w:t>
      </w:r>
      <w:r w:rsidR="00E82B00">
        <w:t>H</w:t>
      </w:r>
      <w:r w:rsidR="00E82B00" w:rsidRPr="0018719D">
        <w:rPr>
          <w:vertAlign w:val="superscript"/>
        </w:rPr>
        <w:t>+</w:t>
      </w:r>
      <w:r w:rsidRPr="00223DC5">
        <w:t xml:space="preserve">-based agents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w:t>
      </w:r>
    </w:p>
    <w:p w14:paraId="64E5BA4D" w14:textId="6E7ECA8F" w:rsidR="00223DC5" w:rsidRPr="00223DC5" w:rsidRDefault="00223DC5" w:rsidP="00FB36B8">
      <w:pPr>
        <w:ind w:firstLine="720"/>
      </w:pPr>
      <w:r w:rsidRPr="00223DC5">
        <w:t xml:space="preserve">On the other hand, ligand-based agents include organic anions, lichen-produced acids, siderophores, as well as other forms of polyphenolic acids and acid polysaccharides. Notably, the production of LMWOA is considered one </w:t>
      </w:r>
      <w:r w:rsidR="00F1575E">
        <w:t xml:space="preserve">of </w:t>
      </w:r>
      <w:r w:rsidRPr="00223DC5">
        <w:t>the essential biochemical weathering mechanisms involved in the process of the fungal mineral weathering</w:t>
      </w:r>
      <w:r w:rsidRPr="00223DC5">
        <w:rPr>
          <w:b/>
        </w:rPr>
        <w:t xml:space="preserve"> </w:t>
      </w:r>
      <w:r w:rsidRPr="00223DC5">
        <w:rPr>
          <w:b/>
        </w:rPr>
        <w:fldChar w:fldCharType="begin" w:fldLock="1"/>
      </w:r>
      <w:r w:rsidR="00EE33AB">
        <w:rPr>
          <w:b/>
        </w:rPr>
        <w:instrText>ADDIN CSL_CITATION {"citationItems":[{"id":"ITEM-1","itemData":{"DOI":"10.1007/978-3-642-78356-2_6","ISBN":"978-3-642-78356-2","abstract":"The soluble organic acids in soils consist largely of complex mixtures of polymeric compounds referred to collectively as fulvic and humic acids. These compounds are relatively refractory, and are broken down only slowly by microorganisms. Low-molecular-mass acids (e.g., acetic, oxalic, formic) exist in dynamic balance: they are rapidly produced and consumed by microorganisms. Their concentrations may be quite high where rapid decomposition of plant material is taking place, and in microenvironments adjacent to roots and fungal hyphae, but are generally low (typically less than 1 mM) in bulk soil solution. Concentrations of organic acids are generally highest in the organic layer at the top of the soil profile and decrease with depth. Particularly high concentrations of dissolved organic acids occur in peatlands and waterlogged soils.","author":[{"dropping-particle":"","family":"Drever","given":"James I","non-dropping-particle":"","parse-names":false,"suffix":""},{"dropping-particle":"","family":"Vance","given":"George F","non-dropping-particle":"","parse-names":false,"suffix":""}],"editor":[{"dropping-particle":"","family":"Pittman","given":"Edward D","non-dropping-particle":"","parse-names":false,"suffix":""},{"dropping-particle":"","family":"Lewan","given":"Michael D","non-dropping-particle":"","parse-names":false,"suffix":""}],"id":"ITEM-1","issued":{"date-parts":[["1994"]]},"page":"138-161","publisher":"Springer Berlin Heidelberg","publisher-place":"Berlin, Heidelberg","title":"Role of Soil Organic Acids in Mineral Weathering Processes BT  - Organic Acids in Geological Processes","type":"chapter"},"uris":["http://www.mendeley.com/documents/?uuid=ac016ca4-cbaa-4dcb-bef4-756c0172733b"]}],"mendeley":{"formattedCitation":"(Drever and Vance, 1994)","plainTextFormattedCitation":"(Drever and Vance, 1994)","previouslyFormattedCitation":"(Drever and Vance, 1994)"},"properties":{"noteIndex":0},"schema":"https://github.com/citation-style-language/schema/raw/master/csl-citation.json"}</w:instrText>
      </w:r>
      <w:r w:rsidRPr="00223DC5">
        <w:rPr>
          <w:b/>
        </w:rPr>
        <w:fldChar w:fldCharType="separate"/>
      </w:r>
      <w:r w:rsidRPr="00223DC5">
        <w:rPr>
          <w:noProof/>
        </w:rPr>
        <w:t>(Drever and Vance, 1994)</w:t>
      </w:r>
      <w:r w:rsidRPr="00223DC5">
        <w:rPr>
          <w:b/>
        </w:rPr>
        <w:fldChar w:fldCharType="end"/>
      </w:r>
      <w:r w:rsidRPr="00223DC5">
        <w:t xml:space="preserve">. LMWOA act as both </w:t>
      </w:r>
      <w:r w:rsidR="00E82B00">
        <w:t>H</w:t>
      </w:r>
      <w:r w:rsidR="00E82B00" w:rsidRPr="0018719D">
        <w:rPr>
          <w:vertAlign w:val="superscript"/>
        </w:rPr>
        <w:t>+</w:t>
      </w:r>
      <w:r w:rsidRPr="00223DC5">
        <w:t xml:space="preserve">-source for acidification of the fungal-mineral interface and as chelating agents for mineral elements solubilisation and uptake </w:t>
      </w:r>
      <w:r w:rsidRPr="00223DC5">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223DC5">
        <w:fldChar w:fldCharType="separate"/>
      </w:r>
      <w:r w:rsidRPr="00223DC5">
        <w:rPr>
          <w:noProof/>
        </w:rPr>
        <w:t>(Hoffland et al., 2004)</w:t>
      </w:r>
      <w:r w:rsidRPr="00223DC5">
        <w:fldChar w:fldCharType="end"/>
      </w:r>
      <w:r w:rsidRPr="00223DC5">
        <w:t xml:space="preserve">. Some of the critical LMWOA produced by fungi and which have been identified to play a significant role in mineral weathering include acetic acid, citric acid, fumaric acid, gluconic acid, glyoxylic acid and oxalic acid </w:t>
      </w:r>
      <w:r w:rsidRPr="00223DC5">
        <w:fldChar w:fldCharType="begin" w:fldLock="1"/>
      </w:r>
      <w:r w:rsidR="00EE33AB">
        <w:instrText>ADDIN CSL_CITATION {"citationItems":[{"id":"ITEM-1","itemData":{"DOI":"10.1080/01490450050023791","ISBN":"0149-0451","ISSN":"15210529","abstract":"Although many studies on fungi and geological processes have been published in recent years,books and congress proceedings on geomicrobiology focus mainly on prokaryotes and algae. Therefore, it istheaimof this reviewtosummarize data on the fungal impacton geological processes.These processes include the alteration and weathering of rock and minerals, the accumulation of metals, and the conversion of fossil organic carbon. Fossil records and fungi in subsurface environments are also discussed. This article especially emphasizes the role of epi- and endolithic black meristematic fungi, discussing their deteriorative potential on rock as well as their taxonomy and phylogeny. Moreover, the impact of fungi on weathering of monuments and building materials is describedand new methods to study fungi-material interactions are presented. The data summarized here show that “geomycology” is a highly interesting discipline in view of basic geological research, as well as biotechnological application.","author":[{"dropping-particle":"","family":"Sterflinger","given":"Katja","non-dropping-particle":"","parse-names":false,"suffix":""}],"container-title":"Geomicrobiology Journal","id":"ITEM-1","issue":"2","issued":{"date-parts":[["2000"]]},"page":"97-124","title":"Fungi as geologic agents","type":"article-journal","volume":"17"},"uris":["http://www.mendeley.com/documents/?uuid=6726828f-1c6a-409b-9c9f-239ff50a1d9c"]}],"mendeley":{"formattedCitation":"(Sterflinger, 2000)","plainTextFormattedCitation":"(Sterflinger, 2000)","previouslyFormattedCitation":"(Sterflinger, 2000)"},"properties":{"noteIndex":0},"schema":"https://github.com/citation-style-language/schema/raw/master/csl-citation.json"}</w:instrText>
      </w:r>
      <w:r w:rsidRPr="00223DC5">
        <w:fldChar w:fldCharType="separate"/>
      </w:r>
      <w:r w:rsidRPr="00223DC5">
        <w:rPr>
          <w:noProof/>
        </w:rPr>
        <w:t>(Sterflinger, 2000)</w:t>
      </w:r>
      <w:r w:rsidRPr="00223DC5">
        <w:fldChar w:fldCharType="end"/>
      </w:r>
      <w:r w:rsidRPr="00223DC5">
        <w:t xml:space="preserve">. Among these, particular attention has been given to oxalic acid since it exhibits </w:t>
      </w:r>
      <w:r w:rsidRPr="00223DC5">
        <w:lastRenderedPageBreak/>
        <w:t xml:space="preserve">numerous roles in the fungal metabolism. For instance, oxalic acid </w:t>
      </w:r>
      <w:r w:rsidR="00CB52A8">
        <w:t xml:space="preserve">is </w:t>
      </w:r>
      <w:r w:rsidRPr="00223DC5">
        <w:t>involve</w:t>
      </w:r>
      <w:r w:rsidR="00CB52A8">
        <w:t>d</w:t>
      </w:r>
      <w:r w:rsidRPr="00223DC5">
        <w:t xml:space="preserve"> in pathogenicity, cell signalling, degradation of wood and immobilisation of nutrients or toxic metals during mineral weathering </w:t>
      </w:r>
      <w:r w:rsidRPr="00223DC5">
        <w:fldChar w:fldCharType="begin" w:fldLock="1"/>
      </w:r>
      <w:r w:rsidR="00EE33AB">
        <w:instrText>ADDIN CSL_CITATION {"citationItems":[{"id":"ITEM-1","itemData":{"DOI":"10.1371/journal.pone.0072292","ISBN":"1932-6203 (Electronic)\\r1932-6203 (Linking)","ISSN":"19326203","PMID":"23951305","abstract":"The mechanism of the diseases caused by the necrotroph plant pathogen Sclerotinia sclerotiorum is not well understood. To investigate the role of oxalic acid during infection high resolution, light-, scanning-, transmission electron microscopy and various histochemical staining methods were used. Our inoculation method allowed us to follow degradation of host plant tissue around single hyphae and to observe the reaction of host cells in direct contact with single invading hyphae. After penetration the outer epidermal cell wall matrix appeared degraded around subcuticular hyphae (12-24 hpi). Calcium oxalate crystals were detected in advanced (36-48 hpi) and late (72 hpi) infection stages, but not in early stages. In early infection stages, surprisingly, no toxic effect of oxalic acid eventually secreted by S. sclerotiorum was observed. As oxalic acid is a common metabolite in plants, we propose that attacked host cells are able to metabolize oxalic acid in the early infection stage and translocate it to their vacuoles where it is stored as calcium oxalate. The effects, observed on healthy tissue upon external application of oxalic acid to non-infected, living tissue and cell wall degradation of dead host cells starting at the inner side of the walls support this idea. The results indicate that oxalic acid concentrations in the early stage of infection stay below the toxic level. In plant and fungi oxalic acid/calcium oxalate plays an important role in calcium regulation. Oxalic acid likely could quench calcium ions released during cell wall breakdown to protect growing hyphae from toxic calcium concentrations in the infection area. As calcium antimonate-precipitates were found in vesicles of young hyphae, we propose that calcium is translocated to the older parts of hyphae and detoxified by building non-toxic, stable oxalate crystals. We propose an infection model where oxalic acid plays a detoxifying role in late infection stages.","author":[{"dropping-particle":"","family":"Heller","given":"Annerose","non-dropping-particle":"","parse-names":false,"suffix":""},{"dropping-particle":"","family":"Witt-Geiges","given":"Tanja","non-dropping-particle":"","parse-names":false,"suffix":""}],"container-title":"PLoS ONE","id":"ITEM-1","issue":"8","issued":{"date-parts":[["2013"]]},"page":"1-17","title":"Oxalic Acid Has an Additional, Detoxifying Function in Sclerotinia sclerotiorum Pathogenesis","type":"article-journal","volume":"8"},"uris":["http://www.mendeley.com/documents/?uuid=22fbb915-cd31-4c69-95bb-8d6c1fe16625"]},{"id":"ITEM-2","itemData":{"DOI":"10.1139/m96-114","ISBN":"0008-4166","ISSN":"0008-4166","abstract":"Oxalate secretion by fungi provides many advantages for their growth and colonization of substrates. The role of oxalic acid in pathogenesis is through acidification of host tissues and sequestration of calcium from host cell walls. The formation of calcium oxalate crystals weakens the cell walls, thereby allowing polygalacturonase to effect degradation more rapidly in a synergistic response. There is good correlation between pathogenesis, virulence, and oxalic acid secretion. Solubility of soil nutrients is achieved by soil-living species, when cations freed by oxalate diffusing in clay layers increases the effective solubility of Al and Fe. Oxalate retained in hyphal mats of mycorrhizal species increases phosphate and sulphate availability. The formation of calcium oxalate crystals provides a reservoir of calcium in the ecosystem. The ability of oxalate to bind divalent cations permits detoxification of copper, particularly evident in wood preserved with copper salts. Oxalate plays a unique role in lign...","author":[{"dropping-particle":"V.","family":"Dutton","given":"Martin","non-dropping-particle":"","parse-names":false,"suffix":""},{"dropping-particle":"","family":"Evans","given":"Christine S.","non-dropping-particle":"","parse-names":false,"suffix":""}],"container-title":"Canadian Journal of Microbiology","id":"ITEM-2","issue":"9","issued":{"date-parts":[["1996"]]},"page":"881-895","title":"Oxalate production by fungi: its role in pathogenicity and ecology in the soil environment","type":"article-journal","volume":"42"},"uris":["http://www.mendeley.com/documents/?uuid=911f4917-a740-4ffd-a8c0-30c25f6c66dc"]},{"id":"ITEM-3","itemData":{"DOI":"10.1093/jxb/ern166.746","ISBN":"1559-2324 (Electronic)\\n1559-2316 (Linking)","ISSN":"1559-2316","PMID":"19704845","abstract":"Oxalic acid is thought to be a key factor of the early pathogenic stage in a wide range of necrotrophic fungi. We have recently published that oxalic acid induces Programmed Cell Death (PCD) in Arabidopsis thaliana cells. This cell death results from an early anionic efflux which is a prerequisite for the synthesis of ethylene and the PCD. Complementary experiments have been carried out by using seedlings of A. thaliana. The effects of millimolar concentrations of oxalic acid were analysed on A. thaliana seedlings. A treatment with a 3 mM oxalic acid solution does not alter the development of the plants but induces the transcription of defence related genes which are anion channel dependant. Moreover, our results suggest that a pre-treatment of the seedlings with oxalic acid is able to confer the resistance of A. thaliana against Sclerotium rolfsii. Regarding our results, we suggest that oxalic acid plays two distinct roles, depending on the concentration: a high concentration of oxalic acid induces a large PCD and then contribute to the progression of the fungi. However, at low concentration it is able to induce the establishment of a resistance of the plant against the fungi.","author":[{"dropping-particle":"","family":"Lehner","given":"Arnaud","non-dropping-particle":"","parse-names":false,"suffix":""},{"dropping-particle":"","family":"Meimoun","given":"Patrice","non-dropping-particle":"","parse-names":false,"suffix":""},{"dropping-particle":"","family":"Errakhi","given":"Rafik","non-dropping-particle":"","parse-names":false,"suffix":""},{"dropping-particle":"","family":"Madiona","given":"Karine","non-dropping-particle":"","parse-names":false,"suffix":""},{"dropping-particle":"","family":"Barakate","given":"Mustapha","non-dropping-particle":"","parse-names":false,"suffix":""},{"dropping-particle":"","family":"Bouteau","given":"François","non-dropping-particle":"","parse-names":false,"suffix":""}],"container-title":"Plant signaling &amp; behavior","id":"ITEM-3","issue":"9","issued":{"date-parts":[["2008"]]},"page":"746-8","title":"Toxic and signalling effects of oxalic acid: Oxalic acid-Natural born killer or natural born protector?","type":"article-journal","volume":"3"},"uris":["http://www.mendeley.com/documents/?uuid=c791ec84-95c1-4b55-a401-24792da07bfd"]},{"id":"ITEM-4","itemData":{"DOI":"10.1371/journal.pone.0087959","ISSN":"19326203","PMID":"24505339","abstract":"Oxalic acid is a prevalent fungal metabolite with versatile roles in growth and nutrition, including degradation of plant biomass. However, the toxicity of oxalic acid makes regulation of its intra- and extracellular concentration crucial. To increase the knowledge of fungal oxalate metabolism, a transcriptional level study on oxalate-catabolising genes was performed with an effective lignin-degrading white-rot fungus Dichomitus squalens, which has demonstrated particular abilities in production and degradation of oxalic acid. The expression of oxalic-acid decomposing oxalate decarboxylase (ODC) and formic-acid decomposing formate dehydrogenase (FDH) encoding genes was followed during the growth of D. squalens on its natural spruce wood substrate. The effect of high proton concentration on the regulation of the oxalate-catabolising genes was determined after addition of organic acid (oxalic acid) and inorganic acid (hydrochloric acid) to the liquid cultures of D. squalens. In order to evaluate the co-expression of oxalate-catabolising and manganese peroxidase (MnP) encoding genes, the expression of one MnP encoding gene, mnp1, of D. squalens was also surveyed in the solid state and liquid cultures. Sequential action of ODC and FDH encoding genes was detected in the studied cultivations. The odc1, fdh2 and fdh3 genes of D. squalens showed constitutive expression, whereas ODC2 and FHD1 most likely are the main responsible enzymes for detoxification of high concentrations of oxalic and formic acids. The results also confirmed the central role of ODC1 when D. squalens grows on coniferous wood. Phylogenetic analysis revealed that fungal ODCs have evolved from at least two gene copies whereas FDHs have a single ancestral gene. As a conclusion, the multiplicity of oxalate-catabolising genes and their differential regulation on wood and in acid-amended cultures of D. squalens point to divergent physiological roles for the corresponding enzymes.","author":[{"dropping-particle":"","family":"Mäkelä","given":"Miia R.","non-dropping-particle":"","parse-names":false,"suffix":""},{"dropping-particle":"","family":"Sietiö","given":"Outi Maaria","non-dropping-particle":"","parse-names":false,"suffix":""},{"dropping-particle":"","family":"Vries","given":"Ronald P.","non-dropping-particle":"De","parse-names":false,"suffix":""},{"dropping-particle":"","family":"Timonen","given":"Sari","non-dropping-particle":"","parse-names":false,"suffix":""},{"dropping-particle":"","family":"Hildén","given":"Kristiina","non-dropping-particle":"","parse-names":false,"suffix":""}],"container-title":"PLoS ONE","id":"ITEM-4","issue":"2","issued":{"date-parts":[["2014"]]},"title":"Oxalate-metabolising genes of the white-rot fungus Dichomitus squalens are differentially induced on wood and at high proton concentration","type":"article-journal","volume":"9"},"uris":["http://www.mendeley.com/documents/?uuid=9e75a7cf-34da-4d49-90eb-02dde3170b2f"]},{"id":"ITEM-5","itemData":{"DOI":"10.3390/min6020041","ISSN":"2075-163X","abstract":"In the field of microbial biomineralization, much of the scientific attention is focused on processes carried out by prokaryotes, in particular bacteria, even though fungi are also known to be involved in biogeochemical cycles in numerous ways. They are traditionally recognized as key players in organic matter recycling, as nutrient suppliers via mineral weathering, as well as large producers of organic acids such as oxalic acid for instance, an activity leading to the genesis of various metal complexes such as metal-oxalate. Their implications in the transformation of various mineral and metallic compounds has been widely acknowledged during the last decade, however, currently, their contribution to the genesis of a common biomineral, calcite, needs to be more thoroughly documented. Calcite is observed in many ecosystems and plays an essential role in the biogeochemical cycles of both carbon (C) and calcium (Ca). It may be physicochemical or biogenic in origin and numerous organisms have been recognized to control or induce its biomineralization. While fungi have often been suspected of being involved in this process in terrestrial environments, only scarce information supports this hypothesis in natural settings. As a result, calcite biomineralization by microbes is still largely attributed to bacteria at present. However, in some terrestrial environments there are particular calcitic habits that have been described as being fungal in origin. In addition to this, several studies dealing with axenic cultures of fungi have demonstrated the ability of fungi to produce calcite. Examples of fungal biomineralization range from induced to organomineralization processes. More examples of calcite biomineralization related to direct fungal activity, or at least to their presence, have been described within the last decade. However, the peculiar mechanisms leading to calcite biomineralization by fungi remain incompletely understood and more research is necessary, posing new exciting questions linked to microbial biomineralization processes.","author":[{"dropping-particle":"","family":"Bindschedler","given":"Saskia","non-dropping-particle":"","parse-names":false,"suffix":""},{"dropping-particle":"","family":"Cailleau","given":"Guillaume","non-dropping-particle":"","parse-names":false,"suffix":""},{"dropping-particle":"","family":"Verrecchia","given":"Eric","non-dropping-particle":"","parse-names":false,"suffix":""}],"container-title":"Minerals","id":"ITEM-5","issue":"2","issued":{"date-parts":[["2016"]]},"page":"41","title":"Role of Fungi in the Biomineralization of Calcite","type":"article-journal","volume":"6"},"uris":["http://www.mendeley.com/documents/?uuid=b28e54b1-604f-438c-807d-292b3863ac3e"]}],"mendeley":{"formattedCitation":"(Heller and Witt-Geiges, 2013; Dutton and Evans, 1996; Lehner et al., 2008; Mäkelä et al., 2014; Bindschedler et al., 2016)","plainTextFormattedCitation":"(Heller and Witt-Geiges, 2013; Dutton and Evans, 1996; Lehner et al., 2008; Mäkelä et al., 2014; Bindschedler et al., 2016)","previouslyFormattedCitation":"(Heller and Witt-Geiges, 2013; Dutton and Evans, 1996; Lehner et al., 2008; Mäkelä et al., 2014; Bindschedler et al., 2016)"},"properties":{"noteIndex":0},"schema":"https://github.com/citation-style-language/schema/raw/master/csl-citation.json"}</w:instrText>
      </w:r>
      <w:r w:rsidRPr="00223DC5">
        <w:fldChar w:fldCharType="separate"/>
      </w:r>
      <w:r w:rsidRPr="00223DC5">
        <w:rPr>
          <w:noProof/>
        </w:rPr>
        <w:t>(Heller and Witt-Geiges, 2013; Dutton and Evans, 1996; Lehner et al., 2008; Mäkelä et al., 2014; Bindschedler et al., 2016)</w:t>
      </w:r>
      <w:r w:rsidRPr="00223DC5">
        <w:fldChar w:fldCharType="end"/>
      </w:r>
      <w:r w:rsidRPr="00223DC5">
        <w:t xml:space="preserve">. Oxalic acid is a strong organic acid, with a dissociation constant for the first </w:t>
      </w:r>
      <w:r w:rsidR="006769B0">
        <w:t>H</w:t>
      </w:r>
      <w:r w:rsidR="006769B0" w:rsidRPr="00720F46">
        <w:rPr>
          <w:vertAlign w:val="superscript"/>
        </w:rPr>
        <w:t>+</w:t>
      </w:r>
      <w:r w:rsidRPr="00223DC5">
        <w:t xml:space="preserve"> (pKa1) of 1.23 and a dissociation constant for the second </w:t>
      </w:r>
      <w:r w:rsidR="006769B0">
        <w:t>H</w:t>
      </w:r>
      <w:r w:rsidR="006769B0" w:rsidRPr="00720F46">
        <w:rPr>
          <w:vertAlign w:val="superscript"/>
        </w:rPr>
        <w:t>+</w:t>
      </w:r>
      <w:r w:rsidRPr="00223DC5">
        <w:t xml:space="preserve"> (pKa2) of 4.19, and is mainly present in the form of an oxalate ion or the form of an oxalate salt </w:t>
      </w:r>
      <w:r w:rsidRPr="00223DC5">
        <w:fldChar w:fldCharType="begin" w:fldLock="1"/>
      </w:r>
      <w:r w:rsidR="00EE33AB">
        <w:instrText>ADDIN CSL_CITATION {"citationItems":[{"id":"ITEM-1","itemData":{"DOI":"10.3390/min6020041","ISSN":"2075-163X","abstract":"In the field of microbial biomineralization, much of the scientific attention is focused on processes carried out by prokaryotes, in particular bacteria, even though fungi are also known to be involved in biogeochemical cycles in numerous ways. They are traditionally recognized as key players in organic matter recycling, as nutrient suppliers via mineral weathering, as well as large producers of organic acids such as oxalic acid for instance, an activity leading to the genesis of various metal complexes such as metal-oxalate. Their implications in the transformation of various mineral and metallic compounds has been widely acknowledged during the last decade, however, currently, their contribution to the genesis of a common biomineral, calcite, needs to be more thoroughly documented. Calcite is observed in many ecosystems and plays an essential role in the biogeochemical cycles of both carbon (C) and calcium (Ca). It may be physicochemical or biogenic in origin and numerous organisms have been recognized to control or induce its biomineralization. While fungi have often been suspected of being involved in this process in terrestrial environments, only scarce information supports this hypothesis in natural settings. As a result, calcite biomineralization by microbes is still largely attributed to bacteria at present. However, in some terrestrial environments there are particular calcitic habits that have been described as being fungal in origin. In addition to this, several studies dealing with axenic cultures of fungi have demonstrated the ability of fungi to produce calcite. Examples of fungal biomineralization range from induced to organomineralization processes. More examples of calcite biomineralization related to direct fungal activity, or at least to their presence, have been described within the last decade. However, the peculiar mechanisms leading to calcite biomineralization by fungi remain incompletely understood and more research is necessary, posing new exciting questions linked to microbial biomineralization processes.","author":[{"dropping-particle":"","family":"Bindschedler","given":"Saskia","non-dropping-particle":"","parse-names":false,"suffix":""},{"dropping-particle":"","family":"Cailleau","given":"Guillaume","non-dropping-particle":"","parse-names":false,"suffix":""},{"dropping-particle":"","family":"Verrecchia","given":"Eric","non-dropping-particle":"","parse-names":false,"suffix":""}],"container-title":"Minerals","id":"ITEM-1","issue":"2","issued":{"date-parts":[["2016"]]},"page":"41","title":"Role of Fungi in the Biomineralization of Calcite","type":"article-journal","volume":"6"},"uris":["http://www.mendeley.com/documents/?uuid=b28e54b1-604f-438c-807d-292b3863ac3e"]}],"mendeley":{"formattedCitation":"(Bindschedler et al., 2016)","plainTextFormattedCitation":"(Bindschedler et al., 2016)","previouslyFormattedCitation":"(Bindschedler et al., 2016)"},"properties":{"noteIndex":0},"schema":"https://github.com/citation-style-language/schema/raw/master/csl-citation.json"}</w:instrText>
      </w:r>
      <w:r w:rsidRPr="00223DC5">
        <w:fldChar w:fldCharType="separate"/>
      </w:r>
      <w:r w:rsidRPr="00223DC5">
        <w:rPr>
          <w:noProof/>
        </w:rPr>
        <w:t>(Bindschedler et al., 2016)</w:t>
      </w:r>
      <w:r w:rsidRPr="00223DC5">
        <w:fldChar w:fldCharType="end"/>
      </w:r>
      <w:r w:rsidRPr="00223DC5">
        <w:t xml:space="preserve">. For instance, </w:t>
      </w:r>
      <w:r w:rsidR="00EF232E">
        <w:t>calcium</w:t>
      </w:r>
      <w:r w:rsidR="00EF232E" w:rsidRPr="00223DC5">
        <w:t xml:space="preserve"> </w:t>
      </w:r>
      <w:r w:rsidRPr="00223DC5">
        <w:t xml:space="preserve">oxalates make up the most substantial proportion of fungal biominerals described in the existing works of fungal mineral weathering research. However, oxalate can also exist in conjugation with </w:t>
      </w:r>
      <w:r w:rsidR="00B730DC">
        <w:t>ions</w:t>
      </w:r>
      <w:r w:rsidR="00B730DC" w:rsidRPr="00223DC5">
        <w:t xml:space="preserve"> </w:t>
      </w:r>
      <w:r w:rsidRPr="00223DC5">
        <w:t xml:space="preserve">other than </w:t>
      </w:r>
      <w:r w:rsidR="001F5D6C">
        <w:t>Ca</w:t>
      </w:r>
      <w:r w:rsidR="00EF232E">
        <w:t xml:space="preserve">, such as lead </w:t>
      </w:r>
      <w:r w:rsidRPr="00223DC5">
        <w:t xml:space="preserve">oxalate </w:t>
      </w:r>
      <w:r w:rsidRPr="00223DC5">
        <w:fldChar w:fldCharType="begin" w:fldLock="1"/>
      </w:r>
      <w:r w:rsidR="00EE33AB">
        <w:instrText>ADDIN CSL_CITATION {"citationItems":[{"id":"ITEM-1","itemData":{"DOI":"10.1128/AEM.00726-15","ISBN":"1098-5336 (Electronic)\r0099-2240 (Linking)","ISSN":"10985336","PMID":"25979898","abstract":"Fungi play important roles in biogeochemical processes such as organic matter decomposition, bioweathering of minerals and rocks, and metal transformations, and therefore influence elemental cycles for essential and potentially-toxic elements, e.g. P, S, Pb, and As. Arsenic is a potentially-toxic metalloid for most organisms, and naturally occurs in trace quantities in soil, rocks, water, air and living organisms. Among more than 300 arsenic minerals occurring in nature, mimetite [Pb5(AsO4)3Cl] is the most stable lead arsenate and holds considerable promise in metal stabilization for in situ and ex situ sequestration and remediation through precipitation, as do other insoluble lead apatites, such as pyromorphite [Pb5(PO4)3Cl] and vanadinite [Pb5(VO4)3Cl]. Despite the insolubility of mimetite, the organic acid-producing soil fungus Aspergillus niger was able to solubilize mimetite with simultaneous precipitation of lead oxalate as a new mycogenic biomineral. Since fungal biotransformation of both pyromorphite and vanadinite have been previously documented a new biogeochemical model for the biogenic transformation of lead apatites (mimetite, pyromorphite and vanadinite) by fungi is hypothesised in this study by application of geochemical modelling together with experimental data. The models closely agreed with experimental data and provided accurate simulation of As and Pb complexation and biomineral formation dependent on, e.g. pH, cation-anion composition and concentration. A general pattern for fungal biotransformation of lead apatite minerals is proposed, proving new understanding of ecological implications of the biogeochemical cycling of component elements as well as industrial applications in metal stabilization, bioremediation and biorecovery.","author":[{"dropping-particle":"","family":"Ceci","given":"Andrea","non-dropping-particle":"","parse-names":false,"suffix":""},{"dropping-particle":"","family":"Kierans","given":"Martin","non-dropping-particle":"","parse-names":false,"suffix":""},{"dropping-particle":"","family":"Hillier","given":"Stephen","non-dropping-particle":"","parse-names":false,"suffix":""},{"dropping-particle":"","family":"Persiani","given":"Anna Maria","non-dropping-particle":"","parse-names":false,"suffix":""},{"dropping-particle":"","family":"Gadd","given":"Geoffrey Michael","non-dropping-particle":"","parse-names":false,"suffix":""}],"container-title":"Applied and Environmental Microbiology","id":"ITEM-1","issue":"15","issued":{"date-parts":[["2015"]]},"page":"4955-4964","title":"Fungal bioweathering of mimetite and a general geomycological model for lead apatite mineral biotransformations","type":"article-journal","volume":"81"},"uris":["http://www.mendeley.com/documents/?uuid=45400dcb-95a6-40b1-a6a6-0d1e8f77b765"]}],"mendeley":{"formattedCitation":"(Ceci et al., 2015)","plainTextFormattedCitation":"(Ceci et al., 2015)","previouslyFormattedCitation":"(Ceci et al., 2015)"},"properties":{"noteIndex":0},"schema":"https://github.com/citation-style-language/schema/raw/master/csl-citation.json"}</w:instrText>
      </w:r>
      <w:r w:rsidRPr="00223DC5">
        <w:fldChar w:fldCharType="separate"/>
      </w:r>
      <w:r w:rsidRPr="00223DC5">
        <w:rPr>
          <w:noProof/>
        </w:rPr>
        <w:t>(Ceci et al., 2015)</w:t>
      </w:r>
      <w:r w:rsidRPr="00223DC5">
        <w:fldChar w:fldCharType="end"/>
      </w:r>
      <w:r w:rsidRPr="00223DC5">
        <w:t xml:space="preserve">. </w:t>
      </w:r>
      <w:r w:rsidR="00EF232E">
        <w:t>The presence of calcium</w:t>
      </w:r>
      <w:r w:rsidR="001F5D6C">
        <w:t xml:space="preserve"> oxalate during w</w:t>
      </w:r>
      <w:r w:rsidRPr="00223DC5">
        <w:t xml:space="preserve">eathering of phosphate minerals has also been documented, showing a direct link </w:t>
      </w:r>
      <w:r w:rsidR="00750822">
        <w:t xml:space="preserve">between </w:t>
      </w:r>
      <w:r w:rsidR="00EF232E">
        <w:t>calcium</w:t>
      </w:r>
      <w:r w:rsidR="001F5D6C" w:rsidRPr="00223DC5">
        <w:t xml:space="preserve"> </w:t>
      </w:r>
      <w:r w:rsidRPr="00223DC5">
        <w:t xml:space="preserve">oxalate production </w:t>
      </w:r>
      <w:r w:rsidR="00750822">
        <w:t>and</w:t>
      </w:r>
      <w:r w:rsidR="001F5D6C">
        <w:t xml:space="preserve"> </w:t>
      </w:r>
      <w:r w:rsidRPr="00223DC5">
        <w:t xml:space="preserve">fungal weathering activity of phosphate minerals </w:t>
      </w:r>
      <w:r w:rsidRPr="00223DC5">
        <w:fldChar w:fldCharType="begin" w:fldLock="1"/>
      </w:r>
      <w:r w:rsidR="00EE33AB">
        <w:instrText>ADDIN CSL_CITATION {"citationItems":[{"id":"ITEM-1","itemData":{"DOI":"10.1016/j.cub.2011.12.017","ISBN":"09609822","ISSN":"09609822","PMID":"22245002","abstract":"Lead (Pb) is a serious environmental pollutant in all its chemical forms [1]. Attempts have been made to immobilize lead in soil as the mineral pyromorphite using phosphate amendments (e.g., rock phosphate, phosphoric acid, and apatite [2-5]), although our work has demonstrated that soil fungi are able to transform pyromorphite into lead oxalate [6, 7]. Lead metal, an important structural and industrial material, is subject to weathering, and soil contamination also occurs through hunting and shooting [8, 9]. Although fungi are increasingly appreciated as geologic agents [10-12], there is a distinct lack of knowledge about their involvement in lead geochemistry. We examined the influence of fungal activity on lead metal and discovered that metallic lead can be transformed into chloropyromorphite, the most stable lead mineral that exists. This is of geochemical significance, not only regarding lead fate and cycling in the environment but also in relation to the phosphate cycle and linked with microbial transformations of inorganic and organic phosphorus. This paper provides the first report of mycogenic chloropyromorphite formation from metallic lead and highlights the significance of this phenomenon as a biotic component of lead biogeochemistry, with additional consequences for microbial survival in lead-contaminated environments and bioremedial treatments for Pb-contaminated land. © 2012 Elsevier Ltd All rights reserved.","author":[{"dropping-particle":"","family":"Rhee","given":"Young Joon","non-dropping-particle":"","parse-names":false,"suffix":""},{"dropping-particle":"","family":"Hillier","given":"Stephen","non-dropping-particle":"","parse-names":false,"suffix":""},{"dropping-particle":"","family":"Gadd","given":"Geoffrey Michael","non-dropping-particle":"","parse-names":false,"suffix":""}],"container-title":"Current Biology","id":"ITEM-1","issue":"3","issued":{"date-parts":[["2012"]]},"page":"237-241","publisher":"Elsevier Ltd","title":"Lead transformation to pyromorphite by fungi","type":"article-journal","volume":"22"},"uris":["http://www.mendeley.com/documents/?uuid=626edd43-beec-4676-b11a-d02524284e00"]},{"id":"ITEM-2","itemData":{"DOI":"10.1111/1462-2920.12771","ISBN":"1462-2920 (Electronic)\r1462-2912 (Linking)","ISSN":"14622920","PMID":"25580878","abstract":"Geoactive soil fungi were investigated for phosphatase-mediated uranium precipitation during growth on an organic phosphorus source. Aspergillus niger and Paecilomyces javanicus were grown on modified Czapek-Dox medium amended with glycerol 2-phosphate (G2P) as sole P source and uranium nitrate. Both organisms showed reduced growth on uranium-containing media but were able to extensively precipitate uranium and phosphorus-containing minerals on hyphal surfaces, and these were identified by X-ray powder diffraction as uranyl phosphate species, including potassium uranyl phosphate hydrate (KPUO6 .3H2 O), meta-ankoleite [(K1.7 Ba0.2 )(UO2 )2 (PO4 )2 .6H2 O], uranyl phosphate hydrate [(UO2 )3 (PO4 )2 .4H2 O], meta-ankoleite (K(UO2 )(PO4 ).3H2 O), uramphite (NH4 UO2 PO4 .3H2 O) and chernikovite [(H3 O)2 (UO2 )2 (PO4 )2 .6H2 O]. Some minerals with a morphology similar to bacterial hydrogen uranyl phosphate were detected on A. niger biomass. Geochemical modelling confirmed the complexity of uranium speciation, and the presence of meta-ankoleite, uramphite and uranyl phosphate hydrate between pH 3 and 8 closely matched the experimental data, with potassium as the dominant cation. We have therefore demonstrated that fungi can precipitate U-containing phosphate biominerals when grown with an organic source of P, with the hyphal matrix serving to localize the resultant uranium minerals. The findings throw further light on potential fungal roles in U and P biogeochemistry as well as the application of these mechanisms for element recovery or bioremediation.","author":[{"dropping-particle":"","family":"Liang","given":"Xinjin","non-dropping-particle":"","parse-names":false,"suffix":""},{"dropping-particle":"","family":"Hillier","given":"Stephen","non-dropping-particle":"","parse-names":false,"suffix":""},{"dropping-particle":"","family":"Pendlowski","given":"Helen","non-dropping-particle":"","parse-names":false,"suffix":""},{"dropping-particle":"","family":"Gray","given":"Nia","non-dropping-particle":"","parse-names":false,"suffix":""},{"dropping-particle":"","family":"Ceci","given":"Andrea","non-dropping-particle":"","parse-names":false,"suffix":""},{"dropping-particle":"","family":"Gadd","given":"Geoffrey Michael","non-dropping-particle":"","parse-names":false,"suffix":""}],"container-title":"Environmental Microbiology","id":"ITEM-2","issue":"6","issued":{"date-parts":[["2015"]]},"page":"2064-2075","title":"Uranium phosphate biomineralization by fungi","type":"article-journal","volume":"17"},"uris":["http://www.mendeley.com/documents/?uuid=ac94327e-63e2-45fa-93a8-5f5c7bfd9d5b"]},{"id":"ITEM-3","itemData":{"DOI":"10.1139/b91-046","ISSN":"0008-4026","author":[{"dropping-particle":"","family":"Lapeyrie","given":"F","non-dropping-particle":"","parse-names":false,"suffix":""},{"dropping-particle":"","family":"Ranger","given":"J","non-dropping-particle":"","parse-names":false,"suffix":""},{"dropping-particle":"","family":"Vairelles","given":"D","non-dropping-particle":"","parse-names":false,"suffix":""}],"container-title":"Canadian Journal of Botany","id":"ITEM-3","issue":"2","issued":{"date-parts":[["1991","2","1"]]},"note":"doi: 10.1139/b91-046","page":"342-346","publisher":"NRC Research Press","title":"Phosphate-solubilizing activity of ectomycorrhizal fungi in vitro","type":"article-journal","volume":"69"},"uris":["http://www.mendeley.com/documents/?uuid=4906a540-2ecd-4f2f-a297-154ce76ea523"]}],"mendeley":{"formattedCitation":"(Rhee et al., 2012; Liang et al., 2015; Lapeyrie et al., 1991)","plainTextFormattedCitation":"(Rhee et al., 2012; Liang et al., 2015; Lapeyrie et al., 1991)","previouslyFormattedCitation":"(Rhee et al., 2012; Liang et al., 2015; Lapeyrie et al., 1991)"},"properties":{"noteIndex":0},"schema":"https://github.com/citation-style-language/schema/raw/master/csl-citation.json"}</w:instrText>
      </w:r>
      <w:r w:rsidRPr="00223DC5">
        <w:fldChar w:fldCharType="separate"/>
      </w:r>
      <w:r w:rsidRPr="00223DC5">
        <w:rPr>
          <w:noProof/>
        </w:rPr>
        <w:t>(Rhee et al., 2012; Liang et al., 2015; Lapeyrie et al., 1991)</w:t>
      </w:r>
      <w:r w:rsidRPr="00223DC5">
        <w:fldChar w:fldCharType="end"/>
      </w:r>
      <w:r w:rsidRPr="00223DC5">
        <w:t>.</w:t>
      </w:r>
    </w:p>
    <w:p w14:paraId="5C28FC7B" w14:textId="10743406" w:rsidR="002B13CF" w:rsidRDefault="00223DC5" w:rsidP="00FB36B8">
      <w:pPr>
        <w:ind w:firstLine="720"/>
      </w:pPr>
      <w:r w:rsidRPr="00223DC5">
        <w:t xml:space="preserve">Ultimately, fungi possess mechanisms that lead to immobilisation of unutilised mineral ions, which can be either active or passive. Active </w:t>
      </w:r>
      <w:r w:rsidR="00750822">
        <w:t>mechanisms</w:t>
      </w:r>
      <w:r w:rsidR="00750822" w:rsidRPr="00223DC5">
        <w:t xml:space="preserve"> </w:t>
      </w:r>
      <w:r w:rsidRPr="00223DC5">
        <w:t xml:space="preserve">include intracellular metal ion accumulation as well as redox transformations on the surface of the minerals </w:t>
      </w:r>
      <w:r w:rsidRPr="00223DC5">
        <w:fldChar w:fldCharType="begin" w:fldLock="1"/>
      </w:r>
      <w:r w:rsidR="00EE33AB">
        <w:instrText>ADDIN CSL_CITATION {"citationItems":[{"id":"ITEM-1","itemData":{"DOI":"10.3390/min6020041","ISSN":"2075-163X","abstract":"In the field of microbial biomineralization, much of the scientific attention is focused on processes carried out by prokaryotes, in particular bacteria, even though fungi are also known to be involved in biogeochemical cycles in numerous ways. They are traditionally recognized as key players in organic matter recycling, as nutrient suppliers via mineral weathering, as well as large producers of organic acids such as oxalic acid for instance, an activity leading to the genesis of various metal complexes such as metal-oxalate. Their implications in the transformation of various mineral and metallic compounds has been widely acknowledged during the last decade, however, currently, their contribution to the genesis of a common biomineral, calcite, needs to be more thoroughly documented. Calcite is observed in many ecosystems and plays an essential role in the biogeochemical cycles of both carbon (C) and calcium (Ca). It may be physicochemical or biogenic in origin and numerous organisms have been recognized to control or induce its biomineralization. While fungi have often been suspected of being involved in this process in terrestrial environments, only scarce information supports this hypothesis in natural settings. As a result, calcite biomineralization by microbes is still largely attributed to bacteria at present. However, in some terrestrial environments there are particular calcitic habits that have been described as being fungal in origin. In addition to this, several studies dealing with axenic cultures of fungi have demonstrated the ability of fungi to produce calcite. Examples of fungal biomineralization range from induced to organomineralization processes. More examples of calcite biomineralization related to direct fungal activity, or at least to their presence, have been described within the last decade. However, the peculiar mechanisms leading to calcite biomineralization by fungi remain incompletely understood and more research is necessary, posing new exciting questions linked to microbial biomineralization processes.","author":[{"dropping-particle":"","family":"Bindschedler","given":"Saskia","non-dropping-particle":"","parse-names":false,"suffix":""},{"dropping-particle":"","family":"Cailleau","given":"Guillaume","non-dropping-particle":"","parse-names":false,"suffix":""},{"dropping-particle":"","family":"Verrecchia","given":"Eric","non-dropping-particle":"","parse-names":false,"suffix":""}],"container-title":"Minerals","id":"ITEM-1","issue":"2","issued":{"date-parts":[["2016"]]},"page":"41","title":"Role of Fungi in the Biomineralization of Calcite","type":"article-journal","volume":"6"},"uris":["http://www.mendeley.com/documents/?uuid=b28e54b1-604f-438c-807d-292b3863ac3e"]}],"mendeley":{"formattedCitation":"(Bindschedler et al., 2016)","plainTextFormattedCitation":"(Bindschedler et al., 2016)","previouslyFormattedCitation":"(Bindschedler et al., 2016)"},"properties":{"noteIndex":0},"schema":"https://github.com/citation-style-language/schema/raw/master/csl-citation.json"}</w:instrText>
      </w:r>
      <w:r w:rsidRPr="00223DC5">
        <w:fldChar w:fldCharType="separate"/>
      </w:r>
      <w:r w:rsidRPr="00223DC5">
        <w:rPr>
          <w:noProof/>
        </w:rPr>
        <w:t>(Bindschedler et al., 2016)</w:t>
      </w:r>
      <w:r w:rsidRPr="00223DC5">
        <w:fldChar w:fldCharType="end"/>
      </w:r>
      <w:r w:rsidRPr="00223DC5">
        <w:t xml:space="preserve">. On the other hand, passive mechanisms involve absorption or adsorption </w:t>
      </w:r>
      <w:r w:rsidR="00022D44">
        <w:t xml:space="preserve">of ions </w:t>
      </w:r>
      <w:r w:rsidRPr="00223DC5">
        <w:t xml:space="preserve">to the surface of the fungal cells as well as </w:t>
      </w:r>
      <w:r w:rsidR="0045409F" w:rsidRPr="0045409F">
        <w:t>extracellular polymeric substances</w:t>
      </w:r>
      <w:r w:rsidRPr="00223DC5">
        <w:t xml:space="preserve"> (EPS), and the formation of insoluble complexes with conjugated bases of organic acids </w:t>
      </w:r>
      <w:r w:rsidRPr="00223DC5">
        <w:fldChar w:fldCharType="begin" w:fldLock="1"/>
      </w:r>
      <w:r w:rsidR="00EE33AB">
        <w:instrText>ADDIN CSL_CITATION {"citationItems":[{"id":"ITEM-1","itemData":{"DOI":"10.3390/min6020041","ISSN":"2075-163X","abstract":"In the field of microbial biomineralization, much of the scientific attention is focused on processes carried out by prokaryotes, in particular bacteria, even though fungi are also known to be involved in biogeochemical cycles in numerous ways. They are traditionally recognized as key players in organic matter recycling, as nutrient suppliers via mineral weathering, as well as large producers of organic acids such as oxalic acid for instance, an activity leading to the genesis of various metal complexes such as metal-oxalate. Their implications in the transformation of various mineral and metallic compounds has been widely acknowledged during the last decade, however, currently, their contribution to the genesis of a common biomineral, calcite, needs to be more thoroughly documented. Calcite is observed in many ecosystems and plays an essential role in the biogeochemical cycles of both carbon (C) and calcium (Ca). It may be physicochemical or biogenic in origin and numerous organisms have been recognized to control or induce its biomineralization. While fungi have often been suspected of being involved in this process in terrestrial environments, only scarce information supports this hypothesis in natural settings. As a result, calcite biomineralization by microbes is still largely attributed to bacteria at present. However, in some terrestrial environments there are particular calcitic habits that have been described as being fungal in origin. In addition to this, several studies dealing with axenic cultures of fungi have demonstrated the ability of fungi to produce calcite. Examples of fungal biomineralization range from induced to organomineralization processes. More examples of calcite biomineralization related to direct fungal activity, or at least to their presence, have been described within the last decade. However, the peculiar mechanisms leading to calcite biomineralization by fungi remain incompletely understood and more research is necessary, posing new exciting questions linked to microbial biomineralization processes.","author":[{"dropping-particle":"","family":"Bindschedler","given":"Saskia","non-dropping-particle":"","parse-names":false,"suffix":""},{"dropping-particle":"","family":"Cailleau","given":"Guillaume","non-dropping-particle":"","parse-names":false,"suffix":""},{"dropping-particle":"","family":"Verrecchia","given":"Eric","non-dropping-particle":"","parse-names":false,"suffix":""}],"container-title":"Minerals","id":"ITEM-1","issue":"2","issued":{"date-parts":[["2016"]]},"page":"41","title":"Role of Fungi in the Biomineralization of Calcite","type":"article-journal","volume":"6"},"uris":["http://www.mendeley.com/documents/?uuid=b28e54b1-604f-438c-807d-292b3863ac3e"]}],"mendeley":{"formattedCitation":"(Bindschedler et al., 2016)","plainTextFormattedCitation":"(Bindschedler et al., 2016)","previouslyFormattedCitation":"(Bindschedler et al., 2016)"},"properties":{"noteIndex":0},"schema":"https://github.com/citation-style-language/schema/raw/master/csl-citation.json"}</w:instrText>
      </w:r>
      <w:r w:rsidRPr="00223DC5">
        <w:fldChar w:fldCharType="separate"/>
      </w:r>
      <w:r w:rsidRPr="00223DC5">
        <w:rPr>
          <w:noProof/>
        </w:rPr>
        <w:t>(Bindschedler et al., 2016)</w:t>
      </w:r>
      <w:r w:rsidRPr="00223DC5">
        <w:fldChar w:fldCharType="end"/>
      </w:r>
      <w:r w:rsidRPr="00223DC5">
        <w:t xml:space="preserve">. The immobilisation processes also culminate in biominerals formation, i.e., in the formation of secondary minerals, such as </w:t>
      </w:r>
      <w:r w:rsidR="00EF232E">
        <w:t>calcium</w:t>
      </w:r>
      <w:r w:rsidR="00EF232E" w:rsidRPr="00223DC5">
        <w:t xml:space="preserve"> </w:t>
      </w:r>
      <w:r w:rsidRPr="00223DC5">
        <w:t xml:space="preserve">oxalates, after the dissolution of the primary ones </w:t>
      </w:r>
      <w:r w:rsidRPr="00223DC5">
        <w:fldChar w:fldCharType="begin" w:fldLock="1"/>
      </w:r>
      <w:r w:rsidR="00EE33AB">
        <w:instrText>ADDIN CSL_CITATION {"citationItems":[{"id":"ITEM-1","itemData":{"DOI":"10.1016/j.mycres.2006.12.001","ISBN":"0953-7562","ISSN":"09537562","PMID":"17307120","abstract":"The study of the role that fungi have played and are playing in fundamental geological processes can be termed 'geomycology' and this article seeks to emphasize the fundamental importance of fungi in several key areas. These include organic and inorganic transformations and element cycling, rock and mineral transformations, bioweathering, mycogenic mineral formation, fungal-clay interactions, metal-fungal interactions, and the significance of such processes in the environment and their relevance to areas of environmental biotechnology such as bioremediation. Fungi are intimately involved in biogeochemical transformations at local and global scales, and although such transformations occur in both aquatic and terrestrial habitats, it is the latter environment where fungi probably have the greatest influence. Within terrestrial aerobic ecosystems, fungi may exert an especially profound influence on biogeochemical processes, particularly when considering soil, rock and mineral surfaces, and the plant root-soil interface. The geochemical transformations that take place can influence plant productivity and the mobility of toxic elements and substances, and are therefore of considerable socio-economic relevance, including human health. Of special significance are the mutualistic symbioses, lichens and mycorrhizas. Some of the fungal transformations discussed have beneficial applications in environmental biotechnology, e.g. in metal leaching, recovery and detoxification, and xenobiotic and organic pollutant degradation. They may also result in adverse effects when these processes are associated with the degradation of foodstuffs, natural products, and building materials, including wood, stone and concrete. It is clear that a multidisciplinary approach is essential to understand fully all the phenomena encompassed within geomycology, and it is hoped that this review will serve to catalyse further research, as well as stimulate interest in an area of mycology of global significance. © 2007 The British Mycological Society.","author":[{"dropping-particle":"","family":"Gadd","given":"Geoffrey M.","non-dropping-particle":"","parse-names":false,"suffix":""}],"container-title":"Mycological Research","id":"ITEM-1","issue":"1","issued":{"date-parts":[["2007"]]},"page":"3-49","title":"Geomycology: biogeochemical transformations of rocks, minerals, metals and radionuclides by fungi, bioweathering and bioremediation","type":"article-journal","volume":"111"},"uris":["http://www.mendeley.com/documents/?uuid=0bdfed80-c309-4f0b-97cc-c1c9af30d999"]}],"mendeley":{"formattedCitation":"(Gadd, 2007)","plainTextFormattedCitation":"(Gadd, 2007)","previouslyFormattedCitation":"(Gadd, 2007)"},"properties":{"noteIndex":0},"schema":"https://github.com/citation-style-language/schema/raw/master/csl-citation.json"}</w:instrText>
      </w:r>
      <w:r w:rsidRPr="00223DC5">
        <w:fldChar w:fldCharType="separate"/>
      </w:r>
      <w:r w:rsidRPr="00223DC5">
        <w:rPr>
          <w:noProof/>
        </w:rPr>
        <w:t>(Gadd, 2007)</w:t>
      </w:r>
      <w:r w:rsidRPr="00223DC5">
        <w:fldChar w:fldCharType="end"/>
      </w:r>
      <w:r w:rsidRPr="00223DC5">
        <w:t>.</w:t>
      </w:r>
    </w:p>
    <w:p w14:paraId="240E35A4" w14:textId="7EEAE120" w:rsidR="001A42CF" w:rsidRPr="00223DC5" w:rsidRDefault="001A42CF" w:rsidP="002B13CF">
      <w:pPr>
        <w:spacing w:line="259" w:lineRule="auto"/>
        <w:jc w:val="left"/>
      </w:pPr>
    </w:p>
    <w:p w14:paraId="3C22ED75" w14:textId="2FD872EB" w:rsidR="00223DC5" w:rsidRPr="00223DC5" w:rsidRDefault="00223DC5" w:rsidP="00635993">
      <w:pPr>
        <w:pStyle w:val="Heading1"/>
      </w:pPr>
      <w:bookmarkStart w:id="21" w:name="_Toc507603956"/>
      <w:bookmarkStart w:id="22" w:name="_Toc507604223"/>
      <w:bookmarkStart w:id="23" w:name="_Toc519016940"/>
      <w:bookmarkStart w:id="24" w:name="_Toc520837838"/>
      <w:r w:rsidRPr="00223DC5">
        <w:t xml:space="preserve">1.3 Role of </w:t>
      </w:r>
      <w:r w:rsidR="00517E69">
        <w:t>EMF</w:t>
      </w:r>
      <w:r w:rsidRPr="00223DC5">
        <w:t xml:space="preserve"> in mineral weathering</w:t>
      </w:r>
      <w:bookmarkEnd w:id="21"/>
      <w:bookmarkEnd w:id="22"/>
      <w:bookmarkEnd w:id="23"/>
      <w:bookmarkEnd w:id="24"/>
    </w:p>
    <w:p w14:paraId="22FC6AB6" w14:textId="1395F075" w:rsidR="00223DC5" w:rsidRPr="00223DC5" w:rsidRDefault="00223DC5" w:rsidP="00635993">
      <w:r w:rsidRPr="00223DC5">
        <w:t xml:space="preserve">Mycorrhizal symbiosis is the most ancient and widespread form of symbiosis which covers a range of mutualistic, symbiotic associations between fungi and the roots of plants </w:t>
      </w:r>
      <w:r w:rsidRPr="00223DC5">
        <w:fldChar w:fldCharType="begin" w:fldLock="1"/>
      </w:r>
      <w:r w:rsidR="00EE33AB">
        <w:instrText>ADDIN CSL_CITATION {"citationItems":[{"id":"ITEM-1","itemData":{"DOI":"https://doi.org/10.1016/B978-012370526-6.50010-6","ISBN":"978-0-12-370526-6","author":[{"dropping-particle":"","family":"Smith","given":"Sally E","non-dropping-particle":"","parse-names":false,"suffix":""},{"dropping-particle":"","family":"Read","given":"David J","non-dropping-particle":"","parse-names":false,"suffix":""}],"id":"ITEM-1","issued":{"date-parts":[["2008"]]},"publisher":"Academic Press","publisher-place":"London","title":"Mycorrhizal Symbiosis","type":"book"},"uris":["http://www.mendeley.com/documents/?uuid=3512e947-7fd0-40a3-b154-0c58a7c5a76d"]}],"mendeley":{"formattedCitation":"(Smith and Read, 2008)","plainTextFormattedCitation":"(Smith and Read, 2008)","previouslyFormattedCitation":"(Smith and Read, 2008)"},"properties":{"noteIndex":0},"schema":"https://github.com/citation-style-language/schema/raw/master/csl-citation.json"}</w:instrText>
      </w:r>
      <w:r w:rsidRPr="00223DC5">
        <w:fldChar w:fldCharType="separate"/>
      </w:r>
      <w:r w:rsidRPr="00223DC5">
        <w:rPr>
          <w:noProof/>
        </w:rPr>
        <w:t>(Smith and Read, 2008)</w:t>
      </w:r>
      <w:r w:rsidRPr="00223DC5">
        <w:fldChar w:fldCharType="end"/>
      </w:r>
      <w:r w:rsidRPr="00223DC5">
        <w:t xml:space="preserve">. Seven different types of mycorrhizal symbioses have been described based on their morphological characteristics, and the fungal and plant species involved </w:t>
      </w:r>
      <w:r w:rsidRPr="00223DC5">
        <w:fldChar w:fldCharType="begin" w:fldLock="1"/>
      </w:r>
      <w:r w:rsidR="00EE33AB">
        <w:instrText>ADDIN CSL_CITATION {"citationItems":[{"id":"ITEM-1","itemData":{"DOI":"10.1093/jxb/ern059","ISBN":"0022-0957","ISSN":"00220957","PMID":"18349054","abstract":"Different symbiotic mycorrhizal associations between plants and fungi occur, almost ubiquitously, in a wide range of terrestrial ecosystems. Historically, these have mainly been considered within the rather narrow perspective of their effects on the uptake of dissolved mineral nutrients by individual plants. More recent research has placed emphasis on a wider, multifunctional perspective, including the effects of mycorrhizal symbiosis on plant and microbial communities, and on ecosystem processes. This includes mobilization of N and P from organic polymers, release of nutrients from mineral particles or rock surfaces via weathering, effects on carbon cycling, interactions with myco-heterotrophic plants, mediation of plant responses to stress factors such as drought, soil acidification, toxic metals, and plant pathogens, as well as a range of possible interactions with groups of other soil micro-organisms. Mycorrhizal fungi connect their plant hosts to the heterogeneously distributed nutrients required for their growth, enabling the flow of energy-rich compounds required for nutrient mobilization whilst simultaneously providing conduits for the translocation of mobilized products back to their hosts. In addition to increasing the nutrient absorptive surface area of their host plant root systems, the extraradical mycelium of mycorrhizal fungi provides a direct pathway for translocation of photosynthetically derived carbon to microsites in the soil and a large surface area for interaction with other micro-organisms. The detailed functioning and regulation of these mycorrhizosphere processes is still poorly understood but recent progress is reviewed and potential benefits of improved understanding of mycorrhizosphere interactions are discussed.","author":[{"dropping-particle":"","family":"Finlay","given":"Roger D.","non-dropping-particle":"","parse-names":false,"suffix":""}],"container-title":"Journal of Experimental Botany","id":"ITEM-1","issue":"5","issued":{"date-parts":[["2008"]]},"page":"1115-1126","title":"Ecological aspects of mycorrhizal symbiosis: With special emphasis on the functional diversity of interactions involving the extraradical mycelium","type":"article-journal","volume":"59"},"uris":["http://www.mendeley.com/documents/?uuid=fbb43269-d10f-4bea-8135-c24643ccf256"]}],"mendeley":{"formattedCitation":"(Finlay, 2008)","plainTextFormattedCitation":"(Finlay, 2008)","previouslyFormattedCitation":"(Finlay, 2008)"},"properties":{"noteIndex":0},"schema":"https://github.com/citation-style-language/schema/raw/master/csl-citation.json"}</w:instrText>
      </w:r>
      <w:r w:rsidRPr="00223DC5">
        <w:fldChar w:fldCharType="separate"/>
      </w:r>
      <w:r w:rsidRPr="00223DC5">
        <w:rPr>
          <w:noProof/>
        </w:rPr>
        <w:t>(Finlay, 2008)</w:t>
      </w:r>
      <w:r w:rsidRPr="00223DC5">
        <w:fldChar w:fldCharType="end"/>
      </w:r>
      <w:r w:rsidRPr="00223DC5">
        <w:t xml:space="preserve">. AM is the most ancient and widespread form of </w:t>
      </w:r>
      <w:r w:rsidRPr="00223DC5">
        <w:lastRenderedPageBreak/>
        <w:t xml:space="preserve">mycorrhizal symbiosis, where paleobotanical and molecular clock data suggest that the first land plants formed associations with Glomeromycota about 460 Mya </w:t>
      </w:r>
      <w:r w:rsidRPr="00223DC5">
        <w:fldChar w:fldCharType="begin" w:fldLock="1"/>
      </w:r>
      <w:r w:rsidR="00EE33AB">
        <w:instrText>ADDIN CSL_CITATION {"citationItems":[{"id":"ITEM-1","itemData":{"author":[{"dropping-particle":"","family":"Redecker","given":"Dirk","non-dropping-particle":"","parse-names":false,"suffix":""},{"dropping-particle":"","family":"Kodner","given":"Robin","non-dropping-particle":"","parse-names":false,"suffix":""},{"dropping-particle":"","family":"Graham","given":"Linda E","non-dropping-particle":"","parse-names":false,"suffix":""}],"container-title":"Science","id":"ITEM-1","issue":"5486","issued":{"date-parts":[["2000"]]},"page":"1920-1921","title":"Glomalean Fungi from the Ordovician","type":"article-journal","volume":"289"},"uris":["http://www.mendeley.com/documents/?uuid=e9d99f90-5a09-41eb-b958-b9a73e66249d"]}],"mendeley":{"formattedCitation":"(Redecker et al., 2000)","plainTextFormattedCitation":"(Redecker et al., 2000)","previouslyFormattedCitation":"(Redecker et al., 2000)"},"properties":{"noteIndex":0},"schema":"https://github.com/citation-style-language/schema/raw/master/csl-citation.json"}</w:instrText>
      </w:r>
      <w:r w:rsidRPr="00223DC5">
        <w:fldChar w:fldCharType="separate"/>
      </w:r>
      <w:r w:rsidRPr="00223DC5">
        <w:rPr>
          <w:noProof/>
        </w:rPr>
        <w:t>(Redecker et al., 2000)</w:t>
      </w:r>
      <w:r w:rsidRPr="00223DC5">
        <w:fldChar w:fldCharType="end"/>
      </w:r>
      <w:r w:rsidRPr="00223DC5">
        <w:t xml:space="preserve">. Ericoid mycorrhiza form between Ascomycota fungi and the roots of the trees belonging to the order Ericales, which grow in nutrient-impoverished upland and lowland heaths, by penetrating the cell walls of roots and form coiled structures within each cell but without penetrating the plasma membrane of the host’s cells </w:t>
      </w:r>
      <w:r w:rsidRPr="00223DC5">
        <w:fldChar w:fldCharType="begin" w:fldLock="1"/>
      </w:r>
      <w:r w:rsidR="00EE33AB">
        <w:instrText>ADDIN CSL_CITATION {"citationItems":[{"id":"ITEM-1","itemData":{"DOI":"10.1093/jxb/ern059","ISBN":"0022-0957","ISSN":"00220957","PMID":"18349054","abstract":"Different symbiotic mycorrhizal associations between plants and fungi occur, almost ubiquitously, in a wide range of terrestrial ecosystems. Historically, these have mainly been considered within the rather narrow perspective of their effects on the uptake of dissolved mineral nutrients by individual plants. More recent research has placed emphasis on a wider, multifunctional perspective, including the effects of mycorrhizal symbiosis on plant and microbial communities, and on ecosystem processes. This includes mobilization of N and P from organic polymers, release of nutrients from mineral particles or rock surfaces via weathering, effects on carbon cycling, interactions with myco-heterotrophic plants, mediation of plant responses to stress factors such as drought, soil acidification, toxic metals, and plant pathogens, as well as a range of possible interactions with groups of other soil micro-organisms. Mycorrhizal fungi connect their plant hosts to the heterogeneously distributed nutrients required for their growth, enabling the flow of energy-rich compounds required for nutrient mobilization whilst simultaneously providing conduits for the translocation of mobilized products back to their hosts. In addition to increasing the nutrient absorptive surface area of their host plant root systems, the extraradical mycelium of mycorrhizal fungi provides a direct pathway for translocation of photosynthetically derived carbon to microsites in the soil and a large surface area for interaction with other micro-organisms. The detailed functioning and regulation of these mycorrhizosphere processes is still poorly understood but recent progress is reviewed and potential benefits of improved understanding of mycorrhizosphere interactions are discussed.","author":[{"dropping-particle":"","family":"Finlay","given":"Roger D.","non-dropping-particle":"","parse-names":false,"suffix":""}],"container-title":"Journal of Experimental Botany","id":"ITEM-1","issue":"5","issued":{"date-parts":[["2008"]]},"page":"1115-1126","title":"Ecological aspects of mycorrhizal symbiosis: With special emphasis on the functional diversity of interactions involving the extraradical mycelium","type":"article-journal","volume":"59"},"uris":["http://www.mendeley.com/documents/?uuid=fbb43269-d10f-4bea-8135-c24643ccf256"]}],"mendeley":{"formattedCitation":"(Finlay, 2008)","plainTextFormattedCitation":"(Finlay, 2008)","previouslyFormattedCitation":"(Finlay, 2008)"},"properties":{"noteIndex":0},"schema":"https://github.com/citation-style-language/schema/raw/master/csl-citation.json"}</w:instrText>
      </w:r>
      <w:r w:rsidRPr="00223DC5">
        <w:fldChar w:fldCharType="separate"/>
      </w:r>
      <w:r w:rsidRPr="00223DC5">
        <w:rPr>
          <w:noProof/>
        </w:rPr>
        <w:t>(Finlay, 2008)</w:t>
      </w:r>
      <w:r w:rsidRPr="00223DC5">
        <w:fldChar w:fldCharType="end"/>
      </w:r>
      <w:r w:rsidRPr="00223DC5">
        <w:t>. EM symbiosis form between the roots of Gymnosperms or Angiosperm</w:t>
      </w:r>
      <w:r w:rsidR="008D21B1">
        <w:t xml:space="preserve"> tree</w:t>
      </w:r>
      <w:r w:rsidRPr="00223DC5">
        <w:t xml:space="preserve">s and Basidiomycete or Ascomycete fungi </w:t>
      </w:r>
      <w:r w:rsidR="008D21B1">
        <w:fldChar w:fldCharType="begin" w:fldLock="1"/>
      </w:r>
      <w:r w:rsidR="00EE33AB">
        <w:instrText>ADDIN CSL_CITATION {"citationItems":[{"id":"ITEM-1","itemData":{"DOI":"https://doi.org/10.1016/B978-012370526-6.50010-6","ISBN":"978-0-12-370526-6","author":[{"dropping-particle":"","family":"Smith","given":"Sally E","non-dropping-particle":"","parse-names":false,"suffix":""},{"dropping-particle":"","family":"Read","given":"David J","non-dropping-particle":"","parse-names":false,"suffix":""}],"id":"ITEM-1","issued":{"date-parts":[["2008"]]},"publisher":"Academic Press","publisher-place":"London","title":"Mycorrhizal Symbiosis","type":"book"},"uris":["http://www.mendeley.com/documents/?uuid=3512e947-7fd0-40a3-b154-0c58a7c5a76d"]}],"mendeley":{"formattedCitation":"(Smith and Read, 2008)","plainTextFormattedCitation":"(Smith and Read, 2008)","previouslyFormattedCitation":"(Smith and Read, 2008)"},"properties":{"noteIndex":0},"schema":"https://github.com/citation-style-language/schema/raw/master/csl-citation.json"}</w:instrText>
      </w:r>
      <w:r w:rsidR="008D21B1">
        <w:fldChar w:fldCharType="separate"/>
      </w:r>
      <w:r w:rsidR="008D21B1" w:rsidRPr="008D21B1">
        <w:rPr>
          <w:noProof/>
        </w:rPr>
        <w:t>(Smith and Read, 2008)</w:t>
      </w:r>
      <w:r w:rsidR="008D21B1">
        <w:fldChar w:fldCharType="end"/>
      </w:r>
      <w:r w:rsidR="008D21B1">
        <w:t>.</w:t>
      </w:r>
    </w:p>
    <w:p w14:paraId="52B9893D" w14:textId="1BF84054" w:rsidR="00223DC5" w:rsidRPr="00223DC5" w:rsidRDefault="00223DC5" w:rsidP="007F746A">
      <w:pPr>
        <w:ind w:firstLine="720"/>
      </w:pPr>
      <w:r w:rsidRPr="00223DC5">
        <w:t>Mycorrhizal fungi are classified under different groups based prim</w:t>
      </w:r>
      <w:r w:rsidR="00B730DC">
        <w:t>arily on</w:t>
      </w:r>
      <w:r w:rsidRPr="00223DC5">
        <w:t xml:space="preserve"> morphological attributes and the specific plants that are involved </w:t>
      </w:r>
      <w:r w:rsidRPr="00223DC5">
        <w:fldChar w:fldCharType="begin" w:fldLock="1"/>
      </w:r>
      <w:r w:rsidR="00EE33AB">
        <w:instrText>ADDIN CSL_CITATION {"citationItems":[{"id":"ITEM-1","itemData":{"DOI":"https://doi.org/10.1016/B978-012370526-6.50010-6","ISBN":"978-0-12-370526-6","author":[{"dropping-particle":"","family":"Smith","given":"Sally E","non-dropping-particle":"","parse-names":false,"suffix":""},{"dropping-particle":"","family":"Read","given":"David J","non-dropping-particle":"","parse-names":false,"suffix":""}],"id":"ITEM-1","issued":{"date-parts":[["2008"]]},"publisher":"Academic Press","publisher-place":"London","title":"Mycorrhizal Symbiosis","type":"book"},"uris":["http://www.mendeley.com/documents/?uuid=3512e947-7fd0-40a3-b154-0c58a7c5a76d"]}],"mendeley":{"formattedCitation":"(Smith and Read, 2008)","plainTextFormattedCitation":"(Smith and Read, 2008)","previouslyFormattedCitation":"(Smith and Read, 2008)"},"properties":{"noteIndex":0},"schema":"https://github.com/citation-style-language/schema/raw/master/csl-citation.json"}</w:instrText>
      </w:r>
      <w:r w:rsidRPr="00223DC5">
        <w:fldChar w:fldCharType="separate"/>
      </w:r>
      <w:r w:rsidRPr="00223DC5">
        <w:rPr>
          <w:noProof/>
        </w:rPr>
        <w:t>(Smith and Read, 2008)</w:t>
      </w:r>
      <w:r w:rsidRPr="00223DC5">
        <w:fldChar w:fldCharType="end"/>
      </w:r>
      <w:r w:rsidRPr="00223DC5">
        <w:t xml:space="preserve">. In the case of EM symbiosis, the EM root is characterised by the presence of three distinct structural components </w:t>
      </w:r>
      <w:r w:rsidRPr="00223DC5">
        <w:fldChar w:fldCharType="begin" w:fldLock="1"/>
      </w:r>
      <w:r w:rsidR="00EE33AB">
        <w:instrText>ADDIN CSL_CITATION {"citationItems":[{"id":"ITEM-1","itemData":{"DOI":"https://doi.org/10.1016/B978-012370526-6.50010-6","ISBN":"978-0-12-370526-6","author":[{"dropping-particle":"","family":"Smith","given":"Sally E","non-dropping-particle":"","parse-names":false,"suffix":""},{"dropping-particle":"","family":"Read","given":"David J","non-dropping-particle":"","parse-names":false,"suffix":""}],"id":"ITEM-1","issued":{"date-parts":[["2008"]]},"publisher":"Academic Press","publisher-place":"London","title":"Mycorrhizal Symbiosis","type":"book"},"uris":["http://www.mendeley.com/documents/?uuid=3512e947-7fd0-40a3-b154-0c58a7c5a76d"]}],"mendeley":{"formattedCitation":"(Smith and Read, 2008)","plainTextFormattedCitation":"(Smith and Read, 2008)","previouslyFormattedCitation":"(Smith and Read, 2008)"},"properties":{"noteIndex":0},"schema":"https://github.com/citation-style-language/schema/raw/master/csl-citation.json"}</w:instrText>
      </w:r>
      <w:r w:rsidRPr="00223DC5">
        <w:fldChar w:fldCharType="separate"/>
      </w:r>
      <w:r w:rsidRPr="00223DC5">
        <w:rPr>
          <w:noProof/>
        </w:rPr>
        <w:t>(Smith and Read, 2008)</w:t>
      </w:r>
      <w:r w:rsidRPr="00223DC5">
        <w:fldChar w:fldCharType="end"/>
      </w:r>
      <w:r w:rsidRPr="00223DC5">
        <w:t>. These structures include the fungal mantle which encloses the root, the Hartig net wh</w:t>
      </w:r>
      <w:r w:rsidR="00B730DC">
        <w:t>ere the symbiotic tissues form</w:t>
      </w:r>
      <w:r w:rsidRPr="00223DC5">
        <w:t xml:space="preserve"> with the penetration of the fungal tissue between the epidermal and cortical cells of the roots, and the extraradical mycelium which is the explorative tissue of the EM symbiosis (Figure 1.1). The extraradical mycelium is essential for nutrient foraging by identifying other plants or nutrient sources within the soil horizon, such as minerals </w:t>
      </w:r>
      <w:r w:rsidRPr="00223DC5">
        <w:fldChar w:fldCharType="begin" w:fldLock="1"/>
      </w:r>
      <w:r w:rsidR="00EE33AB">
        <w:instrText>ADDIN CSL_CITATION {"citationItems":[{"id":"ITEM-1","itemData":{"DOI":"https://doi.org/10.1016/B978-012370526-6.50010-6","ISBN":"978-0-12-370526-6","author":[{"dropping-particle":"","family":"Smith","given":"Sally E","non-dropping-particle":"","parse-names":false,"suffix":""},{"dropping-particle":"","family":"Read","given":"David J","non-dropping-particle":"","parse-names":false,"suffix":""}],"id":"ITEM-1","issued":{"date-parts":[["2008"]]},"publisher":"Academic Press","publisher-place":"London","title":"Mycorrhizal Symbiosis","type":"book"},"uris":["http://www.mendeley.com/documents/?uuid=3512e947-7fd0-40a3-b154-0c58a7c5a76d"]},{"id":"ITEM-2","itemData":{"DOI":"10.1139/B04-060","author":[{"dropping-particle":"","family":"Leake","given":"Jonathan","non-dropping-particle":"","parse-names":false,"suffix":""},{"dropping-particle":"","family":"Johnson","given":"David","non-dropping-particle":"","parse-names":false,"suffix":""},{"dropping-particle":"","family":"Donnelly","given":"Damian","non-dropping-particle":"","parse-names":false,"suffix":""},{"dropping-particle":"","family":"Muckle","given":"Gemma","non-dropping-particle":"","parse-names":false,"suffix":""},{"dropping-particle":"","family":"Boddy","given":"Lynne","non-dropping-particle":"","parse-names":false,"suffix":""},{"dropping-particle":"","family":"Read","given":"David","non-dropping-particle":"","parse-names":false,"suffix":""}],"container-title":"Canadian Journal of Botany","id":"ITEM-2","issued":{"date-parts":[["2004"]]},"page":"1016-1045","title":"Networks of power and influence: the role of mycorrhizal mycelium in controlling plant communities and agroecosystem functioning","type":"article-journal","volume":"82"},"uris":["http://www.mendeley.com/documents/?uuid=1623b1ae-488b-4269-82fb-aa04313599d2"]}],"mendeley":{"formattedCitation":"(Smith and Read, 2008; Leake et al., 2004)","plainTextFormattedCitation":"(Smith and Read, 2008; Leake et al., 2004)","previouslyFormattedCitation":"(Smith and Read, 2008; Leake et al., 2004)"},"properties":{"noteIndex":0},"schema":"https://github.com/citation-style-language/schema/raw/master/csl-citation.json"}</w:instrText>
      </w:r>
      <w:r w:rsidRPr="00223DC5">
        <w:fldChar w:fldCharType="separate"/>
      </w:r>
      <w:r w:rsidRPr="00223DC5">
        <w:rPr>
          <w:noProof/>
        </w:rPr>
        <w:t>(Smith and Read, 2008; Leake et al., 2004)</w:t>
      </w:r>
      <w:r w:rsidRPr="00223DC5">
        <w:fldChar w:fldCharType="end"/>
      </w:r>
      <w:r w:rsidRPr="00223DC5">
        <w:t>.</w:t>
      </w:r>
    </w:p>
    <w:p w14:paraId="46C6C326" w14:textId="68127A39" w:rsidR="00223DC5" w:rsidRPr="00223DC5" w:rsidRDefault="00223DC5" w:rsidP="006F1B6D">
      <w:pPr>
        <w:ind w:firstLine="720"/>
      </w:pPr>
      <w:r w:rsidRPr="00223DC5">
        <w:t xml:space="preserve">The role of EMF in mineral weathering was first recognised in 1967 by Hintikka and Näykki, when </w:t>
      </w:r>
      <w:r w:rsidR="0053691D">
        <w:t xml:space="preserve">it </w:t>
      </w:r>
      <w:r w:rsidRPr="00223DC5">
        <w:t>was found that the process of podzolisation was mainly driven</w:t>
      </w:r>
      <w:r w:rsidR="00DB1B9C">
        <w:t xml:space="preserve"> </w:t>
      </w:r>
      <w:r w:rsidR="00902FFC">
        <w:t>by</w:t>
      </w:r>
      <w:r w:rsidRPr="00223DC5">
        <w:t xml:space="preserve"> </w:t>
      </w:r>
      <w:r w:rsidR="00902FFC">
        <w:t xml:space="preserve">the </w:t>
      </w:r>
      <w:r w:rsidR="00DB1B9C">
        <w:t>acidifying activit</w:t>
      </w:r>
      <w:r w:rsidR="00902FFC">
        <w:t xml:space="preserve">y </w:t>
      </w:r>
      <w:r w:rsidR="00DB1B9C">
        <w:t xml:space="preserve">of the </w:t>
      </w:r>
      <w:r w:rsidR="00902FFC" w:rsidRPr="00223DC5">
        <w:rPr>
          <w:i/>
        </w:rPr>
        <w:t>Hydnellum ferrugineum</w:t>
      </w:r>
      <w:r w:rsidR="00902FFC" w:rsidRPr="00223DC5">
        <w:t xml:space="preserve"> </w:t>
      </w:r>
      <w:r w:rsidRPr="00223DC5">
        <w:t>EM</w:t>
      </w:r>
      <w:r w:rsidR="00902FFC">
        <w:t xml:space="preserve"> mycelia</w:t>
      </w:r>
      <w:r w:rsidRPr="00223DC5">
        <w:t xml:space="preserve"> </w:t>
      </w:r>
      <w:r w:rsidRPr="00223DC5">
        <w:fldChar w:fldCharType="begin" w:fldLock="1"/>
      </w:r>
      <w:r w:rsidR="00EE33AB">
        <w:instrText>ADDIN CSL_CITATION {"citationItems":[{"id":"ITEM-1","itemData":{"DOI":"DOI: 10.1017/CBO9780511550522.015","ISBN":"9780521845793","abstract":"IntroductionEctomycorrhizal fungi (EMF) form symbioses with forest trees. These fungi are mainly basidiomycetes and ascomycetes and they probably evolved from saprotrophic fungi when organic matter began to accumulate in certain soils 200 million years ago (Cairney, 2000). The tree host benefits from the symbiosis through improved nutrient acquisition since the fungus explores the soil efficiently for nutrients (especially N and P) in return for host carbon (Smith &amp;amp; Read, 1997). Forest trees with ectomycorrhiza usually dominate in acidic soils with thick litter layers, with the associated EMF forming extensive external mycelia with a high capacity to take up nutrients from the soil. The fungi form mantles around the root tips with large storage capacities (Read, 1991). The trees invest large amounts of carbon in the ectomycorrhizal (EM) symbionts, especially under nutrient-poor conditions, with up to 20% of photosynthetic assimilates allocated to the mycorrhizal symbionts (Finlay &amp;amp; Söderström, 1992). This large carbon source for EMF gives them an advantage over non-symbiotic microorganisms in the soil ecosystem since these are usually carbon-limited (Aldén et al., 2001). The importance of current photosynthate for soil processes was recently demonstrated by Högberg et al. (2001), who girdled trees in northern Sweden and found a rapid reduction in soil respiration of more than 50% within 1–2 months. More precise calculations the second year after girdling demonstrated that 65% of total respiration was contributed by EM roots, their associated EMF and other rhizosphere microorganisms (Bhupinderpal-Singh et al., 2003).","author":[{"dropping-particle":"","family":"Wallander","given":"Håkan","non-dropping-particle":"","parse-names":false,"suffix":""}],"collection-title":"British Mycological Society Symposia","container-title":"Fungi in Biogeochemical Cycles","editor":[{"dropping-particle":"","family":"Gadd","given":"Geoffrey Michael","non-dropping-particle":"","parse-names":false,"suffix":""}],"id":"ITEM-1","issued":{"date-parts":[["2006"]]},"page":"328-343","publisher":"Cambridge University Press","publisher-place":"Cambridge","title":"Mineral dissolution by ectomycorrhizal fungi","type":"chapter"},"uris":["http://www.mendeley.com/documents/?uuid=164faa4b-0e3a-4531-9aab-3648d9cf6f6f"]}],"mendeley":{"formattedCitation":"(Wallander, 2006)","plainTextFormattedCitation":"(Wallander, 2006)","previouslyFormattedCitation":"(Wallander, 2006)"},"properties":{"noteIndex":0},"schema":"https://github.com/citation-style-language/schema/raw/master/csl-citation.json"}</w:instrText>
      </w:r>
      <w:r w:rsidRPr="00223DC5">
        <w:fldChar w:fldCharType="separate"/>
      </w:r>
      <w:r w:rsidRPr="00223DC5">
        <w:rPr>
          <w:noProof/>
        </w:rPr>
        <w:t>(Wallander, 2006)</w:t>
      </w:r>
      <w:r w:rsidRPr="00223DC5">
        <w:fldChar w:fldCharType="end"/>
      </w:r>
      <w:r w:rsidRPr="00223DC5">
        <w:t>. Several studies have demonstrated that EM</w:t>
      </w:r>
      <w:r w:rsidR="00E82B00">
        <w:t>F</w:t>
      </w:r>
      <w:r w:rsidRPr="00223DC5">
        <w:t xml:space="preserve"> facilitate the dissolution of minerals via the foraging activity of their extraradical mycelium, to identify and weather nutrient-rich mineral sources </w:t>
      </w:r>
      <w:r w:rsidRPr="00223DC5">
        <w:fldChar w:fldCharType="begin" w:fldLock="1"/>
      </w:r>
      <w:r w:rsidR="00EE33AB">
        <w:instrText>ADDIN CSL_CITATION {"citationItems":[{"id":"ITEM-1","itemData":{"DOI":"10.1111/1758-2229.12459","ISBN":"1758-2229 (Electronic)\\r1758-2229 (Linking)","ISSN":"17582229","PMID":"27588362","abstract":"Symbiotic ectomycorrhizal fungi mobilize nutrients from both organic and inorganic substrates and supply them to their host plants. Their role in mobilizing base cations and phosphorus from mineral substrates through weathering has received increasing attention in recent years but the processes involved remain to be elucidated. We grew selected ectomycorrhizal and nonmycorrhizal fungi in axenic systems containing mineral and organic substrates and examined their capacity to fractionate and assimilate stable isotopes of magnesium. The mycorrhizal fungi were significantly depleted in heavy isotopes with the lowest Δ26Mg values (the difference between δ26Mg in fungal tissue and δ26Mg in the substrate) compared with nonmycorrhizal fungi, when grown on mineral substrates containing granite particles. The ectomycorrhizal fungi accumulated significantly higher concentrations of Mg, K and P than the nonmycorrhizal fungi. There was a highly significant statistical relationship between δ26Mg tissue signature and mycelial concentration of Mg, with a clear separation between most ectomycorrhizal fungi and the nonmycorrhizal fungi. These results are consistent with the idea that ectomycorrhizal fungi have evolved efficient mechanisms to mobilize, transport and store Mg within their mycelia.","author":[{"dropping-particle":"","family":"Fahad","given":"Zaenab A.","non-dropping-particle":"","parse-names":false,"suffix":""},{"dropping-particle":"","family":"Bolou-Bi","given":"Emile B.","non-dropping-particle":"","parse-names":false,"suffix":""},{"dropping-particle":"","family":"Köhler","given":"Stephan J.","non-dropping-particle":"","parse-names":false,"suffix":""},{"dropping-particle":"","family":"Finlay","given":"Roger D.","non-dropping-particle":"","parse-names":false,"suffix":""},{"dropping-particle":"","family":"Mahmood","given":"Shahid","non-dropping-particle":"","parse-names":false,"suffix":""}],"container-title":"Environmental Microbiology Reports","id":"ITEM-1","issue":"6","issued":{"date-parts":[["2016"]]},"page":"956-965","title":"Fractionation and assimilation of Mg isotopes by fungi is species dependent","type":"article-journal","volume":"8"},"uris":["http://www.mendeley.com/documents/?uuid=c3168ea3-9e6d-42c3-9578-b3558c6010ab"]},{"id":"ITEM-2","itemData":{"DOI":"10.1111/pce.12444","ISBN":"0140-7791","ISSN":"01407791","PMID":"25211602","abstract":"On million-year timescales, carbonate rock weathering exerts no net effect on atmospheric CO2 concentration. However, on timescales of decades-to-centuries, it can contribute to sequestration of anthropogenic CO2 and increase land-ocean alkalinity flux, counteracting ocean acidification. Historical evidence indicates this flux is sensitive to land use change, and recent experimental evidence suggests that trees and their associated soil microbial communities are major drivers of continental mineral weathering. Here, we review key physical and chemical mechanisms by which the symbiotic mycorrhizal fungi of forest tree roots potentially enhance carbonate rock weathering. Evidence from our ongoing field study at the UK's national pinetum confirms increased weathering of carbonate rocks by a wide range of gymnosperm and angiosperm tree species that form arbuscular (AM) or ectomycorrhizal (EM) fungal partnerships. We demonstrate that calcite-containing rock grains under EM tree species weather significantly faster than those under AM trees, an effect linked to greater soil acidification by EM trees. Weathering and corresponding alkalinity export are likely to increase with rising atmospheric CO2 and associated climate change. Our analyses suggest that strategic planting of fast-growing EM angiosperm taxa on calcite- and dolomite-rich terrain might accelerate the transient sink for atmospheric CO2 and slow rates of ocean acidification.","author":[{"dropping-particle":"","family":"Thorley","given":"Rachel M. S.","non-dropping-particle":"","parse-names":false,"suffix":""},{"dropping-particle":"","family":"Taylor","given":"Lyla L.","non-dropping-particle":"","parse-names":false,"suffix":""},{"dropping-particle":"","family":"Banwart","given":"Steve A.","non-dropping-particle":"","parse-names":false,"suffix":""},{"dropping-particle":"","family":"Leake","given":"Jonathan R.","non-dropping-particle":"","parse-names":false,"suffix":""},{"dropping-particle":"","family":"Beerling","given":"David J.","non-dropping-particle":"","parse-names":false,"suffix":""}],"container-title":"Plant, Cell &amp; Environment","id":"ITEM-2","issue":"9","issued":{"date-parts":[["2015"]]},"page":"1947-1961","title":"The role of forest trees and their mycorrhizal fungi in carbonate rock weathering and its significance for global carbon cycling","type":"article-journal","volume":"38"},"uris":["http://www.mendeley.com/documents/?uuid=ca667e3a-9fff-4599-87bd-32966a02491d"]},{"id":"ITEM-3","itemData":{"DOI":"10.1007/s00572-012-0431-5","ISSN":"1432-1890","PMID":"22349958","abstract":"Plants in association with soil microorganisms play an important role in mineral weathering. Studies have shown that plants in symbiosis with ectomycorrhizal (ECM) fungi have the potential to increase the uptake of mineral-derived nutrients. However, it is usually difficult to study many of the different factors that influence ectomycorrhizal weathering in a single experiment. In the present study, we carried out a pot experiment where Pinus patula seedlings were grown with or without ECM fungi in the presence of iron ore minerals. The ECM fungi used included Pisolithus tinctorius, Paxillus involutus, Laccaria bicolor and Suillus tomentosus. After 24 weeks, harvesting of the plants was carried out. The concentration of organic acids released into the soil, as well as potassium and phosphorus released from the iron ore were measured. The results suggest that different roles of ectomycorrhizal fungi in mineral weathering such as nutrient absorption and transfer, improving the health of plants and ensuring nutrient circulation in the ecosystem, are species specific, and both mycorrhizal roots and non-mycorrhizal roots can participate in the weathering process of iron ore minerals.","author":[{"dropping-particle":"","family":"Adeleke","given":"R A","non-dropping-particle":"","parse-names":false,"suffix":""},{"dropping-particle":"","family":"Cloete","given":"T E","non-dropping-particle":"","parse-names":false,"suffix":""},{"dropping-particle":"","family":"Bertrand","given":"A","non-dropping-particle":"","parse-names":false,"suffix":""},{"dropping-particle":"","family":"Khasa","given":"D P","non-dropping-particle":"","parse-names":false,"suffix":""}],"container-title":"Mycorrhiza","id":"ITEM-3","issue":"7","issued":{"date-parts":[["2012","10"]]},"page":"535-44","title":"Iron ore weathering potentials of ectomycorrhizal plants.","type":"article-journal","volume":"22"},"uris":["http://www.mendeley.com/documents/?uuid=3589df07-19a9-4e78-8360-00c11dbe76b2"]},{"id":"ITEM-4","itemData":{"DOI":"10.1180/minmag.2008.072.1.85","ISSN":"0026461X","author":[{"dropping-particle":"","family":"Leake","given":"J. R.","non-dropping-particle":"","parse-names":false,"suffix":""},{"dropping-particle":"","family":"Duran","given":"a. L.","non-dropping-particle":"","parse-names":false,"suffix":""},{"dropping-particle":"","family":"Hardy","given":"K. E.","non-dropping-particle":"","parse-names":false,"suffix":""},{"dropping-particle":"","family":"Johnson","given":"I.","non-dropping-particle":"","parse-names":false,"suffix":""},{"dropping-particle":"","family":"Beerling","given":"D. J.","non-dropping-particle":"","parse-names":false,"suffix":""},{"dropping-particle":"","family":"Banwart","given":"S. a.","non-dropping-particle":"","parse-names":false,"suffix":""},{"dropping-particle":"","family":"Smits","given":"M. M.","non-dropping-particle":"","parse-names":false,"suffix":""}],"container-title":"Mineralogical Magazine","id":"ITEM-4","issue":"1","issued":{"date-parts":[["2008","2","1"]]},"page":"85-89","title":"Biological weathering in soil: the role of symbiotic root-associated fungi biosensing minerals and directing photosynthate-energy into grain-scale mineral weathering","type":"article-journal","volume":"72"},"uris":["http://www.mendeley.com/documents/?uuid=8f1f2313-6e4d-45da-85de-8401fda7a19a"]},{"id":"ITEM-5","itemData":{"DOI":"10.1111/j.1469-8137.2006.01790.x","ISSN":"0028-646X","PMID":"16918551","abstract":"Ectomycorrhizal fungi are hypothesized to enhance mineral weathering in forest soils. Several studies have shown an increased uptake of mineral-derived nutrients by trees when in symbiosis with ectomycorrhizal fungi. However, it is difficult to determine from these studies if the improved nutrient uptake is the result of increased weathering or better exploitation of the substrate by the ectomycorrhizal fungi. In a pot experiment, Pinus sylvestris (Scots pine) seedlings were grown with or without ectomycorrhizal fungi, and with or without the mineral muscovite as the only potassium (K) source or the mineral hornblende as the only magnesium (Mg) source. After 27 wk, all pools of non-mineral-bound K or Mg were determined. The ectomycorrhizal fungus Paxillus involutus increased weathering of muscovite but not hornblende. The other ectomycorrhizal fungi tested, Piloderma croceum and Suillus bovinus, did not increase weathering of either muscovite or hornblende compared with the nonmycorrhizal trees. The P. involutus-mediated mobilization of K from muscovite resulted in increased K content of root plus adhering hyphae, but not of shoots. In conclusion, ectomycorrhizal fungi may increase weathering of minerals in response to nutrient deficiencies, but this response is species specific.","author":[{"dropping-particle":"","family":"Schöll","given":"Laura","non-dropping-particle":"van","parse-names":false,"suffix":""},{"dropping-particle":"","family":"Smits","given":"Mark M","non-dropping-particle":"","parse-names":false,"suffix":""},{"dropping-particle":"","family":"Hoffland","given":"Ellis","non-dropping-particle":"","parse-names":false,"suffix":""}],"container-title":"The New phytologist","id":"ITEM-5","issue":"4","issued":{"date-parts":[["2006","1"]]},"page":"805-13","title":"Ectomycorrhizal weathering of the soil minerals muscovite and hornblende.","type":"article-journal","volume":"171"},"uris":["http://www.mendeley.com/documents/?uuid=f0fc8283-a3fe-4700-8cf6-b2cdff6c9093"]},{"id":"ITEM-6","itemData":{"DOI":"10.1023/B:PLSO.0000037055.67646.97","ISBN":"0032-079X","ISSN":"0032079X","abstract":"Growth, proton and oxalate efflux, K absorption and mineral depletion by one isolate of Cenococcum geophilum Fr., by a putative isolate of Pisolithus microcarpus and by two isolates of Pisolithus sp. were compared in pure liquid culture using either vermiculite or phlogopite as sole K source. An isolate from China (Pisolithus strain XC1) showed greatest biomass and K accumulation from both minerals. There were inverse correlations between reduction in HCl-extractable K and fungal proton efflux (r = -0.912, P &lt; 0.001) and between the ratio (total K lost from the substrate: K accumulation in hyphae) and oxalate efflux (r = -0.890, P &lt; 0.001). Protons effused from the fungi may have replaced interlayer K, and oxalate effused may have led to biological weathering of the minerals, especially under conditions of limited exchangeable K with phlogopite as K source. Pisolithus sp. and Pisolithus XCl gave high depletion rates of CH3COONH4- and HCl-extractable K from the minerals and were therefore selected to study the growth and mobilization and utilization of K from the minerals by ectomycorrhizal eucalypt (Eucalyptus globulus Labill.) seedlings. Mycorrhizal seedlings extracted more K from the two minerals than did non-mycorrhizal controls, and those colonized by Pisolithus XC1 accumulated much more K than those inoculated with Pisolithus sp., a similar trend to fungal K accumulation in vitro. Non-mycorrhizal seedlings extracted very little HF-HClO4-extractable K from the minerals following sequential extraction with H2O, CH3COONH4 and HCl. In contrast, mycorrhizal seedlings significantly depleted K, although there was no difference between the two fungal strains. Patterns of depletion of sequentially extractable K fractions in the minerals by the fungi in pure culture in vitro differed from those exhibited by the fungus-root associations.","author":[{"dropping-particle":"","family":"Yuan","given":"Ling","non-dropping-particle":"","parse-names":false,"suffix":""},{"dropping-particle":"","family":"Huang","given":"Jianguo","non-dropping-particle":"","parse-names":false,"suffix":""},{"dropping-particle":"","family":"Li","given":"Xiaolin","non-dropping-particle":"","parse-names":false,"suffix":""},{"dropping-particle":"","family":"Christie","given":"Peter","non-dropping-particle":"","parse-names":false,"suffix":""}],"container-title":"Plant and Soil","id":"ITEM-6","issue":"1-2","issued":{"date-parts":[["2004"]]},"page":"351-361","title":"Biological mobilization of potassium from clay minerals by ectomycorrhizal fungi and eucalypt seedling roots","type":"article-journal","volume":"262"},"uris":["http://www.mendeley.com/documents/?uuid=482a1771-97fa-4d4a-a5a2-86b54bacd7d8"]},{"id":"ITEM-7","itemData":{"DOI":"10.1046/j.1365-2389.2003.00581.x","ISBN":"1351-0754","ISSN":"13510754","abstract":"http://dx.doi.org/10.1046/j.1365-2389.2003.00581.x","author":[{"dropping-particle":"","family":"Hees","given":"P. A.W.","non-dropping-particle":"Van","parse-names":false,"suffix":""},{"dropping-particle":"","family":"Jones","given":"D. L.","non-dropping-particle":"","parse-names":false,"suffix":""},{"dropping-particle":"","family":"Jentschke","given":"G.","non-dropping-particle":"","parse-names":false,"suffix":""},{"dropping-particle":"","family":"Godbold","given":"D. L.","non-dropping-particle":"","parse-names":false,"suffix":""}],"container-title":"European Journal of Soil Science","id":"ITEM-7","issue":"1","issued":{"date-parts":[["2004"]]},"page":"101-111","title":"Mobilization of aluminium, iron and silicon by Picea abies and ectomycorrhizas in a forest soil","type":"article-journal","volume":"55"},"uris":["http://www.mendeley.com/documents/?uuid=af072468-327d-49e0-acf1-7b172f7f43b0"]},{"id":"ITEM-8","itemData":{"DOI":"10.1016/S0378-1127(99)00298-4","ISBN":"0378-1127","ISSN":"03781127","abstract":"The soil solution is considered an important index of nutrient availability, because it mimics the field conditions when plant roots obtained their nutrition, and reflects the weatherability of a particular soil mineral. The composition of soil solution is sensitive to physical, biological and chemical changes to soil systems, including the presence of fungal hyphae and rhizomorphs from ectomycorrhizal colonization. The objective of this paper is to compare the soil solution composition extracted from two ectomycorrhizosphere soils (or soil environment in the vicinity of ectomycorrhizae) to non- ectomycorrhizosphere soil of subalpine fir (Abies lasiocarpa (Hook.) Nutt.) in the Ae horizon of Gray Luvisol in northern British Columbia. We extracted the soil solution from ectomycorrhizosphere of Piloderma spp. (ECS-A), Mycelium radicis atrovirens-cottony yellow-brown types (or where Piloderma spp. colonization was &lt;2%) (ECS-B), and from non-ectomycorrhizosphere soils (N-ECM). These soils had been equilibrated anaerobically at field capacity for three weeks at room temperature. The content of major cations in solution, regardless of soil sample, followed the order Ca2+&gt; K+&gt; Mg2+. We found that the concentrations as well as the activities of these cations followed the order ECS-A &gt; ECS-B &gt; N-ECM. A similar trend is true for K a parameter for the availability of soil K+. These trends are consistent to the results of geochemical models of more negative saturation index (or enhanced weathering) for muscovite, chlorite, anorthite and K-feldspars in ECS-A and ECS-B compared to N-ECM soils. Low pH in the ectomycorrhizosphere sample is believed to be responsible for the differential breakdown of soil minerals and the increased availability of K+, Ca2+and Mg2+in soil solution. The results from this study could have practical application in forestry, such as in use of fungal inoculation for improved survival of seedlings, especially in areas that shows deficiency of potassium and calcium. (C) 2000 Elsevier Science B.V.","author":[{"dropping-particle":"","family":"Arocena","given":"J. M.","non-dropping-particle":"","parse-names":false,"suffix":""},{"dropping-particle":"","family":"Glowa","given":"K. R.","non-dropping-particle":"","parse-names":false,"suffix":""}],"container-title":"Forest Ecology and Management","id":"ITEM-8","issue":"1-2","issued":{"date-parts":[["2000"]]},"page":"61-70","title":"Mineral weathering in ectomycorrhizosphere of subalpine fir (Abies lasiocarpa (Hook.) Nutt.) as revealed by soil solution composition","type":"article-journal","volume":"133"},"uris":["http://www.mendeley.com/documents/?uuid=73a6ff0f-8b98-4aec-b094-cce1c02859a9"]},{"id":"ITEM-9","itemData":{"DOI":"10.1007/s005720050259","ISBN":"0940-6360","ISSN":"09406360","abstract":"The aim of this study was to investigate the role of plants colonised by two ectomycorrhizal fungi, Paxillus involutus and Suillus variegatus, in mobilising potassium (K) from biotite and microcline, two miner- als common in acid to medium-acid bedrock. This was carried out in a 33-week pot study with seedlings of Pinus sylvestris growing in symbiosis with the fungi, where no K was added or where K was added in the form of biotite or microcline. The mineral additions were similar to those found in natural soils. All seed- lings, including non-mycorrhizal, were able to access the K in biotite, leading to stimulated growth and K up- take relative to controls. Microcline addition induced growth depression in all seedlings except those colon- ised by P. involutus, which were stimulated. The soil solution from S. variegatus-colonised seedlings grown with biotite had higher concentrations of citric and ox- alic acid. Citric acid concentration was positively corre- lated to the fungal biomass (ergosterol) in the soil, as well as to the foliar K in S. variegatus-colonised seed- lings. Seedlings growing without K addition had low K concentrations in the shoot. Magnesium (Mg) concen- trations were enhanced in seedlings with severe K shortage, indicating that Mg can substitute for K, while calcium concentrations did not vary significantly.","author":[{"dropping-particle":"","family":"Wallander","given":"Håkan","non-dropping-particle":"","parse-names":false,"suffix":""},{"dropping-particle":"","family":"Wickman","given":"Tonie","non-dropping-particle":"","parse-names":false,"suffix":""}],"container-title":"Mycorrhiza","id":"ITEM-9","issue":"1","issued":{"date-parts":[["1999"]]},"page":"25-32","title":"Biotite and microcline as potassium sources in ectomycorrhizal and non-mycorrhizal Pinus sylvestris seedlings","type":"article-journal","volume":"9"},"uris":["http://www.mendeley.com/documents/?uuid=494f79bb-316a-4323-b480-fdc5f960e53c"]},{"id":"ITEM-10","itemData":{"DOI":"10.2136/sssaj1991.03615995005500040020x","ISBN":"0361-5995","author":[{"dropping-particle":"","family":"Leyval","given":"C","non-dropping-particle":"","parse-names":false,"suffix":""},{"dropping-particle":"","family":"Berthelin","given":"J","non-dropping-particle":"","parse-names":false,"suffix":""}],"container-title":"Soil Science Society of America journal.","id":"ITEM-10","issue":"4","issued":{"date-parts":[["1991"]]},"page":"1009-1016","title":"Weathering of a Mica by Roots and Rhizospheric Microorganisms of Pine","type":"article","volume":"55"},"uris":["http://www.mendeley.com/documents/?uuid=7e18271c-3d3e-4944-a7f4-9937512598d7"]}],"mendeley":{"formattedCitation":"(Fahad et al., 2016; Thorley et al., 2015; Adeleke et al., 2012; Leake et al., 2008; van Schöll et al., 2006b; Yuan et al., 2004; Van Hees et al., 2004; Arocena and Glowa, 2000; Wallander and Wickman, 1999; Leyval and Berthelin, 1991)","plainTextFormattedCitation":"(Fahad et al., 2016; Thorley et al., 2015; Adeleke et al., 2012; Leake et al., 2008; van Schöll et al., 2006b; Yuan et al., 2004; Van Hees et al., 2004; Arocena and Glowa, 2000; Wallander and Wickman, 1999; Leyval and Berthelin, 1991)","previouslyFormattedCitation":"(Fahad et al., 2016; Thorley et al., 2015; Adeleke et al., 2012; Leake et al., 2008; van Schöll et al., 2006b; Yuan et al., 2004; Van Hees et al., 2004; Arocena and Glowa, 2000; Wallander and Wickman, 1999; Leyval and Berthelin, 1991)"},"properties":{"noteIndex":0},"schema":"https://github.com/citation-style-language/schema/raw/master/csl-citation.json"}</w:instrText>
      </w:r>
      <w:r w:rsidRPr="00223DC5">
        <w:fldChar w:fldCharType="separate"/>
      </w:r>
      <w:r w:rsidR="002B6DDA" w:rsidRPr="002B6DDA">
        <w:rPr>
          <w:noProof/>
        </w:rPr>
        <w:t>(Fahad et al., 2016; Thorley et al., 2015; Adeleke et al., 2012; Leake et al., 2008; van Schöll et al., 2006b; Yuan et al., 2004; Van Hees et al., 2004; Arocena and Glowa, 2000; Wallander and Wickman, 1999; Leyval and Berthelin, 1991)</w:t>
      </w:r>
      <w:r w:rsidRPr="00223DC5">
        <w:fldChar w:fldCharType="end"/>
      </w:r>
      <w:r w:rsidRPr="00223DC5">
        <w:t>.</w:t>
      </w:r>
      <w:r w:rsidR="00844892">
        <w:t xml:space="preserve"> </w:t>
      </w:r>
      <w:r w:rsidRPr="00223DC5">
        <w:t xml:space="preserve">EMF can drive the dissolution of minerals mainly by exudation of </w:t>
      </w:r>
      <w:r w:rsidR="005D49C9">
        <w:t>H</w:t>
      </w:r>
      <w:r w:rsidR="005D49C9" w:rsidRPr="00720F46">
        <w:rPr>
          <w:vertAlign w:val="superscript"/>
        </w:rPr>
        <w:t>+</w:t>
      </w:r>
      <w:r w:rsidRPr="00223DC5">
        <w:t xml:space="preserve"> and organic acids via their hypha</w:t>
      </w:r>
      <w:r w:rsidR="005F4AD2">
        <w:t>e</w:t>
      </w:r>
      <w:r w:rsidRPr="00223DC5">
        <w:t xml:space="preserve"> during growth on a mineral substrate. In particular, fungal hypha is engaged in the uptake of cations </w:t>
      </w:r>
      <w:r w:rsidR="00844892">
        <w:t xml:space="preserve">from the mineral’s surface while </w:t>
      </w:r>
      <w:r w:rsidRPr="00223DC5">
        <w:t xml:space="preserve">at the same time exudates </w:t>
      </w:r>
      <w:r w:rsidR="005D49C9">
        <w:t>H</w:t>
      </w:r>
      <w:r w:rsidR="005D49C9" w:rsidRPr="00720F46">
        <w:rPr>
          <w:vertAlign w:val="superscript"/>
        </w:rPr>
        <w:t>+</w:t>
      </w:r>
      <w:r w:rsidRPr="00223DC5">
        <w:t xml:space="preserve"> leading to substrate's acidification and hence </w:t>
      </w:r>
      <w:r w:rsidR="00844892">
        <w:t xml:space="preserve">mineral </w:t>
      </w:r>
      <w:r w:rsidRPr="00223DC5">
        <w:t xml:space="preserve">weathering </w:t>
      </w:r>
      <w:r w:rsidRPr="00223DC5">
        <w:fldChar w:fldCharType="begin" w:fldLock="1"/>
      </w:r>
      <w:r w:rsidR="00EE33AB">
        <w:instrText>ADDIN CSL_CITATION {"citationItems":[{"id":"ITEM-1","itemData":{"DOI":"DOI: 10.1017/CBO9780511550522.015","ISBN":"9780521845793","abstract":"IntroductionEctomycorrhizal fungi (EMF) form symbioses with forest trees. These fungi are mainly basidiomycetes and ascomycetes and they probably evolved from saprotrophic fungi when organic matter began to accumulate in certain soils 200 million years ago (Cairney, 2000). The tree host benefits from the symbiosis through improved nutrient acquisition since the fungus explores the soil efficiently for nutrients (especially N and P) in return for host carbon (Smith &amp;amp; Read, 1997). Forest trees with ectomycorrhiza usually dominate in acidic soils with thick litter layers, with the associated EMF forming extensive external mycelia with a high capacity to take up nutrients from the soil. The fungi form mantles around the root tips with large storage capacities (Read, 1991). The trees invest large amounts of carbon in the ectomycorrhizal (EM) symbionts, especially under nutrient-poor conditions, with up to 20% of photosynthetic assimilates allocated to the mycorrhizal symbionts (Finlay &amp;amp; Söderström, 1992). This large carbon source for EMF gives them an advantage over non-symbiotic microorganisms in the soil ecosystem since these are usually carbon-limited (Aldén et al., 2001). The importance of current photosynthate for soil processes was recently demonstrated by Högberg et al. (2001), who girdled trees in northern Sweden and found a rapid reduction in soil respiration of more than 50% within 1–2 months. More precise calculations the second year after girdling demonstrated that 65% of total respiration was contributed by EM roots, their associated EMF and other rhizosphere microorganisms (Bhupinderpal-Singh et al., 2003).","author":[{"dropping-particle":"","family":"Wallander","given":"Håkan","non-dropping-particle":"","parse-names":false,"suffix":""}],"collection-title":"British Mycological Society Symposia","container-title":"Fungi in Biogeochemical Cycles","editor":[{"dropping-particle":"","family":"Gadd","given":"Geoffrey Michael","non-dropping-particle":"","parse-names":false,"suffix":""}],"id":"ITEM-1","issued":{"date-parts":[["2006"]]},"page":"328-343","publisher":"Cambridge University Press","publisher-place":"Cambridge","title":"Mineral dissolution by ectomycorrhizal fungi","type":"chapter"},"uris":["http://www.mendeley.com/documents/?uuid=164faa4b-0e3a-4531-9aab-3648d9cf6f6f"]}],"mendeley":{"formattedCitation":"(Wallander, 2006)","plainTextFormattedCitation":"(Wallander, 2006)","previouslyFormattedCitation":"(Wallander, 2006)"},"properties":{"noteIndex":0},"schema":"https://github.com/citation-style-language/schema/raw/master/csl-citation.json"}</w:instrText>
      </w:r>
      <w:r w:rsidRPr="00223DC5">
        <w:fldChar w:fldCharType="separate"/>
      </w:r>
      <w:r w:rsidRPr="00223DC5">
        <w:rPr>
          <w:noProof/>
        </w:rPr>
        <w:t>(Wallander, 2006)</w:t>
      </w:r>
      <w:r w:rsidRPr="00223DC5">
        <w:fldChar w:fldCharType="end"/>
      </w:r>
      <w:r w:rsidRPr="00223DC5">
        <w:t>.</w:t>
      </w:r>
      <w:r w:rsidR="006F1B6D">
        <w:br w:type="page"/>
      </w:r>
    </w:p>
    <w:p w14:paraId="336BF18D" w14:textId="77777777" w:rsidR="00223DC5" w:rsidRPr="00223DC5" w:rsidRDefault="00223DC5" w:rsidP="00635993"/>
    <w:p w14:paraId="4F1E7EB2" w14:textId="77777777" w:rsidR="00223DC5" w:rsidRPr="00223DC5" w:rsidRDefault="00223DC5" w:rsidP="003F7054">
      <w:r w:rsidRPr="00223DC5">
        <w:rPr>
          <w:noProof/>
          <w:lang w:eastAsia="en-GB"/>
        </w:rPr>
        <w:drawing>
          <wp:inline distT="0" distB="0" distL="0" distR="0" wp14:anchorId="6E117957" wp14:editId="2F68E9FB">
            <wp:extent cx="5955944" cy="259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YMB.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00044" cy="2653483"/>
                    </a:xfrm>
                    <a:prstGeom prst="rect">
                      <a:avLst/>
                    </a:prstGeom>
                    <a:ln cap="sq">
                      <a:noFill/>
                      <a:miter lim="800000"/>
                    </a:ln>
                    <a:effectLst/>
                  </pic:spPr>
                </pic:pic>
              </a:graphicData>
            </a:graphic>
          </wp:inline>
        </w:drawing>
      </w:r>
    </w:p>
    <w:p w14:paraId="5FEF4FA6" w14:textId="411B23C5" w:rsidR="00223DC5" w:rsidRPr="00B46FB7" w:rsidRDefault="00223DC5" w:rsidP="00635993">
      <w:pPr>
        <w:pStyle w:val="Subtitle"/>
        <w:pBdr>
          <w:top w:val="single" w:sz="4" w:space="1" w:color="auto"/>
        </w:pBdr>
      </w:pPr>
      <w:r w:rsidRPr="003F7054">
        <w:t xml:space="preserve">Figure 1.1 </w:t>
      </w:r>
      <w:r w:rsidRPr="00635993">
        <w:rPr>
          <w:b w:val="0"/>
        </w:rPr>
        <w:t>Illustration of root colonisation structures in EM symbiosis.</w:t>
      </w:r>
      <w:r w:rsidRPr="003F7054">
        <w:t xml:space="preserve"> </w:t>
      </w:r>
      <w:r w:rsidRPr="00635993">
        <w:rPr>
          <w:b w:val="0"/>
        </w:rPr>
        <w:t>The EM fungal hyphae (blue) surround the root tip forming a thick mantle, which further proliferates in an outward direction forming the extraradical mycelium and inwardly where penetrates the apoplastic space (green) of the root epidermal or cortical cells, forming the Hartig net (</w:t>
      </w:r>
      <w:r w:rsidR="00844892" w:rsidRPr="00635993">
        <w:rPr>
          <w:b w:val="0"/>
        </w:rPr>
        <w:t>adapted</w:t>
      </w:r>
      <w:r w:rsidRPr="00635993">
        <w:rPr>
          <w:b w:val="0"/>
        </w:rPr>
        <w:t xml:space="preserve"> from Bonfante &amp; Genre 2010).</w:t>
      </w:r>
    </w:p>
    <w:p w14:paraId="6FED100F" w14:textId="748E13D8" w:rsidR="00223DC5" w:rsidRPr="00223DC5" w:rsidRDefault="002346A1" w:rsidP="00635993">
      <w:pPr>
        <w:spacing w:line="259" w:lineRule="auto"/>
        <w:jc w:val="left"/>
      </w:pPr>
      <w:r>
        <w:br w:type="page"/>
      </w:r>
    </w:p>
    <w:p w14:paraId="04FF3A92" w14:textId="0947CDCA" w:rsidR="00223DC5" w:rsidRPr="00223DC5" w:rsidRDefault="00223DC5" w:rsidP="00635993">
      <w:pPr>
        <w:pStyle w:val="Heading2"/>
      </w:pPr>
      <w:bookmarkStart w:id="25" w:name="_Toc507603957"/>
      <w:bookmarkStart w:id="26" w:name="_Toc507604224"/>
      <w:bookmarkStart w:id="27" w:name="_Toc519016941"/>
      <w:bookmarkStart w:id="28" w:name="_Toc520837839"/>
      <w:r w:rsidRPr="00223DC5">
        <w:lastRenderedPageBreak/>
        <w:t>1.</w:t>
      </w:r>
      <w:r w:rsidR="008C687F">
        <w:t>3</w:t>
      </w:r>
      <w:r w:rsidRPr="00223DC5">
        <w:t>.1 Role of EM</w:t>
      </w:r>
      <w:r w:rsidR="00BE62F9">
        <w:t>F</w:t>
      </w:r>
      <w:r w:rsidRPr="00223DC5">
        <w:t xml:space="preserve"> in phosphate mineral weathering</w:t>
      </w:r>
      <w:bookmarkEnd w:id="25"/>
      <w:bookmarkEnd w:id="26"/>
      <w:bookmarkEnd w:id="27"/>
      <w:bookmarkEnd w:id="28"/>
    </w:p>
    <w:p w14:paraId="4E76AAB6" w14:textId="112DD4CD" w:rsidR="00223DC5" w:rsidRPr="00223DC5" w:rsidRDefault="00223DC5" w:rsidP="003F7054">
      <w:r w:rsidRPr="00223DC5">
        <w:t xml:space="preserve">Natural minerals of phosphate exceed 250 varieties in number and the most common belong to the apatite family </w:t>
      </w:r>
      <w:r w:rsidRPr="00223DC5">
        <w:fldChar w:fldCharType="begin" w:fldLock="1"/>
      </w:r>
      <w:r w:rsidR="00EE33AB">
        <w:instrText>ADDIN CSL_CITATION {"citationItems":[{"id":"ITEM-1","itemData":{"DOI":"10.1007/978-3-642-61736-2_9","ISBN":"978-3-642-61738-6","abstract":"The known natural phosphate minerals exceed 250 in number (Fisher 1973). However, the more common ones are small in number and belong to the apatite family. This family constitutes the main group of primary phosphates of the lithosphere. The majority of the other minerals result from a supergene alteration by groundwaters, or bat- and bird-guanos. This alteration has been well described in detail by Altschuler (1973), in a fundamental synthesis based on three main topics: the weathering of marine phosphorites, the weathering of carbonatites and the weathering caused by acid guanos. The weathering of phosphatic igneous and metamorphic rocks is not mentioned, probably because it is little known, except in the northeast of Brazil (Lima Da Costa, verbal comm.). Since Altschuler’s synthesis, many studies have been published, some related to the weathering of phosphorites, others to the genesis of new minerals during the weathering process. Most of the mineralogical results obtained from these works are shown in Table 1. Consideration of Table 1 permits the findings of Altschuler (1973, p 78–80) to be extended and allows some general conclusions on the conditions of phosphate minerals weathering and on their behavior during weathering.","author":[{"dropping-particle":"","family":"Flicoteaux","given":"René","non-dropping-particle":"","parse-names":false,"suffix":""},{"dropping-particle":"","family":"Lucas","given":"Jacques","non-dropping-particle":"","parse-names":false,"suffix":""}],"container-title":"Phosphate Minerals SE - 9","editor":[{"dropping-particle":"","family":"Nriagu","given":"JeromeO.","non-dropping-particle":"","parse-names":false,"suffix":""},{"dropping-particle":"","family":"Moore","given":"PaulB.","non-dropping-particle":"","parse-names":false,"suffix":""}],"id":"ITEM-1","issued":{"date-parts":[["1984"]]},"language":"English","page":"292-317","publisher":"Springer Berlin Heidelberg","title":"Weathering Of Phosphate Minerals","type":"chapter"},"uris":["http://www.mendeley.com/documents/?uuid=77108e2b-0fb7-4e05-b199-1ce26761d1e7"]}],"mendeley":{"formattedCitation":"(Flicoteaux and Lucas, 1984)","plainTextFormattedCitation":"(Flicoteaux and Lucas, 1984)","previouslyFormattedCitation":"(Flicoteaux and Lucas, 1984)"},"properties":{"noteIndex":0},"schema":"https://github.com/citation-style-language/schema/raw/master/csl-citation.json"}</w:instrText>
      </w:r>
      <w:r w:rsidRPr="00223DC5">
        <w:fldChar w:fldCharType="separate"/>
      </w:r>
      <w:r w:rsidRPr="00223DC5">
        <w:rPr>
          <w:noProof/>
        </w:rPr>
        <w:t>(Flicoteaux and Lucas, 1984)</w:t>
      </w:r>
      <w:r w:rsidRPr="00223DC5">
        <w:fldChar w:fldCharType="end"/>
      </w:r>
      <w:r w:rsidRPr="00223DC5">
        <w:t xml:space="preserve">. In addition, apatites comprise the leading group of primary phosphates of the lithosphere </w:t>
      </w:r>
      <w:r w:rsidRPr="00223DC5">
        <w:fldChar w:fldCharType="begin" w:fldLock="1"/>
      </w:r>
      <w:r w:rsidR="00EE33AB">
        <w:instrText>ADDIN CSL_CITATION {"citationItems":[{"id":"ITEM-1","itemData":{"DOI":"10.1007/978-3-642-61736-2_9","ISBN":"978-3-642-61738-6","abstract":"The known natural phosphate minerals exceed 250 in number (Fisher 1973). However, the more common ones are small in number and belong to the apatite family. This family constitutes the main group of primary phosphates of the lithosphere. The majority of the other minerals result from a supergene alteration by groundwaters, or bat- and bird-guanos. This alteration has been well described in detail by Altschuler (1973), in a fundamental synthesis based on three main topics: the weathering of marine phosphorites, the weathering of carbonatites and the weathering caused by acid guanos. The weathering of phosphatic igneous and metamorphic rocks is not mentioned, probably because it is little known, except in the northeast of Brazil (Lima Da Costa, verbal comm.). Since Altschuler’s synthesis, many studies have been published, some related to the weathering of phosphorites, others to the genesis of new minerals during the weathering process. Most of the mineralogical results obtained from these works are shown in Table 1. Consideration of Table 1 permits the findings of Altschuler (1973, p 78–80) to be extended and allows some general conclusions on the conditions of phosphate minerals weathering and on their behavior during weathering.","author":[{"dropping-particle":"","family":"Flicoteaux","given":"René","non-dropping-particle":"","parse-names":false,"suffix":""},{"dropping-particle":"","family":"Lucas","given":"Jacques","non-dropping-particle":"","parse-names":false,"suffix":""}],"container-title":"Phosphate Minerals SE - 9","editor":[{"dropping-particle":"","family":"Nriagu","given":"JeromeO.","non-dropping-particle":"","parse-names":false,"suffix":""},{"dropping-particle":"","family":"Moore","given":"PaulB.","non-dropping-particle":"","parse-names":false,"suffix":""}],"id":"ITEM-1","issued":{"date-parts":[["1984"]]},"language":"English","page":"292-317","publisher":"Springer Berlin Heidelberg","title":"Weathering Of Phosphate Minerals","type":"chapter"},"uris":["http://www.mendeley.com/documents/?uuid=77108e2b-0fb7-4e05-b199-1ce26761d1e7"]}],"mendeley":{"formattedCitation":"(Flicoteaux and Lucas, 1984)","plainTextFormattedCitation":"(Flicoteaux and Lucas, 1984)","previouslyFormattedCitation":"(Flicoteaux and Lucas, 1984)"},"properties":{"noteIndex":0},"schema":"https://github.com/citation-style-language/schema/raw/master/csl-citation.json"}</w:instrText>
      </w:r>
      <w:r w:rsidRPr="00223DC5">
        <w:fldChar w:fldCharType="separate"/>
      </w:r>
      <w:r w:rsidRPr="00223DC5">
        <w:rPr>
          <w:noProof/>
        </w:rPr>
        <w:t>(Flicoteaux and Lucas, 1984)</w:t>
      </w:r>
      <w:r w:rsidRPr="00223DC5">
        <w:fldChar w:fldCharType="end"/>
      </w:r>
      <w:r w:rsidRPr="00223DC5">
        <w:t>. The ability of EM</w:t>
      </w:r>
      <w:r w:rsidR="00E82B00">
        <w:t>F</w:t>
      </w:r>
      <w:r w:rsidRPr="00223DC5">
        <w:t xml:space="preserve"> to facilitate the dissolution of phosphate minerals such as apatites has also </w:t>
      </w:r>
      <w:r w:rsidR="00C20001">
        <w:t xml:space="preserve">been </w:t>
      </w:r>
      <w:r w:rsidRPr="00223DC5">
        <w:t xml:space="preserve">demonstrated </w:t>
      </w:r>
      <w:r w:rsidRPr="00223DC5">
        <w:fldChar w:fldCharType="begin" w:fldLock="1"/>
      </w:r>
      <w:r w:rsidR="00EE33AB">
        <w:instrText>ADDIN CSL_CITATION {"citationItems":[{"id":"ITEM-1","itemData":{"DOI":"10.1111/j.1472-4669.2012.00331.x","ISSN":"1472-4669","PMID":"22624799","abstract":"Ectomycorrhizal (EcM) fungi are increasingly recognized as important agents of mineral weathering and soil development, with far-reaching impacts on biogeochemical cycles. Because EcM fungi live in a symbiotic relationship with trees and in close contact with bacteria and archaea, it is difficult to distinguish between the weathering effects of the fungus, host tree and other micro-organisms. Here, we quantified mineral weathering by the fungus Paxillus involutus, growing in symbiosis with Pinus sylvestris under sterile conditions. The mycorrhizal trees were grown in specially designed sterile microcosms in which the supply of soluble phosphorus (P) in the bulk media was varied and grains of the calcium phosphate mineral apatite mixed with quartz, or quartz alone, were provided in plastic wells that were only accessed by their fungal partner. Under P limitation, pulse labelling of plants with (14)CO(2) revealed plant-to-fungus allocation of photosynthates, with 17 times more (14)C transferred into the apatite wells compared with wells with only quartz. Fungal colonization increased the release of P from apatite by almost a factor of three, from 7.5 (±1.1) × 10(-10) mol m(-2) s(-1) to 2.2 (±0.52) × 10(-9) mol m(-2) s(-1). On increasing the P supply in the microcosms from no added P, through apatite alone, to both apatite and orthophosphate, the proportion of biomass in roots progressively increased at the expense of the fungus. These three observations, (i) proportionately more plant energy investment in the fungal partner under P limitation, (ii) preferential fungal transport of photosynthate-derived carbon towards patches of apatite grains and (iii) fungal enhancement of weathering rate, reveal the tightly coupled plant-fungal interactions underpinning enhanced EcM weathering of apatite and its utilization as P source.","author":[{"dropping-particle":"","family":"Smits","given":"M M","non-dropping-particle":"","parse-names":false,"suffix":""},{"dropping-particle":"","family":"Bonneville","given":"S","non-dropping-particle":"","parse-names":false,"suffix":""},{"dropping-particle":"","family":"Benning","given":"L G","non-dropping-particle":"","parse-names":false,"suffix":""},{"dropping-particle":"","family":"Banwart","given":"S a","non-dropping-particle":"","parse-names":false,"suffix":""},{"dropping-particle":"","family":"Leake","given":"J R","non-dropping-particle":"","parse-names":false,"suffix":""}],"container-title":"Geobiology","id":"ITEM-1","issue":"5","issued":{"date-parts":[["2012","9"]]},"page":"445-56","title":"Plant-driven weathering of apatite--the role of an ectomycorrhizal fungus.","type":"article-journal","volume":"10"},"uris":["http://www.mendeley.com/documents/?uuid=93facf83-0170-4a2e-bf59-d0cc3badf46e"]},{"id":"ITEM-2","itemData":{"DOI":"10.1180/minmag.2008.072.1.131","ISSN":"0026461X","author":[{"dropping-particle":"","family":"Smits","given":"M. M.","non-dropping-particle":"","parse-names":false,"suffix":""},{"dropping-particle":"","family":"Bonneville","given":"S.","non-dropping-particle":"","parse-names":false,"suffix":""},{"dropping-particle":"","family":"Haward","given":"S.","non-dropping-particle":"","parse-names":false,"suffix":""},{"dropping-particle":"","family":"Leake","given":"J. R.","non-dropping-particle":"","parse-names":false,"suffix":""}],"container-title":"Mineralogical Magazine","id":"ITEM-2","issue":"1","issued":{"date-parts":[["2008","2","1"]]},"note":"Sverdrup et al (2002) concluded that there is no feedback between nutrient shortage in the tree and increased weathering of minerals containing these nutrients.\n\n\nhowever i want to show that there is molecular feedback mechanism,\n\n\nsince there is evidence of preferential mineral-rich colonisation by EM fungi (in this paper).","page":"131-134","title":"Ectomycorrhizal weathering, a matter of scale?","type":"article-journal","volume":"72"},"uris":["http://www.mendeley.com/documents/?uuid=fcde0d9f-1953-4ba8-928e-9ceeb3ce98c1"]},{"id":"ITEM-3","itemData":{"DOI":"10.1023/A:1014936217105","ISBN":"0032-079X","ISSN":"0032-079X","abstract":"Wallander, H., 2000. Uptake of P from apatite by Pinus sylvestris seedlings colonised by different ectomycorrhizal fungi. Plant and Soil 218, 249–256.","author":[{"dropping-particle":"","family":"Wallander","given":"Håkan","non-dropping-particle":"","parse-names":false,"suffix":""}],"container-title":"Plant and Soil","id":"ITEM-3","issued":{"date-parts":[["2000"]]},"page":"249-256","title":"Uptake of P from apatite by Pinus sylvestris seedlings colonised by different ectomycorrhizal fungi","type":"article-journal","volume":"218"},"uris":["http://www.mendeley.com/documents/?uuid=481cec61-1c76-4378-9ab6-82c748a4b8d9"]},{"id":"ITEM-4","itemData":{"DOI":"10.1139/b91-046","ISSN":"0008-4026","author":[{"dropping-particle":"","family":"Lapeyrie","given":"F","non-dropping-particle":"","parse-names":false,"suffix":""},{"dropping-particle":"","family":"Ranger","given":"J","non-dropping-particle":"","parse-names":false,"suffix":""},{"dropping-particle":"","family":"Vairelles","given":"D","non-dropping-particle":"","parse-names":false,"suffix":""}],"container-title":"Canadian Journal of Botany","id":"ITEM-4","issue":"2","issued":{"date-parts":[["1991","2","1"]]},"note":"doi: 10.1139/b91-046","page":"342-346","publisher":"NRC Research Press","title":"Phosphate-solubilizing activity of ectomycorrhizal fungi in vitro","type":"article-journal","volume":"69"},"uris":["http://www.mendeley.com/documents/?uuid=4906a540-2ecd-4f2f-a297-154ce76ea523"]}],"mendeley":{"formattedCitation":"(Smits et al., 2012, 2008; Wallander, 2000; Lapeyrie et al., 1991)","plainTextFormattedCitation":"(Smits et al., 2012, 2008; Wallander, 2000; Lapeyrie et al., 1991)","previouslyFormattedCitation":"(Smits et al., 2012, 2008; Wallander, 2000; Lapeyrie et al., 1991)"},"properties":{"noteIndex":0},"schema":"https://github.com/citation-style-language/schema/raw/master/csl-citation.json"}</w:instrText>
      </w:r>
      <w:r w:rsidRPr="00223DC5">
        <w:fldChar w:fldCharType="separate"/>
      </w:r>
      <w:r w:rsidRPr="00223DC5">
        <w:rPr>
          <w:noProof/>
        </w:rPr>
        <w:t>(Smits et al., 2012, 2008; Wallander, 2000; Lapeyrie et al., 1991)</w:t>
      </w:r>
      <w:r w:rsidRPr="00223DC5">
        <w:fldChar w:fldCharType="end"/>
      </w:r>
      <w:r w:rsidRPr="00223DC5">
        <w:t xml:space="preserve">. Within the last ten years, it has become evident that EMF may significantly contribute to phosphate mineral weathering in boreal and temperate forested ecosystems </w:t>
      </w:r>
      <w:r w:rsidR="00296D97">
        <w:fldChar w:fldCharType="begin" w:fldLock="1"/>
      </w:r>
      <w:r w:rsidR="00EE33AB">
        <w:instrText>ADDIN CSL_CITATION {"citationItems":[{"id":"ITEM-1","itemData":{"ISSN":"0169-5347","PMID":"11301154","abstract":"Plant nutrients, with the exception of nitrogen, are ultimately derived from weathering of primary minerals. Traditional theories about the role of ectomycorrhizal fungi in plant nutrition have emphasized quantitative effects on uptake and transport of dissolved nutrients. Qualitative effects of the symbiosis on the ability of plants to access organic nitrogen and phosphorus sources have also become increasingly apparent. Recent research suggests that ectomycorrhizal fungi mobilize other essential plant nutrients directly from minerals through excretion of organic acids. This enables ectomycorrhizal plants to utilize essential nutrients from insoluble mineral sources and affects nutrient cycling in forest systems.","author":[{"dropping-particle":"","family":"Landeweert","given":"R","non-dropping-particle":"","parse-names":false,"suffix":""},{"dropping-particle":"","family":"Hoffland","given":"E","non-dropping-particle":"","parse-names":false,"suffix":""},{"dropping-particle":"","family":"Finlay","given":"R D.","non-dropping-particle":"","parse-names":false,"suffix":""},{"dropping-particle":"","family":"Kuyper","given":"T W.","non-dropping-particle":"","parse-names":false,"suffix":""},{"dropping-particle":"","family":"Breemen","given":"N","non-dropping-particle":"van","parse-names":false,"suffix":""}],"container-title":"Trends in ecology &amp; evolution","id":"ITEM-1","issue":"5","issued":{"date-parts":[["2001","5","1"]]},"page":"248-254","title":"Linking plants to rocks: ectomycorrhizal fungi mobilize nutrients from minerals.","type":"article-journal","volume":"16"},"uris":["http://www.mendeley.com/documents/?uuid=f953cb96-975b-480b-b56e-16ba47afa02f"]},{"id":"ITEM-2","itemData":{"DOI":"10.1180/minmag.2008.072.1.131","ISSN":"0026461X","author":[{"dropping-particle":"","family":"Smits","given":"M. M.","non-dropping-particle":"","parse-names":false,"suffix":""},{"dropping-particle":"","family":"Bonneville","given":"S.","non-dropping-particle":"","parse-names":false,"suffix":""},{"dropping-particle":"","family":"Haward","given":"S.","non-dropping-particle":"","parse-names":false,"suffix":""},{"dropping-particle":"","family":"Leake","given":"J. R.","non-dropping-particle":"","parse-names":false,"suffix":""}],"container-title":"Mineralogical Magazine","id":"ITEM-2","issue":"1","issued":{"date-parts":[["2008","2","1"]]},"note":"Sverdrup et al (2002) concluded that there is no feedback between nutrient shortage in the tree and increased weathering of minerals containing these nutrients.\n\n\nhowever i want to show that there is molecular feedback mechanism,\n\n\nsince there is evidence of preferential mineral-rich colonisation by EM fungi (in this paper).","page":"131-134","title":"Ectomycorrhizal weathering, a matter of scale?","type":"article-journal","volume":"72"},"uris":["http://www.mendeley.com/documents/?uuid=fcde0d9f-1953-4ba8-928e-9ceeb3ce98c1"]}],"mendeley":{"formattedCitation":"(Landeweert et al., 2001; Smits et al., 2008)","plainTextFormattedCitation":"(Landeweert et al., 2001; Smits et al., 2008)","previouslyFormattedCitation":"(Landeweert et al., 2001; Smits et al., 2008)"},"properties":{"noteIndex":0},"schema":"https://github.com/citation-style-language/schema/raw/master/csl-citation.json"}</w:instrText>
      </w:r>
      <w:r w:rsidR="00296D97">
        <w:fldChar w:fldCharType="separate"/>
      </w:r>
      <w:r w:rsidR="00296D97" w:rsidRPr="00296D97">
        <w:rPr>
          <w:noProof/>
        </w:rPr>
        <w:t>(Landeweert et al., 2001; Smits et al., 2008)</w:t>
      </w:r>
      <w:r w:rsidR="00296D97">
        <w:fldChar w:fldCharType="end"/>
      </w:r>
      <w:r w:rsidRPr="00223DC5">
        <w:t xml:space="preserve">. In particular, the ability of </w:t>
      </w:r>
      <w:r w:rsidRPr="00223DC5">
        <w:rPr>
          <w:i/>
        </w:rPr>
        <w:t>P. involutus</w:t>
      </w:r>
      <w:r w:rsidRPr="00223DC5">
        <w:t xml:space="preserve"> to weather P-rich minerals, apatite, and other nutrient-rich mineral</w:t>
      </w:r>
      <w:r w:rsidR="009F0C19">
        <w:t>s</w:t>
      </w:r>
      <w:r w:rsidRPr="00223DC5">
        <w:t xml:space="preserve"> has also </w:t>
      </w:r>
      <w:r w:rsidR="009F0C19">
        <w:t xml:space="preserve">been </w:t>
      </w:r>
      <w:r w:rsidRPr="00223DC5">
        <w:t xml:space="preserve">extensively tested </w:t>
      </w:r>
      <w:r w:rsidR="007B7BB9">
        <w:fldChar w:fldCharType="begin" w:fldLock="1"/>
      </w:r>
      <w:r w:rsidR="00EE33AB">
        <w:instrText>ADDIN CSL_CITATION {"citationItems":[{"id":"ITEM-1","itemData":{"DOI":"10.1111/j.1472-4669.2012.00331.x","ISSN":"1472-4669","PMID":"22624799","abstract":"Ectomycorrhizal (EcM) fungi are increasingly recognized as important agents of mineral weathering and soil development, with far-reaching impacts on biogeochemical cycles. Because EcM fungi live in a symbiotic relationship with trees and in close contact with bacteria and archaea, it is difficult to distinguish between the weathering effects of the fungus, host tree and other micro-organisms. Here, we quantified mineral weathering by the fungus Paxillus involutus, growing in symbiosis with Pinus sylvestris under sterile conditions. The mycorrhizal trees were grown in specially designed sterile microcosms in which the supply of soluble phosphorus (P) in the bulk media was varied and grains of the calcium phosphate mineral apatite mixed with quartz, or quartz alone, were provided in plastic wells that were only accessed by their fungal partner. Under P limitation, pulse labelling of plants with (14)CO(2) revealed plant-to-fungus allocation of photosynthates, with 17 times more (14)C transferred into the apatite wells compared with wells with only quartz. Fungal colonization increased the release of P from apatite by almost a factor of three, from 7.5 (±1.1) × 10(-10) mol m(-2) s(-1) to 2.2 (±0.52) × 10(-9) mol m(-2) s(-1). On increasing the P supply in the microcosms from no added P, through apatite alone, to both apatite and orthophosphate, the proportion of biomass in roots progressively increased at the expense of the fungus. These three observations, (i) proportionately more plant energy investment in the fungal partner under P limitation, (ii) preferential fungal transport of photosynthate-derived carbon towards patches of apatite grains and (iii) fungal enhancement of weathering rate, reveal the tightly coupled plant-fungal interactions underpinning enhanced EcM weathering of apatite and its utilization as P source.","author":[{"dropping-particle":"","family":"Smits","given":"M M","non-dropping-particle":"","parse-names":false,"suffix":""},{"dropping-particle":"","family":"Bonneville","given":"S","non-dropping-particle":"","parse-names":false,"suffix":""},{"dropping-particle":"","family":"Benning","given":"L G","non-dropping-particle":"","parse-names":false,"suffix":""},{"dropping-particle":"","family":"Banwart","given":"S a","non-dropping-particle":"","parse-names":false,"suffix":""},{"dropping-particle":"","family":"Leake","given":"J R","non-dropping-particle":"","parse-names":false,"suffix":""}],"container-title":"Geobiology","id":"ITEM-1","issue":"5","issued":{"date-parts":[["2012","9"]]},"page":"445-56","title":"Plant-driven weathering of apatite--the role of an ectomycorrhizal fungus.","type":"article-journal","volume":"10"},"uris":["http://www.mendeley.com/documents/?uuid=93facf83-0170-4a2e-bf59-d0cc3badf46e"]},{"id":"ITEM-2","itemData":{"DOI":"10.1111/j.1469-8137.2006.01790.x","ISSN":"0028-646X","PMID":"16918551","abstract":"Ectomycorrhizal fungi are hypothesized to enhance mineral weathering in forest soils. Several studies have shown an increased uptake of mineral-derived nutrients by trees when in symbiosis with ectomycorrhizal fungi. However, it is difficult to determine from these studies if the improved nutrient uptake is the result of increased weathering or better exploitation of the substrate by the ectomycorrhizal fungi. In a pot experiment, Pinus sylvestris (Scots pine) seedlings were grown with or without ectomycorrhizal fungi, and with or without the mineral muscovite as the only potassium (K) source or the mineral hornblende as the only magnesium (Mg) source. After 27 wk, all pools of non-mineral-bound K or Mg were determined. The ectomycorrhizal fungus Paxillus involutus increased weathering of muscovite but not hornblende. The other ectomycorrhizal fungi tested, Piloderma croceum and Suillus bovinus, did not increase weathering of either muscovite or hornblende compared with the nonmycorrhizal trees. The P. involutus-mediated mobilization of K from muscovite resulted in increased K content of root plus adhering hyphae, but not of shoots. In conclusion, ectomycorrhizal fungi may increase weathering of minerals in response to nutrient deficiencies, but this response is species specific.","author":[{"dropping-particle":"","family":"Schöll","given":"Laura","non-dropping-particle":"van","parse-names":false,"suffix":""},{"dropping-particle":"","family":"Smits","given":"Mark M","non-dropping-particle":"","parse-names":false,"suffix":""},{"dropping-particle":"","family":"Hoffland","given":"Ellis","non-dropping-particle":"","parse-names":false,"suffix":""}],"container-title":"The New phytologist","id":"ITEM-2","issue":"4","issued":{"date-parts":[["2006","1"]]},"page":"805-13","title":"Ectomycorrhizal weathering of the soil minerals muscovite and hornblende.","type":"article-journal","volume":"171"},"uris":["http://www.mendeley.com/documents/?uuid=f0fc8283-a3fe-4700-8cf6-b2cdff6c9093"]}],"mendeley":{"formattedCitation":"(Smits et al., 2012; van Schöll et al., 2006b)","plainTextFormattedCitation":"(Smits et al., 2012; van Schöll et al., 2006b)","previouslyFormattedCitation":"(Smits et al., 2012; van Schöll et al., 2006b)"},"properties":{"noteIndex":0},"schema":"https://github.com/citation-style-language/schema/raw/master/csl-citation.json"}</w:instrText>
      </w:r>
      <w:r w:rsidR="007B7BB9">
        <w:fldChar w:fldCharType="separate"/>
      </w:r>
      <w:r w:rsidR="007F74D4" w:rsidRPr="007F74D4">
        <w:rPr>
          <w:noProof/>
        </w:rPr>
        <w:t>(Smits et al., 2012; van Schöll et al., 2006b)</w:t>
      </w:r>
      <w:r w:rsidR="007B7BB9">
        <w:fldChar w:fldCharType="end"/>
      </w:r>
      <w:r w:rsidR="007F74D4">
        <w:t xml:space="preserve">. </w:t>
      </w:r>
      <w:r w:rsidRPr="00223DC5">
        <w:t xml:space="preserve">Interestingly, it has been shown that </w:t>
      </w:r>
      <w:r w:rsidRPr="00223DC5">
        <w:rPr>
          <w:i/>
        </w:rPr>
        <w:t>P. involutus</w:t>
      </w:r>
      <w:r w:rsidRPr="00223DC5">
        <w:t xml:space="preserve"> can actively forage for nutrient-rich minerals where growing hyphae act as biosensor</w:t>
      </w:r>
      <w:r w:rsidR="00844892">
        <w:t>s</w:t>
      </w:r>
      <w:r w:rsidR="0053691D">
        <w:t xml:space="preserve">, showing </w:t>
      </w:r>
      <w:r w:rsidR="00F1575E">
        <w:t xml:space="preserve">a </w:t>
      </w:r>
      <w:r w:rsidR="0053691D">
        <w:t>preference for</w:t>
      </w:r>
      <w:r w:rsidRPr="00223DC5">
        <w:t xml:space="preserve"> grains with the highest surface-to-volume ratio and highest P content </w:t>
      </w:r>
      <w:r w:rsidR="00635993">
        <w:fldChar w:fldCharType="begin" w:fldLock="1"/>
      </w:r>
      <w:r w:rsidR="00EE33AB">
        <w:instrText>ADDIN CSL_CITATION {"citationItems":[{"id":"ITEM-1","itemData":{"DOI":"10.1180/minmag.2008.072.1.85","ISSN":"0026461X","author":[{"dropping-particle":"","family":"Leake","given":"J. R.","non-dropping-particle":"","parse-names":false,"suffix":""},{"dropping-particle":"","family":"Duran","given":"a. L.","non-dropping-particle":"","parse-names":false,"suffix":""},{"dropping-particle":"","family":"Hardy","given":"K. E.","non-dropping-particle":"","parse-names":false,"suffix":""},{"dropping-particle":"","family":"Johnson","given":"I.","non-dropping-particle":"","parse-names":false,"suffix":""},{"dropping-particle":"","family":"Beerling","given":"D. J.","non-dropping-particle":"","parse-names":false,"suffix":""},{"dropping-particle":"","family":"Banwart","given":"S. a.","non-dropping-particle":"","parse-names":false,"suffix":""},{"dropping-particle":"","family":"Smits","given":"M. M.","non-dropping-particle":"","parse-names":false,"suffix":""}],"container-title":"Mineralogical Magazine","id":"ITEM-1","issue":"1","issued":{"date-parts":[["2008","2","1"]]},"page":"85-89","title":"Biological weathering in soil: the role of symbiotic root-associated fungi biosensing minerals and directing photosynthate-energy into grain-scale mineral weathering","type":"article-journal","volume":"72"},"uris":["http://www.mendeley.com/documents/?uuid=8f1f2313-6e4d-45da-85de-8401fda7a19a"]}],"mendeley":{"formattedCitation":"(Leake et al., 2008)","plainTextFormattedCitation":"(Leake et al., 2008)","previouslyFormattedCitation":"(Leake et al., 2008)"},"properties":{"noteIndex":0},"schema":"https://github.com/citation-style-language/schema/raw/master/csl-citation.json"}</w:instrText>
      </w:r>
      <w:r w:rsidR="00635993">
        <w:fldChar w:fldCharType="separate"/>
      </w:r>
      <w:r w:rsidR="00635993" w:rsidRPr="00635993">
        <w:rPr>
          <w:noProof/>
        </w:rPr>
        <w:t>(Leake et al., 2008)</w:t>
      </w:r>
      <w:r w:rsidR="00635993">
        <w:fldChar w:fldCharType="end"/>
      </w:r>
      <w:r w:rsidRPr="00223DC5">
        <w:t>.</w:t>
      </w:r>
    </w:p>
    <w:p w14:paraId="397FE062" w14:textId="3DE7BAF4" w:rsidR="00223DC5" w:rsidRPr="00223DC5" w:rsidRDefault="00223DC5" w:rsidP="007F746A">
      <w:pPr>
        <w:ind w:firstLine="720"/>
      </w:pPr>
      <w:r w:rsidRPr="00223DC5">
        <w:t xml:space="preserve">P exists in the soil in two primary forms, organic and inorganic. </w:t>
      </w:r>
      <w:r w:rsidR="008C687F">
        <w:t>Pi</w:t>
      </w:r>
      <w:r w:rsidRPr="00223DC5">
        <w:t xml:space="preserve"> is mainly found as mineral as well as</w:t>
      </w:r>
      <w:r w:rsidR="0053691D">
        <w:t xml:space="preserve"> dissolved phosphates, while</w:t>
      </w:r>
      <w:r w:rsidRPr="00223DC5">
        <w:t xml:space="preserve"> organic </w:t>
      </w:r>
      <w:r w:rsidR="008C687F">
        <w:t>P</w:t>
      </w:r>
      <w:r w:rsidRPr="00223DC5">
        <w:t xml:space="preserve"> primarily </w:t>
      </w:r>
      <w:r w:rsidR="009F0C19">
        <w:t xml:space="preserve">is found </w:t>
      </w:r>
      <w:r w:rsidRPr="00223DC5">
        <w:t xml:space="preserve">in the form of </w:t>
      </w:r>
      <w:r w:rsidR="009F0C19" w:rsidRPr="00223DC5">
        <w:t xml:space="preserve">phosphate </w:t>
      </w:r>
      <w:r w:rsidRPr="00223DC5">
        <w:t xml:space="preserve">monoesters, diesters </w:t>
      </w:r>
      <w:r w:rsidR="00844892">
        <w:t>and</w:t>
      </w:r>
      <w:r w:rsidRPr="00223DC5">
        <w:t xml:space="preserve"> inositol phosphates </w:t>
      </w:r>
      <w:r w:rsidRPr="00223DC5">
        <w:fldChar w:fldCharType="begin" w:fldLock="1"/>
      </w:r>
      <w:r w:rsidR="00EE33AB">
        <w:instrText>ADDIN CSL_CITATION {"citationItems":[{"id":"ITEM-1","itemData":{"DOI":"10.1007/s11104-011-0731-0","ISBN":"1110401107310","ISSN":"0032-079X","author":[{"dropping-particle":"","family":"Cairney","given":"John W. G.","non-dropping-particle":"","parse-names":false,"suffix":""}],"container-title":"Plant and Soil","id":"ITEM-1","issue":"1-2","issued":{"date-parts":[["2011","2","20"]]},"page":"51-71","title":"Ectomycorrhizal fungi: the symbiotic route to the root for phosphorus in forest soils","type":"article-journal","volume":"344"},"uris":["http://www.mendeley.com/documents/?uuid=3c3b4a3f-ad9f-44ca-8a69-12912106b3c0"]}],"mendeley":{"formattedCitation":"(Cairney, 2011)","plainTextFormattedCitation":"(Cairney, 2011)","previouslyFormattedCitation":"(Cairney, 2011)"},"properties":{"noteIndex":0},"schema":"https://github.com/citation-style-language/schema/raw/master/csl-citation.json"}</w:instrText>
      </w:r>
      <w:r w:rsidRPr="00223DC5">
        <w:fldChar w:fldCharType="separate"/>
      </w:r>
      <w:r w:rsidRPr="00223DC5">
        <w:rPr>
          <w:noProof/>
        </w:rPr>
        <w:t>(Cairney, 2011)</w:t>
      </w:r>
      <w:r w:rsidRPr="00223DC5">
        <w:fldChar w:fldCharType="end"/>
      </w:r>
      <w:r w:rsidRPr="00223DC5">
        <w:t xml:space="preserve">. </w:t>
      </w:r>
      <w:r w:rsidR="009F0C19" w:rsidRPr="00223DC5">
        <w:t xml:space="preserve">The proportion of </w:t>
      </w:r>
      <w:r w:rsidRPr="00223DC5">
        <w:t xml:space="preserve">multifarious forms of </w:t>
      </w:r>
      <w:r w:rsidR="008C687F">
        <w:t>P</w:t>
      </w:r>
      <w:r w:rsidRPr="00223DC5">
        <w:t xml:space="preserve"> </w:t>
      </w:r>
      <w:r w:rsidR="009F0C19">
        <w:t xml:space="preserve">primarily </w:t>
      </w:r>
      <w:r w:rsidRPr="00223DC5">
        <w:t>depend</w:t>
      </w:r>
      <w:r w:rsidR="009F0C19">
        <w:t>s</w:t>
      </w:r>
      <w:r w:rsidRPr="00223DC5">
        <w:t xml:space="preserve"> on a range of factors</w:t>
      </w:r>
      <w:r w:rsidR="00B172AA">
        <w:t>,</w:t>
      </w:r>
      <w:r w:rsidRPr="00223DC5">
        <w:t xml:space="preserve"> including the age of the soil, the rate of </w:t>
      </w:r>
      <w:r w:rsidR="009F0C19">
        <w:t>phosphate</w:t>
      </w:r>
      <w:r w:rsidR="008C687F" w:rsidRPr="00223DC5">
        <w:t xml:space="preserve"> </w:t>
      </w:r>
      <w:r w:rsidRPr="00223DC5">
        <w:t xml:space="preserve">mineral weathering, reactions of </w:t>
      </w:r>
      <w:r w:rsidR="00B172AA">
        <w:t xml:space="preserve">Pi </w:t>
      </w:r>
      <w:r w:rsidRPr="00223DC5">
        <w:t xml:space="preserve">precipitation with cations and the rate of decomposition of </w:t>
      </w:r>
      <w:r w:rsidR="00B172AA">
        <w:t xml:space="preserve">organic </w:t>
      </w:r>
      <w:r w:rsidR="008C687F">
        <w:t>P</w:t>
      </w:r>
      <w:r w:rsidR="008C687F" w:rsidRPr="00223DC5">
        <w:t xml:space="preserve"> </w:t>
      </w:r>
      <w:r w:rsidRPr="00223DC5">
        <w:fldChar w:fldCharType="begin" w:fldLock="1"/>
      </w:r>
      <w:r w:rsidR="00EE33AB">
        <w:instrText>ADDIN CSL_CITATION {"citationItems":[{"id":"ITEM-1","itemData":{"DOI":"10.1007/s11104-011-0731-0","ISBN":"1110401107310","ISSN":"0032-079X","author":[{"dropping-particle":"","family":"Cairney","given":"John W. G.","non-dropping-particle":"","parse-names":false,"suffix":""}],"container-title":"Plant and Soil","id":"ITEM-1","issue":"1-2","issued":{"date-parts":[["2011","2","20"]]},"page":"51-71","title":"Ectomycorrhizal fungi: the symbiotic route to the root for phosphorus in forest soils","type":"article-journal","volume":"344"},"uris":["http://www.mendeley.com/documents/?uuid=3c3b4a3f-ad9f-44ca-8a69-12912106b3c0"]}],"mendeley":{"formattedCitation":"(Cairney, 2011)","plainTextFormattedCitation":"(Cairney, 2011)","previouslyFormattedCitation":"(Cairney, 2011)"},"properties":{"noteIndex":0},"schema":"https://github.com/citation-style-language/schema/raw/master/csl-citation.json"}</w:instrText>
      </w:r>
      <w:r w:rsidRPr="00223DC5">
        <w:fldChar w:fldCharType="separate"/>
      </w:r>
      <w:r w:rsidRPr="00223DC5">
        <w:rPr>
          <w:noProof/>
        </w:rPr>
        <w:t>(Cairney, 2011)</w:t>
      </w:r>
      <w:r w:rsidRPr="00223DC5">
        <w:fldChar w:fldCharType="end"/>
      </w:r>
      <w:r w:rsidRPr="00223DC5">
        <w:t xml:space="preserve">. The proportion of </w:t>
      </w:r>
      <w:r w:rsidR="008C687F">
        <w:t>P</w:t>
      </w:r>
      <w:r w:rsidR="008C687F" w:rsidRPr="00223DC5">
        <w:t xml:space="preserve"> </w:t>
      </w:r>
      <w:r w:rsidRPr="00223DC5">
        <w:t xml:space="preserve">may also be affected by environmental factors such as the continued use of land, as well as the elevated level of </w:t>
      </w:r>
      <w:r w:rsidR="008C687F">
        <w:t>CO</w:t>
      </w:r>
      <w:r w:rsidR="008C687F" w:rsidRPr="00635993">
        <w:rPr>
          <w:vertAlign w:val="subscript"/>
        </w:rPr>
        <w:t>2</w:t>
      </w:r>
      <w:r w:rsidRPr="00223DC5">
        <w:t xml:space="preserve"> in the atmosphere </w:t>
      </w:r>
      <w:r w:rsidRPr="00223DC5">
        <w:fldChar w:fldCharType="begin" w:fldLock="1"/>
      </w:r>
      <w:r w:rsidR="00EE33AB">
        <w:instrText>ADDIN CSL_CITATION {"citationItems":[{"id":"ITEM-1","itemData":{"DOI":"10.1007/s11104-011-0731-0","ISBN":"1110401107310","ISSN":"0032-079X","author":[{"dropping-particle":"","family":"Cairney","given":"John W. G.","non-dropping-particle":"","parse-names":false,"suffix":""}],"container-title":"Plant and Soil","id":"ITEM-1","issue":"1-2","issued":{"date-parts":[["2011","2","20"]]},"page":"51-71","title":"Ectomycorrhizal fungi: the symbiotic route to the root for phosphorus in forest soils","type":"article-journal","volume":"344"},"uris":["http://www.mendeley.com/documents/?uuid=3c3b4a3f-ad9f-44ca-8a69-12912106b3c0"]}],"mendeley":{"formattedCitation":"(Cairney, 2011)","plainTextFormattedCitation":"(Cairney, 2011)","previouslyFormattedCitation":"(Cairney, 2011)"},"properties":{"noteIndex":0},"schema":"https://github.com/citation-style-language/schema/raw/master/csl-citation.json"}</w:instrText>
      </w:r>
      <w:r w:rsidRPr="00223DC5">
        <w:fldChar w:fldCharType="separate"/>
      </w:r>
      <w:r w:rsidRPr="00223DC5">
        <w:rPr>
          <w:noProof/>
        </w:rPr>
        <w:t>(Cairney, 2011)</w:t>
      </w:r>
      <w:r w:rsidRPr="00223DC5">
        <w:fldChar w:fldCharType="end"/>
      </w:r>
      <w:r w:rsidRPr="00223DC5">
        <w:t>.</w:t>
      </w:r>
    </w:p>
    <w:p w14:paraId="75E3573E" w14:textId="5BC75920" w:rsidR="0040264D" w:rsidRPr="00223DC5" w:rsidRDefault="00223DC5" w:rsidP="0040264D">
      <w:pPr>
        <w:ind w:firstLine="720"/>
      </w:pPr>
      <w:r w:rsidRPr="00223DC5">
        <w:t xml:space="preserve">Of particular importance in the solubilisation and weathering of the </w:t>
      </w:r>
      <w:r w:rsidR="00B172AA">
        <w:t>P-rich</w:t>
      </w:r>
      <w:r w:rsidR="00B172AA" w:rsidRPr="00223DC5">
        <w:t xml:space="preserve"> </w:t>
      </w:r>
      <w:r w:rsidRPr="00223DC5">
        <w:t>minerals are the EM</w:t>
      </w:r>
      <w:r w:rsidR="008C687F">
        <w:t>F</w:t>
      </w:r>
      <w:r w:rsidRPr="00223DC5">
        <w:t>. EM</w:t>
      </w:r>
      <w:r w:rsidR="00844892">
        <w:t>F</w:t>
      </w:r>
      <w:r w:rsidRPr="00223DC5">
        <w:t xml:space="preserve"> </w:t>
      </w:r>
      <w:r w:rsidR="00B172AA">
        <w:t xml:space="preserve">which </w:t>
      </w:r>
      <w:r w:rsidRPr="00223DC5">
        <w:t xml:space="preserve">form symbiotic associations with forest trees play an essential role in enhancing the uptake of P from the soil </w:t>
      </w:r>
      <w:r w:rsidRPr="00223DC5">
        <w:fldChar w:fldCharType="begin" w:fldLock="1"/>
      </w:r>
      <w:r w:rsidR="00EE33AB">
        <w:instrText>ADDIN CSL_CITATION {"citationItems":[{"id":"ITEM-1","itemData":{"DOI":"10.1023/A:1014936217105","ISBN":"0032-079X","ISSN":"0032-079X","abstract":"Wallander, H., 2000. Uptake of P from apatite by Pinus sylvestris seedlings colonised by different ectomycorrhizal fungi. Plant and Soil 218, 249–256.","author":[{"dropping-particle":"","family":"Wallander","given":"Håkan","non-dropping-particle":"","parse-names":false,"suffix":""}],"container-title":"Plant and Soil","id":"ITEM-1","issued":{"date-parts":[["2000"]]},"page":"249-256","title":"Uptake of P from apatite by Pinus sylvestris seedlings colonised by different ectomycorrhizal fungi","type":"article-journal","volume":"218"},"uris":["http://www.mendeley.com/documents/?uuid=481cec61-1c76-4378-9ab6-82c748a4b8d9"]}],"mendeley":{"formattedCitation":"(Wallander, 2000)","plainTextFormattedCitation":"(Wallander, 2000)","previouslyFormattedCitation":"(Wallander, 2000)"},"properties":{"noteIndex":0},"schema":"https://github.com/citation-style-language/schema/raw/master/csl-citation.json"}</w:instrText>
      </w:r>
      <w:r w:rsidRPr="00223DC5">
        <w:fldChar w:fldCharType="separate"/>
      </w:r>
      <w:r w:rsidRPr="00223DC5">
        <w:rPr>
          <w:noProof/>
        </w:rPr>
        <w:t>(Wallander, 2000)</w:t>
      </w:r>
      <w:r w:rsidRPr="00223DC5">
        <w:fldChar w:fldCharType="end"/>
      </w:r>
      <w:r w:rsidRPr="00223DC5">
        <w:t>. Besides, EM</w:t>
      </w:r>
      <w:r w:rsidR="00844892">
        <w:t>F</w:t>
      </w:r>
      <w:r w:rsidR="003402A8">
        <w:t xml:space="preserve"> </w:t>
      </w:r>
      <w:r w:rsidR="00844892">
        <w:t>are</w:t>
      </w:r>
      <w:r w:rsidRPr="00223DC5">
        <w:t xml:space="preserve"> known to improve and enhance the uptake of N, and other elements such as K and Mg. The ability of EM</w:t>
      </w:r>
      <w:r w:rsidR="008C687F">
        <w:t>F</w:t>
      </w:r>
      <w:r w:rsidRPr="00223DC5">
        <w:t xml:space="preserve"> to improve </w:t>
      </w:r>
      <w:r w:rsidR="00B172AA" w:rsidRPr="00223DC5">
        <w:t xml:space="preserve">P </w:t>
      </w:r>
      <w:r w:rsidRPr="00223DC5">
        <w:t>uptake ha</w:t>
      </w:r>
      <w:r w:rsidR="00844892">
        <w:t>s</w:t>
      </w:r>
      <w:r w:rsidRPr="00223DC5">
        <w:t xml:space="preserve"> primarily been </w:t>
      </w:r>
      <w:r w:rsidR="00B172AA">
        <w:t>attributed</w:t>
      </w:r>
      <w:r w:rsidR="00B172AA" w:rsidRPr="00223DC5">
        <w:t xml:space="preserve"> </w:t>
      </w:r>
      <w:r w:rsidRPr="00223DC5">
        <w:t xml:space="preserve">to the absorption of P by the extraradical mycelium, which consequently increases the volume of soil that is exploited by the plants </w:t>
      </w:r>
      <w:r w:rsidRPr="00223DC5">
        <w:fldChar w:fldCharType="begin" w:fldLock="1"/>
      </w:r>
      <w:r w:rsidR="00EE33AB">
        <w:instrText>ADDIN CSL_CITATION {"citationItems":[{"id":"ITEM-1","itemData":{"DOI":"10.1111/j.1469-8137.1995.tb03081.x","ISBN":"0028-646X","ISSN":"14698137","abstract":"We studied the effects of macronutrients on the production and distribution\\nof fungal biomass and plant biomass in ectomycorrhizal (Paxillus\\ninvolutus (Fr.) Fr.) or non-mycorrhizal Pinus sylvestris L. and Alnus\\nincana (L.) Moench. Fungal biomass was measured as ergosterol content\\nin roots and extramatrical mycelium. Alnus incana was nodulated with\\nFrankia. All six macronutrients were varied according to a two-level\\nfractional factorial design. The plants were grown in pots during\\ntwo growing periods in a growth chamber. Levels of N, P and sometimes\\nK and interactions between them, had highly significant effects,\\nwhereas Ca, Mg and S had no significant effects. The production of\\nextramatrical mycelial biomass peaked when P was low and other nutrients\\nwere high. This investment in extramatrical mycelium resulted in\\na 660 % higher biomass in mycorrhizal compared with nonmycorrhizal\\nP, sylvestris at this nutrient regime. The proportion of fungal biomass\\nin roots was stable in P. sylvesris but more variable in A. incana.\\nAlnus incana grew less when mycorrhizal then when non-mycorrhizal.\\nThe growth responses to mycorrhiza and to the different nutrient\\ntreatments were evident at the end of the first growing period, Non-mycorrhizal\\nP, sylvestris did not respond to P limitation by a production of\\nproportionally more roots. This might be a reflection of an obligate\\ndependency on mycorrhiza for effective P uptake. By contrast, the\\nroot/shoot ratio in both mycorrhizal and non-mycorrhizal P. sylvestris\\ndecreased strongly in response to increased N. The opposite root/shoot\\nresponse was found in Alnus incana, and the ratio decreased strongly\\nin response to increased P and increased in response to increased\\nN.","author":[{"dropping-particle":"","family":"Ekblad","given":"A","non-dropping-particle":"","parse-names":false,"suffix":""},{"dropping-particle":"","family":"Wallander","given":"H","non-dropping-particle":"","parse-names":false,"suffix":""},{"dropping-particle":"","family":"Carlsson","given":"R","non-dropping-particle":"","parse-names":false,"suffix":""},{"dropping-particle":"","family":"Huss-Daniel","given":"K","non-dropping-particle":"","parse-names":false,"suffix":""}],"container-title":"New Phytologist","id":"ITEM-1","issue":"4","issued":{"date-parts":[["1995"]]},"page":"443-451","title":"Fungal biomass in roots and extramatrical mycelium in relation to macronutrients and plant biomass of ectomycorrhizal Pinus sylvestris and Alnus incana","type":"article-journal","volume":"131"},"uris":["http://www.mendeley.com/documents/?uuid=794c3fde-69b1-4ba6-b56d-330307631c8d"]}],"mendeley":{"formattedCitation":"(Ekblad et al., 1995)","plainTextFormattedCitation":"(Ekblad et al., 1995)","previouslyFormattedCitation":"(Ekblad et al., 1995)"},"properties":{"noteIndex":0},"schema":"https://github.com/citation-style-language/schema/raw/master/csl-citation.json"}</w:instrText>
      </w:r>
      <w:r w:rsidRPr="00223DC5">
        <w:fldChar w:fldCharType="separate"/>
      </w:r>
      <w:r w:rsidRPr="00223DC5">
        <w:rPr>
          <w:noProof/>
        </w:rPr>
        <w:t>(Ekblad et al., 1995)</w:t>
      </w:r>
      <w:r w:rsidRPr="00223DC5">
        <w:fldChar w:fldCharType="end"/>
      </w:r>
      <w:r w:rsidRPr="00223DC5">
        <w:t>.</w:t>
      </w:r>
      <w:r w:rsidR="0040264D" w:rsidRPr="0040264D">
        <w:t xml:space="preserve"> </w:t>
      </w:r>
      <w:r w:rsidR="0040264D">
        <w:t>Additionally, i</w:t>
      </w:r>
      <w:r w:rsidR="0040264D" w:rsidRPr="00223DC5">
        <w:t xml:space="preserve">nfection of the roots of the trees </w:t>
      </w:r>
      <w:r w:rsidR="0040264D" w:rsidRPr="00223DC5">
        <w:lastRenderedPageBreak/>
        <w:t>by the EM</w:t>
      </w:r>
      <w:r w:rsidR="0040264D">
        <w:t>F</w:t>
      </w:r>
      <w:r w:rsidR="0040264D" w:rsidRPr="00223DC5">
        <w:t xml:space="preserve"> leads to significant changes in the architecture of the roots, </w:t>
      </w:r>
      <w:r w:rsidR="0040264D">
        <w:t>such as</w:t>
      </w:r>
      <w:r w:rsidR="0040264D" w:rsidRPr="00223DC5">
        <w:t xml:space="preserve"> the production of fine root hairs which enha</w:t>
      </w:r>
      <w:r w:rsidR="0040264D">
        <w:t>nce the exploration of the soil.</w:t>
      </w:r>
    </w:p>
    <w:p w14:paraId="38132789" w14:textId="2F011F65" w:rsidR="00223DC5" w:rsidRPr="00223DC5" w:rsidRDefault="0040264D" w:rsidP="00B12E33">
      <w:pPr>
        <w:ind w:firstLine="720"/>
      </w:pPr>
      <w:r>
        <w:t>W</w:t>
      </w:r>
      <w:r w:rsidR="003921A0">
        <w:t xml:space="preserve">hile </w:t>
      </w:r>
      <w:r w:rsidR="003921A0" w:rsidRPr="00223DC5">
        <w:t>EM</w:t>
      </w:r>
      <w:r w:rsidR="003921A0">
        <w:t xml:space="preserve"> </w:t>
      </w:r>
      <w:r w:rsidR="00223DC5" w:rsidRPr="00223DC5">
        <w:t>symbiosis play</w:t>
      </w:r>
      <w:r w:rsidR="003921A0">
        <w:t>s</w:t>
      </w:r>
      <w:r w:rsidR="00223DC5" w:rsidRPr="00223DC5">
        <w:t xml:space="preserve"> a significant role in P </w:t>
      </w:r>
      <w:r>
        <w:t>acquisition by trees</w:t>
      </w:r>
      <w:r w:rsidR="00223DC5" w:rsidRPr="00223DC5">
        <w:t>, it has</w:t>
      </w:r>
      <w:r>
        <w:t xml:space="preserve"> been</w:t>
      </w:r>
      <w:r w:rsidR="00223DC5" w:rsidRPr="00223DC5">
        <w:t xml:space="preserve"> observed that the productivity of forests is frequently limited by P</w:t>
      </w:r>
      <w:r>
        <w:t xml:space="preserve"> availability</w:t>
      </w:r>
      <w:r w:rsidR="00223DC5" w:rsidRPr="00223DC5">
        <w:t xml:space="preserve">, a phenomenon that may become highly widespread in the future following the increasing levels of </w:t>
      </w:r>
      <w:r w:rsidR="006C556B">
        <w:t>CO</w:t>
      </w:r>
      <w:r w:rsidR="006C556B" w:rsidRPr="0018719D">
        <w:rPr>
          <w:vertAlign w:val="subscript"/>
        </w:rPr>
        <w:t>2</w:t>
      </w:r>
      <w:r w:rsidR="00223DC5" w:rsidRPr="00223DC5">
        <w:t xml:space="preserve"> concentration in the </w:t>
      </w:r>
      <w:r w:rsidR="00D83C7C">
        <w:t>atmosphere</w:t>
      </w:r>
      <w:r w:rsidR="00D83C7C" w:rsidRPr="00223DC5">
        <w:t xml:space="preserve"> </w:t>
      </w:r>
      <w:r w:rsidR="00223DC5" w:rsidRPr="00223DC5">
        <w:fldChar w:fldCharType="begin" w:fldLock="1"/>
      </w:r>
      <w:r w:rsidR="00EE33AB">
        <w:instrText>ADDIN CSL_CITATION {"citationItems":[{"id":"ITEM-1","itemData":{"author":[{"dropping-particle":"","family":"Moore","given":"B A","non-dropping-particle":"","parse-names":false,"suffix":""},{"dropping-particle":"","family":"Allare","given":"G B","non-dropping-particle":"","parse-names":false,"suffix":""}],"id":"ITEM-1","issued":{"date-parts":[["2008"]]},"number-of-pages":"1-45","publisher":"Forestry Department, Food and Agriculture Organization of the United Nations","title":"Climate Change Impacts on Forest Health","type":"report"},"uris":["http://www.mendeley.com/documents/?uuid=b91bf4c4-35ad-4f22-8bd9-452a705af76e"]}],"mendeley":{"formattedCitation":"(Moore and Allare, 2008)","plainTextFormattedCitation":"(Moore and Allare, 2008)","previouslyFormattedCitation":"(Moore and Allare, 2008)"},"properties":{"noteIndex":0},"schema":"https://github.com/citation-style-language/schema/raw/master/csl-citation.json"}</w:instrText>
      </w:r>
      <w:r w:rsidR="00223DC5" w:rsidRPr="00223DC5">
        <w:fldChar w:fldCharType="separate"/>
      </w:r>
      <w:r w:rsidR="00223DC5" w:rsidRPr="00223DC5">
        <w:rPr>
          <w:noProof/>
        </w:rPr>
        <w:t>(Moore and Allare, 2008)</w:t>
      </w:r>
      <w:r w:rsidR="00223DC5" w:rsidRPr="00223DC5">
        <w:fldChar w:fldCharType="end"/>
      </w:r>
      <w:r w:rsidR="00223DC5" w:rsidRPr="00223DC5">
        <w:t xml:space="preserve">. As such, establishing a clear understanding of the role of </w:t>
      </w:r>
      <w:r w:rsidR="00D83C7C">
        <w:t>EMF</w:t>
      </w:r>
      <w:r w:rsidR="00D83C7C" w:rsidRPr="00223DC5">
        <w:t xml:space="preserve"> </w:t>
      </w:r>
      <w:r w:rsidR="00223DC5" w:rsidRPr="00223DC5">
        <w:t xml:space="preserve">in the weathering of phosphate minerals is imperative and essential in enhancing </w:t>
      </w:r>
      <w:r w:rsidR="00D83C7C" w:rsidRPr="00223DC5">
        <w:t xml:space="preserve">P </w:t>
      </w:r>
      <w:r w:rsidR="00223DC5" w:rsidRPr="00223DC5">
        <w:t xml:space="preserve">uptake </w:t>
      </w:r>
      <w:r w:rsidR="00D83C7C">
        <w:t>by</w:t>
      </w:r>
      <w:r w:rsidR="00223DC5" w:rsidRPr="00223DC5">
        <w:t xml:space="preserve"> plants </w:t>
      </w:r>
      <w:r w:rsidR="00223DC5" w:rsidRPr="00223DC5">
        <w:fldChar w:fldCharType="begin" w:fldLock="1"/>
      </w:r>
      <w:r w:rsidR="00EE33AB">
        <w:instrText>ADDIN CSL_CITATION {"citationItems":[{"id":"ITEM-1","itemData":{"DOI":"10.1007/s11104-011-0731-0","ISBN":"1110401107310","ISSN":"0032-079X","author":[{"dropping-particle":"","family":"Cairney","given":"John W. G.","non-dropping-particle":"","parse-names":false,"suffix":""}],"container-title":"Plant and Soil","id":"ITEM-1","issue":"1-2","issued":{"date-parts":[["2011","2","20"]]},"page":"51-71","title":"Ectomycorrhizal fungi: the symbiotic route to the root for phosphorus in forest soils","type":"article-journal","volume":"344"},"uris":["http://www.mendeley.com/documents/?uuid=3c3b4a3f-ad9f-44ca-8a69-12912106b3c0"]}],"mendeley":{"formattedCitation":"(Cairney, 2011)","plainTextFormattedCitation":"(Cairney, 2011)","previouslyFormattedCitation":"(Cairney, 2011)"},"properties":{"noteIndex":0},"schema":"https://github.com/citation-style-language/schema/raw/master/csl-citation.json"}</w:instrText>
      </w:r>
      <w:r w:rsidR="00223DC5" w:rsidRPr="00223DC5">
        <w:fldChar w:fldCharType="separate"/>
      </w:r>
      <w:r w:rsidR="00223DC5" w:rsidRPr="00223DC5">
        <w:rPr>
          <w:noProof/>
        </w:rPr>
        <w:t>(Cairney, 2011)</w:t>
      </w:r>
      <w:r w:rsidR="00223DC5" w:rsidRPr="00223DC5">
        <w:fldChar w:fldCharType="end"/>
      </w:r>
      <w:r w:rsidR="00223DC5" w:rsidRPr="00223DC5">
        <w:t>.</w:t>
      </w:r>
    </w:p>
    <w:p w14:paraId="2B93AFF8" w14:textId="77777777" w:rsidR="00223DC5" w:rsidRPr="00223DC5" w:rsidRDefault="00223DC5" w:rsidP="007C3C15"/>
    <w:p w14:paraId="5BD293C9" w14:textId="598EA765" w:rsidR="00223DC5" w:rsidRPr="00223DC5" w:rsidRDefault="00223DC5" w:rsidP="00635993">
      <w:pPr>
        <w:pStyle w:val="Heading2"/>
      </w:pPr>
      <w:bookmarkStart w:id="29" w:name="_Toc507603958"/>
      <w:bookmarkStart w:id="30" w:name="_Toc507604225"/>
      <w:bookmarkStart w:id="31" w:name="_Toc519016942"/>
      <w:bookmarkStart w:id="32" w:name="_Toc520837840"/>
      <w:r w:rsidRPr="00223DC5">
        <w:t>1.</w:t>
      </w:r>
      <w:r w:rsidR="006C556B">
        <w:t>3</w:t>
      </w:r>
      <w:r w:rsidRPr="00223DC5">
        <w:t>.2 Mechanisms utilised by EM</w:t>
      </w:r>
      <w:r w:rsidR="006C556B">
        <w:t>F</w:t>
      </w:r>
      <w:r w:rsidRPr="00223DC5">
        <w:t xml:space="preserve"> in mineral weathering</w:t>
      </w:r>
      <w:bookmarkEnd w:id="29"/>
      <w:bookmarkEnd w:id="30"/>
      <w:bookmarkEnd w:id="31"/>
      <w:bookmarkEnd w:id="32"/>
      <w:r w:rsidRPr="00223DC5">
        <w:t xml:space="preserve"> </w:t>
      </w:r>
    </w:p>
    <w:p w14:paraId="387C65EE" w14:textId="6AD7C8CE" w:rsidR="00223DC5" w:rsidRPr="00223DC5" w:rsidRDefault="00223DC5" w:rsidP="003F7054">
      <w:r w:rsidRPr="00223DC5">
        <w:t xml:space="preserve">EMF obtain nutrients from otherwise un-exploitable soil minerals by promoting their weathering via mechanisms involving biomechanical and biochemical mineral deterioration as explained before (Section 1.2.1) </w:t>
      </w:r>
      <w:r w:rsidR="00B870DF">
        <w:fldChar w:fldCharType="begin" w:fldLock="1"/>
      </w:r>
      <w:r w:rsidR="00EE33AB">
        <w:instrText>ADDIN CSL_CITATION {"citationItems":[{"id":"ITEM-1","itemData":{"DOI":"10.1130/G25699A.1","ISBN":"0091-7613","ISSN":"00917613","abstract":"Plant-driven fungal weathering is a major pathway of soil formation, yet the precise mechanism by which mycorrhiza alter minerals is poorly understood. Here we report the fi rst direct in situ observations of the effects of a soil fungus on the surface of a min- eral over which it grew in a controlled experiment. An ectomycor- rhizal fungus was grown in symbiosis with a tree seedling so that individual hyphae expanded across the surface of a biotite fl ake over a period of three months. Ultramicroscopic and spectroscopic analysis of the fungus-biotite interfaces revealed intimate fungal- mineral attachment, biomechanical forcing, altered interlayer spac- ings, substantial depletion of potassium (~50 nm depth), oxidation of the biotite Fe(II), and the formation of vermiculite and clusters of Fe(III) oxides. Our study demonstrates the biomechanical-chemical alteration interplay at the fungus-biotite interface at the nanometer scale. Specifi cally, the weathering process is initiated by physical dis- tortion of the lattice structure of biotite within 1 µm of the attached fungal hypha. Only subsequently does the distorted volume become chemically altered through dissolution and oxidation reactions that lead to mineral neoformation.","author":[{"dropping-particle":"","family":"Bonneville","given":"Steeve","non-dropping-particle":"","parse-names":false,"suffix":""},{"dropping-particle":"","family":"Smits","given":"Mark M.","non-dropping-particle":"","parse-names":false,"suffix":""},{"dropping-particle":"","family":"Brown","given":"Andrew","non-dropping-particle":"","parse-names":false,"suffix":""},{"dropping-particle":"","family":"Harrington","given":"John","non-dropping-particle":"","parse-names":false,"suffix":""},{"dropping-particle":"","family":"Leake","given":"Jonathan R.","non-dropping-particle":"","parse-names":false,"suffix":""},{"dropping-particle":"","family":"Brydson","given":"Rik","non-dropping-particle":"","parse-names":false,"suffix":""},{"dropping-particle":"","family":"Benning","given":"Liane G.","non-dropping-particle":"","parse-names":false,"suffix":""}],"container-title":"Geology","id":"ITEM-1","issue":"7","issued":{"date-parts":[["2009"]]},"page":"615-618","title":"Plant-driven fungal weathering: Early stages of mineral alteration at the nanometer scale","type":"article-journal","volume":"37"},"uris":["http://www.mendeley.com/documents/?uuid=c38c068c-8322-459e-ae64-17f1bedd30a2"]},{"id":"ITEM-2","itemData":{"DOI":"10.1180/0026461036760154","ISSN":"0026461X","author":[{"dropping-particle":"","family":"Burford","given":"E. P.","non-dropping-particle":"","parse-names":false,"suffix":""},{"dropping-particle":"","family":"Fomina","given":"M.","non-dropping-particle":"","parse-names":false,"suffix":""},{"dropping-particle":"","family":"Gadd","given":"G. M.","non-dropping-particle":"","parse-names":false,"suffix":""}],"container-title":"Mineralogical Magazine","id":"ITEM-2","issue":"6","issued":{"date-parts":[["2003","12","1"]]},"page":"1127-1155","title":"Fungal involvement in bioweathering and biotransformation of rocks and minerals","type":"article-journal","volume":"67"},"uris":["http://www.mendeley.com/documents/?uuid=e8afe172-7f4f-4943-8de4-844725c128ce"]}],"mendeley":{"formattedCitation":"(Bonneville et al., 2009; Burford et al., 2003)","plainTextFormattedCitation":"(Bonneville et al., 2009; Burford et al., 2003)","previouslyFormattedCitation":"(Bonneville et al., 2009; Burford et al., 2003)"},"properties":{"noteIndex":0},"schema":"https://github.com/citation-style-language/schema/raw/master/csl-citation.json"}</w:instrText>
      </w:r>
      <w:r w:rsidR="00B870DF">
        <w:fldChar w:fldCharType="separate"/>
      </w:r>
      <w:r w:rsidR="00B870DF" w:rsidRPr="00B870DF">
        <w:rPr>
          <w:noProof/>
        </w:rPr>
        <w:t>(Bonneville et al., 2009; Burford et al., 2003)</w:t>
      </w:r>
      <w:r w:rsidR="00B870DF">
        <w:fldChar w:fldCharType="end"/>
      </w:r>
      <w:r w:rsidR="00B870DF">
        <w:t>.</w:t>
      </w:r>
    </w:p>
    <w:p w14:paraId="175F221F" w14:textId="29D6E71F" w:rsidR="00223DC5" w:rsidRPr="00223DC5" w:rsidRDefault="00223DC5" w:rsidP="007F746A">
      <w:pPr>
        <w:ind w:firstLine="720"/>
      </w:pPr>
      <w:r w:rsidRPr="00223DC5">
        <w:t xml:space="preserve">It has been shown that the exudation of EPS by EMF is essential for the initiation of the weathering process </w:t>
      </w:r>
      <w:r w:rsidR="00B870DF">
        <w:fldChar w:fldCharType="begin" w:fldLock="1"/>
      </w:r>
      <w:r w:rsidR="00EE33AB">
        <w:instrText>ADDIN CSL_CITATION {"citationItems":[{"id":"ITEM-1","itemData":{"DOI":"10.1080/01490451.2013.766285","ISSN":"0149-0451","author":[{"dropping-particle":"","family":"Gazzè","given":"Salvatore a.","non-dropping-particle":"","parse-names":false,"suffix":""},{"dropping-particle":"","family":"Saccone","given":"Loredana","non-dropping-particle":"","parse-names":false,"suffix":""},{"dropping-particle":"","family":"Smits","given":"Mark M.","non-dropping-particle":"","parse-names":false,"suffix":""},{"dropping-particle":"","family":"Duran","given":"Adele L.","non-dropping-particle":"","parse-names":false,"suffix":""},{"dropping-particle":"","family":"Leake","given":"Jonathan R.","non-dropping-particle":"","parse-names":false,"suffix":""},{"dropping-particle":"","family":"Banwart","given":"Steven a.","non-dropping-particle":"","parse-names":false,"suffix":""},{"dropping-particle":"","family":"Ragnarsdottir","given":"K. Vala","non-dropping-particle":"","parse-names":false,"suffix":""},{"dropping-particle":"","family":"McMaster","given":"T. J.","non-dropping-particle":"","parse-names":false,"suffix":""}],"container-title":"Geomicrobiology Journal","id":"ITEM-1","issue":"8","issued":{"date-parts":[["2013","9","14"]]},"page":"721-730","title":"Nanoscale Observations of Extracellular Polymeric Substances Deposition on Phyllosilicates by an Ectomycorrhizal Fungus","type":"article-journal","volume":"30"},"uris":["http://www.mendeley.com/documents/?uuid=54cf7516-dc61-42ab-9840-9adf1c66c7b0"]}],"mendeley":{"formattedCitation":"(Gazzè et al., 2013)","plainTextFormattedCitation":"(Gazzè et al., 2013)","previouslyFormattedCitation":"(Gazzè et al., 2013)"},"properties":{"noteIndex":0},"schema":"https://github.com/citation-style-language/schema/raw/master/csl-citation.json"}</w:instrText>
      </w:r>
      <w:r w:rsidR="00B870DF">
        <w:fldChar w:fldCharType="separate"/>
      </w:r>
      <w:r w:rsidR="00B870DF" w:rsidRPr="00B870DF">
        <w:rPr>
          <w:noProof/>
        </w:rPr>
        <w:t>(Gazzè et al., 2013)</w:t>
      </w:r>
      <w:r w:rsidR="00B870DF">
        <w:fldChar w:fldCharType="end"/>
      </w:r>
      <w:r w:rsidRPr="00223DC5">
        <w:t>. In particular, the production of EPS, which consists of a mixture of polysaccharides, proteins and lipids, is described as an adhesive mucilage and is believed to f</w:t>
      </w:r>
      <w:r w:rsidR="00814C5B">
        <w:t>acilitate the anchoring of fungal hyphae</w:t>
      </w:r>
      <w:r w:rsidRPr="00223DC5">
        <w:t xml:space="preserve"> on the surface of the colonised mineral. Hence, EPS may promote the accumulation of biochemical weathering agents, such as organic acids and acidic polysaccharides at the fungal-mineral interface </w:t>
      </w:r>
      <w:r w:rsidR="00B870DF">
        <w:fldChar w:fldCharType="begin" w:fldLock="1"/>
      </w:r>
      <w:r w:rsidR="00EE33AB">
        <w:instrText>ADDIN CSL_CITATION {"citationItems":[{"id":"ITEM-1","itemData":{"DOI":"10.1080/01490451.2013.766285","ISSN":"0149-0451","author":[{"dropping-particle":"","family":"Gazzè","given":"Salvatore a.","non-dropping-particle":"","parse-names":false,"suffix":""},{"dropping-particle":"","family":"Saccone","given":"Loredana","non-dropping-particle":"","parse-names":false,"suffix":""},{"dropping-particle":"","family":"Smits","given":"Mark M.","non-dropping-particle":"","parse-names":false,"suffix":""},{"dropping-particle":"","family":"Duran","given":"Adele L.","non-dropping-particle":"","parse-names":false,"suffix":""},{"dropping-particle":"","family":"Leake","given":"Jonathan R.","non-dropping-particle":"","parse-names":false,"suffix":""},{"dropping-particle":"","family":"Banwart","given":"Steven a.","non-dropping-particle":"","parse-names":false,"suffix":""},{"dropping-particle":"","family":"Ragnarsdottir","given":"K. Vala","non-dropping-particle":"","parse-names":false,"suffix":""},{"dropping-particle":"","family":"McMaster","given":"T. J.","non-dropping-particle":"","parse-names":false,"suffix":""}],"container-title":"Geomicrobiology Journal","id":"ITEM-1","issue":"8","issued":{"date-parts":[["2013","9","14"]]},"page":"721-730","title":"Nanoscale Observations of Extracellular Polymeric Substances Deposition on Phyllosilicates by an Ectomycorrhizal Fungus","type":"article-journal","volume":"30"},"uris":["http://www.mendeley.com/documents/?uuid=54cf7516-dc61-42ab-9840-9adf1c66c7b0"]},{"id":"ITEM-2","itemData":{"DOI":"10.1007/s10533-011-9667-y","ISSN":"0168-2563","author":[{"dropping-particle":"","family":"Saccone","given":"Loredana","non-dropping-particle":"","parse-names":false,"suffix":""},{"dropping-particle":"","family":"Gazzè","given":"Salvatore a.","non-dropping-particle":"","parse-names":false,"suffix":""},{"dropping-particle":"","family":"Duran","given":"Adele L.","non-dropping-particle":"","parse-names":false,"suffix":""},{"dropping-particle":"","family":"Leake","given":"Jonathan R.","non-dropping-particle":"","parse-names":false,"suffix":""},{"dropping-particle":"","family":"Banwart","given":"Steven a.","non-dropping-particle":"","parse-names":false,"suffix":""},{"dropping-particle":"","family":"Ragnarsdóttir","given":"Kristín Vala","non-dropping-particle":"","parse-names":false,"suffix":""},{"dropping-particle":"","family":"Smits","given":"Mark M.","non-dropping-particle":"","parse-names":false,"suffix":""},{"dropping-particle":"","family":"McMaster","given":"Terence J.","non-dropping-particle":"","parse-names":false,"suffix":""}],"container-title":"Biogeochemistry","id":"ITEM-2","issue":"1-3","issued":{"date-parts":[["2011","11","12"]]},"page":"411-425","title":"High resolution characterization of ectomycorrhizal fungal-mineral interactions in axenic microcosm experiments","type":"article-journal","volume":"111"},"uris":["http://www.mendeley.com/documents/?uuid=834e7a24-119e-4ffc-9dea-ce0fbb552c94"]}],"mendeley":{"formattedCitation":"(Gazzè et al., 2013; Saccone et al., 2011)","plainTextFormattedCitation":"(Gazzè et al., 2013; Saccone et al., 2011)","previouslyFormattedCitation":"(Gazzè et al., 2013; Saccone et al., 2011)"},"properties":{"noteIndex":0},"schema":"https://github.com/citation-style-language/schema/raw/master/csl-citation.json"}</w:instrText>
      </w:r>
      <w:r w:rsidR="00B870DF">
        <w:fldChar w:fldCharType="separate"/>
      </w:r>
      <w:r w:rsidR="00B870DF" w:rsidRPr="00B870DF">
        <w:rPr>
          <w:noProof/>
        </w:rPr>
        <w:t>(Gazzè et al., 2013; Saccone et al., 2011)</w:t>
      </w:r>
      <w:r w:rsidR="00B870DF">
        <w:fldChar w:fldCharType="end"/>
      </w:r>
      <w:r w:rsidRPr="00223DC5">
        <w:t xml:space="preserve">. Importantly, </w:t>
      </w:r>
      <w:r w:rsidR="003402A8">
        <w:t xml:space="preserve">it has been </w:t>
      </w:r>
      <w:r w:rsidRPr="00223DC5">
        <w:t>shown that</w:t>
      </w:r>
      <w:r w:rsidR="003402A8">
        <w:t xml:space="preserve"> </w:t>
      </w:r>
      <w:r w:rsidRPr="00223DC5">
        <w:t xml:space="preserve">EPS secretion by </w:t>
      </w:r>
      <w:r w:rsidR="003402A8">
        <w:t xml:space="preserve">the EM fungus </w:t>
      </w:r>
      <w:r w:rsidRPr="00223DC5">
        <w:rPr>
          <w:i/>
        </w:rPr>
        <w:t>P</w:t>
      </w:r>
      <w:r w:rsidR="006C556B">
        <w:rPr>
          <w:i/>
        </w:rPr>
        <w:t>.</w:t>
      </w:r>
      <w:r w:rsidR="003402A8">
        <w:rPr>
          <w:i/>
        </w:rPr>
        <w:t xml:space="preserve"> </w:t>
      </w:r>
      <w:r w:rsidRPr="00223DC5">
        <w:rPr>
          <w:i/>
        </w:rPr>
        <w:t>involutus</w:t>
      </w:r>
      <w:r w:rsidRPr="00223DC5">
        <w:t xml:space="preserve"> deteriorates ferromagnesian silicates </w:t>
      </w:r>
      <w:r w:rsidR="003402A8">
        <w:t xml:space="preserve">which ultimately </w:t>
      </w:r>
      <w:r w:rsidRPr="00223DC5">
        <w:t>facilit</w:t>
      </w:r>
      <w:r w:rsidR="003402A8">
        <w:t>ates</w:t>
      </w:r>
      <w:r w:rsidRPr="00223DC5">
        <w:t xml:space="preserve"> nutrient uptake </w:t>
      </w:r>
      <w:r w:rsidR="00B870DF">
        <w:fldChar w:fldCharType="begin" w:fldLock="1"/>
      </w:r>
      <w:r w:rsidR="00EE33AB">
        <w:instrText>ADDIN CSL_CITATION {"citationItems":[{"id":"ITEM-1","itemData":{"DOI":"10.1007/s10533-011-9667-y","ISSN":"0168-2563","author":[{"dropping-particle":"","family":"Saccone","given":"Loredana","non-dropping-particle":"","parse-names":false,"suffix":""},{"dropping-particle":"","family":"Gazzè","given":"Salvatore a.","non-dropping-particle":"","parse-names":false,"suffix":""},{"dropping-particle":"","family":"Duran","given":"Adele L.","non-dropping-particle":"","parse-names":false,"suffix":""},{"dropping-particle":"","family":"Leake","given":"Jonathan R.","non-dropping-particle":"","parse-names":false,"suffix":""},{"dropping-particle":"","family":"Banwart","given":"Steven a.","non-dropping-particle":"","parse-names":false,"suffix":""},{"dropping-particle":"","family":"Ragnarsdóttir","given":"Kristín Vala","non-dropping-particle":"","parse-names":false,"suffix":""},{"dropping-particle":"","family":"Smits","given":"Mark M.","non-dropping-particle":"","parse-names":false,"suffix":""},{"dropping-particle":"","family":"McMaster","given":"Terence J.","non-dropping-particle":"","parse-names":false,"suffix":""}],"container-title":"Biogeochemistry","id":"ITEM-1","issue":"1-3","issued":{"date-parts":[["2011","11","12"]]},"page":"411-425","title":"High resolution characterization of ectomycorrhizal fungal-mineral interactions in axenic microcosm experiments","type":"article-journal","volume":"111"},"uris":["http://www.mendeley.com/documents/?uuid=834e7a24-119e-4ffc-9dea-ce0fbb552c94"]}],"mendeley":{"formattedCitation":"(Saccone et al., 2011)","plainTextFormattedCitation":"(Saccone et al., 2011)","previouslyFormattedCitation":"(Saccone et al., 2011)"},"properties":{"noteIndex":0},"schema":"https://github.com/citation-style-language/schema/raw/master/csl-citation.json"}</w:instrText>
      </w:r>
      <w:r w:rsidR="00B870DF">
        <w:fldChar w:fldCharType="separate"/>
      </w:r>
      <w:r w:rsidR="00B870DF" w:rsidRPr="00B870DF">
        <w:rPr>
          <w:noProof/>
        </w:rPr>
        <w:t>(Saccone et al., 2011)</w:t>
      </w:r>
      <w:r w:rsidR="00B870DF">
        <w:fldChar w:fldCharType="end"/>
      </w:r>
      <w:r w:rsidR="00B870DF">
        <w:t>.</w:t>
      </w:r>
    </w:p>
    <w:p w14:paraId="37ACBDC1" w14:textId="156D1291" w:rsidR="00223DC5" w:rsidRPr="00223DC5" w:rsidRDefault="00BF25B8" w:rsidP="007F746A">
      <w:pPr>
        <w:ind w:firstLine="720"/>
      </w:pPr>
      <w:r>
        <w:t>Bioc</w:t>
      </w:r>
      <w:r w:rsidR="00223DC5" w:rsidRPr="00223DC5">
        <w:t xml:space="preserve">hemical </w:t>
      </w:r>
      <w:r>
        <w:t>weathering</w:t>
      </w:r>
      <w:r w:rsidR="00223DC5" w:rsidRPr="00223DC5">
        <w:t xml:space="preserve"> of minerals by EMF involves the excretion of H</w:t>
      </w:r>
      <w:r w:rsidR="00223DC5" w:rsidRPr="00223DC5">
        <w:rPr>
          <w:vertAlign w:val="superscript"/>
        </w:rPr>
        <w:t>+</w:t>
      </w:r>
      <w:r w:rsidR="00223DC5" w:rsidRPr="00223DC5">
        <w:t>, the production of siderophores, especially in the case of Fe and Mn-rich mineral</w:t>
      </w:r>
      <w:r w:rsidR="00C519D1">
        <w:t>s</w:t>
      </w:r>
      <w:r w:rsidR="00223DC5" w:rsidRPr="00223DC5">
        <w:t xml:space="preserve"> and the production of LMWOA </w:t>
      </w:r>
      <w:r w:rsidR="00027CB7">
        <w:fldChar w:fldCharType="begin" w:fldLock="1"/>
      </w:r>
      <w:r w:rsidR="00EE33AB">
        <w:instrText>ADDIN CSL_CITATION {"citationItems":[{"id":"ITEM-1","itemData":{"DOI":"10.1180/0026461036760154","ISSN":"0026461X","author":[{"dropping-particle":"","family":"Burford","given":"E. P.","non-dropping-particle":"","parse-names":false,"suffix":""},{"dropping-particle":"","family":"Fomina","given":"M.","non-dropping-particle":"","parse-names":false,"suffix":""},{"dropping-particle":"","family":"Gadd","given":"G. M.","non-dropping-particle":"","parse-names":false,"suffix":""}],"container-title":"Mineralogical Magazine","id":"ITEM-1","issue":"6","issued":{"date-parts":[["2003","12","1"]]},"page":"1127-1155","title":"Fungal involvement in bioweathering and biotransformation of rocks and minerals","type":"article-journal","volume":"67"},"uris":["http://www.mendeley.com/documents/?uuid=e8afe172-7f4f-4943-8de4-844725c128ce"]}],"mendeley":{"formattedCitation":"(Burford et al., 2003)","plainTextFormattedCitation":"(Burford et al., 2003)","previouslyFormattedCitation":"(Burford et al., 2003)"},"properties":{"noteIndex":0},"schema":"https://github.com/citation-style-language/schema/raw/master/csl-citation.json"}</w:instrText>
      </w:r>
      <w:r w:rsidR="00027CB7">
        <w:fldChar w:fldCharType="separate"/>
      </w:r>
      <w:r w:rsidR="00027CB7" w:rsidRPr="00027CB7">
        <w:rPr>
          <w:noProof/>
        </w:rPr>
        <w:t>(Burford et al., 2003)</w:t>
      </w:r>
      <w:r w:rsidR="00027CB7">
        <w:fldChar w:fldCharType="end"/>
      </w:r>
      <w:r w:rsidR="00223DC5" w:rsidRPr="00223DC5">
        <w:t xml:space="preserve">. </w:t>
      </w:r>
      <w:r w:rsidR="005D49C9">
        <w:t>H</w:t>
      </w:r>
      <w:r w:rsidR="005D49C9" w:rsidRPr="00720F46">
        <w:rPr>
          <w:vertAlign w:val="superscript"/>
        </w:rPr>
        <w:t>+</w:t>
      </w:r>
      <w:r w:rsidR="00223DC5" w:rsidRPr="00223DC5">
        <w:t>-ATPases of the EM fungal plasma membrane excrete H</w:t>
      </w:r>
      <w:r w:rsidR="00223DC5" w:rsidRPr="00223DC5">
        <w:rPr>
          <w:vertAlign w:val="superscript"/>
        </w:rPr>
        <w:t>+</w:t>
      </w:r>
      <w:r w:rsidR="00223DC5" w:rsidRPr="00223DC5">
        <w:t xml:space="preserve"> to the extraradical mycelium, thus generating a transmembrane electrochemical gradient which facilitates the acquisition of nutrients from the soil </w:t>
      </w:r>
      <w:r w:rsidR="00027CB7">
        <w:fldChar w:fldCharType="begin" w:fldLock="1"/>
      </w:r>
      <w:r w:rsidR="00EE33AB">
        <w:instrText>ADDIN CSL_CITATION {"citationItems":[{"id":"ITEM-1","itemData":{"DOI":"10.1180/0026461036760154","ISSN":"0026461X","author":[{"dropping-particle":"","family":"Burford","given":"E. P.","non-dropping-particle":"","parse-names":false,"suffix":""},{"dropping-particle":"","family":"Fomina","given":"M.","non-dropping-particle":"","parse-names":false,"suffix":""},{"dropping-particle":"","family":"Gadd","given":"G. M.","non-dropping-particle":"","parse-names":false,"suffix":""}],"container-title":"Mineralogical Magazine","id":"ITEM-1","issue":"6","issued":{"date-parts":[["2003","12","1"]]},"page":"1127-1155","title":"Fungal involvement in bioweathering and biotransformation of rocks and minerals","type":"article-journal","volume":"67"},"uris":["http://www.mendeley.com/documents/?uuid=e8afe172-7f4f-4943-8de4-844725c128ce"]}],"mendeley":{"formattedCitation":"(Burford et al., 2003)","plainTextFormattedCitation":"(Burford et al., 2003)","previouslyFormattedCitation":"(Burford et al., 2003)"},"properties":{"noteIndex":0},"schema":"https://github.com/citation-style-language/schema/raw/master/csl-citation.json"}</w:instrText>
      </w:r>
      <w:r w:rsidR="00027CB7">
        <w:fldChar w:fldCharType="separate"/>
      </w:r>
      <w:r w:rsidR="00027CB7" w:rsidRPr="00027CB7">
        <w:rPr>
          <w:noProof/>
        </w:rPr>
        <w:t>(Burford et al., 2003)</w:t>
      </w:r>
      <w:r w:rsidR="00027CB7">
        <w:fldChar w:fldCharType="end"/>
      </w:r>
      <w:r w:rsidR="00027CB7">
        <w:t xml:space="preserve">. </w:t>
      </w:r>
      <w:r w:rsidR="00223DC5" w:rsidRPr="00223DC5">
        <w:t>In addition, H</w:t>
      </w:r>
      <w:r w:rsidR="00223DC5" w:rsidRPr="00223DC5">
        <w:rPr>
          <w:vertAlign w:val="superscript"/>
        </w:rPr>
        <w:t>+</w:t>
      </w:r>
      <w:r w:rsidR="00223DC5" w:rsidRPr="00223DC5">
        <w:t xml:space="preserve"> excretion is important for micro-environment acidification </w:t>
      </w:r>
      <w:r w:rsidR="00223DC5" w:rsidRPr="00223DC5">
        <w:lastRenderedPageBreak/>
        <w:t xml:space="preserve">around </w:t>
      </w:r>
      <w:r w:rsidR="00730B79">
        <w:t xml:space="preserve">the </w:t>
      </w:r>
      <w:r w:rsidR="00223DC5" w:rsidRPr="00223DC5">
        <w:t xml:space="preserve">extraradical mycelium, which is typically </w:t>
      </w:r>
      <w:r w:rsidR="00C519D1">
        <w:t xml:space="preserve">an </w:t>
      </w:r>
      <w:r w:rsidR="00223DC5" w:rsidRPr="00223DC5">
        <w:t>optimal condition for mineral solubilisati</w:t>
      </w:r>
      <w:r w:rsidR="00027CB7">
        <w:t xml:space="preserve">on by EMF </w:t>
      </w:r>
      <w:r w:rsidR="00027CB7">
        <w:fldChar w:fldCharType="begin" w:fldLock="1"/>
      </w:r>
      <w:r w:rsidR="00EE33AB">
        <w:instrText>ADDIN CSL_CITATION {"citationItems":[{"id":"ITEM-1","itemData":{"DOI":"10.1180/0026461036760154","ISSN":"0026461X","author":[{"dropping-particle":"","family":"Burford","given":"E. P.","non-dropping-particle":"","parse-names":false,"suffix":""},{"dropping-particle":"","family":"Fomina","given":"M.","non-dropping-particle":"","parse-names":false,"suffix":""},{"dropping-particle":"","family":"Gadd","given":"G. M.","non-dropping-particle":"","parse-names":false,"suffix":""}],"container-title":"Mineralogical Magazine","id":"ITEM-1","issue":"6","issued":{"date-parts":[["2003","12","1"]]},"page":"1127-1155","title":"Fungal involvement in bioweathering and biotransformation of rocks and minerals","type":"article-journal","volume":"67"},"uris":["http://www.mendeley.com/documents/?uuid=e8afe172-7f4f-4943-8de4-844725c128ce"]}],"mendeley":{"formattedCitation":"(Burford et al., 2003)","plainTextFormattedCitation":"(Burford et al., 2003)","previouslyFormattedCitation":"(Burford et al., 2003)"},"properties":{"noteIndex":0},"schema":"https://github.com/citation-style-language/schema/raw/master/csl-citation.json"}</w:instrText>
      </w:r>
      <w:r w:rsidR="00027CB7">
        <w:fldChar w:fldCharType="separate"/>
      </w:r>
      <w:r w:rsidR="00027CB7" w:rsidRPr="00027CB7">
        <w:rPr>
          <w:noProof/>
        </w:rPr>
        <w:t>(Burford et al., 2003)</w:t>
      </w:r>
      <w:r w:rsidR="00027CB7">
        <w:fldChar w:fldCharType="end"/>
      </w:r>
      <w:r w:rsidR="00223DC5" w:rsidRPr="00223DC5">
        <w:t>.</w:t>
      </w:r>
    </w:p>
    <w:p w14:paraId="78F85B51" w14:textId="156EE96E" w:rsidR="00223DC5" w:rsidRPr="00223DC5" w:rsidRDefault="00223DC5" w:rsidP="00FB36B8">
      <w:pPr>
        <w:ind w:firstLine="720"/>
      </w:pPr>
      <w:r w:rsidRPr="00223DC5">
        <w:t xml:space="preserve">Siderophores are low molecular weight compounds, primarily Fe-specific ligands that are produced for metal acquisition from Fe-rich minerals </w:t>
      </w:r>
      <w:r w:rsidR="00027CB7">
        <w:fldChar w:fldCharType="begin" w:fldLock="1"/>
      </w:r>
      <w:r w:rsidR="00EE33AB">
        <w:instrText>ADDIN CSL_CITATION {"citationItems":[{"id":"ITEM-1","itemData":{"DOI":"10.1017/S0953756202006548","ISSN":"09537562","author":[{"dropping-particle":"","family":"Renshaw","given":"Joanna C.","non-dropping-particle":"","parse-names":false,"suffix":""},{"dropping-particle":"","family":"Robson","given":"Geoff D.","non-dropping-particle":"","parse-names":false,"suffix":""},{"dropping-particle":"","family":"Trinci","given":"Anthony P.J.","non-dropping-particle":"","parse-names":false,"suffix":""},{"dropping-particle":"","family":"Wiebe","given":"Marilyn G.","non-dropping-particle":"","parse-names":false,"suffix":""},{"dropping-particle":"","family":"Livens","given":"Francis R.","non-dropping-particle":"","parse-names":false,"suffix":""},{"dropping-particle":"","family":"Collison","given":"David","non-dropping-particle":"","parse-names":false,"suffix":""},{"dropping-particle":"","family":"Taylor","given":"Robin J.","non-dropping-particle":"","parse-names":false,"suffix":""}],"container-title":"Mycological Research","id":"ITEM-1","issue":"10","issued":{"date-parts":[["2002","10"]]},"page":"1123-1142","title":"Fungal siderophores: structures, functions and applications","type":"article-journal","volume":"106"},"uris":["http://www.mendeley.com/documents/?uuid=6fe75ec2-0472-4f86-bb4e-c3f476a6bf9a"]}],"mendeley":{"formattedCitation":"(Renshaw et al., 2002)","plainTextFormattedCitation":"(Renshaw et al., 2002)","previouslyFormattedCitation":"(Renshaw et al., 2002)"},"properties":{"noteIndex":0},"schema":"https://github.com/citation-style-language/schema/raw/master/csl-citation.json"}</w:instrText>
      </w:r>
      <w:r w:rsidR="00027CB7">
        <w:fldChar w:fldCharType="separate"/>
      </w:r>
      <w:r w:rsidR="00027CB7" w:rsidRPr="00027CB7">
        <w:rPr>
          <w:noProof/>
        </w:rPr>
        <w:t>(Renshaw et al., 2002)</w:t>
      </w:r>
      <w:r w:rsidR="00027CB7">
        <w:fldChar w:fldCharType="end"/>
      </w:r>
      <w:r w:rsidRPr="00223DC5">
        <w:t xml:space="preserve">. In particular, EMF produce a wide range of hydroxamate siderophores in response to Fe-limited conditions </w:t>
      </w:r>
      <w:r w:rsidR="00027CB7">
        <w:fldChar w:fldCharType="begin" w:fldLock="1"/>
      </w:r>
      <w:r w:rsidR="00EE33AB">
        <w:instrText>ADDIN CSL_CITATION {"citationItems":[{"id":"ITEM-1","itemData":{"DOI":"10.1017/S0953756202006548","ISSN":"09537562","author":[{"dropping-particle":"","family":"Renshaw","given":"Joanna C.","non-dropping-particle":"","parse-names":false,"suffix":""},{"dropping-particle":"","family":"Robson","given":"Geoff D.","non-dropping-particle":"","parse-names":false,"suffix":""},{"dropping-particle":"","family":"Trinci","given":"Anthony P.J.","non-dropping-particle":"","parse-names":false,"suffix":""},{"dropping-particle":"","family":"Wiebe","given":"Marilyn G.","non-dropping-particle":"","parse-names":false,"suffix":""},{"dropping-particle":"","family":"Livens","given":"Francis R.","non-dropping-particle":"","parse-names":false,"suffix":""},{"dropping-particle":"","family":"Collison","given":"David","non-dropping-particle":"","parse-names":false,"suffix":""},{"dropping-particle":"","family":"Taylor","given":"Robin J.","non-dropping-particle":"","parse-names":false,"suffix":""}],"container-title":"Mycological Research","id":"ITEM-1","issue":"10","issued":{"date-parts":[["2002","10"]]},"page":"1123-1142","title":"Fungal siderophores: structures, functions and applications","type":"article-journal","volume":"106"},"uris":["http://www.mendeley.com/documents/?uuid=6fe75ec2-0472-4f86-bb4e-c3f476a6bf9a"]},{"id":"ITEM-2","itemData":{"DOI":"10.1007/s10534-013-9673-8","ISBN":"1053401396738","ISSN":"1572-8773","PMID":"24057327","abstract":"A screening for siderophores produced by the ectomycorrhizal fungi Laccaria laccata and Laccaria bicolor in synthetic low iron medium revealed the release of several different hydroxamate siderophores of which four major siderophores could be identified by high resolution mass spectrometry. While ferricrocin, coprogen and triacetylfusarinine C were assigned as well as other known fungal siderophores, a major peak of the siderophore mixture revealed an average molecular mass of 797 for the iron-loaded compound. High resolution mass spectrometry indicated an absolute mass of m/z = 798.30973 ([M + H](+)). With a relative error of Δ = 0.56 ppm this corresponds to linear fusigen (C33H52N6O13Fe; MW = 797.3). The production of large amounts of linear fusigen by these basidiomycetous mycorrhizal fungi may possibly explain the observed suppression of plant pathogenic Fusarium species. For comparative purposes Fusarium roseum was included in this study as a well known producer of cyclic and linear fusigen.","author":[{"dropping-particle":"","family":"Haselwandter","given":"Kurt","non-dropping-particle":"","parse-names":false,"suffix":""},{"dropping-particle":"","family":"Häninger","given":"Gerlinde","non-dropping-particle":"","parse-names":false,"suffix":""},{"dropping-particle":"","family":"Ganzera","given":"Markus","non-dropping-particle":"","parse-names":false,"suffix":""},{"dropping-particle":"","family":"Haas","given":"Hubertus","non-dropping-particle":"","parse-names":false,"suffix":""},{"dropping-particle":"","family":"Nicholson","given":"Graeme","non-dropping-particle":"","parse-names":false,"suffix":""},{"dropping-particle":"","family":"Winkelmann","given":"Günther","non-dropping-particle":"","parse-names":false,"suffix":""}],"container-title":"Biometals : an international journal on the role of metal ions in biology, biochemistry, and medicine","id":"ITEM-2","issue":"6","issued":{"date-parts":[["2013","12"]]},"page":"969-79","title":"Linear fusigen as the major hydroxamate siderophore of the ectomycorrhizal Basidiomycota Laccaria laccata and Laccaria bicolor.","type":"article-journal","volume":"26"},"uris":["http://www.mendeley.com/documents/?uuid=c1f1edeb-6c9d-4863-9b33-6441a5b124a8"]}],"mendeley":{"formattedCitation":"(Renshaw et al., 2002; Haselwandter et al., 2013)","plainTextFormattedCitation":"(Renshaw et al., 2002; Haselwandter et al., 2013)","previouslyFormattedCitation":"(Renshaw et al., 2002; Haselwandter et al., 2013)"},"properties":{"noteIndex":0},"schema":"https://github.com/citation-style-language/schema/raw/master/csl-citation.json"}</w:instrText>
      </w:r>
      <w:r w:rsidR="00027CB7">
        <w:fldChar w:fldCharType="separate"/>
      </w:r>
      <w:r w:rsidR="00027CB7" w:rsidRPr="00027CB7">
        <w:rPr>
          <w:noProof/>
        </w:rPr>
        <w:t>(Renshaw et al., 2002; Haselwandter et al., 2013)</w:t>
      </w:r>
      <w:r w:rsidR="00027CB7">
        <w:fldChar w:fldCharType="end"/>
      </w:r>
      <w:r w:rsidRPr="00223DC5">
        <w:t>.</w:t>
      </w:r>
    </w:p>
    <w:p w14:paraId="6AD43A32" w14:textId="598A8E39" w:rsidR="00223DC5" w:rsidRPr="00223DC5" w:rsidRDefault="00223DC5" w:rsidP="007C3C15">
      <w:pPr>
        <w:ind w:firstLine="720"/>
      </w:pPr>
      <w:r w:rsidRPr="00223DC5">
        <w:t xml:space="preserve">LMWOA are strong weathering agents due to their acidifying and complexing abilities, and their enhanced excretion is stimulated by P limitation </w:t>
      </w:r>
      <w:r w:rsidR="00F838A2">
        <w:fldChar w:fldCharType="begin" w:fldLock="1"/>
      </w:r>
      <w:r w:rsidR="00EE33AB">
        <w:instrText>ADDIN CSL_CITATION {"citationItems":[{"id":"ITEM-1","itemData":{"ISSN":"0169-5347","PMID":"11301154","abstract":"Plant nutrients, with the exception of nitrogen, are ultimately derived from weathering of primary minerals. Traditional theories about the role of ectomycorrhizal fungi in plant nutrition have emphasized quantitative effects on uptake and transport of dissolved nutrients. Qualitative effects of the symbiosis on the ability of plants to access organic nitrogen and phosphorus sources have also become increasingly apparent. Recent research suggests that ectomycorrhizal fungi mobilize other essential plant nutrients directly from minerals through excretion of organic acids. This enables ectomycorrhizal plants to utilize essential nutrients from insoluble mineral sources and affects nutrient cycling in forest systems.","author":[{"dropping-particle":"","family":"Landeweert","given":"R","non-dropping-particle":"","parse-names":false,"suffix":""},{"dropping-particle":"","family":"Hoffland","given":"E","non-dropping-particle":"","parse-names":false,"suffix":""},{"dropping-particle":"","family":"Finlay","given":"R D.","non-dropping-particle":"","parse-names":false,"suffix":""},{"dropping-particle":"","family":"Kuyper","given":"T W.","non-dropping-particle":"","parse-names":false,"suffix":""},{"dropping-particle":"","family":"Breemen","given":"N","non-dropping-particle":"van","parse-names":false,"suffix":""}],"container-title":"Trends in ecology &amp; evolution","id":"ITEM-1","issue":"5","issued":{"date-parts":[["2001","5","1"]]},"page":"248-254","title":"Linking plants to rocks: ectomycorrhizal fungi mobilize nutrients from minerals.","type":"article-journal","volume":"16"},"uris":["http://www.mendeley.com/documents/?uuid=f953cb96-975b-480b-b56e-16ba47afa02f"]},{"id":"ITEM-2","itemData":{"DOI":"10.1111/j.1469-8137.2006.01649.x","ISSN":"0028-646X","PMID":"16539612","abstract":"Low molecular weight organic anions (LMWOA) can enhance weathering of mineral grains. We tested the hypothesis that ectomycorrhizal (EcM) fungi and tree seedlings increase their exudation of LMWOA when supply of magnesium, potassium and phosphorus is low to enhance the mobilization of Mg, K and P from mineral grains. Ectomycorrhizal fungi and Pinus sylvestris seedlings were cultured in symbiosis and in isolation on glass beads with nutrient solution or with sand as a rooting medium, with a complete nutrient supply or with Mg, K, P or N in low supply. Concentrations of all dicarboxylic LMWOA in the rooting medium were measured. Nonmycorrhizal seedlings released predominantly malonate. Colonization with Hebeloma longicaudum decreased the amount of organic anions exuded, whereas Paxillus involutus and Piloderma croceum increased the concentration of oxalate but not the total amount of LMWOA. Phosphorus deficiency increased the concentration of LMWOA by nonmycorrhizal and EcM seedlings. Magnesium deficiency increased the concentration of oxalate by nonmycorrhizal and EcM seedlings, but not the concentration of total LMWOA. Paxillus involutus grown in pure culture responded differently to low nutrient supply compared with symbiotic growth. Ectomycorrhizal fungi did not increase the total concentration of LMWOA compared with nonmycorrhizal seedlings but, depending on the fungal species, they affected the type of LMWOA found.","author":[{"dropping-particle":"","family":"Schöll","given":"Laura","non-dropping-particle":"van","parse-names":false,"suffix":""},{"dropping-particle":"","family":"Hoffland","given":"Ellis","non-dropping-particle":"","parse-names":false,"suffix":""},{"dropping-particle":"","family":"Breemen","given":"Nico","non-dropping-particle":"van","parse-names":false,"suffix":""}],"container-title":"The New phytologist","id":"ITEM-2","issue":"1","issued":{"date-parts":[["2006","1"]]},"page":"153-63","title":"Organic anion exudation by ectomycorrhizal fungi and Pinus sylvestris in response to nutrient deficiencies.","type":"article-journal","volume":"170"},"uris":["http://www.mendeley.com/documents/?uuid=108984f8-a009-4d3f-9a3c-fab934dea47a"]}],"mendeley":{"formattedCitation":"(Landeweert et al., 2001; van Schöll et al., 2006a)","plainTextFormattedCitation":"(Landeweert et al., 2001; van Schöll et al., 2006a)","previouslyFormattedCitation":"(Landeweert et al., 2001; van Schöll et al., 2006a)"},"properties":{"noteIndex":0},"schema":"https://github.com/citation-style-language/schema/raw/master/csl-citation.json"}</w:instrText>
      </w:r>
      <w:r w:rsidR="00F838A2">
        <w:fldChar w:fldCharType="separate"/>
      </w:r>
      <w:r w:rsidR="00F838A2" w:rsidRPr="00F838A2">
        <w:rPr>
          <w:noProof/>
        </w:rPr>
        <w:t>(Landeweert et al., 2001; van Schöll et al., 2006a)</w:t>
      </w:r>
      <w:r w:rsidR="00F838A2">
        <w:fldChar w:fldCharType="end"/>
      </w:r>
      <w:r w:rsidRPr="00223DC5">
        <w:t>. Oxalic, citric and malonic acids are considered the most efficient weathering agents of phosphate minerals produced by EMF</w:t>
      </w:r>
      <w:r w:rsidR="002B7D7E">
        <w:t xml:space="preserve"> </w:t>
      </w:r>
      <w:r w:rsidR="002B7D7E">
        <w:fldChar w:fldCharType="begin" w:fldLock="1"/>
      </w:r>
      <w:r w:rsidR="00EE33AB">
        <w:instrText>ADDIN CSL_CITATION {"citationItems":[{"id":"ITEM-1","itemData":{"ISSN":"0169-5347","PMID":"11301154","abstract":"Plant nutrients, with the exception of nitrogen, are ultimately derived from weathering of primary minerals. Traditional theories about the role of ectomycorrhizal fungi in plant nutrition have emphasized quantitative effects on uptake and transport of dissolved nutrients. Qualitative effects of the symbiosis on the ability of plants to access organic nitrogen and phosphorus sources have also become increasingly apparent. Recent research suggests that ectomycorrhizal fungi mobilize other essential plant nutrients directly from minerals through excretion of organic acids. This enables ectomycorrhizal plants to utilize essential nutrients from insoluble mineral sources and affects nutrient cycling in forest systems.","author":[{"dropping-particle":"","family":"Landeweert","given":"R","non-dropping-particle":"","parse-names":false,"suffix":""},{"dropping-particle":"","family":"Hoffland","given":"E","non-dropping-particle":"","parse-names":false,"suffix":""},{"dropping-particle":"","family":"Finlay","given":"R D.","non-dropping-particle":"","parse-names":false,"suffix":""},{"dropping-particle":"","family":"Kuyper","given":"T W.","non-dropping-particle":"","parse-names":false,"suffix":""},{"dropping-particle":"","family":"Breemen","given":"N","non-dropping-particle":"van","parse-names":false,"suffix":""}],"container-title":"Trends in ecology &amp; evolution","id":"ITEM-1","issue":"5","issued":{"date-parts":[["2001","5","1"]]},"page":"248-254","title":"Linking plants to rocks: ectomycorrhizal fungi mobilize nutrients from minerals.","type":"article-journal","volume":"16"},"uris":["http://www.mendeley.com/documents/?uuid=f953cb96-975b-480b-b56e-16ba47afa02f"]}],"mendeley":{"formattedCitation":"(Landeweert et al., 2001)","plainTextFormattedCitation":"(Landeweert et al., 2001)","previouslyFormattedCitation":"(Landeweert et al., 2001)"},"properties":{"noteIndex":0},"schema":"https://github.com/citation-style-language/schema/raw/master/csl-citation.json"}</w:instrText>
      </w:r>
      <w:r w:rsidR="002B7D7E">
        <w:fldChar w:fldCharType="separate"/>
      </w:r>
      <w:r w:rsidR="002B7D7E" w:rsidRPr="002B7D7E">
        <w:rPr>
          <w:noProof/>
        </w:rPr>
        <w:t>(Landeweert et al., 2001)</w:t>
      </w:r>
      <w:r w:rsidR="002B7D7E">
        <w:fldChar w:fldCharType="end"/>
      </w:r>
      <w:r w:rsidRPr="00223DC5">
        <w:t>. In particular, the anionic form (oxalate, citrate and malonate) of the acids above, coupled with H</w:t>
      </w:r>
      <w:r w:rsidRPr="00223DC5">
        <w:rPr>
          <w:vertAlign w:val="superscript"/>
        </w:rPr>
        <w:t>+</w:t>
      </w:r>
      <w:r w:rsidRPr="00223DC5">
        <w:t xml:space="preserve"> excretion by H</w:t>
      </w:r>
      <w:r w:rsidRPr="00223DC5">
        <w:rPr>
          <w:vertAlign w:val="superscript"/>
        </w:rPr>
        <w:t>+</w:t>
      </w:r>
      <w:r w:rsidRPr="00223DC5">
        <w:t>-ATPases, is capable of solubilisi</w:t>
      </w:r>
      <w:r w:rsidR="002B7D7E">
        <w:t xml:space="preserve">ng Pi from apatite </w:t>
      </w:r>
      <w:r w:rsidR="002B7D7E">
        <w:fldChar w:fldCharType="begin" w:fldLock="1"/>
      </w:r>
      <w:r w:rsidR="00EE33AB">
        <w:instrText>ADDIN CSL_CITATION {"citationItems":[{"id":"ITEM-1","itemData":{"author":[{"dropping-particle":"","family":"Jones","given":"DL","non-dropping-particle":"","parse-names":false,"suffix":""}],"container-title":"Plant and soil","id":"ITEM-1","issued":{"date-parts":[["1998"]]},"page":"25-44","title":"Organic acids in the rhizosphere–a critical review","type":"article-journal","volume":"205"},"uris":["http://www.mendeley.com/documents/?uuid=63b3d11c-40b2-42b2-a716-b654e87300f0"]}],"mendeley":{"formattedCitation":"(Jones, 1998)","plainTextFormattedCitation":"(Jones, 1998)","previouslyFormattedCitation":"(Jones, 1998)"},"properties":{"noteIndex":0},"schema":"https://github.com/citation-style-language/schema/raw/master/csl-citation.json"}</w:instrText>
      </w:r>
      <w:r w:rsidR="002B7D7E">
        <w:fldChar w:fldCharType="separate"/>
      </w:r>
      <w:r w:rsidR="002B7D7E" w:rsidRPr="002B7D7E">
        <w:rPr>
          <w:noProof/>
        </w:rPr>
        <w:t>(Jones, 1998)</w:t>
      </w:r>
      <w:r w:rsidR="002B7D7E">
        <w:fldChar w:fldCharType="end"/>
      </w:r>
      <w:r w:rsidRPr="00223DC5">
        <w:t>. For instance, Casarin et al. (2004) demonstrated a clear role of oxalate and H</w:t>
      </w:r>
      <w:r w:rsidRPr="00223DC5">
        <w:rPr>
          <w:vertAlign w:val="superscript"/>
        </w:rPr>
        <w:t>+</w:t>
      </w:r>
      <w:r w:rsidR="00834080">
        <w:t>-</w:t>
      </w:r>
      <w:r w:rsidRPr="00223DC5">
        <w:t xml:space="preserve">generated acidification in increasing Pi </w:t>
      </w:r>
      <w:r w:rsidR="00701AA0">
        <w:t>availability, via HAP</w:t>
      </w:r>
      <w:r w:rsidRPr="00223DC5">
        <w:t xml:space="preserve"> weathering by the EM</w:t>
      </w:r>
      <w:r w:rsidR="00834080">
        <w:t xml:space="preserve"> fungus</w:t>
      </w:r>
      <w:r w:rsidRPr="00223DC5">
        <w:t xml:space="preserve"> </w:t>
      </w:r>
      <w:r w:rsidRPr="00223DC5">
        <w:rPr>
          <w:i/>
        </w:rPr>
        <w:t>Rhizopogon roseolus</w:t>
      </w:r>
      <w:r w:rsidR="00397D96">
        <w:t xml:space="preserve"> in symbiosis with </w:t>
      </w:r>
      <w:r w:rsidRPr="00223DC5">
        <w:rPr>
          <w:i/>
        </w:rPr>
        <w:t>Pinus pinaster</w:t>
      </w:r>
      <w:r w:rsidR="00B12E33">
        <w:t xml:space="preserve"> </w:t>
      </w:r>
      <w:r w:rsidR="00B12E33">
        <w:fldChar w:fldCharType="begin" w:fldLock="1"/>
      </w:r>
      <w:r w:rsidR="00EE33AB">
        <w:instrText>ADDIN CSL_CITATION {"citationItems":[{"id":"ITEM-1","itemData":{"DOI":"10.1111/j.1469-8137.2004.01093.x","ISSN":"0028-646X","author":[{"dropping-particle":"","family":"Casarin","given":"Valter","non-dropping-particle":"","parse-names":false,"suffix":""},{"dropping-particle":"","family":"Plassard","given":"Claude","non-dropping-particle":"","parse-names":false,"suffix":""},{"dropping-particle":"","family":"Hinsinger","given":"Philippe","non-dropping-particle":"","parse-names":false,"suffix":""},{"dropping-particle":"","family":"Arvieu","given":"Jean-Claude","non-dropping-particle":"","parse-names":false,"suffix":""}],"container-title":"New Phytologist","id":"ITEM-1","issue":"1","issued":{"date-parts":[["2004","7"]]},"page":"177-185","title":"Quantification of ectomycorrhizal fungal effects on the bioavailability and mobilization of soil P in the rhizosphere of Pinus pinaster","type":"article-journal","volume":"163"},"uris":["http://www.mendeley.com/documents/?uuid=79ddd606-1fa3-46ba-bbbd-a0c3f2bf0110"]}],"mendeley":{"formattedCitation":"(Casarin et al., 2004)","plainTextFormattedCitation":"(Casarin et al., 2004)","previouslyFormattedCitation":"(Casarin et al., 2004)"},"properties":{"noteIndex":0},"schema":"https://github.com/citation-style-language/schema/raw/master/csl-citation.json"}</w:instrText>
      </w:r>
      <w:r w:rsidR="00B12E33">
        <w:fldChar w:fldCharType="separate"/>
      </w:r>
      <w:r w:rsidR="00B12E33" w:rsidRPr="00B12E33">
        <w:rPr>
          <w:noProof/>
        </w:rPr>
        <w:t>(Casarin et al., 2004)</w:t>
      </w:r>
      <w:r w:rsidR="00B12E33">
        <w:fldChar w:fldCharType="end"/>
      </w:r>
      <w:r w:rsidRPr="00223DC5">
        <w:t>.</w:t>
      </w:r>
    </w:p>
    <w:p w14:paraId="6AC96F19" w14:textId="5209381F" w:rsidR="00223DC5" w:rsidRPr="00223DC5" w:rsidRDefault="00223DC5" w:rsidP="007C3C15">
      <w:pPr>
        <w:ind w:firstLine="720"/>
      </w:pPr>
      <w:r w:rsidRPr="00223DC5">
        <w:t xml:space="preserve">However, organic acid production varies within EMF. For instance, it has been shown that </w:t>
      </w:r>
      <w:r w:rsidRPr="00223DC5">
        <w:rPr>
          <w:i/>
        </w:rPr>
        <w:t>P</w:t>
      </w:r>
      <w:r w:rsidR="006C556B">
        <w:rPr>
          <w:i/>
        </w:rPr>
        <w:t>.</w:t>
      </w:r>
      <w:r w:rsidRPr="00223DC5">
        <w:rPr>
          <w:i/>
        </w:rPr>
        <w:t xml:space="preserve"> involutus</w:t>
      </w:r>
      <w:r w:rsidRPr="00223DC5">
        <w:t xml:space="preserve"> in axenic culture</w:t>
      </w:r>
      <w:r w:rsidR="00607DA8">
        <w:t>s</w:t>
      </w:r>
      <w:r w:rsidRPr="00223DC5">
        <w:t xml:space="preserve"> produces malonate under Pi limitation, whereas when its mycelia colonise </w:t>
      </w:r>
      <w:r w:rsidRPr="00223DC5">
        <w:rPr>
          <w:i/>
        </w:rPr>
        <w:t>Pinus s</w:t>
      </w:r>
      <w:r w:rsidR="00C519D1">
        <w:rPr>
          <w:i/>
        </w:rPr>
        <w:t>y</w:t>
      </w:r>
      <w:r w:rsidRPr="00223DC5">
        <w:rPr>
          <w:i/>
        </w:rPr>
        <w:t>lvestris</w:t>
      </w:r>
      <w:r w:rsidRPr="00223DC5">
        <w:t xml:space="preserve"> seedlings, it produces both malonate and oxalate </w:t>
      </w:r>
      <w:r w:rsidR="002B7D7E">
        <w:fldChar w:fldCharType="begin" w:fldLock="1"/>
      </w:r>
      <w:r w:rsidR="00EE33AB">
        <w:instrText>ADDIN CSL_CITATION {"citationItems":[{"id":"ITEM-1","itemData":{"DOI":"10.1111/j.1469-8137.2006.01649.x","ISSN":"0028-646X","PMID":"16539612","abstract":"Low molecular weight organic anions (LMWOA) can enhance weathering of mineral grains. We tested the hypothesis that ectomycorrhizal (EcM) fungi and tree seedlings increase their exudation of LMWOA when supply of magnesium, potassium and phosphorus is low to enhance the mobilization of Mg, K and P from mineral grains. Ectomycorrhizal fungi and Pinus sylvestris seedlings were cultured in symbiosis and in isolation on glass beads with nutrient solution or with sand as a rooting medium, with a complete nutrient supply or with Mg, K, P or N in low supply. Concentrations of all dicarboxylic LMWOA in the rooting medium were measured. Nonmycorrhizal seedlings released predominantly malonate. Colonization with Hebeloma longicaudum decreased the amount of organic anions exuded, whereas Paxillus involutus and Piloderma croceum increased the concentration of oxalate but not the total amount of LMWOA. Phosphorus deficiency increased the concentration of LMWOA by nonmycorrhizal and EcM seedlings. Magnesium deficiency increased the concentration of oxalate by nonmycorrhizal and EcM seedlings, but not the concentration of total LMWOA. Paxillus involutus grown in pure culture responded differently to low nutrient supply compared with symbiotic growth. Ectomycorrhizal fungi did not increase the total concentration of LMWOA compared with nonmycorrhizal seedlings but, depending on the fungal species, they affected the type of LMWOA found.","author":[{"dropping-particle":"","family":"Schöll","given":"Laura","non-dropping-particle":"van","parse-names":false,"suffix":""},{"dropping-particle":"","family":"Hoffland","given":"Ellis","non-dropping-particle":"","parse-names":false,"suffix":""},{"dropping-particle":"","family":"Breemen","given":"Nico","non-dropping-particle":"van","parse-names":false,"suffix":""}],"container-title":"The New phytologist","id":"ITEM-1","issue":"1","issued":{"date-parts":[["2006","1"]]},"page":"153-63","title":"Organic anion exudation by ectomycorrhizal fungi and Pinus sylvestris in response to nutrient deficiencies.","type":"article-journal","volume":"170"},"uris":["http://www.mendeley.com/documents/?uuid=108984f8-a009-4d3f-9a3c-fab934dea47a"]}],"mendeley":{"formattedCitation":"(van Schöll et al., 2006a)","plainTextFormattedCitation":"(van Schöll et al., 2006a)","previouslyFormattedCitation":"(van Schöll et al., 2006a)"},"properties":{"noteIndex":0},"schema":"https://github.com/citation-style-language/schema/raw/master/csl-citation.json"}</w:instrText>
      </w:r>
      <w:r w:rsidR="002B7D7E">
        <w:fldChar w:fldCharType="separate"/>
      </w:r>
      <w:r w:rsidR="002B7D7E" w:rsidRPr="002B7D7E">
        <w:rPr>
          <w:noProof/>
        </w:rPr>
        <w:t>(van Schöll et al., 2006a)</w:t>
      </w:r>
      <w:r w:rsidR="002B7D7E">
        <w:fldChar w:fldCharType="end"/>
      </w:r>
      <w:r w:rsidR="002B7D7E">
        <w:t>.</w:t>
      </w:r>
    </w:p>
    <w:p w14:paraId="4CB7F151" w14:textId="77777777" w:rsidR="00223DC5" w:rsidRPr="00223DC5" w:rsidRDefault="00223DC5" w:rsidP="007C3C15"/>
    <w:p w14:paraId="47B1852B" w14:textId="40DBF55C" w:rsidR="00223DC5" w:rsidRPr="00223DC5" w:rsidRDefault="00223DC5" w:rsidP="00635993">
      <w:pPr>
        <w:pStyle w:val="Heading1"/>
      </w:pPr>
      <w:bookmarkStart w:id="33" w:name="_Toc507603959"/>
      <w:bookmarkStart w:id="34" w:name="_Toc507604226"/>
      <w:bookmarkStart w:id="35" w:name="_Toc519016943"/>
      <w:bookmarkStart w:id="36" w:name="_Toc520837841"/>
      <w:r w:rsidRPr="00223DC5">
        <w:t>1.</w:t>
      </w:r>
      <w:r w:rsidR="004F2542">
        <w:t>4</w:t>
      </w:r>
      <w:r w:rsidRPr="00223DC5">
        <w:t xml:space="preserve"> Role of EM</w:t>
      </w:r>
      <w:r w:rsidR="00607DA8">
        <w:t>F</w:t>
      </w:r>
      <w:r w:rsidRPr="00223DC5">
        <w:t xml:space="preserve"> in P and C biogeochemical cycles</w:t>
      </w:r>
      <w:bookmarkEnd w:id="33"/>
      <w:bookmarkEnd w:id="34"/>
      <w:bookmarkEnd w:id="35"/>
      <w:bookmarkEnd w:id="36"/>
    </w:p>
    <w:p w14:paraId="004EAD2C" w14:textId="18B165B6" w:rsidR="00223DC5" w:rsidRPr="00223DC5" w:rsidRDefault="00223DC5" w:rsidP="003F7054">
      <w:pPr>
        <w:rPr>
          <w:rFonts w:eastAsia="MinionPro-Regular"/>
          <w:color w:val="1F1E21"/>
        </w:rPr>
      </w:pPr>
      <w:r w:rsidRPr="00223DC5">
        <w:t>EM</w:t>
      </w:r>
      <w:r w:rsidR="00607DA8">
        <w:t>F</w:t>
      </w:r>
      <w:r w:rsidRPr="00223DC5">
        <w:t xml:space="preserve"> comprise a significant proportion of </w:t>
      </w:r>
      <w:r w:rsidR="00C519D1">
        <w:t xml:space="preserve">the </w:t>
      </w:r>
      <w:r w:rsidRPr="00223DC5">
        <w:t xml:space="preserve">soil microbiota and have </w:t>
      </w:r>
      <w:r w:rsidRPr="00223DC5">
        <w:rPr>
          <w:rFonts w:eastAsia="MinionPro-Regular"/>
          <w:color w:val="1F1E21"/>
        </w:rPr>
        <w:t xml:space="preserve">an essential impact on elemental </w:t>
      </w:r>
      <w:r w:rsidRPr="00223DC5">
        <w:t>biogeochemical</w:t>
      </w:r>
      <w:r w:rsidRPr="00223DC5">
        <w:rPr>
          <w:rFonts w:eastAsia="MinionPro-Regular"/>
          <w:color w:val="1F1E21"/>
        </w:rPr>
        <w:t xml:space="preserve"> cycles </w:t>
      </w:r>
      <w:r w:rsidRPr="00223DC5">
        <w:fldChar w:fldCharType="begin" w:fldLock="1"/>
      </w:r>
      <w:r w:rsidR="00EE33AB">
        <w:instrText>ADDIN CSL_CITATION {"citationItems":[{"id":"ITEM-1","itemData":{"DOI":"10.1128/AEM.69.1.327","author":[{"dropping-particle":"","family":"Landeweert","given":"Renske","non-dropping-particle":"","parse-names":false,"suffix":""},{"dropping-particle":"","family":"Leeflang","given":"Paula","non-dropping-particle":"","parse-names":false,"suffix":""}],"container-title":"Applied and Environmental Microbiology","id":"ITEM-1","issue":"1","issued":{"date-parts":[["2003"]]},"page":"327-333","title":"Molecular identification of ectomycorrhizal mycelium in soil horizons","type":"article-journal","volume":"69"},"uris":["http://www.mendeley.com/documents/?uuid=a8e45dc3-b455-4ff8-b795-a6dfddea868b"]}],"mendeley":{"formattedCitation":"(Landeweert and Leeflang, 2003)","plainTextFormattedCitation":"(Landeweert and Leeflang, 2003)","previouslyFormattedCitation":"(Landeweert and Leeflang, 2003)"},"properties":{"noteIndex":0},"schema":"https://github.com/citation-style-language/schema/raw/master/csl-citation.json"}</w:instrText>
      </w:r>
      <w:r w:rsidRPr="00223DC5">
        <w:fldChar w:fldCharType="separate"/>
      </w:r>
      <w:r w:rsidRPr="00223DC5">
        <w:rPr>
          <w:noProof/>
        </w:rPr>
        <w:t>(Landeweert and Leeflang, 2003)</w:t>
      </w:r>
      <w:r w:rsidRPr="00223DC5">
        <w:fldChar w:fldCharType="end"/>
      </w:r>
      <w:r w:rsidRPr="00223DC5">
        <w:t xml:space="preserve">. </w:t>
      </w:r>
      <w:r w:rsidRPr="00223DC5">
        <w:rPr>
          <w:rFonts w:eastAsia="MinionPro-Regular"/>
          <w:color w:val="1F1E21"/>
        </w:rPr>
        <w:t xml:space="preserve">It </w:t>
      </w:r>
      <w:r w:rsidR="00C519D1">
        <w:rPr>
          <w:rFonts w:eastAsia="MinionPro-Regular"/>
          <w:color w:val="1F1E21"/>
        </w:rPr>
        <w:t xml:space="preserve">is </w:t>
      </w:r>
      <w:r w:rsidRPr="00223DC5">
        <w:rPr>
          <w:rFonts w:eastAsia="MinionPro-Regular"/>
          <w:color w:val="1F1E21"/>
        </w:rPr>
        <w:t>estimate</w:t>
      </w:r>
      <w:r w:rsidR="00C519D1">
        <w:rPr>
          <w:rFonts w:eastAsia="MinionPro-Regular"/>
          <w:color w:val="1F1E21"/>
        </w:rPr>
        <w:t>d</w:t>
      </w:r>
      <w:r w:rsidRPr="00223DC5">
        <w:rPr>
          <w:rFonts w:eastAsia="MinionPro-Regular"/>
          <w:color w:val="1F1E21"/>
        </w:rPr>
        <w:t xml:space="preserve"> that up to 22% of the photosynthetic sugars produced by terrestrial plants </w:t>
      </w:r>
      <w:r w:rsidR="00C519D1">
        <w:rPr>
          <w:rFonts w:eastAsia="MinionPro-Regular"/>
          <w:color w:val="1F1E21"/>
        </w:rPr>
        <w:t xml:space="preserve">are </w:t>
      </w:r>
      <w:r w:rsidRPr="00223DC5">
        <w:rPr>
          <w:rFonts w:eastAsia="MinionPro-Regular"/>
          <w:color w:val="1F1E21"/>
        </w:rPr>
        <w:t>consumed by EM</w:t>
      </w:r>
      <w:r w:rsidR="00607DA8">
        <w:rPr>
          <w:rFonts w:eastAsia="MinionPro-Regular"/>
          <w:color w:val="1F1E21"/>
        </w:rPr>
        <w:t>F</w:t>
      </w:r>
      <w:r w:rsidRPr="00223DC5">
        <w:rPr>
          <w:rFonts w:eastAsia="MinionPro-Regular"/>
          <w:color w:val="1F1E21"/>
        </w:rPr>
        <w:t>, making EM</w:t>
      </w:r>
      <w:r w:rsidR="00607DA8">
        <w:rPr>
          <w:rFonts w:eastAsia="MinionPro-Regular"/>
          <w:color w:val="1F1E21"/>
        </w:rPr>
        <w:t>F</w:t>
      </w:r>
      <w:r w:rsidRPr="00223DC5">
        <w:rPr>
          <w:rFonts w:eastAsia="MinionPro-Regular"/>
          <w:color w:val="1F1E21"/>
        </w:rPr>
        <w:t xml:space="preserve"> an important C sink with p</w:t>
      </w:r>
      <w:r w:rsidR="00C47606">
        <w:rPr>
          <w:rFonts w:eastAsia="MinionPro-Regular"/>
          <w:color w:val="1F1E21"/>
        </w:rPr>
        <w:t xml:space="preserve">otential impact in the global C </w:t>
      </w:r>
      <w:r w:rsidRPr="00223DC5">
        <w:rPr>
          <w:rFonts w:eastAsia="MinionPro-Regular"/>
          <w:color w:val="1F1E21"/>
        </w:rPr>
        <w:t xml:space="preserve">cycle </w:t>
      </w:r>
      <w:r w:rsidRPr="00223DC5">
        <w:rPr>
          <w:rFonts w:eastAsia="MinionPro-Regular"/>
          <w:color w:val="1F1E21"/>
        </w:rPr>
        <w:fldChar w:fldCharType="begin" w:fldLock="1"/>
      </w:r>
      <w:r w:rsidR="00EE33AB">
        <w:rPr>
          <w:rFonts w:eastAsia="MinionPro-Regular"/>
          <w:color w:val="1F1E21"/>
        </w:rPr>
        <w:instrText>ADDIN CSL_CITATION {"citationItems":[{"id":"ITEM-1","itemData":{"author":[{"dropping-particle":"","family":"Hobbie","given":"EA","non-dropping-particle":"","parse-names":false,"suffix":""}],"container-title":"Ecology","id":"ITEM-1","issue":"3","issued":{"date-parts":[["2006"]]},"page":"563-569","title":"Carbon allocation to ectomycorrhizal fungi correlates with belowground allocation in culture studies","type":"article-journal","volume":"87"},"uris":["http://www.mendeley.com/documents/?uuid=83ca6eef-0776-4fe4-8ada-8eeb288e1771"]}],"mendeley":{"formattedCitation":"(Hobbie, 2006)","plainTextFormattedCitation":"(Hobbie, 2006)","previouslyFormattedCitation":"(Hobbie, 2006)"},"properties":{"noteIndex":0},"schema":"https://github.com/citation-style-language/schema/raw/master/csl-citation.json"}</w:instrText>
      </w:r>
      <w:r w:rsidRPr="00223DC5">
        <w:rPr>
          <w:rFonts w:eastAsia="MinionPro-Regular"/>
          <w:color w:val="1F1E21"/>
        </w:rPr>
        <w:fldChar w:fldCharType="separate"/>
      </w:r>
      <w:r w:rsidRPr="00223DC5">
        <w:rPr>
          <w:rFonts w:eastAsia="MinionPro-Regular"/>
          <w:noProof/>
          <w:color w:val="1F1E21"/>
        </w:rPr>
        <w:t>(Hobbie, 2006)</w:t>
      </w:r>
      <w:r w:rsidRPr="00223DC5">
        <w:rPr>
          <w:rFonts w:eastAsia="MinionPro-Regular"/>
          <w:color w:val="1F1E21"/>
        </w:rPr>
        <w:fldChar w:fldCharType="end"/>
      </w:r>
      <w:r w:rsidRPr="00223DC5">
        <w:rPr>
          <w:rFonts w:eastAsia="MinionPro-Regular"/>
          <w:color w:val="1F1E21"/>
        </w:rPr>
        <w:t>. Also, EM</w:t>
      </w:r>
      <w:r w:rsidR="00607DA8">
        <w:rPr>
          <w:rFonts w:eastAsia="MinionPro-Regular"/>
          <w:color w:val="1F1E21"/>
        </w:rPr>
        <w:t>F</w:t>
      </w:r>
      <w:r w:rsidRPr="00223DC5">
        <w:rPr>
          <w:rFonts w:eastAsia="MinionPro-Regular"/>
          <w:color w:val="1F1E21"/>
        </w:rPr>
        <w:t xml:space="preserve"> play a significant role in P cycling due to the specific activity of their mycelium in weathering primary phosphate minerals, such as apatite, and supplying them to the host plant </w:t>
      </w:r>
      <w:r w:rsidRPr="00223DC5">
        <w:rPr>
          <w:rFonts w:eastAsia="MinionPro-Regular"/>
          <w:color w:val="1F1E21"/>
        </w:rPr>
        <w:fldChar w:fldCharType="begin" w:fldLock="1"/>
      </w:r>
      <w:r w:rsidR="00EE33AB">
        <w:rPr>
          <w:rFonts w:eastAsia="MinionPro-Regular"/>
          <w:color w:val="1F1E21"/>
        </w:rPr>
        <w:instrText>ADDIN CSL_CITATION {"citationItems":[{"id":"ITEM-1","itemData":{"DOI":"10.1038/ncomms1046","ISSN":"2041-1723","PMID":"20975705","abstract":"Mycorrhizal fungi are a heterogeneous group of diverse fungal taxa, associated with the roots of over 90% of all plant species. Recently, state-of-the-art molecular and genetic tools, coupled to high-throughput sequencing and advanced microscopy, have led to the genome and transcriptome analysis of several symbionts. Signalling pathways between plants and fungi have now been described and the identification of several novel nutrient transporters has revealed some of the cellular processes that underlie symbiosis. Thus, the contributions of each partner in a mycorrhizal association are starting to be unravelled. This new knowledge is now available for use in agricultural practices.","author":[{"dropping-particle":"","family":"Bonfante","given":"Paola","non-dropping-particle":"","parse-names":false,"suffix":""},{"dropping-particle":"","family":"Genre","given":"Andrea","non-dropping-particle":"","parse-names":false,"suffix":""}],"container-title":"Nature communications","id":"ITEM-1","issue":"4","issued":{"date-parts":[["2010","1"]]},"page":"48","publisher":"Nature Publishing Group","title":"Mechanisms underlying beneficial plant-fungus interactions in mycorrhizal symbiosis.","type":"article-journal","volume":"1"},"uris":["http://www.mendeley.com/documents/?uuid=1eb56068-4d4a-4f1c-a2a7-1cc206b204ac"]}],"mendeley":{"formattedCitation":"(Bonfante and Genre, 2010)","plainTextFormattedCitation":"(Bonfante and Genre, 2010)","previouslyFormattedCitation":"(Bonfante and Genre, 2010)"},"properties":{"noteIndex":0},"schema":"https://github.com/citation-style-language/schema/raw/master/csl-citation.json"}</w:instrText>
      </w:r>
      <w:r w:rsidRPr="00223DC5">
        <w:rPr>
          <w:rFonts w:eastAsia="MinionPro-Regular"/>
          <w:color w:val="1F1E21"/>
        </w:rPr>
        <w:fldChar w:fldCharType="separate"/>
      </w:r>
      <w:r w:rsidRPr="00223DC5">
        <w:rPr>
          <w:rFonts w:eastAsia="MinionPro-Regular"/>
          <w:noProof/>
          <w:color w:val="1F1E21"/>
        </w:rPr>
        <w:t>(Bonfante and Genre, 2010)</w:t>
      </w:r>
      <w:r w:rsidRPr="00223DC5">
        <w:rPr>
          <w:rFonts w:eastAsia="MinionPro-Regular"/>
          <w:color w:val="1F1E21"/>
        </w:rPr>
        <w:fldChar w:fldCharType="end"/>
      </w:r>
      <w:r w:rsidRPr="00223DC5">
        <w:rPr>
          <w:rFonts w:eastAsia="MinionPro-Regular"/>
          <w:color w:val="1F1E21"/>
        </w:rPr>
        <w:t>.</w:t>
      </w:r>
    </w:p>
    <w:p w14:paraId="65562FB3" w14:textId="4A214286" w:rsidR="00223DC5" w:rsidRPr="00223DC5" w:rsidRDefault="00223DC5" w:rsidP="007F746A">
      <w:pPr>
        <w:ind w:firstLine="720"/>
        <w:rPr>
          <w:rFonts w:eastAsia="MinionPro-Regular"/>
          <w:color w:val="1F1E21"/>
        </w:rPr>
      </w:pPr>
      <w:r w:rsidRPr="00223DC5">
        <w:lastRenderedPageBreak/>
        <w:t xml:space="preserve">P is a limiting nutrient for terrestrial biological productivity, playing a pivotal role in net C uptake in terrestrial ecosystems </w:t>
      </w:r>
      <w:r w:rsidRPr="00223DC5">
        <w:fldChar w:fldCharType="begin" w:fldLock="1"/>
      </w:r>
      <w:r w:rsidR="00EE33AB">
        <w:instrText>ADDIN CSL_CITATION {"citationItems":[{"id":"ITEM-1","itemData":{"DOI":"10.2113/GSELEMENTS.4.2.89","abstract":"\n        The cycling of phosphorus, a biocritical element in short supply in nature, is an important Earth system process. Variations in the phosphorus cycle have occurred in the past. For example, the rapid uplift of the Himalayan-Tibet Plateau increased chemical weathering, which led to enhanced input of phosphorus to the oceans. This drove the late Miocene “biogenic bloom.” Additionally, phosphorus is redistributed on glacial timescales, resulting from the loss of the substantial continental margin sink for reactive P during glacial sea-level lowstands. The modern terrestrial phosphorus cycle is dominated by agriculture and human activity. The natural riverine load of phosphorus has doubled due to increased use of fertilizers, deforestation and soil loss, and sewage sources. This has led to eutrophication of lakes and coastal areas, and will continue to have an impact for several thousand years based on forward modeling of human activities.\n       ","author":[{"dropping-particle":"","family":"Filippelli","given":"Gabriel M","non-dropping-particle":"","parse-names":false,"suffix":""}],"container-title":"Elements ","id":"ITEM-1","issue":"2 ","issued":{"date-parts":[["2008","4","1"]]},"note":"10.2113/GSELEMENTS.4.2.89 ","page":"89-95","title":"The Global Phosphorus Cycle: Past, Present, and Future","type":"article-journal","volume":"4 "},"uris":["http://www.mendeley.com/documents/?uuid=eac0fa71-0be9-4fd8-acc4-2385b36fb4eb"]}],"mendeley":{"formattedCitation":"(Filippelli, 2008)","plainTextFormattedCitation":"(Filippelli, 2008)","previouslyFormattedCitation":"(Filippelli, 2008)"},"properties":{"noteIndex":0},"schema":"https://github.com/citation-style-language/schema/raw/master/csl-citation.json"}</w:instrText>
      </w:r>
      <w:r w:rsidRPr="00223DC5">
        <w:fldChar w:fldCharType="separate"/>
      </w:r>
      <w:r w:rsidRPr="00223DC5">
        <w:rPr>
          <w:noProof/>
        </w:rPr>
        <w:t>(Filippelli, 2008)</w:t>
      </w:r>
      <w:r w:rsidRPr="00223DC5">
        <w:fldChar w:fldCharType="end"/>
      </w:r>
      <w:r w:rsidRPr="00223DC5">
        <w:t xml:space="preserve">. However, the availability of P in ecosystems is restricted by the slow rate of its release during soil weathering </w:t>
      </w:r>
      <w:r w:rsidRPr="00223DC5">
        <w:fldChar w:fldCharType="begin" w:fldLock="1"/>
      </w:r>
      <w:r w:rsidR="00EE33AB">
        <w:instrText>ADDIN CSL_CITATION {"citationItems":[{"id":"ITEM-1","itemData":{"author":[{"dropping-particle":"","family":"Bieleski","given":"R L","non-dropping-particle":"","parse-names":false,"suffix":""}],"container-title":"Annual Review of Plant Physiology","id":"ITEM-1","issued":{"date-parts":[["1973"]]},"page":"225-252","title":"Phosphate pools, phosphate transport, and phosphate availability","type":"article-journal","volume":"24"},"uris":["http://www.mendeley.com/documents/?uuid=f05a77d2-78e2-4356-912c-e5663e3eae17"]}],"mendeley":{"formattedCitation":"(Bieleski, 1973)","plainTextFormattedCitation":"(Bieleski, 1973)","previouslyFormattedCitation":"(Bieleski, 1973)"},"properties":{"noteIndex":0},"schema":"https://github.com/citation-style-language/schema/raw/master/csl-citation.json"}</w:instrText>
      </w:r>
      <w:r w:rsidRPr="00223DC5">
        <w:fldChar w:fldCharType="separate"/>
      </w:r>
      <w:r w:rsidRPr="00223DC5">
        <w:rPr>
          <w:noProof/>
        </w:rPr>
        <w:t>(Bieleski, 1973)</w:t>
      </w:r>
      <w:r w:rsidRPr="00223DC5">
        <w:fldChar w:fldCharType="end"/>
      </w:r>
      <w:r w:rsidRPr="00223DC5">
        <w:t xml:space="preserve">. The release of Pi from phosphate minerals dissolution is a crucial control on ecosystem productivity, which in turn is critical to the C uptake of the terrestrial biosphere </w:t>
      </w:r>
      <w:r w:rsidRPr="00223DC5">
        <w:fldChar w:fldCharType="begin" w:fldLock="1"/>
      </w:r>
      <w:r w:rsidR="00EE33AB">
        <w:instrText>ADDIN CSL_CITATION {"citationItems":[{"id":"ITEM-1","itemData":{"DOI":"10.2113/GSELEMENTS.4.2.89","abstract":"\n        The cycling of phosphorus, a biocritical element in short supply in nature, is an important Earth system process. Variations in the phosphorus cycle have occurred in the past. For example, the rapid uplift of the Himalayan-Tibet Plateau increased chemical weathering, which led to enhanced input of phosphorus to the oceans. This drove the late Miocene “biogenic bloom.” Additionally, phosphorus is redistributed on glacial timescales, resulting from the loss of the substantial continental margin sink for reactive P during glacial sea-level lowstands. The modern terrestrial phosphorus cycle is dominated by agriculture and human activity. The natural riverine load of phosphorus has doubled due to increased use of fertilizers, deforestation and soil loss, and sewage sources. This has led to eutrophication of lakes and coastal areas, and will continue to have an impact for several thousand years based on forward modeling of human activities.\n       ","author":[{"dropping-particle":"","family":"Filippelli","given":"Gabriel M","non-dropping-particle":"","parse-names":false,"suffix":""}],"container-title":"Elements ","id":"ITEM-1","issue":"2 ","issued":{"date-parts":[["2008","4","1"]]},"note":"10.2113/GSELEMENTS.4.2.89 ","page":"89-95","title":"The Global Phosphorus Cycle: Past, Present, and Future","type":"article-journal","volume":"4 "},"uris":["http://www.mendeley.com/documents/?uuid=eac0fa71-0be9-4fd8-acc4-2385b36fb4eb"]}],"mendeley":{"formattedCitation":"(Filippelli, 2008)","plainTextFormattedCitation":"(Filippelli, 2008)","previouslyFormattedCitation":"(Filippelli, 2008)"},"properties":{"noteIndex":0},"schema":"https://github.com/citation-style-language/schema/raw/master/csl-citation.json"}</w:instrText>
      </w:r>
      <w:r w:rsidRPr="00223DC5">
        <w:fldChar w:fldCharType="separate"/>
      </w:r>
      <w:r w:rsidRPr="00223DC5">
        <w:rPr>
          <w:noProof/>
        </w:rPr>
        <w:t>(Filippelli, 2008)</w:t>
      </w:r>
      <w:r w:rsidRPr="00223DC5">
        <w:fldChar w:fldCharType="end"/>
      </w:r>
      <w:r w:rsidRPr="00223DC5">
        <w:t>. EM</w:t>
      </w:r>
      <w:r w:rsidR="00607DA8">
        <w:t>F</w:t>
      </w:r>
      <w:r w:rsidRPr="00223DC5">
        <w:rPr>
          <w:i/>
        </w:rPr>
        <w:t xml:space="preserve"> </w:t>
      </w:r>
      <w:r w:rsidRPr="00223DC5">
        <w:t>actively excrete organic acids and H</w:t>
      </w:r>
      <w:r w:rsidRPr="00223DC5">
        <w:rPr>
          <w:vertAlign w:val="superscript"/>
        </w:rPr>
        <w:t>+</w:t>
      </w:r>
      <w:r w:rsidRPr="00223DC5">
        <w:t xml:space="preserve"> to release Pi from phosphate rocks, thus providing an active Pi uptake site to the plants; in exchange, the plant provides carbohydrates to the EM fungal partner </w:t>
      </w:r>
      <w:r w:rsidRPr="00223DC5">
        <w:fldChar w:fldCharType="begin" w:fldLock="1"/>
      </w:r>
      <w:r w:rsidR="00EE33AB">
        <w:instrText>ADDIN CSL_CITATION {"citationItems":[{"id":"ITEM-1","itemData":{"ISSN":"0829-318X","PMID":"11303651","abstract":"We used a novel digital autoradiographic technique that enabled, for the first time, simultaneous visualization and quantification of spatial and temporal changes in carbon allocation patterns in ectomycorrhizal mycelia. Mycorrhizal plants of Pinus sylvestris L. were grown in microcosms containing non-sterile peat. The time course and spatial distribution of carbon allocation by P. sylvestris to mycelia of its mycorrhizal partners, Paxillus involutus (Batsch) Fr. and Suillus bovinus (L.): Kuntze, were quantified following 14C pulse labeling of the plants. Litter patches were used to investigate the effects of nutrient resource quality on carbon allocation. The wood-decomposer fungus Phanerochaete velutina (D.C.: Pers.) Parmasto was introduced to evaluate competitive and territorial interactions between its mycelial cords and the mycelial system of S. bovinus. Growth of ectomycorrhizal mycelium was stimulated in the litter patches. Nearly 60% of the C transferred from host plant to external mycorrhizal mycelium (&gt; 2 mm from root surfaces) was allocated to mycelium in the patches, which comprised only 12% of the soil area available for mycelial colonization. Mycelia in the litter patch most recently colonized by mycorrhizal mycelium received the largest investment of carbon, amounting to 27 to 50% of the total 14C in external mycorrhizal mycelium. The amount of C transfer to external mycelium of S. bovinus following pulse labeling was reduced from a maximum of 167 nmol in systems with no saprotroph to a maximum of 61 nmol in systems interacting with P. velutina. The 14C content of S. bovinus mycelium reached a maximum 24-36 h after labeling in control microcosms, but allocation did not reach a peak until 56 h after labeling, when S. bovinus interacted with mycelium of P. velutina. The mycelium of S. bovinus contained 9% of the total 14C in the plants (including mycorrhizae) at the end of the experiment, but this was reduced to 4% in the presence of P. velutina. The results demonstrate the dynamic manner in which mycorrhizal mycelia deploy C when foraging for nutrients. The inhibitory effect of the wood-decomposer fungus P. velutina on C allocation to external mycorrhizal mycelium has important implications for nutrient cycling in forest ecosystems.","author":[{"dropping-particle":"","family":"Leake","given":"J R","non-dropping-particle":"","parse-names":false,"suffix":""},{"dropping-particle":"","family":"Donnelly","given":"D P","non-dropping-particle":"","parse-names":false,"suffix":""},{"dropping-particle":"","family":"Saunders","given":"E M","non-dropping-particle":"","parse-names":false,"suffix":""},{"dropping-particle":"","family":"Boddy","given":"L","non-dropping-particle":"","parse-names":false,"suffix":""},{"dropping-particle":"","family":"Read","given":"D J","non-dropping-particle":"","parse-names":false,"suffix":""}],"container-title":"Tree physiology","id":"ITEM-1","issue":"2-3","issued":{"date-parts":[["2001","2"]]},"page":"71-82","title":"Rates and quantities of carbon flux to ectomycorrhizal mycelium following 14C pulse labeling of Pinus sylvestris seedlings: effects of litter patches and interaction with a wood-decomposer fungus.","type":"article","volume":"21"},"uris":["http://www.mendeley.com/documents/?uuid=cc6d6483-3d86-4a26-86eb-7fc4c4ae6bfa"]},{"id":"ITEM-2","itemData":{"DOI":"10.1180/minmag.2008.072.1.85","ISSN":"0026461X","author":[{"dropping-particle":"","family":"Leake","given":"J. R.","non-dropping-particle":"","parse-names":false,"suffix":""},{"dropping-particle":"","family":"Duran","given":"a. L.","non-dropping-particle":"","parse-names":false,"suffix":""},{"dropping-particle":"","family":"Hardy","given":"K. E.","non-dropping-particle":"","parse-names":false,"suffix":""},{"dropping-particle":"","family":"Johnson","given":"I.","non-dropping-particle":"","parse-names":false,"suffix":""},{"dropping-particle":"","family":"Beerling","given":"D. J.","non-dropping-particle":"","parse-names":false,"suffix":""},{"dropping-particle":"","family":"Banwart","given":"S. a.","non-dropping-particle":"","parse-names":false,"suffix":""},{"dropping-particle":"","family":"Smits","given":"M. M.","non-dropping-particle":"","parse-names":false,"suffix":""}],"container-title":"Mineralogical Magazine","id":"ITEM-2","issue":"1","issued":{"date-parts":[["2008","2","1"]]},"page":"85-89","title":"Biological weathering in soil: the role of symbiotic root-associated fungi biosensing minerals and directing photosynthate-energy into grain-scale mineral weathering","type":"article-journal","volume":"72"},"uris":["http://www.mendeley.com/documents/?uuid=8f1f2313-6e4d-45da-85de-8401fda7a19a"]}],"mendeley":{"formattedCitation":"(Leake et al., 2001, 2008)","plainTextFormattedCitation":"(Leake et al., 2001, 2008)","previouslyFormattedCitation":"(Leake et al., 2001, 2008)"},"properties":{"noteIndex":0},"schema":"https://github.com/citation-style-language/schema/raw/master/csl-citation.json"}</w:instrText>
      </w:r>
      <w:r w:rsidRPr="00223DC5">
        <w:fldChar w:fldCharType="separate"/>
      </w:r>
      <w:r w:rsidRPr="00223DC5">
        <w:rPr>
          <w:noProof/>
        </w:rPr>
        <w:t>(Leake et al., 2001, 2008)</w:t>
      </w:r>
      <w:r w:rsidRPr="00223DC5">
        <w:fldChar w:fldCharType="end"/>
      </w:r>
      <w:r w:rsidRPr="00223DC5">
        <w:t>. Besides, the production of organic acids by EM</w:t>
      </w:r>
      <w:r w:rsidR="00607DA8">
        <w:t>F</w:t>
      </w:r>
      <w:r w:rsidR="00ED2647">
        <w:t xml:space="preserve"> adds to</w:t>
      </w:r>
      <w:r w:rsidRPr="00223DC5">
        <w:t xml:space="preserve"> the C sink, within the forest soils, which builds up by the extensive EM mycelia </w:t>
      </w:r>
      <w:r w:rsidRPr="00223DC5">
        <w:fldChar w:fldCharType="begin" w:fldLock="1"/>
      </w:r>
      <w:r w:rsidR="00EE33AB">
        <w:instrText>ADDIN CSL_CITATION {"citationItems":[{"id":"ITEM-1","itemData":{"DOI":"10.1111/j.1365-2435.2008.01402.x","ISBN":"0269-8463","ISSN":"02698463","PMID":"22580367","abstract":"In the conventional view of soil carbon (C) cycling, mycorrhizal fungi are primarily considered vectors for plant C input to soils. However, there is accumulating evidence that mycorrhizal fungi may also contribute to the direct loss of soil C by acting as decomposers, that is by producing extracellular lytic enzymes and metabolizing soil C. Most of the evidence that mycorrhizal fungi can act as decomposers comes from studies of ericoid and ectomycorrhizal fungi, although there is increasing experimental evidence for a role of arbuscular mycorrhizal fungi in soil C decomposition. Decomposition by mycorrhizal fungi implies that soil C balance is subjected to the ecological factors that affect both plant and fungal symbionts; this interaction has important consequences for how soil C stocks respond to global change. In this synthesis, we propose a new model of soil C cycling, including decomposition of soil C by mycorrhizal fungi, and we evaluate how this new integrative model alters our predictions of soil C feedbacks to global change. We present three hypothetical mechanisms by which mycorrhizal fungi may metabolize significant quantities of soil C. The first hypothesis ('Plan B' hypothesis) is that mycorrhizal fungi metabolize soil C as an alternate C source when supplies of photosynthate from the host plant are low. Our second hypothesis ('Coincidental Decomposer' hypothesis) is that mycorrhizal fungi decompose soil C as a consequence of mining soil for organic nutrients. The third hypothesis ('Priming Effects' hypothesis) is that mycorrhizal fungi decompose soil C when allocation of plant photosynthate to mycorrhizal roots is high, such that plant C 'primes' the growth and activity of mycorrhizal fungi. Further empirical tests of these hypotheses will clarify the role of mycorrhizal fungi in soil C balance and improve our understanding of soil C responses to global change.","author":[{"dropping-particle":"","family":"Talbot","given":"J. M.","non-dropping-particle":"","parse-names":false,"suffix":""},{"dropping-particle":"","family":"Allison","given":"S. D.","non-dropping-particle":"","parse-names":false,"suffix":""},{"dropping-particle":"","family":"Treseder","given":"K. K.","non-dropping-particle":"","parse-names":false,"suffix":""}],"container-title":"Functional Ecology","id":"ITEM-1","issue":"6","issued":{"date-parts":[["2008"]]},"page":"955-963","title":"Decomposers in disguise: Mycorrhizal fungi as regulators of soil C dynamics in ecosystems under global change","type":"article-journal","volume":"22"},"uris":["http://www.mendeley.com/documents/?uuid=478444cd-557f-4681-a3bb-be3fe2637f14"]}],"mendeley":{"formattedCitation":"(Talbot et al., 2008)","plainTextFormattedCitation":"(Talbot et al., 2008)","previouslyFormattedCitation":"(Talbot et al., 2008)"},"properties":{"noteIndex":0},"schema":"https://github.com/citation-style-language/schema/raw/master/csl-citation.json"}</w:instrText>
      </w:r>
      <w:r w:rsidRPr="00223DC5">
        <w:fldChar w:fldCharType="separate"/>
      </w:r>
      <w:r w:rsidRPr="00223DC5">
        <w:rPr>
          <w:noProof/>
        </w:rPr>
        <w:t>(Talbot et al., 2008)</w:t>
      </w:r>
      <w:r w:rsidRPr="00223DC5">
        <w:fldChar w:fldCharType="end"/>
      </w:r>
      <w:r w:rsidRPr="00223DC5">
        <w:t>.</w:t>
      </w:r>
    </w:p>
    <w:p w14:paraId="3670C124" w14:textId="24DFEA12" w:rsidR="00223DC5" w:rsidRPr="00223DC5" w:rsidRDefault="00223DC5" w:rsidP="00FB36B8">
      <w:pPr>
        <w:ind w:firstLine="720"/>
      </w:pPr>
      <w:r w:rsidRPr="00223DC5">
        <w:t>Hence, EMF-driven apatite weathering has a substan</w:t>
      </w:r>
      <w:r w:rsidR="00C47606">
        <w:t xml:space="preserve">tial impact on the short-term C </w:t>
      </w:r>
      <w:r w:rsidRPr="00223DC5">
        <w:t>cycle and terrestrial net primary production. EM</w:t>
      </w:r>
      <w:r w:rsidR="00607DA8">
        <w:t>F</w:t>
      </w:r>
      <w:r w:rsidRPr="00223DC5">
        <w:t xml:space="preserve"> provide Pi nutrients to C-sequestering forest trees and hence increase their net photosynthetic rate and productivity. At the same time, net C flow from the photosynthetic plants to EMF plays an additional role in C </w:t>
      </w:r>
      <w:r w:rsidR="00C47606">
        <w:t xml:space="preserve">fixation, as EMF constitute a C </w:t>
      </w:r>
      <w:r w:rsidRPr="00223DC5">
        <w:t>sink where C is used for anabolic purposes, and thus short-term C sequestration. Besides</w:t>
      </w:r>
      <w:r w:rsidR="00E66636">
        <w:t>,</w:t>
      </w:r>
      <w:r w:rsidRPr="00223DC5">
        <w:t xml:space="preserve"> EM</w:t>
      </w:r>
      <w:r w:rsidR="00C47606">
        <w:t>F</w:t>
      </w:r>
      <w:r w:rsidRPr="00223DC5">
        <w:t xml:space="preserve"> also play a central role in the long-term global C cycle via their role in carbonate minerals weathering </w:t>
      </w:r>
      <w:r w:rsidRPr="00223DC5">
        <w:fldChar w:fldCharType="begin" w:fldLock="1"/>
      </w:r>
      <w:r w:rsidR="00EE33AB">
        <w:instrText>ADDIN CSL_CITATION {"citationItems":[{"id":"ITEM-1","itemData":{"DOI":"10.1111/pce.12444","ISBN":"0140-7791","ISSN":"01407791","PMID":"25211602","abstract":"On million-year timescales, carbonate rock weathering exerts no net effect on atmospheric CO2 concentration. However, on timescales of decades-to-centuries, it can contribute to sequestration of anthropogenic CO2 and increase land-ocean alkalinity flux, counteracting ocean acidification. Historical evidence indicates this flux is sensitive to land use change, and recent experimental evidence suggests that trees and their associated soil microbial communities are major drivers of continental mineral weathering. Here, we review key physical and chemical mechanisms by which the symbiotic mycorrhizal fungi of forest tree roots potentially enhance carbonate rock weathering. Evidence from our ongoing field study at the UK's national pinetum confirms increased weathering of carbonate rocks by a wide range of gymnosperm and angiosperm tree species that form arbuscular (AM) or ectomycorrhizal (EM) fungal partnerships. We demonstrate that calcite-containing rock grains under EM tree species weather significantly faster than those under AM trees, an effect linked to greater soil acidification by EM trees. Weathering and corresponding alkalinity export are likely to increase with rising atmospheric CO2 and associated climate change. Our analyses suggest that strategic planting of fast-growing EM angiosperm taxa on calcite- and dolomite-rich terrain might accelerate the transient sink for atmospheric CO2 and slow rates of ocean acidification.","author":[{"dropping-particle":"","family":"Thorley","given":"Rachel M. S.","non-dropping-particle":"","parse-names":false,"suffix":""},{"dropping-particle":"","family":"Taylor","given":"Lyla L.","non-dropping-particle":"","parse-names":false,"suffix":""},{"dropping-particle":"","family":"Banwart","given":"Steve A.","non-dropping-particle":"","parse-names":false,"suffix":""},{"dropping-particle":"","family":"Leake","given":"Jonathan R.","non-dropping-particle":"","parse-names":false,"suffix":""},{"dropping-particle":"","family":"Beerling","given":"David J.","non-dropping-particle":"","parse-names":false,"suffix":""}],"container-title":"Plant, Cell &amp; Environment","id":"ITEM-1","issue":"9","issued":{"date-parts":[["2015"]]},"page":"1947-1961","title":"The role of forest trees and their mycorrhizal fungi in carbonate rock weathering and its significance for global carbon cycling","type":"article-journal","volume":"38"},"uris":["http://www.mendeley.com/documents/?uuid=ca667e3a-9fff-4599-87bd-32966a02491d"]}],"mendeley":{"formattedCitation":"(Thorley et al., 2015)","plainTextFormattedCitation":"(Thorley et al., 2015)","previouslyFormattedCitation":"(Thorley et al., 2015)"},"properties":{"noteIndex":0},"schema":"https://github.com/citation-style-language/schema/raw/master/csl-citation.json"}</w:instrText>
      </w:r>
      <w:r w:rsidRPr="00223DC5">
        <w:fldChar w:fldCharType="separate"/>
      </w:r>
      <w:r w:rsidRPr="00223DC5">
        <w:rPr>
          <w:noProof/>
        </w:rPr>
        <w:t>(Thorley et al., 2015)</w:t>
      </w:r>
      <w:r w:rsidRPr="00223DC5">
        <w:fldChar w:fldCharType="end"/>
      </w:r>
      <w:r w:rsidR="00C47606">
        <w:t>.</w:t>
      </w:r>
    </w:p>
    <w:p w14:paraId="1EAE6583" w14:textId="77777777" w:rsidR="00223DC5" w:rsidRPr="00223DC5" w:rsidRDefault="00223DC5" w:rsidP="00FB36B8"/>
    <w:p w14:paraId="2379077E" w14:textId="38BD159B" w:rsidR="00223DC5" w:rsidRPr="00223DC5" w:rsidRDefault="00223DC5" w:rsidP="00635993">
      <w:pPr>
        <w:pStyle w:val="Heading1"/>
      </w:pPr>
      <w:bookmarkStart w:id="37" w:name="_Toc507603960"/>
      <w:bookmarkStart w:id="38" w:name="_Toc507604227"/>
      <w:bookmarkStart w:id="39" w:name="_Toc519016944"/>
      <w:bookmarkStart w:id="40" w:name="_Toc520837842"/>
      <w:r w:rsidRPr="00223DC5">
        <w:t>1.</w:t>
      </w:r>
      <w:r w:rsidR="004F2542">
        <w:t>5</w:t>
      </w:r>
      <w:r w:rsidR="00E66636">
        <w:t xml:space="preserve"> Pi and carbohydrate</w:t>
      </w:r>
      <w:r w:rsidRPr="00223DC5">
        <w:t xml:space="preserve"> utilisation in </w:t>
      </w:r>
      <w:r w:rsidR="00E66636">
        <w:t xml:space="preserve">the </w:t>
      </w:r>
      <w:r w:rsidRPr="00223DC5">
        <w:t>EM symbiosis</w:t>
      </w:r>
      <w:bookmarkEnd w:id="37"/>
      <w:bookmarkEnd w:id="38"/>
      <w:bookmarkEnd w:id="39"/>
      <w:bookmarkEnd w:id="40"/>
      <w:r w:rsidRPr="00223DC5">
        <w:t xml:space="preserve"> </w:t>
      </w:r>
    </w:p>
    <w:p w14:paraId="75212963" w14:textId="1A4386CD" w:rsidR="00223DC5" w:rsidRPr="00223DC5" w:rsidRDefault="00223DC5" w:rsidP="003F7054">
      <w:r w:rsidRPr="00223DC5">
        <w:t xml:space="preserve">In the established EM symbiosis, fungal hyphae sheathing the tissues of plant root tips constitute the fungal mantle, which isolates the surface of the root from its surroundings </w:t>
      </w:r>
      <w:r w:rsidRPr="00223DC5">
        <w:fldChar w:fldCharType="begin" w:fldLock="1"/>
      </w:r>
      <w:r w:rsidR="00EE33AB">
        <w:instrText>ADDIN CSL_CITATION {"citationItems":[{"id":"ITEM-1","itemData":{"author":[{"dropping-particle":"","family":"Brun","given":"Annick","non-dropping-particle":"","parse-names":false,"suffix":""},{"dropping-particle":"","family":"Chalot","given":"Michel","non-dropping-particle":"","parse-names":false,"suffix":""},{"dropping-particle":"","family":"Finlay","given":"Roger D","non-dropping-particle":"","parse-names":false,"suffix":""},{"dropping-particle":"","family":"Soderstrom","given":"B","non-dropping-particle":"","parse-names":false,"suffix":""}],"container-title":"New Phytologist","id":"ITEM-1","issued":{"date-parts":[["1995"]]},"page":"487-493","title":"Structure and function of the ectomycorrhizal association between Paxillus involutus ( Batsch ) Fr . and Betula pendula Roth .","type":"article-journal","volume":"129"},"uris":["http://www.mendeley.com/documents/?uuid=b77c0b95-e5e2-449e-a6f6-291595d111d7"]}],"mendeley":{"formattedCitation":"(Brun et al., 1995)","plainTextFormattedCitation":"(Brun et al., 1995)","previouslyFormattedCitation":"(Brun et al., 1995)"},"properties":{"noteIndex":0},"schema":"https://github.com/citation-style-language/schema/raw/master/csl-citation.json"}</w:instrText>
      </w:r>
      <w:r w:rsidRPr="00223DC5">
        <w:fldChar w:fldCharType="separate"/>
      </w:r>
      <w:r w:rsidRPr="00223DC5">
        <w:rPr>
          <w:noProof/>
        </w:rPr>
        <w:t>(Brun et al., 1995)</w:t>
      </w:r>
      <w:r w:rsidRPr="00223DC5">
        <w:fldChar w:fldCharType="end"/>
      </w:r>
      <w:r w:rsidRPr="00223DC5">
        <w:t xml:space="preserve">. The fungal mantle can further proliferate at considerable distances in the soil, forming the </w:t>
      </w:r>
      <w:r w:rsidRPr="00223DC5">
        <w:rPr>
          <w:color w:val="231F20"/>
        </w:rPr>
        <w:t>extra</w:t>
      </w:r>
      <w:r w:rsidR="00C47606">
        <w:rPr>
          <w:color w:val="231F20"/>
        </w:rPr>
        <w:t>radi</w:t>
      </w:r>
      <w:r w:rsidRPr="00223DC5">
        <w:rPr>
          <w:color w:val="231F20"/>
        </w:rPr>
        <w:t xml:space="preserve">cal mycelium and inwardly to the plant root cells, where it penetrates the apoplastic space between the root epidermal and cortical </w:t>
      </w:r>
      <w:r w:rsidRPr="00223DC5">
        <w:t>cells</w:t>
      </w:r>
      <w:r w:rsidR="00E66636">
        <w:t>,</w:t>
      </w:r>
      <w:r w:rsidRPr="00223DC5">
        <w:t xml:space="preserve"> forming the Hartig net </w:t>
      </w:r>
      <w:r w:rsidRPr="00223DC5">
        <w:fldChar w:fldCharType="begin" w:fldLock="1"/>
      </w:r>
      <w:r w:rsidR="00EE33AB">
        <w:instrText>ADDIN CSL_CITATION {"citationItems":[{"id":"ITEM-1","itemData":{"author":[{"dropping-particle":"","family":"Brun","given":"Annick","non-dropping-particle":"","parse-names":false,"suffix":""},{"dropping-particle":"","family":"Chalot","given":"Michel","non-dropping-particle":"","parse-names":false,"suffix":""},{"dropping-particle":"","family":"Finlay","given":"Roger D","non-dropping-particle":"","parse-names":false,"suffix":""},{"dropping-particle":"","family":"Soderstrom","given":"B","non-dropping-particle":"","parse-names":false,"suffix":""}],"container-title":"New Phytologist","id":"ITEM-1","issued":{"date-parts":[["1995"]]},"page":"487-493","title":"Structure and function of the ectomycorrhizal association between Paxillus involutus ( Batsch ) Fr . and Betula pendula Roth .","type":"article-journal","volume":"129"},"uris":["http://www.mendeley.com/documents/?uuid=b77c0b95-e5e2-449e-a6f6-291595d111d7"]}],"mendeley":{"formattedCitation":"(Brun et al., 1995)","plainTextFormattedCitation":"(Brun et al., 1995)","previouslyFormattedCitation":"(Brun et al., 1995)"},"properties":{"noteIndex":0},"schema":"https://github.com/citation-style-language/schema/raw/master/csl-citation.json"}</w:instrText>
      </w:r>
      <w:r w:rsidRPr="00223DC5">
        <w:fldChar w:fldCharType="separate"/>
      </w:r>
      <w:r w:rsidRPr="00223DC5">
        <w:rPr>
          <w:noProof/>
        </w:rPr>
        <w:t>(Brun et al., 1995)</w:t>
      </w:r>
      <w:r w:rsidRPr="00223DC5">
        <w:fldChar w:fldCharType="end"/>
      </w:r>
      <w:r w:rsidRPr="00223DC5">
        <w:t xml:space="preserve"> (Figure 1.1).</w:t>
      </w:r>
    </w:p>
    <w:p w14:paraId="143DB926" w14:textId="490ED656" w:rsidR="00223DC5" w:rsidRPr="00223DC5" w:rsidRDefault="00223DC5" w:rsidP="007F746A">
      <w:pPr>
        <w:ind w:firstLine="720"/>
      </w:pPr>
      <w:r w:rsidRPr="00223DC5">
        <w:rPr>
          <w:color w:val="231F20"/>
        </w:rPr>
        <w:t xml:space="preserve">The Hartig net </w:t>
      </w:r>
      <w:r w:rsidRPr="00223DC5">
        <w:t xml:space="preserve">is the specialised EM symbiotic tissue for the bi-directional exchange of sugars and nutrients occurring between the symbiotic partners </w:t>
      </w:r>
      <w:r w:rsidRPr="00223DC5">
        <w:fldChar w:fldCharType="begin" w:fldLock="1"/>
      </w:r>
      <w:r w:rsidR="00EE33AB">
        <w:instrText>ADDIN CSL_CITATION {"citationItems":[{"id":"ITEM-1","itemData":{"DOI":"10.1046/j.1365-3040.2000.00518.x","ISSN":"0140-7791","author":[{"dropping-particle":"","family":"Wright","given":"D. P.","non-dropping-particle":"","parse-names":false,"suffix":""},{"dropping-particle":"","family":"Scholes","given":"J. D.","non-dropping-particle":"","parse-names":false,"suffix":""},{"dropping-particle":"","family":"Read","given":"D. J.","non-dropping-particle":"","parse-names":false,"suffix":""},{"dropping-particle":"","family":"Rolfe","given":"S. A.","non-dropping-particle":"","parse-names":false,"suffix":""}],"container-title":"Plant, Cell and Environment","id":"ITEM-1","issue":"1","issued":{"date-parts":[["2000","1"]]},"page":"39-49","title":"Changes in carbon allocation and expression of carbon transporter genes in Betula pendula Roth. colonized by the ectomycorrhizal fungus Paxillus involutus (Batsch) Fr.","type":"article-journal","volume":"23"},"uris":["http://www.mendeley.com/documents/?uuid=d12a195c-699b-473c-a8b6-e03f51634ce4"]}],"mendeley":{"formattedCitation":"(Wright et al., 2000)","plainTextFormattedCitation":"(Wright et al., 2000)","previouslyFormattedCitation":"(Wright et al., 2000)"},"properties":{"noteIndex":0},"schema":"https://github.com/citation-style-language/schema/raw/master/csl-citation.json"}</w:instrText>
      </w:r>
      <w:r w:rsidRPr="00223DC5">
        <w:fldChar w:fldCharType="separate"/>
      </w:r>
      <w:r w:rsidRPr="00223DC5">
        <w:rPr>
          <w:noProof/>
        </w:rPr>
        <w:t>(Wright et al., 2000)</w:t>
      </w:r>
      <w:r w:rsidRPr="00223DC5">
        <w:fldChar w:fldCharType="end"/>
      </w:r>
      <w:r w:rsidRPr="00223DC5">
        <w:t>. However, the molecular mechanism</w:t>
      </w:r>
      <w:r w:rsidR="00E66636">
        <w:t>s</w:t>
      </w:r>
      <w:r w:rsidRPr="00223DC5">
        <w:t xml:space="preserve"> mediating this exc</w:t>
      </w:r>
      <w:r w:rsidR="00E66636">
        <w:t>hange and its regulation remain</w:t>
      </w:r>
      <w:r w:rsidRPr="00223DC5">
        <w:t xml:space="preserve"> mostly unknown. The extraradical mycelium is highly differentiated where discrete </w:t>
      </w:r>
      <w:r w:rsidRPr="00223DC5">
        <w:lastRenderedPageBreak/>
        <w:t xml:space="preserve">tissue zones such as rhizomorphs and fruiting bodies are formed </w:t>
      </w:r>
      <w:r w:rsidRPr="00223DC5">
        <w:fldChar w:fldCharType="begin" w:fldLock="1"/>
      </w:r>
      <w:r w:rsidR="00EE33AB">
        <w:instrText>ADDIN CSL_CITATION {"citationItems":[{"id":"ITEM-1","itemData":{"author":[{"dropping-particle":"","family":"Cairney","given":"JWG","non-dropping-particle":"","parse-names":false,"suffix":""},{"dropping-particle":"","family":"Burke","given":"RM","non-dropping-particle":"","parse-names":false,"suffix":""}],"container-title":"New Phytologist","id":"ITEM-1","issued":{"date-parts":[["1996"]]},"page":"685-695","title":"Physiological heterogeneity within fungal mycelia: an important concept for a functional understanding of the ectomycorrhizal symbiosis","type":"article-journal","volume":"134"},"uris":["http://www.mendeley.com/documents/?uuid=87dc9e4b-764c-45a2-900a-058cfd963337"]}],"mendeley":{"formattedCitation":"(Cairney and Burke, 1996)","plainTextFormattedCitation":"(Cairney and Burke, 1996)","previouslyFormattedCitation":"(Cairney and Burke, 1996)"},"properties":{"noteIndex":0},"schema":"https://github.com/citation-style-language/schema/raw/master/csl-citation.json"}</w:instrText>
      </w:r>
      <w:r w:rsidRPr="00223DC5">
        <w:fldChar w:fldCharType="separate"/>
      </w:r>
      <w:r w:rsidRPr="00223DC5">
        <w:rPr>
          <w:noProof/>
        </w:rPr>
        <w:t>(Cairney and Burke, 1996)</w:t>
      </w:r>
      <w:r w:rsidRPr="00223DC5">
        <w:fldChar w:fldCharType="end"/>
      </w:r>
      <w:r w:rsidRPr="00223DC5">
        <w:t xml:space="preserve">. The proliferating extraradical mycelial tips can efficiently forage for nutrient-rich resources in the soil, and play a substantial role in mineral weathering </w:t>
      </w:r>
      <w:r w:rsidRPr="00223DC5">
        <w:rPr>
          <w:noProof/>
        </w:rPr>
        <w:fldChar w:fldCharType="begin" w:fldLock="1"/>
      </w:r>
      <w:r w:rsidR="00EE33AB">
        <w:rPr>
          <w:noProof/>
        </w:rPr>
        <w:instrText>ADDIN CSL_CITATION {"citationItems":[{"id":"ITEM-1","itemData":{"ISSN":"0829-318X","PMID":"11303651","abstract":"We used a novel digital autoradiographic technique that enabled, for the first time, simultaneous visualization and quantification of spatial and temporal changes in carbon allocation patterns in ectomycorrhizal mycelia. Mycorrhizal plants of Pinus sylvestris L. were grown in microcosms containing non-sterile peat. The time course and spatial distribution of carbon allocation by P. sylvestris to mycelia of its mycorrhizal partners, Paxillus involutus (Batsch) Fr. and Suillus bovinus (L.): Kuntze, were quantified following 14C pulse labeling of the plants. Litter patches were used to investigate the effects of nutrient resource quality on carbon allocation. The wood-decomposer fungus Phanerochaete velutina (D.C.: Pers.) Parmasto was introduced to evaluate competitive and territorial interactions between its mycelial cords and the mycelial system of S. bovinus. Growth of ectomycorrhizal mycelium was stimulated in the litter patches. Nearly 60% of the C transferred from host plant to external mycorrhizal mycelium (&gt; 2 mm from root surfaces) was allocated to mycelium in the patches, which comprised only 12% of the soil area available for mycelial colonization. Mycelia in the litter patch most recently colonized by mycorrhizal mycelium received the largest investment of carbon, amounting to 27 to 50% of the total 14C in external mycorrhizal mycelium. The amount of C transfer to external mycelium of S. bovinus following pulse labeling was reduced from a maximum of 167 nmol in systems with no saprotroph to a maximum of 61 nmol in systems interacting with P. velutina. The 14C content of S. bovinus mycelium reached a maximum 24-36 h after labeling in control microcosms, but allocation did not reach a peak until 56 h after labeling, when S. bovinus interacted with mycelium of P. velutina. The mycelium of S. bovinus contained 9% of the total 14C in the plants (including mycorrhizae) at the end of the experiment, but this was reduced to 4% in the presence of P. velutina. The results demonstrate the dynamic manner in which mycorrhizal mycelia deploy C when foraging for nutrients. The inhibitory effect of the wood-decomposer fungus P. velutina on C allocation to external mycorrhizal mycelium has important implications for nutrient cycling in forest ecosystems.","author":[{"dropping-particle":"","family":"Leake","given":"J R","non-dropping-particle":"","parse-names":false,"suffix":""},{"dropping-particle":"","family":"Donnelly","given":"D P","non-dropping-particle":"","parse-names":false,"suffix":""},{"dropping-particle":"","family":"Saunders","given":"E M","non-dropping-particle":"","parse-names":false,"suffix":""},{"dropping-particle":"","family":"Boddy","given":"L","non-dropping-particle":"","parse-names":false,"suffix":""},{"dropping-particle":"","family":"Read","given":"D J","non-dropping-particle":"","parse-names":false,"suffix":""}],"container-title":"Tree physiology","id":"ITEM-1","issue":"2-3","issued":{"date-parts":[["2001","2"]]},"page":"71-82","title":"Rates and quantities of carbon flux to ectomycorrhizal mycelium following 14C pulse labeling of Pinus sylvestris seedlings: effects of litter patches and interaction with a wood-decomposer fungus.","type":"article","volume":"21"},"uris":["http://www.mendeley.com/documents/?uuid=cc6d6483-3d86-4a26-86eb-7fc4c4ae6bfa"]}],"mendeley":{"formattedCitation":"(Leake et al., 2001)","plainTextFormattedCitation":"(Leake et al., 2001)","previouslyFormattedCitation":"(Leake et al., 2001)"},"properties":{"noteIndex":0},"schema":"https://github.com/citation-style-language/schema/raw/master/csl-citation.json"}</w:instrText>
      </w:r>
      <w:r w:rsidRPr="00223DC5">
        <w:rPr>
          <w:noProof/>
        </w:rPr>
        <w:fldChar w:fldCharType="separate"/>
      </w:r>
      <w:r w:rsidRPr="00223DC5">
        <w:rPr>
          <w:noProof/>
        </w:rPr>
        <w:t>(Leake et al., 2001)</w:t>
      </w:r>
      <w:r w:rsidRPr="00223DC5">
        <w:rPr>
          <w:noProof/>
        </w:rPr>
        <w:fldChar w:fldCharType="end"/>
      </w:r>
      <w:r w:rsidRPr="00223DC5">
        <w:rPr>
          <w:noProof/>
        </w:rPr>
        <w:t xml:space="preserve"> </w:t>
      </w:r>
      <w:r w:rsidRPr="00223DC5">
        <w:t xml:space="preserve">and nutrient uptake via high-affinity transporter proteins </w:t>
      </w:r>
      <w:r w:rsidRPr="00223DC5">
        <w:fldChar w:fldCharType="begin" w:fldLock="1"/>
      </w:r>
      <w:r w:rsidR="00EE33AB">
        <w:instrText>ADDIN CSL_CITATION {"citationItems":[{"id":"ITEM-1","itemData":{"DOI":"10.1007/s00572-013-0496-9","ISSN":"1432-1890","PMID":"23572325","abstract":"Understanding the mechanisms that underlie nutrient use efficiency and carbon allocation along with mycorrhizal interactions is critical for managing croplands and forests soundly. Indeed, nutrient availability, uptake and exchange in biotrophic interactions drive plant growth and modulate biomass allocation. These parameters are crucial for plant yield, a major issue in the context of high biomass production. Transport processes across the polarized membrane interfaces are of major importance in the functioning of the established mycorrhizal association as the symbiotic relationship is based on a 'fair trade' between the fungus and the host plant. Nutrient and/or metabolite uptake and exchanges, at biotrophic interfaces, are controlled by membrane transporters whose regulation patterns are essential for determining the outcome of plant-fungus interactions and adapting to changes in soil nutrient quantity and/or quality. In the present review, we summarize the current state of the art regarding transport systems in the two major forms of mycorrhiza, namely ecto- and arbuscular mycorrhiza.","author":[{"dropping-particle":"","family":"Casieri","given":"Leonardo","non-dropping-particle":"","parse-names":false,"suffix":""},{"dropping-particle":"","family":"Ait Lahmidi","given":"Nassima","non-dropping-particle":"","parse-names":false,"suffix":""},{"dropping-particle":"","family":"Doidy","given":"Joan","non-dropping-particle":"","parse-names":false,"suffix":""},{"dropping-particle":"","family":"Veneault-Fourrey","given":"Claire","non-dropping-particle":"","parse-names":false,"suffix":""},{"dropping-particle":"","family":"Migeon","given":"Aude","non-dropping-particle":"","parse-names":false,"suffix":""},{"dropping-particle":"","family":"Bonneau","given":"Laurent","non-dropping-particle":"","parse-names":false,"suffix":""},{"dropping-particle":"","family":"Courty","given":"Pierre-Emmanuel","non-dropping-particle":"","parse-names":false,"suffix":""},{"dropping-particle":"","family":"Garcia","given":"Kevin","non-dropping-particle":"","parse-names":false,"suffix":""},{"dropping-particle":"","family":"Charbonnier","given":"Maryse","non-dropping-particle":"","parse-names":false,"suffix":""},{"dropping-particle":"","family":"Delteil","given":"Amandine","non-dropping-particle":"","parse-names":false,"suffix":""},{"dropping-particle":"","family":"Brun","given":"Annick","non-dropping-particle":"","parse-names":false,"suffix":""},{"dropping-particle":"","family":"Zimmermann","given":"Sabine","non-dropping-particle":"","parse-names":false,"suffix":""},{"dropping-particle":"","family":"Plassard","given":"Claude","non-dropping-particle":"","parse-names":false,"suffix":""},{"dropping-particle":"","family":"Wipf","given":"Daniel","non-dropping-particle":"","parse-names":false,"suffix":""}],"container-title":"Mycorrhiza","id":"ITEM-1","issue":"8","issued":{"date-parts":[["2013","11"]]},"page":"597-625","title":"Biotrophic transportome in mutualistic plant-fungal interactions.","type":"article-journal","volume":"23"},"uris":["http://www.mendeley.com/documents/?uuid=4969173b-4df2-4aad-a1ce-588c7c3102bf"]}],"mendeley":{"formattedCitation":"(Casieri et al., 2013)","plainTextFormattedCitation":"(Casieri et al., 2013)","previouslyFormattedCitation":"(Casieri et al., 2013)"},"properties":{"noteIndex":0},"schema":"https://github.com/citation-style-language/schema/raw/master/csl-citation.json"}</w:instrText>
      </w:r>
      <w:r w:rsidRPr="00223DC5">
        <w:fldChar w:fldCharType="separate"/>
      </w:r>
      <w:r w:rsidRPr="00223DC5">
        <w:rPr>
          <w:noProof/>
        </w:rPr>
        <w:t>(Casieri et al., 2013)</w:t>
      </w:r>
      <w:r w:rsidRPr="00223DC5">
        <w:fldChar w:fldCharType="end"/>
      </w:r>
      <w:r w:rsidRPr="00223DC5">
        <w:t xml:space="preserve">. Besides, rhizomorphs operate as conduits for the nutrient translocation across the extraradical mycelium and the Hartig net, and from plant to plant as well </w:t>
      </w:r>
      <w:r w:rsidRPr="00223DC5">
        <w:fldChar w:fldCharType="begin" w:fldLock="1"/>
      </w:r>
      <w:r w:rsidR="00EE33AB">
        <w:instrText>ADDIN CSL_CITATION {"citationItems":[{"id":"ITEM-1","itemData":{"author":[{"dropping-particle":"","family":"Simard","given":"Suzanne W","non-dropping-particle":"","parse-names":false,"suffix":""},{"dropping-particle":"","family":"Perry","given":"David A","non-dropping-particle":"","parse-names":false,"suffix":""},{"dropping-particle":"","family":"Jones","given":"Melanie D","non-dropping-particle":"","parse-names":false,"suffix":""},{"dropping-particle":"","family":"Myrold","given":"David D","non-dropping-particle":"","parse-names":false,"suffix":""},{"dropping-particle":"","family":"Durall","given":"Daniel M","non-dropping-particle":"","parse-names":false,"suffix":""},{"dropping-particle":"","family":"Molina","given":"Randy","non-dropping-particle":"","parse-names":false,"suffix":""}],"id":"ITEM-1","issue":"August","issued":{"date-parts":[["1997"]]},"page":"579-582","title":"Net transfer of carbon between ectomycorrhizal tree species in the field","type":"article-journal","volume":"388"},"uris":["http://www.mendeley.com/documents/?uuid=f90f5c8f-360f-4158-99bd-452d72e67437"]},{"id":"ITEM-2","itemData":{"DOI":"10.1111/j.1469-8137.2005.01441.x","ISSN":"0028-646X","PMID":"15998408","abstract":"Functional compartmentation of the extramatrical mycelium of ectomycorrhizal (ECM) fungi is considered important for the operation of ECM associations, although the molecular basis is poorly characterized. Global gene expression profiles of mycelium colonizing an ammonium sulphate ((NH4)2SO4) nutrient patch, rhizomorphs and ECM root tips of the Betula pendula-Paxillus involutus association were compared by cDNA microarray analysis. The expression profiles of rhizomorphs and nutrient patch mycelium were similar to each other but distinctly different from that of mycorrhizal tips. Statistical analyses revealed 337 of 1075 fungal genes differentially regulated among these three tissues. Clusters of genes exhibiting distinct expression patterns within specific tissues were identified. Genes implicated in the glutamine synthetase/glutamate synthase (GS/GOGAT) and urea cycles, and the provision of carbon skeletons for ammonium assimilation via beta-oxidation and the glyoxylate cycle, were highly expressed in rhizomorph and nutrient patch mycelium. Genes implicated in vesicular transport, cytoskeleton organization and morphogenesis and protein degradation were also differentially expressed. Differential expression of genes among the extramatrical mycelium and mycorrhizal tips indicates functional specialization of tissues forming ECM associations.","author":[{"dropping-particle":"","family":"Wright","given":"Derek P","non-dropping-particle":"","parse-names":false,"suffix":""},{"dropping-particle":"","family":"Johansson","given":"Tomas","non-dropping-particle":"","parse-names":false,"suffix":""},{"dropping-particle":"","family":"Quéré","given":"Antoine","non-dropping-particle":"Le","parse-names":false,"suffix":""},{"dropping-particle":"","family":"Söderström","given":"Bengt","non-dropping-particle":"","parse-names":false,"suffix":""},{"dropping-particle":"","family":"Tunlid","given":"Anders","non-dropping-particle":"","parse-names":false,"suffix":""}],"container-title":"The New phytologist","id":"ITEM-2","issue":"2","issued":{"date-parts":[["2005","8"]]},"page":"579-96","title":"Spatial patterns of gene expression in the extramatrical mycelium and mycorrhizal root tips formed by the ectomycorrhizal fungus Paxillus involutus in association with birch (Betula pendula) seedlings in soil microcosms.","type":"article-journal","volume":"167"},"uris":["http://www.mendeley.com/documents/?uuid=3b18448f-df12-4047-be6d-cf291c86517c"]}],"mendeley":{"formattedCitation":"(Simard et al., 1997; Wright et al., 2005)","plainTextFormattedCitation":"(Simard et al., 1997; Wright et al., 2005)","previouslyFormattedCitation":"(Simard et al., 1997; Wright et al., 2005)"},"properties":{"noteIndex":0},"schema":"https://github.com/citation-style-language/schema/raw/master/csl-citation.json"}</w:instrText>
      </w:r>
      <w:r w:rsidRPr="00223DC5">
        <w:fldChar w:fldCharType="separate"/>
      </w:r>
      <w:r w:rsidRPr="00223DC5">
        <w:rPr>
          <w:noProof/>
        </w:rPr>
        <w:t>(Simard et al., 1997; Wright et al., 2005)</w:t>
      </w:r>
      <w:r w:rsidRPr="00223DC5">
        <w:fldChar w:fldCharType="end"/>
      </w:r>
      <w:r w:rsidRPr="00223DC5">
        <w:t>.</w:t>
      </w:r>
    </w:p>
    <w:p w14:paraId="1EF495C9" w14:textId="77777777" w:rsidR="00223DC5" w:rsidRPr="00223DC5" w:rsidRDefault="00223DC5" w:rsidP="00FB36B8"/>
    <w:p w14:paraId="28231597" w14:textId="133D342E" w:rsidR="00223DC5" w:rsidRPr="00223DC5" w:rsidRDefault="00223DC5" w:rsidP="00635993">
      <w:pPr>
        <w:pStyle w:val="Heading2"/>
      </w:pPr>
      <w:bookmarkStart w:id="41" w:name="_Toc507603961"/>
      <w:bookmarkStart w:id="42" w:name="_Toc507604228"/>
      <w:bookmarkStart w:id="43" w:name="_Toc519016945"/>
      <w:bookmarkStart w:id="44" w:name="_Toc520837843"/>
      <w:r w:rsidRPr="00223DC5">
        <w:t>1.</w:t>
      </w:r>
      <w:r w:rsidR="004F2542">
        <w:t>5</w:t>
      </w:r>
      <w:r w:rsidRPr="00223DC5">
        <w:t>.1 Pi uptake and regulation during EM symbiosis</w:t>
      </w:r>
      <w:bookmarkEnd w:id="41"/>
      <w:bookmarkEnd w:id="42"/>
      <w:bookmarkEnd w:id="43"/>
      <w:bookmarkEnd w:id="44"/>
      <w:r w:rsidRPr="00223DC5">
        <w:t xml:space="preserve"> </w:t>
      </w:r>
    </w:p>
    <w:p w14:paraId="650005F7" w14:textId="2B60E367" w:rsidR="00223DC5" w:rsidRPr="00223DC5" w:rsidRDefault="00223DC5" w:rsidP="003F7054">
      <w:r w:rsidRPr="00223DC5">
        <w:t xml:space="preserve">Pi uptake by EMF is a critical factor for improved EM plant P nutrition. Colpaert et al. (1999) reported that </w:t>
      </w:r>
      <w:r w:rsidRPr="00223DC5">
        <w:rPr>
          <w:i/>
        </w:rPr>
        <w:t>P</w:t>
      </w:r>
      <w:r w:rsidR="00607DA8">
        <w:rPr>
          <w:i/>
        </w:rPr>
        <w:t>.</w:t>
      </w:r>
      <w:r w:rsidRPr="00223DC5">
        <w:rPr>
          <w:i/>
        </w:rPr>
        <w:t xml:space="preserve"> involutus </w:t>
      </w:r>
      <w:r w:rsidRPr="00223DC5">
        <w:t>is the most efficient EM</w:t>
      </w:r>
      <w:r w:rsidR="00607DA8">
        <w:t xml:space="preserve"> fungus</w:t>
      </w:r>
      <w:r w:rsidRPr="00223DC5">
        <w:t xml:space="preserve"> concerning P uptake when associated with pine trees </w:t>
      </w:r>
      <w:r w:rsidRPr="00223DC5">
        <w:fldChar w:fldCharType="begin" w:fldLock="1"/>
      </w:r>
      <w:r w:rsidR="00EE33AB">
        <w:instrText>ADDIN CSL_CITATION {"citationItems":[{"id":"ITEM-1","itemData":{"author":[{"dropping-particle":"V","family":"Colpaert","given":"Jan","non-dropping-particle":"","parse-names":false,"suffix":""},{"dropping-particle":"Van","family":"Tichelen","given":"Katia K","non-dropping-particle":"","parse-names":false,"suffix":""},{"dropping-particle":"Van","family":"Assche","given":"Jozef A","non-dropping-particle":"","parse-names":false,"suffix":""},{"dropping-particle":"Van","family":"Laere","given":"Andre","non-dropping-particle":"","parse-names":false,"suffix":""}],"container-title":"New Phytologist","id":"ITEM-1","issue":"3","issued":{"date-parts":[["1999"]]},"page":"589-597","title":"short-term phosphorus uptake rates in mycorrhizal and non-mycorrhizal roots of intact Pinus sylvestris seedlings","type":"article-journal","volume":"143"},"uris":["http://www.mendeley.com/documents/?uuid=56c0e9c8-33cb-43a2-8f70-f2fab764c0ed"]}],"mendeley":{"formattedCitation":"(Colpaert et al., 1999)","plainTextFormattedCitation":"(Colpaert et al., 1999)","previouslyFormattedCitation":"(Colpaert et al., 1999)"},"properties":{"noteIndex":0},"schema":"https://github.com/citation-style-language/schema/raw/master/csl-citation.json"}</w:instrText>
      </w:r>
      <w:r w:rsidRPr="00223DC5">
        <w:fldChar w:fldCharType="separate"/>
      </w:r>
      <w:r w:rsidRPr="00223DC5">
        <w:rPr>
          <w:noProof/>
        </w:rPr>
        <w:t>(Colpaert et al., 1999)</w:t>
      </w:r>
      <w:r w:rsidRPr="00223DC5">
        <w:fldChar w:fldCharType="end"/>
      </w:r>
      <w:r w:rsidRPr="00223DC5">
        <w:t xml:space="preserve">. Besides, Jentschke </w:t>
      </w:r>
      <w:r w:rsidR="00C47606">
        <w:t>and Brandes</w:t>
      </w:r>
      <w:r w:rsidRPr="00223DC5">
        <w:t xml:space="preserve"> (2001) showed that hyphae of </w:t>
      </w:r>
      <w:r w:rsidRPr="00223DC5">
        <w:rPr>
          <w:i/>
        </w:rPr>
        <w:t>P</w:t>
      </w:r>
      <w:r w:rsidR="00607DA8">
        <w:rPr>
          <w:i/>
        </w:rPr>
        <w:t>.</w:t>
      </w:r>
      <w:r w:rsidRPr="00223DC5">
        <w:rPr>
          <w:i/>
        </w:rPr>
        <w:t xml:space="preserve"> involutus </w:t>
      </w:r>
      <w:r w:rsidRPr="00223DC5">
        <w:t xml:space="preserve">could uptake and translocate Pi to P-deficient host plants, which in turn improved host P content and stimulated plant growth </w:t>
      </w:r>
      <w:r w:rsidRPr="00223DC5">
        <w:fldChar w:fldCharType="begin" w:fldLock="1"/>
      </w:r>
      <w:r w:rsidR="00EE33AB">
        <w:instrText>ADDIN CSL_CITATION {"citationItems":[{"id":"ITEM-1","itemData":{"author":[{"dropping-particle":"","family":"Jentschke","given":"Georg","non-dropping-particle":"","parse-names":false,"suffix":""},{"dropping-particle":"","family":"Brandes","given":"Bettina","non-dropping-particle":"","parse-names":false,"suffix":""}],"container-title":"New Phytologist","id":"ITEM-1","issued":{"date-parts":[["2001"]]},"page":"327-337","title":"Interdependence of phosphorus, nitrogen, potassium and magnesium translocation by the ectomycorrhizal fungus Paxillus involutus","type":"article-journal","volume":"149"},"uris":["http://www.mendeley.com/documents/?uuid=eeb9e390-0f8f-4835-b38a-9e62b4f4a0fa"]}],"mendeley":{"formattedCitation":"(Jentschke and Brandes, 2001)","plainTextFormattedCitation":"(Jentschke and Brandes, 2001)","previouslyFormattedCitation":"(Jentschke and Brandes, 2001)"},"properties":{"noteIndex":0},"schema":"https://github.com/citation-style-language/schema/raw/master/csl-citation.json"}</w:instrText>
      </w:r>
      <w:r w:rsidRPr="00223DC5">
        <w:fldChar w:fldCharType="separate"/>
      </w:r>
      <w:r w:rsidRPr="00223DC5">
        <w:rPr>
          <w:noProof/>
        </w:rPr>
        <w:t>(Jentschke and Brandes, 2001)</w:t>
      </w:r>
      <w:r w:rsidRPr="00223DC5">
        <w:fldChar w:fldCharType="end"/>
      </w:r>
      <w:r w:rsidR="00C47606">
        <w:t>.</w:t>
      </w:r>
    </w:p>
    <w:p w14:paraId="4CF1B2D7" w14:textId="7B5CC9F1" w:rsidR="00223DC5" w:rsidRPr="00223DC5" w:rsidRDefault="00223DC5" w:rsidP="003F7054">
      <w:pPr>
        <w:ind w:firstLine="720"/>
      </w:pPr>
      <w:r w:rsidRPr="00223DC5">
        <w:t xml:space="preserve">Soil Pi uptake by EMF is mainly confined to the growing tip of the </w:t>
      </w:r>
      <w:r w:rsidRPr="00223DC5">
        <w:rPr>
          <w:color w:val="231F20"/>
        </w:rPr>
        <w:t>extra</w:t>
      </w:r>
      <w:r w:rsidR="00372B12">
        <w:rPr>
          <w:color w:val="231F20"/>
        </w:rPr>
        <w:t>rad</w:t>
      </w:r>
      <w:r w:rsidRPr="00223DC5">
        <w:rPr>
          <w:color w:val="231F20"/>
        </w:rPr>
        <w:t>ical</w:t>
      </w:r>
      <w:r w:rsidRPr="00223DC5">
        <w:t xml:space="preserve"> myc</w:t>
      </w:r>
      <w:r w:rsidR="00E66636">
        <w:t>elium during nutrient foraging i</w:t>
      </w:r>
      <w:r w:rsidRPr="00223DC5">
        <w:t xml:space="preserve">n the soil </w:t>
      </w:r>
      <w:r w:rsidRPr="00223DC5">
        <w:fldChar w:fldCharType="begin" w:fldLock="1"/>
      </w:r>
      <w:r w:rsidR="00EE33AB">
        <w:instrText>ADDIN CSL_CITATION {"citationItems":[{"id":"ITEM-1","itemData":{"DOI":"10.1111/j.1472-4669.2010.00264.x","ISSN":"1472-4669","PMID":"21231992","abstract":"Critical Zone (CZ) research investigates the chemical, physical, and biological processes that modulate the Earth's surface. Here, we advance 12 hypotheses that must be tested to improve our understanding of the CZ: (1) Solar-to-chemical conversion of energy by plants regulates flows of carbon, water, and nutrients through plant-microbe soil networks, thereby controlling the location and extent of biological weathering. (2) Biological stoichiometry drives changes in mineral stoichiometry and distribution through weathering. (3) On landscapes experiencing little erosion, biology drives weathering during initial succession, whereas weathering drives biology over the long term. (4) In eroding landscapes, weathering-front advance at depth is coupled to surface denudation via biotic processes. (5) Biology shapes the topography of the Critical Zone. (6) The impact of climate forcing on denudation rates in natural systems can be predicted from models incorporating biogeochemical reaction rates and geomorphological transport laws. (7) Rising global temperatures will increase carbon losses from the Critical Zone. (8) Rising atmospheric P(CO2) will increase rates and extents of mineral weathering in soils. (9) Riverine solute fluxes will respond to changes in climate primarily due to changes in water fluxes and secondarily through changes in biologically mediated weathering. (10) Land use change will impact Critical Zone processes and exports more than climate change. (11) In many severely altered settings, restoration of hydrological processes is possible in decades or less, whereas restoration of biodiversity and biogeochemical processes requires longer timescales. (12) Biogeochemical properties impart thresholds or tipping points beyond which rapid and irreversible losses of ecosystem health, function, and services can occur.","author":[{"dropping-particle":"","family":"Brantley","given":"S L","non-dropping-particle":"","parse-names":false,"suffix":""},{"dropping-particle":"","family":"Megonigal","given":"J P","non-dropping-particle":"","parse-names":false,"suffix":""},{"dropping-particle":"","family":"Scatena","given":"F N","non-dropping-particle":"","parse-names":false,"suffix":""},{"dropping-particle":"","family":"Balogh-Brunstad","given":"Z","non-dropping-particle":"","parse-names":false,"suffix":""},{"dropping-particle":"","family":"Barnes","given":"R T","non-dropping-particle":"","parse-names":false,"suffix":""},{"dropping-particle":"","family":"Bruns","given":"M a","non-dropping-particle":"","parse-names":false,"suffix":""},{"dropping-particle":"","family":"Cappellen","given":"P","non-dropping-particle":"Van","parse-names":false,"suffix":""},{"dropping-particle":"","family":"Dontsova","given":"K","non-dropping-particle":"","parse-names":false,"suffix":""},{"dropping-particle":"","family":"Hartnett","given":"H E","non-dropping-particle":"","parse-names":false,"suffix":""},{"dropping-particle":"","family":"Hartshorn","given":"a S","non-dropping-particle":"","parse-names":false,"suffix":""},{"dropping-particle":"","family":"Heimsath","given":"a","non-dropping-particle":"","parse-names":false,"suffix":""},{"dropping-particle":"","family":"Herndon","given":"E","non-dropping-particle":"","parse-names":false,"suffix":""},{"dropping-particle":"","family":"Jin","given":"L","non-dropping-particle":"","parse-names":false,"suffix":""},{"dropping-particle":"","family":"Keller","given":"C K","non-dropping-particle":"","parse-names":false,"suffix":""},{"dropping-particle":"","family":"Leake","given":"J R","non-dropping-particle":"","parse-names":false,"suffix":""},{"dropping-particle":"","family":"McDowell","given":"W H","non-dropping-particle":"","parse-names":false,"suffix":""},{"dropping-particle":"","family":"Meinzer","given":"F C","non-dropping-particle":"","parse-names":false,"suffix":""},{"dropping-particle":"","family":"Mozdzer","given":"T J","non-dropping-particle":"","parse-names":false,"suffix":""},{"dropping-particle":"","family":"Petsch","given":"S","non-dropping-particle":"","parse-names":false,"suffix":""},{"dropping-particle":"","family":"Pett-Ridge","given":"J","non-dropping-particle":"","parse-names":false,"suffix":""},{"dropping-particle":"","family":"Pregitzer","given":"K S","non-dropping-particle":"","parse-names":false,"suffix":""},{"dropping-particle":"","family":"Raymond","given":"P a","non-dropping-particle":"","parse-names":false,"suffix":""},{"dropping-particle":"","family":"Riebe","given":"C S","non-dropping-particle":"","parse-names":false,"suffix":""},{"dropping-particle":"","family":"Shumaker","given":"K","non-dropping-particle":"","parse-names":false,"suffix":""},{"dropping-particle":"","family":"Sutton-Grier","given":"a","non-dropping-particle":"","parse-names":false,"suffix":""},{"dropping-particle":"","family":"Walter","given":"R","non-dropping-particle":"","parse-names":false,"suffix":""},{"dropping-particle":"","family":"Yoo","given":"K","non-dropping-particle":"","parse-names":false,"suffix":""}],"container-title":"Geobiology","id":"ITEM-1","issue":"2","issued":{"date-parts":[["2011","3"]]},"page":"140-65","title":"Twelve testable hypotheses on the geobiology of weathering.","type":"article-journal","volume":"9"},"uris":["http://www.mendeley.com/documents/?uuid=b5fb9d05-4a4c-4512-906f-2bdd2189772c"]},{"id":"ITEM-2","itemData":{"DOI":"10.1139/B04-060","author":[{"dropping-particle":"","family":"Leake","given":"Jonathan","non-dropping-particle":"","parse-names":false,"suffix":""},{"dropping-particle":"","family":"Johnson","given":"David","non-dropping-particle":"","parse-names":false,"suffix":""},{"dropping-particle":"","family":"Donnelly","given":"Damian","non-dropping-particle":"","parse-names":false,"suffix":""},{"dropping-particle":"","family":"Muckle","given":"Gemma","non-dropping-particle":"","parse-names":false,"suffix":""},{"dropping-particle":"","family":"Boddy","given":"Lynne","non-dropping-particle":"","parse-names":false,"suffix":""},{"dropping-particle":"","family":"Read","given":"David","non-dropping-particle":"","parse-names":false,"suffix":""}],"container-title":"Canadian Journal of Botany","id":"ITEM-2","issued":{"date-parts":[["2004"]]},"page":"1016-1045","title":"Networks of power and influence: the role of mycorrhizal mycelium in controlling plant communities and agroecosystem functioning","type":"article-journal","volume":"82"},"uris":["http://www.mendeley.com/documents/?uuid=1623b1ae-488b-4269-82fb-aa04313599d2"]}],"mendeley":{"formattedCitation":"(Brantley et al., 2011; Leake et al., 2004)","plainTextFormattedCitation":"(Brantley et al., 2011; Leake et al., 2004)","previouslyFormattedCitation":"(Brantley et al., 2011; Leake et al., 2004)"},"properties":{"noteIndex":0},"schema":"https://github.com/citation-style-language/schema/raw/master/csl-citation.json"}</w:instrText>
      </w:r>
      <w:r w:rsidRPr="00223DC5">
        <w:fldChar w:fldCharType="separate"/>
      </w:r>
      <w:r w:rsidRPr="00223DC5">
        <w:rPr>
          <w:noProof/>
        </w:rPr>
        <w:t>(Brantley et al., 2011; Leake et al., 2004)</w:t>
      </w:r>
      <w:r w:rsidRPr="00223DC5">
        <w:fldChar w:fldCharType="end"/>
      </w:r>
      <w:r w:rsidRPr="00223DC5">
        <w:t>. According to experimental evidence, K</w:t>
      </w:r>
      <w:r w:rsidRPr="00223DC5">
        <w:rPr>
          <w:vertAlign w:val="subscript"/>
        </w:rPr>
        <w:t>m</w:t>
      </w:r>
      <w:r w:rsidRPr="00223DC5">
        <w:t xml:space="preserve"> values indicated the existence of both high and low-affinity transport systems, with high-affinity Pi transporters playing the first role in soil Pi uptake </w:t>
      </w:r>
      <w:r w:rsidRPr="00223DC5">
        <w:fldChar w:fldCharType="begin" w:fldLock="1"/>
      </w:r>
      <w:r w:rsidR="00EE33AB">
        <w:instrText>ADDIN CSL_CITATION {"citationItems":[{"id":"ITEM-1","itemData":{"DOI":"10.1034/j.1399-3054.2000.110113.x","ISSN":"0031-9317","author":[{"dropping-particle":"","family":"Tichelen","given":"K. K.","non-dropping-particle":"Van","parse-names":false,"suffix":""},{"dropping-particle":"V.","family":"Colpaert","given":"J.","non-dropping-particle":"","parse-names":false,"suffix":""}],"container-title":"Physiologia Plantarum","id":"ITEM-1","issue":"1","issued":{"date-parts":[["2000","9"]]},"page":"96-103","title":"Kinetics of phosphate absorption by mycorrhizal and non-mycorrhizal Scots pine seedlings","type":"article-journal","volume":"110"},"uris":["http://www.mendeley.com/documents/?uuid=9c28db0f-6f13-474c-b1a2-5268afb9e646"]},{"id":"ITEM-2","itemData":{"author":[{"dropping-particle":"","family":"Cairney","given":"John W. G.","non-dropping-particle":"","parse-names":false,"suffix":""},{"dropping-particle":"","family":"Alexander","given":"Ian J","non-dropping-particle":"","parse-names":false,"suffix":""}],"container-title":"New Phytologist","id":"ITEM-2","issued":{"date-parts":[["1992"]]},"page":"159-164","title":"A study of ageing of spruce [Picea sitchensis (Bong .) Carr.] ectomycorrhizas. III . Phosphate absorption and transfer in ageing Picea sitchensis/Tylospora fibrillosa (Burt.) Donk ectomycorrhizas","type":"article-journal","volume":"122"},"uris":["http://www.mendeley.com/documents/?uuid=0bfe41c7-f157-422b-abbe-b6d7c4cb517d"]},{"id":"ITEM-3","itemData":{"DOI":"10.1111/j.1365-313X.2008.03749.x","ISSN":"1365-313X","PMID":"19054369","abstract":"Ectomycorrhizal symbiosis markedly improves plant phosphate uptake, but the molecular mechanisms underlying this benefit are still poorly understood. We identified two ESTs in a cDNA library prepared from the ectomycorrhizal basidiomycete Hebeloma cylindrosporum with significant similarities to phosphate transporters from the endomycorrhizal fungus Glomus versiforme and from non-mycorrhizal fungi. The full-length cDNAs corresponding to these two ESTs complemented a yeast phosphate transport mutant (Deltapho84). Measurements of (33)P-phosphate influx into yeast expressing either cDNA demonstrated that the encoded proteins, named HcPT1 and HcPT2, were able to mediate Pi:H(+) symport with different affinities for Pi (K(m) values of 55 and 4 mum, respectively). Real-time RT-PCR showed that Pi starvation increased the levels of HcPT1 transcripts in H. cylindrosporum hyphae grown in pure culture. Transcript levels of HcPT2 were less dependent on Pi availability. The two transporters were expressed in H. cylindrosporum associated with its natural host plant, Pinus pinaster, grown under low or high P conditions. The presence of ectomycorrhizae increased net Pi uptake rates into intact Pinus pinaster roots at low or high soil P levels. The expression patterns of HcPT1 and HcPT2 indicate that the two fungal phosphate transporters may be involved in uptake of phosphate from the soil solution under the two soil P availability conditions used.","author":[{"dropping-particle":"","family":"Tatry","given":"Marie-Violaine","non-dropping-particle":"","parse-names":false,"suffix":""},{"dropping-particle":"","family":"Kassis","given":"Elie","non-dropping-particle":"El","parse-names":false,"suffix":""},{"dropping-particle":"","family":"Lambilliotte","given":"Raphaël","non-dropping-particle":"","parse-names":false,"suffix":""},{"dropping-particle":"","family":"Corratgé","given":"Claire","non-dropping-particle":"","parse-names":false,"suffix":""},{"dropping-particle":"","family":"Aarle","given":"Ingrid","non-dropping-particle":"van","parse-names":false,"suffix":""},{"dropping-particle":"","family":"Amenc","given":"Laurie K","non-dropping-particle":"","parse-names":false,"suffix":""},{"dropping-particle":"","family":"Alary","given":"Rémi","non-dropping-particle":"","parse-names":false,"suffix":""},{"dropping-particle":"","family":"Zimmermann","given":"Sabine","non-dropping-particle":"","parse-names":false,"suffix":""},{"dropping-particle":"","family":"Sentenac","given":"Hervé","non-dropping-particle":"","parse-names":false,"suffix":""},{"dropping-particle":"","family":"Plassard","given":"Claude","non-dropping-particle":"","parse-names":false,"suffix":""}],"container-title":"The Plant journal : for cell and molecular biology","id":"ITEM-3","issue":"6","issued":{"date-parts":[["2009","3"]]},"page":"1092-102","title":"Two differentially regulated phosphate transporters from the symbiotic fungus Hebeloma cylindrosporum and phosphorus acquisition by ectomycorrhizal Pinus pinaster.","type":"article-journal","volume":"57"},"uris":["http://www.mendeley.com/documents/?uuid=334233a2-c949-4def-90cb-cb4c687b90e2"]}],"mendeley":{"formattedCitation":"(Van Tichelen and Colpaert, 2000; Cairney and Alexander, 1992; Tatry et al., 2009)","plainTextFormattedCitation":"(Van Tichelen and Colpaert, 2000; Cairney and Alexander, 1992; Tatry et al., 2009)","previouslyFormattedCitation":"(Van Tichelen and Colpaert, 2000; Cairney and Alexander, 1992; Tatry et al., 2009)"},"properties":{"noteIndex":0},"schema":"https://github.com/citation-style-language/schema/raw/master/csl-citation.json"}</w:instrText>
      </w:r>
      <w:r w:rsidRPr="00223DC5">
        <w:fldChar w:fldCharType="separate"/>
      </w:r>
      <w:r w:rsidRPr="00223DC5">
        <w:rPr>
          <w:noProof/>
        </w:rPr>
        <w:t>(Van Tichelen and Colpaert, 2000; Cairney and Alexander, 1992; Tatry et al., 2009)</w:t>
      </w:r>
      <w:r w:rsidRPr="00223DC5">
        <w:fldChar w:fldCharType="end"/>
      </w:r>
      <w:r w:rsidRPr="00223DC5">
        <w:t xml:space="preserve">. Not all of </w:t>
      </w:r>
      <w:r w:rsidR="00C519D1">
        <w:t xml:space="preserve">the </w:t>
      </w:r>
      <w:r w:rsidRPr="00223DC5">
        <w:t xml:space="preserve">soil Pi taken </w:t>
      </w:r>
      <w:r w:rsidR="00C519D1">
        <w:t xml:space="preserve">up </w:t>
      </w:r>
      <w:r w:rsidRPr="00223DC5">
        <w:t xml:space="preserve">by </w:t>
      </w:r>
      <w:r w:rsidR="00C519D1">
        <w:t xml:space="preserve">the </w:t>
      </w:r>
      <w:r w:rsidRPr="00223DC5">
        <w:t xml:space="preserve">EMF </w:t>
      </w:r>
      <w:r w:rsidRPr="00223DC5">
        <w:rPr>
          <w:color w:val="231F20"/>
        </w:rPr>
        <w:t>extra</w:t>
      </w:r>
      <w:r w:rsidR="00372B12">
        <w:rPr>
          <w:color w:val="231F20"/>
        </w:rPr>
        <w:t>rad</w:t>
      </w:r>
      <w:r w:rsidRPr="00223DC5">
        <w:rPr>
          <w:color w:val="231F20"/>
        </w:rPr>
        <w:t>ical</w:t>
      </w:r>
      <w:r w:rsidRPr="00223DC5">
        <w:t xml:space="preserve"> mycelium is transferred to</w:t>
      </w:r>
      <w:r w:rsidR="00107D3A">
        <w:t xml:space="preserve"> the plant host. Instead, some of the Pi </w:t>
      </w:r>
      <w:r w:rsidRPr="00223DC5">
        <w:t xml:space="preserve">may </w:t>
      </w:r>
      <w:r w:rsidR="00C519D1">
        <w:t xml:space="preserve">be </w:t>
      </w:r>
      <w:r w:rsidRPr="00223DC5">
        <w:t>retain</w:t>
      </w:r>
      <w:r w:rsidR="00C519D1">
        <w:t>ed</w:t>
      </w:r>
      <w:r w:rsidRPr="00223DC5">
        <w:t xml:space="preserve"> </w:t>
      </w:r>
      <w:r w:rsidR="00107D3A">
        <w:t>with</w:t>
      </w:r>
      <w:r w:rsidRPr="00223DC5">
        <w:t>in the fun</w:t>
      </w:r>
      <w:r w:rsidR="00107D3A">
        <w:t xml:space="preserve">gal tissues </w:t>
      </w:r>
      <w:r w:rsidRPr="00223DC5">
        <w:t>main</w:t>
      </w:r>
      <w:r w:rsidR="00107D3A">
        <w:t>ly in the form of polyphosphate (poly-Pi</w:t>
      </w:r>
      <w:r w:rsidRPr="00223DC5">
        <w:t xml:space="preserve">) </w:t>
      </w:r>
      <w:r w:rsidRPr="00223DC5">
        <w:fldChar w:fldCharType="begin" w:fldLock="1"/>
      </w:r>
      <w:r w:rsidR="00EE33AB">
        <w:instrText>ADDIN CSL_CITATION {"citationItems":[{"id":"ITEM-1","itemData":{"DOI":"10.1111/j.1469-8137.1981.tb04749.x","ISSN":"0028-646X","abstract":"The quantities of polyphosphate formed in beech mycorrhizas during uptake of KHPO were estimated after extraction with cold TCA and KOH. Over an absorption period of 19 h the proportion of absorbed phosphate converted into polyphosphate increases with external phosphate concentration from 22% in 0·16 mM to 44% in 0·98 mM KHPO. Uptake from 64 mM phosphate results in 39 % being accumulated as polyphosphate during 2·5 h. Calculations based on the percentage of phosphate accumulated in the sheath, obtained by dissection, show that a large fraction of the phosphate in the fungus is accumulated as polyphosphate.","author":[{"dropping-particle":"","family":"Harley","given":"J L","non-dropping-particle":"","parse-names":false,"suffix":""},{"dropping-particle":"","family":"McCready","given":"C C","non-dropping-particle":"","parse-names":false,"suffix":""}],"container-title":"New Phytologist","id":"ITEM-1","issue":"1","issued":{"date-parts":[["1981"]]},"page":"75-80","publisher-place":"Oxford, UK","title":"Phosphate accumulation in Fagus mycorrhizas","type":"article-journal","volume":"89"},"uris":["http://www.mendeley.com/documents/?uuid=1912e3f1-605a-434b-a2f0-0e3e73926ead"]}],"mendeley":{"formattedCitation":"(Harley and McCready, 1981)","plainTextFormattedCitation":"(Harley and McCready, 1981)","previouslyFormattedCitation":"(Harley and McCready, 1981)"},"properties":{"noteIndex":0},"schema":"https://github.com/citation-style-language/schema/raw/master/csl-citation.json"}</w:instrText>
      </w:r>
      <w:r w:rsidRPr="00223DC5">
        <w:fldChar w:fldCharType="separate"/>
      </w:r>
      <w:r w:rsidR="00107D3A" w:rsidRPr="00107D3A">
        <w:rPr>
          <w:noProof/>
        </w:rPr>
        <w:t>(Harley and McCready, 1981)</w:t>
      </w:r>
      <w:r w:rsidRPr="00223DC5">
        <w:fldChar w:fldCharType="end"/>
      </w:r>
      <w:r w:rsidRPr="00223DC5">
        <w:t>. The amount of Pi transfer</w:t>
      </w:r>
      <w:r w:rsidR="00C519D1">
        <w:t>red</w:t>
      </w:r>
      <w:r w:rsidRPr="00223DC5">
        <w:t xml:space="preserve"> to the host plant can be affected by factors such as P availability and relative growth rates of the host tree and the EMF </w:t>
      </w:r>
      <w:r w:rsidRPr="00223DC5">
        <w:fldChar w:fldCharType="begin" w:fldLock="1"/>
      </w:r>
      <w:r w:rsidR="00EE33AB">
        <w:instrText>ADDIN CSL_CITATION {"citationItems":[{"id":"ITEM-1","itemData":{"ISSN":"0028646X","author":[{"dropping-particle":"","family":"Harley","given":"J L","non-dropping-particle":"","parse-names":false,"suffix":""},{"dropping-particle":"","family":"McCready","given":"C C","non-dropping-particle":"","parse-names":false,"suffix":""}],"container-title":"New Phytologist","id":"ITEM-1","issue":"1","issued":{"date-parts":[["1952"]]},"page":"56-64","title":"The Uptake of Phosphate by Excised Mycorrhizal Roots of the Beech II. Distribution of Phosphorus Between Host and Fungus","type":"article-journal","volume":"51"},"uris":["http://www.mendeley.com/documents/?uuid=512872d2-2937-48c0-905a-243d7c5cfc18"]}],"mendeley":{"formattedCitation":"(Harley and McCready, 1952)","plainTextFormattedCitation":"(Harley and McCready, 1952)","previouslyFormattedCitation":"(Harley and McCready, 1952)"},"properties":{"noteIndex":0},"schema":"https://github.com/citation-style-language/schema/raw/master/csl-citation.json"}</w:instrText>
      </w:r>
      <w:r w:rsidRPr="00223DC5">
        <w:fldChar w:fldCharType="separate"/>
      </w:r>
      <w:r w:rsidRPr="00223DC5">
        <w:rPr>
          <w:noProof/>
        </w:rPr>
        <w:t>(Harley and McCready, 1952)</w:t>
      </w:r>
      <w:r w:rsidRPr="00223DC5">
        <w:fldChar w:fldCharType="end"/>
      </w:r>
      <w:r w:rsidRPr="00223DC5">
        <w:t>.</w:t>
      </w:r>
    </w:p>
    <w:p w14:paraId="6F66C156" w14:textId="105EBDE6" w:rsidR="00223DC5" w:rsidRPr="00223DC5" w:rsidRDefault="00223DC5" w:rsidP="007F746A">
      <w:pPr>
        <w:ind w:firstLine="720"/>
      </w:pPr>
      <w:r w:rsidRPr="00223DC5">
        <w:t>The translocation mechanisms of P</w:t>
      </w:r>
      <w:r w:rsidR="00107D3A">
        <w:t>i</w:t>
      </w:r>
      <w:r w:rsidRPr="00223DC5">
        <w:t xml:space="preserve"> in the extra</w:t>
      </w:r>
      <w:r w:rsidR="00107D3A">
        <w:t>rad</w:t>
      </w:r>
      <w:r w:rsidRPr="00223DC5">
        <w:t>ical mycelium towards the host plant remain elusive. However, substantial evidence indicates that P</w:t>
      </w:r>
      <w:r w:rsidR="00107D3A">
        <w:t>i</w:t>
      </w:r>
      <w:r w:rsidRPr="00223DC5">
        <w:t xml:space="preserve"> translocation within the hyphae of EMF operates via a tubular vacuol</w:t>
      </w:r>
      <w:r w:rsidR="0024026A">
        <w:t>e</w:t>
      </w:r>
      <w:r w:rsidRPr="00223DC5">
        <w:t xml:space="preserve"> system, which is present in many EMF </w:t>
      </w:r>
      <w:r w:rsidRPr="00223DC5">
        <w:lastRenderedPageBreak/>
        <w:t xml:space="preserve">spp., including </w:t>
      </w:r>
      <w:r w:rsidRPr="00223DC5">
        <w:rPr>
          <w:i/>
        </w:rPr>
        <w:t>P</w:t>
      </w:r>
      <w:r w:rsidR="00607DA8">
        <w:rPr>
          <w:i/>
        </w:rPr>
        <w:t>.</w:t>
      </w:r>
      <w:r w:rsidRPr="00223DC5">
        <w:rPr>
          <w:i/>
        </w:rPr>
        <w:t xml:space="preserve"> involutus</w:t>
      </w:r>
      <w:r w:rsidRPr="00223DC5">
        <w:t>, where P</w:t>
      </w:r>
      <w:r w:rsidR="00107D3A">
        <w:t>i</w:t>
      </w:r>
      <w:r w:rsidRPr="00223DC5">
        <w:t xml:space="preserve"> </w:t>
      </w:r>
      <w:r w:rsidR="00C519D1">
        <w:t xml:space="preserve">is </w:t>
      </w:r>
      <w:r w:rsidRPr="00223DC5">
        <w:t>translocated as poly-P</w:t>
      </w:r>
      <w:r w:rsidR="00107D3A">
        <w:t>i</w:t>
      </w:r>
      <w:r w:rsidRPr="00223DC5">
        <w:t xml:space="preserve"> granules </w:t>
      </w:r>
      <w:r w:rsidRPr="00223DC5">
        <w:fldChar w:fldCharType="begin" w:fldLock="1"/>
      </w:r>
      <w:r w:rsidR="00EE33AB">
        <w:instrText>ADDIN CSL_CITATION {"citationItems":[{"id":"ITEM-1","itemData":{"author":[{"dropping-particle":"","family":"Ashford","given":"AE","non-dropping-particle":"","parse-names":false,"suffix":""},{"dropping-particle":"","family":"Allaway","given":"WG","non-dropping-particle":"","parse-names":false,"suffix":""}],"container-title":"Plant and Soil","id":"ITEM-1","issued":{"date-parts":[["2002"]]},"page":"177-187","title":"The role of the motile tubular vacuole system in mycorrhizal fungi","type":"article-journal","volume":"244"},"uris":["http://www.mendeley.com/documents/?uuid=93cab1f3-a381-48b3-801b-316c9acd8957"]}],"mendeley":{"formattedCitation":"(Ashford and Allaway, 2002)","plainTextFormattedCitation":"(Ashford and Allaway, 2002)","previouslyFormattedCitation":"(Ashford and Allaway, 2002)"},"properties":{"noteIndex":0},"schema":"https://github.com/citation-style-language/schema/raw/master/csl-citation.json"}</w:instrText>
      </w:r>
      <w:r w:rsidRPr="00223DC5">
        <w:fldChar w:fldCharType="separate"/>
      </w:r>
      <w:r w:rsidRPr="00223DC5">
        <w:rPr>
          <w:noProof/>
        </w:rPr>
        <w:t>(Ashford and Allaway, 2002)</w:t>
      </w:r>
      <w:r w:rsidRPr="00223DC5">
        <w:fldChar w:fldCharType="end"/>
      </w:r>
      <w:r w:rsidRPr="00223DC5">
        <w:t>.</w:t>
      </w:r>
    </w:p>
    <w:p w14:paraId="5413FB46" w14:textId="49B5FD95" w:rsidR="00223DC5" w:rsidRPr="00223DC5" w:rsidRDefault="00223DC5" w:rsidP="00FB36B8">
      <w:pPr>
        <w:ind w:firstLine="720"/>
      </w:pPr>
      <w:r w:rsidRPr="00223DC5">
        <w:t>In conifers, P</w:t>
      </w:r>
      <w:r w:rsidR="00107D3A">
        <w:t>i</w:t>
      </w:r>
      <w:r w:rsidRPr="00223DC5">
        <w:t xml:space="preserve"> transfer from EMF hyphae to the host tree requires Pi efflux across the fungal plasma membrane into the symbiotic apoplastic space, and subsequent P</w:t>
      </w:r>
      <w:r w:rsidR="00107D3A">
        <w:t>i</w:t>
      </w:r>
      <w:r w:rsidRPr="00223DC5">
        <w:t xml:space="preserve"> transport across the plasma membrane of mainly root epidermal and</w:t>
      </w:r>
      <w:r w:rsidR="00C519D1">
        <w:t>,</w:t>
      </w:r>
      <w:r w:rsidRPr="00223DC5">
        <w:t xml:space="preserve"> </w:t>
      </w:r>
      <w:r w:rsidR="00C519D1">
        <w:t>to a</w:t>
      </w:r>
      <w:r w:rsidRPr="00223DC5">
        <w:t xml:space="preserve"> less</w:t>
      </w:r>
      <w:r w:rsidR="00C519D1">
        <w:t>er</w:t>
      </w:r>
      <w:r w:rsidRPr="00223DC5">
        <w:t xml:space="preserve"> extent</w:t>
      </w:r>
      <w:r w:rsidR="00C519D1">
        <w:t>,</w:t>
      </w:r>
      <w:r w:rsidRPr="00223DC5">
        <w:t xml:space="preserve"> cortical cells </w:t>
      </w:r>
      <w:r w:rsidR="00107D3A">
        <w:fldChar w:fldCharType="begin" w:fldLock="1"/>
      </w:r>
      <w:r w:rsidR="00EE33AB">
        <w:instrText>ADDIN CSL_CITATION {"citationItems":[{"id":"ITEM-1","itemData":{"DOI":"10.1007/BF00000099","ISSN":"0032-079X","abstract":"Nutrient transport in mycorrhizas occurs across specialized interfaces which are the result of corrdinated development of the organisms. The structural modifications give rise to large areas of either inter- or intra-cellular interface in which wall synthesis is frequently modified and in which altered distribution of membrane bound ATPases is important, particularly with respect to mechanisms that may be involved in bidirectional transfer of nutrients. Except in orchid mycorrhizas, net movement of organic carbon from plant to fungus occurs, complemented by mineral nutrient movement in the opposite direction. The general consensus is that sustained transfer at rates that will maintain the growth and development of the organisms requires increases in the rates at which nutrients are lost from the organisms","author":[{"dropping-particle":"","family":"Smith","given":"S","non-dropping-particle":"","parse-names":false,"suffix":""},{"dropping-particle":"","family":"Gianinazzi-Pearson","given":"V","non-dropping-particle":"","parse-names":false,"suffix":""},{"dropping-particle":"","family":"Koide","given":"R","non-dropping-particle":"","parse-names":false,"suffix":""},{"dropping-particle":"","family":"Cairney","given":"J","non-dropping-particle":"","parse-names":false,"suffix":""}],"container-title":"An International Journal on Plant-Soil Relationships","id":"ITEM-1","issue":"1","issued":{"date-parts":[["1994"]]},"page":"103-113","publisher-place":"Dordrecht","title":"Nutrient transport in mycorrhizas: structure, physiology and consequences for efficiency of the symbiosis","type":"article-journal","volume":"159"},"uris":["http://www.mendeley.com/documents/?uuid=113bcf83-a0f4-40f9-85ac-340bcd833042"]}],"mendeley":{"formattedCitation":"(Smith et al., 1994)","plainTextFormattedCitation":"(Smith et al., 1994)","previouslyFormattedCitation":"(Smith et al., 1994)"},"properties":{"noteIndex":0},"schema":"https://github.com/citation-style-language/schema/raw/master/csl-citation.json"}</w:instrText>
      </w:r>
      <w:r w:rsidR="00107D3A">
        <w:fldChar w:fldCharType="separate"/>
      </w:r>
      <w:r w:rsidR="00107D3A" w:rsidRPr="00107D3A">
        <w:rPr>
          <w:noProof/>
        </w:rPr>
        <w:t>(Smith et al., 1994)</w:t>
      </w:r>
      <w:r w:rsidR="00107D3A">
        <w:fldChar w:fldCharType="end"/>
      </w:r>
      <w:r w:rsidR="00107D3A">
        <w:t xml:space="preserve">. According to </w:t>
      </w:r>
      <w:r w:rsidRPr="00223DC5">
        <w:t xml:space="preserve">radiolabel studies using </w:t>
      </w:r>
      <w:r w:rsidRPr="00223DC5">
        <w:rPr>
          <w:vertAlign w:val="superscript"/>
        </w:rPr>
        <w:t>32</w:t>
      </w:r>
      <w:r w:rsidRPr="00223DC5">
        <w:t xml:space="preserve">P isotopes, the Hartig net </w:t>
      </w:r>
      <w:r w:rsidR="00F319BE">
        <w:t xml:space="preserve">is </w:t>
      </w:r>
      <w:r w:rsidRPr="00223DC5">
        <w:t>the symbiotic plant-fungus interphase where Pi transfer takes place</w:t>
      </w:r>
      <w:r w:rsidR="0024035F">
        <w:t xml:space="preserve"> </w:t>
      </w:r>
      <w:r w:rsidR="0024035F">
        <w:fldChar w:fldCharType="begin" w:fldLock="1"/>
      </w:r>
      <w:r w:rsidR="00EE33AB">
        <w:instrText>ADDIN CSL_CITATION {"citationItems":[{"id":"ITEM-1","itemData":{"author":[{"dropping-particle":"","family":"Bücking","given":"H","non-dropping-particle":"","parse-names":false,"suffix":""},{"dropping-particle":"","family":"Heyser","given":"W","non-dropping-particle":"","parse-names":false,"suffix":""}],"container-title":"Mycorrhiza","id":"ITEM-1","issued":{"date-parts":[["2003"]]},"page":"59-68","title":"Uptake and transfer of nutrients in ectomycorrhizal associations: interactions between photosynthesis and phosphate nutrition","type":"article-journal","volume":"13"},"uris":["http://www.mendeley.com/documents/?uuid=e3756aab-d9ce-4a50-ab3e-bfb7f93a3f5a"]}],"mendeley":{"formattedCitation":"(Bücking and Heyser, 2003)","plainTextFormattedCitation":"(Bücking and Heyser, 2003)","previouslyFormattedCitation":"(Bücking and Heyser, 2003)"},"properties":{"noteIndex":0},"schema":"https://github.com/citation-style-language/schema/raw/master/csl-citation.json"}</w:instrText>
      </w:r>
      <w:r w:rsidR="0024035F">
        <w:fldChar w:fldCharType="separate"/>
      </w:r>
      <w:r w:rsidR="0024035F" w:rsidRPr="0024035F">
        <w:rPr>
          <w:noProof/>
        </w:rPr>
        <w:t>(Bücking and Heyser, 2003)</w:t>
      </w:r>
      <w:r w:rsidR="0024035F">
        <w:fldChar w:fldCharType="end"/>
      </w:r>
      <w:r w:rsidRPr="00223DC5">
        <w:t>. However, further efforts to elucidate the P</w:t>
      </w:r>
      <w:r w:rsidR="0024035F">
        <w:t>i</w:t>
      </w:r>
      <w:r w:rsidRPr="00223DC5">
        <w:t xml:space="preserve"> transfer mechanism along the EM symbiotic interface were not informative, in contrast to research in </w:t>
      </w:r>
      <w:r w:rsidR="00E66636">
        <w:t xml:space="preserve">the </w:t>
      </w:r>
      <w:r w:rsidRPr="00223DC5">
        <w:t>AM</w:t>
      </w:r>
      <w:r w:rsidR="0024035F">
        <w:t xml:space="preserve"> symbiosis</w:t>
      </w:r>
      <w:r w:rsidRPr="00223DC5">
        <w:t>. Hence, P</w:t>
      </w:r>
      <w:r w:rsidR="0024035F">
        <w:t>i</w:t>
      </w:r>
      <w:r w:rsidRPr="00223DC5">
        <w:t xml:space="preserve"> transfer across the plant-fungus interface </w:t>
      </w:r>
      <w:r w:rsidR="00F319BE">
        <w:t>is</w:t>
      </w:r>
      <w:r w:rsidRPr="00223DC5">
        <w:t xml:space="preserve"> discussed </w:t>
      </w:r>
      <w:r w:rsidR="00F319BE">
        <w:t>with</w:t>
      </w:r>
      <w:r w:rsidR="00AE35F1">
        <w:t xml:space="preserve"> </w:t>
      </w:r>
      <w:r w:rsidRPr="00223DC5">
        <w:t>reference to known P</w:t>
      </w:r>
      <w:r w:rsidR="0024035F">
        <w:t>i</w:t>
      </w:r>
      <w:r w:rsidRPr="00223DC5">
        <w:t xml:space="preserve"> transfer mechanisms in</w:t>
      </w:r>
      <w:r w:rsidR="00E66636">
        <w:t xml:space="preserve"> the</w:t>
      </w:r>
      <w:r w:rsidRPr="00223DC5">
        <w:t xml:space="preserve"> AM symbiosis, and </w:t>
      </w:r>
      <w:r w:rsidR="00F319BE">
        <w:t xml:space="preserve">then </w:t>
      </w:r>
      <w:r w:rsidRPr="00223DC5">
        <w:t>extrapolate</w:t>
      </w:r>
      <w:r w:rsidR="00F319BE">
        <w:t>d</w:t>
      </w:r>
      <w:r w:rsidRPr="00223DC5">
        <w:t xml:space="preserve"> to EM.</w:t>
      </w:r>
    </w:p>
    <w:p w14:paraId="1D9B9029" w14:textId="6354010E" w:rsidR="00223DC5" w:rsidRPr="00223DC5" w:rsidRDefault="00223DC5" w:rsidP="00FB36B8">
      <w:pPr>
        <w:ind w:firstLine="720"/>
      </w:pPr>
      <w:r w:rsidRPr="00223DC5">
        <w:t>Pi efflux across the plasma membrane of EMF hyphae may occur passively, driven by the high Pi concentration due to poly-P</w:t>
      </w:r>
      <w:r w:rsidR="0024035F">
        <w:t>i</w:t>
      </w:r>
      <w:r w:rsidRPr="00223DC5">
        <w:t xml:space="preserve"> degradation by polyphosphatase</w:t>
      </w:r>
      <w:r w:rsidR="00F77E80">
        <w:t xml:space="preserve"> (poly-Pase)</w:t>
      </w:r>
      <w:r w:rsidRPr="00223DC5">
        <w:t xml:space="preserve">-like enzymes, as happens in AMF </w:t>
      </w:r>
      <w:r w:rsidRPr="00223DC5">
        <w:fldChar w:fldCharType="begin" w:fldLock="1"/>
      </w:r>
      <w:r w:rsidR="00EE33AB">
        <w:instrText>ADDIN CSL_CITATION {"citationItems":[{"id":"ITEM-1","itemData":{"DOI":"10.1046/j.1469-8137.2001.00040.x","ISSN":"0028646X","author":[{"dropping-particle":"","family":"Ezawa","given":"Tatsuhiro","non-dropping-particle":"","parse-names":false,"suffix":""},{"dropping-particle":"","family":"Smith","given":"Sally E.","non-dropping-particle":"","parse-names":false,"suffix":""},{"dropping-particle":"","family":"Smith","given":"Andrew F.","non-dropping-particle":"","parse-names":false,"suffix":""}],"container-title":"New Phytologist","id":"ITEM-1","issue":"3","issued":{"date-parts":[["2002","1","4"]]},"page":"555-563","title":"Differentiation of polyphosphate metabolism between the extra- and intraradical hyphae of arbuscular mycorrhizal fungi","type":"article-journal","volume":"149"},"uris":["http://www.mendeley.com/documents/?uuid=84e276b2-6635-4e28-bb62-b08f1c2e6426"]}],"mendeley":{"formattedCitation":"(Ezawa et al., 2002)","plainTextFormattedCitation":"(Ezawa et al., 2002)","previouslyFormattedCitation":"(Ezawa et al., 2002)"},"properties":{"noteIndex":0},"schema":"https://github.com/citation-style-language/schema/raw/master/csl-citation.json"}</w:instrText>
      </w:r>
      <w:r w:rsidRPr="00223DC5">
        <w:fldChar w:fldCharType="separate"/>
      </w:r>
      <w:r w:rsidRPr="00223DC5">
        <w:rPr>
          <w:noProof/>
        </w:rPr>
        <w:t>(Ezawa et al., 2002)</w:t>
      </w:r>
      <w:r w:rsidRPr="00223DC5">
        <w:fldChar w:fldCharType="end"/>
      </w:r>
      <w:r w:rsidR="0024035F">
        <w:t>. The release of Pi from poly-Pi</w:t>
      </w:r>
      <w:r w:rsidR="002F515C">
        <w:t xml:space="preserve"> within the tubular vacuole</w:t>
      </w:r>
      <w:r w:rsidRPr="00223DC5">
        <w:t xml:space="preserve"> system of EMF hyphae, and therefore its further release to the fungus-root inter</w:t>
      </w:r>
      <w:r w:rsidR="00F319BE">
        <w:t>f</w:t>
      </w:r>
      <w:r w:rsidRPr="00223DC5">
        <w:t>a</w:t>
      </w:r>
      <w:r w:rsidR="00F319BE">
        <w:t>c</w:t>
      </w:r>
      <w:r w:rsidRPr="00223DC5">
        <w:t>e, will possibly require Pi efflux across the tonoplast, before Pi efflux across the plasma membrane of the EMF towards the symbiotic apoplastic space.</w:t>
      </w:r>
    </w:p>
    <w:p w14:paraId="73F645AA" w14:textId="6432B7C5" w:rsidR="00223DC5" w:rsidRPr="00223DC5" w:rsidRDefault="00223DC5" w:rsidP="007C3C15">
      <w:pPr>
        <w:ind w:firstLine="720"/>
      </w:pPr>
      <w:r w:rsidRPr="00223DC5">
        <w:t xml:space="preserve">Vacuolar Pi efflux may be mediated via passive efflux </w:t>
      </w:r>
      <w:r w:rsidR="00F319BE">
        <w:t>through</w:t>
      </w:r>
      <w:r w:rsidRPr="00223DC5">
        <w:t xml:space="preserve"> a tonoplast-localised anion channel, either specific or non-specific to Pi. </w:t>
      </w:r>
      <w:r w:rsidR="00F319BE">
        <w:t>Transport through t</w:t>
      </w:r>
      <w:r w:rsidRPr="00223DC5">
        <w:t xml:space="preserve">his channel may further be driven by the relatively low concentration of Pi outside of the vacuolar system that might </w:t>
      </w:r>
      <w:r w:rsidR="00F319BE" w:rsidRPr="00223DC5">
        <w:t xml:space="preserve">also </w:t>
      </w:r>
      <w:r w:rsidRPr="00223DC5">
        <w:t>be enhanced by inactivation of a tonoplast H</w:t>
      </w:r>
      <w:r w:rsidRPr="00223DC5">
        <w:rPr>
          <w:vertAlign w:val="superscript"/>
        </w:rPr>
        <w:t xml:space="preserve">+ </w:t>
      </w:r>
      <w:r w:rsidRPr="00223DC5">
        <w:t xml:space="preserve">ATPase </w:t>
      </w:r>
      <w:r w:rsidRPr="00223DC5">
        <w:fldChar w:fldCharType="begin" w:fldLock="1"/>
      </w:r>
      <w:r w:rsidR="00EE33AB">
        <w:instrText>ADDIN CSL_CITATION {"citationItems":[{"id":"ITEM-1","itemData":{"DOI":"10.1046/j.1469-8137.2001.00040.x","ISSN":"0028646X","author":[{"dropping-particle":"","family":"Ezawa","given":"Tatsuhiro","non-dropping-particle":"","parse-names":false,"suffix":""},{"dropping-particle":"","family":"Smith","given":"Sally E.","non-dropping-particle":"","parse-names":false,"suffix":""},{"dropping-particle":"","family":"Smith","given":"Andrew F.","non-dropping-particle":"","parse-names":false,"suffix":""}],"container-title":"New Phytologist","id":"ITEM-1","issue":"3","issued":{"date-parts":[["2002","1","4"]]},"page":"555-563","title":"Differentiation of polyphosphate metabolism between the extra- and intraradical hyphae of arbuscular mycorrhizal fungi","type":"article-journal","volume":"149"},"uris":["http://www.mendeley.com/documents/?uuid=84e276b2-6635-4e28-bb62-b08f1c2e6426"]},{"id":"ITEM-2","itemData":{"author":[{"dropping-particle":"","family":"Ashford","given":"AE","non-dropping-particle":"","parse-names":false,"suffix":""},{"dropping-particle":"","family":"Allaway","given":"WG","non-dropping-particle":"","parse-names":false,"suffix":""}],"container-title":"Plant and Soil","id":"ITEM-2","issued":{"date-parts":[["2002"]]},"page":"177-187","title":"The role of the motile tubular vacuole system in mycorrhizal fungi","type":"article-journal","volume":"244"},"uris":["http://www.mendeley.com/documents/?uuid=93cab1f3-a381-48b3-801b-316c9acd8957"]}],"mendeley":{"formattedCitation":"(Ezawa et al., 2002; Ashford and Allaway, 2002)","plainTextFormattedCitation":"(Ezawa et al., 2002; Ashford and Allaway, 2002)","previouslyFormattedCitation":"(Ezawa et al., 2002; Ashford and Allaway, 2002)"},"properties":{"noteIndex":0},"schema":"https://github.com/citation-style-language/schema/raw/master/csl-citation.json"}</w:instrText>
      </w:r>
      <w:r w:rsidRPr="00223DC5">
        <w:fldChar w:fldCharType="separate"/>
      </w:r>
      <w:r w:rsidRPr="00223DC5">
        <w:rPr>
          <w:noProof/>
        </w:rPr>
        <w:t>(Ezawa et al., 2002; Ashford and Allaway, 2002)</w:t>
      </w:r>
      <w:r w:rsidRPr="00223DC5">
        <w:fldChar w:fldCharType="end"/>
      </w:r>
      <w:r w:rsidRPr="00223DC5">
        <w:t>. The subseq</w:t>
      </w:r>
      <w:r w:rsidR="0024035F">
        <w:t>uent efflux of Pi across the EM fungal</w:t>
      </w:r>
      <w:r w:rsidRPr="00223DC5">
        <w:t xml:space="preserve"> plasma membrane towards </w:t>
      </w:r>
      <w:r w:rsidR="00F319BE">
        <w:t xml:space="preserve">the </w:t>
      </w:r>
      <w:r w:rsidRPr="00223DC5">
        <w:t>symbiotic apoplast</w:t>
      </w:r>
      <w:r w:rsidR="0024035F">
        <w:t>ic space</w:t>
      </w:r>
      <w:r w:rsidRPr="00223DC5">
        <w:t xml:space="preserve"> may operate in a similar way i.e. via passive transport, through a fungal plasma membrane-localised</w:t>
      </w:r>
      <w:r w:rsidR="00F319BE">
        <w:t>,</w:t>
      </w:r>
      <w:r w:rsidRPr="00223DC5">
        <w:t xml:space="preserve"> non-specific anion channel or Pi-specific channel, driven by the lower Pi concentration within the symbiotic apoplastic space.</w:t>
      </w:r>
    </w:p>
    <w:p w14:paraId="49DB839E" w14:textId="03844923" w:rsidR="00223DC5" w:rsidRPr="00223DC5" w:rsidRDefault="00223DC5" w:rsidP="007C3C15">
      <w:pPr>
        <w:ind w:firstLine="720"/>
        <w:rPr>
          <w:rFonts w:eastAsia="MinionPro-Regular"/>
          <w:color w:val="1F1E21"/>
        </w:rPr>
      </w:pPr>
      <w:r w:rsidRPr="00223DC5">
        <w:t xml:space="preserve">The last step in Pi transport at the fungus-root interphase may </w:t>
      </w:r>
      <w:r w:rsidR="00F319BE">
        <w:t xml:space="preserve">be </w:t>
      </w:r>
      <w:r w:rsidRPr="00223DC5">
        <w:t>mediate</w:t>
      </w:r>
      <w:r w:rsidR="00F319BE">
        <w:t>d</w:t>
      </w:r>
      <w:r w:rsidRPr="00223DC5">
        <w:t xml:space="preserve"> via plant Pi transporters localised in the EM symbiotic apoplastic space. The existence of such transporters </w:t>
      </w:r>
      <w:r w:rsidR="00E66636">
        <w:t>has been</w:t>
      </w:r>
      <w:r w:rsidRPr="00223DC5">
        <w:t xml:space="preserve"> shown in the AM symbiosis </w:t>
      </w:r>
      <w:r w:rsidRPr="00223DC5">
        <w:fldChar w:fldCharType="begin" w:fldLock="1"/>
      </w:r>
      <w:r w:rsidR="00EE33AB">
        <w:instrText>ADDIN CSL_CITATION {"citationItems":[{"id":"ITEM-1","itemData":{"DOI":"10.1038/nrmicro1987","ISSN":"1740-1534","PMID":"18794914","abstract":"Arbuscular mycorrhiza (AM), a symbiosis between plants and members of an ancient phylum of fungi, the Glomeromycota, improves the supply of water and nutrients, such as phosphate and nitrogen, to the host plant. In return, up to 20% of plant-fixed carbon is transferred to the fungus. Nutrient transport occurs through symbiotic structures inside plant root cells known as arbuscules. AM development is accompanied by an exchange of signalling molecules between the symbionts. A novel class of plant hormones known as strigolactones are exuded by the plant roots. On the one hand, strigolactones stimulate fungal metabolism and branching. On the other hand, they also trigger seed germination of parasitic plants. Fungi release signalling molecules, in the form of 'Myc factors' that trigger symbiotic root responses. Plant genes required for AM development have been characterized. During evolution, the genetic programme for AM has been recruited for other plant root symbioses: functional adaptation of a plant receptor kinase that is essential for AM symbiosis paved the way for nitrogen-fixing bacteria to form intracellular symbioses with plant cells.","author":[{"dropping-particle":"","family":"Parniske","given":"Martin","non-dropping-particle":"","parse-names":false,"suffix":""}],"container-title":"Nature reviews. Microbiology","id":"ITEM-1","issue":"10","issued":{"date-parts":[["2008","10"]]},"page":"763-75","title":"Arbuscular mycorrhiza: the mother of plant root endosymbioses.","type":"article-journal","volume":"6"},"uris":["http://www.mendeley.com/documents/?uuid=45b794d4-17bb-4e5c-80fc-d0d9ea27d499"]}],"mendeley":{"formattedCitation":"(Parniske, 2008)","plainTextFormattedCitation":"(Parniske, 2008)","previouslyFormattedCitation":"(Parniske, 2008)"},"properties":{"noteIndex":0},"schema":"https://github.com/citation-style-language/schema/raw/master/csl-citation.json"}</w:instrText>
      </w:r>
      <w:r w:rsidRPr="00223DC5">
        <w:fldChar w:fldCharType="separate"/>
      </w:r>
      <w:r w:rsidRPr="00223DC5">
        <w:rPr>
          <w:noProof/>
        </w:rPr>
        <w:t>(Parniske, 2008)</w:t>
      </w:r>
      <w:r w:rsidRPr="00223DC5">
        <w:fldChar w:fldCharType="end"/>
      </w:r>
      <w:r w:rsidRPr="00223DC5">
        <w:t xml:space="preserve">. </w:t>
      </w:r>
      <w:r w:rsidRPr="00223DC5">
        <w:rPr>
          <w:rFonts w:eastAsia="MinionPro-Regular"/>
          <w:color w:val="1F1E21"/>
        </w:rPr>
        <w:t xml:space="preserve">For instance, </w:t>
      </w:r>
      <w:r w:rsidRPr="00223DC5">
        <w:rPr>
          <w:rFonts w:eastAsia="MinionPro-Regular"/>
          <w:color w:val="1F1E21"/>
        </w:rPr>
        <w:lastRenderedPageBreak/>
        <w:t xml:space="preserve">the Pi transporter MtPT4 of </w:t>
      </w:r>
      <w:r w:rsidRPr="00223DC5">
        <w:rPr>
          <w:rFonts w:eastAsia="MinionPro-Regular"/>
          <w:i/>
          <w:color w:val="1F1E21"/>
        </w:rPr>
        <w:t xml:space="preserve">Medicago truncatula </w:t>
      </w:r>
      <w:r w:rsidRPr="00223DC5">
        <w:rPr>
          <w:rFonts w:eastAsia="MinionPro-Regular"/>
          <w:color w:val="1F1E21"/>
        </w:rPr>
        <w:t xml:space="preserve">mediates the uptake of Pi via the periarbuscular membrane </w:t>
      </w:r>
      <w:r w:rsidRPr="00223DC5">
        <w:rPr>
          <w:rFonts w:eastAsia="MinionPro-Regular"/>
          <w:color w:val="1F1E21"/>
        </w:rPr>
        <w:fldChar w:fldCharType="begin" w:fldLock="1"/>
      </w:r>
      <w:r w:rsidR="00EE33AB">
        <w:rPr>
          <w:rFonts w:eastAsia="MinionPro-Regular"/>
          <w:color w:val="1F1E21"/>
        </w:rPr>
        <w:instrText>ADDIN CSL_CITATION {"citationItems":[{"id":"ITEM-1","itemData":{"DOI":"10.1105/tpc.004861.the","author":[{"dropping-particle":"","family":"Harrison","given":"Maria J","non-dropping-particle":"","parse-names":false,"suffix":""},{"dropping-particle":"","family":"Dewbre","given":"Gary R","non-dropping-particle":"","parse-names":false,"suffix":""},{"dropping-particle":"","family":"Liu","given":"Jinyuan","non-dropping-particle":"","parse-names":false,"suffix":""},{"dropping-particle":"","family":"Samuel","given":"The","non-dropping-particle":"","parse-names":false,"suffix":""},{"dropping-particle":"","family":"Noble","given":"Roberts","non-dropping-particle":"","parse-names":false,"suffix":""},{"dropping-particle":"","family":"Parkway","given":"Sam Noble","non-dropping-particle":"","parse-names":false,"suffix":""}],"container-title":"The Plant cell","id":"ITEM-1","issue":"October","issued":{"date-parts":[["2002"]]},"page":"2413-2429","title":"A Phosphate Transporter from Medicago truncatula Involved in the Acquisition of Phosphate Released by Arbuscular Mycorrhizal Fungi","type":"article-journal","volume":"14"},"uris":["http://www.mendeley.com/documents/?uuid=be3ee37b-a82f-4b88-98e5-f03d36e55c17"]},{"id":"ITEM-2","itemData":{"DOI":"10.1073/pnas.0608136104","ISSN":"0027-8424","PMID":"17242358","abstract":"The arbuscular mycorrhizal (AM) symbiosis is a mutualistic endosymbiosis formed by plant roots and AM fungi. Most vascular flowering plants have the ability to form these associations, which have a significant impact on plant health and consequently on ecosystem function. Nutrient exchange is a central feature of the AM symbiosis, and AM fungi obtain carbon from their plant host while assisting the plant with the acquisition of phosphorus (as phosphate) from the soil. In the AM symbiosis, the fungus delivers P(i) to the root through specialized hyphae called arbuscules. The molecular mechanisms of P(i) and carbon transfer in the symbiosis are largely unknown, as are the mechanisms by which the plant regulates the symbiosis in response to its nutrient status. Plants possess many classes of P(i) transport proteins, including a unique clade (Pht1, subfamily I), members of which are expressed only in the AM symbiosis. Here, we show that MtPT4, a Medicago truncatula member of subfamily I, is essential for the acquisition of P(i) delivered by the AM fungus. However, more significantly, MtPT4 function is critical for AM symbiosis. Loss of MtPT4 function leads to premature death of the arbuscules; the fungus is unable to proliferate within the root, and symbiosis is terminated. Thus, P(i) transport is not only a benefit for the plant but is also a requirement for the AM symbiosis.","author":[{"dropping-particle":"","family":"Javot","given":"Hélène","non-dropping-particle":"","parse-names":false,"suffix":""},{"dropping-particle":"","family":"Penmetsa","given":"R Varma","non-dropping-particle":"","parse-names":false,"suffix":""},{"dropping-particle":"","family":"Terzaghi","given":"Nadia","non-dropping-particle":"","parse-names":false,"suffix":""},{"dropping-particle":"","family":"Cook","given":"Douglas R","non-dropping-particle":"","parse-names":false,"suffix":""},{"dropping-particle":"","family":"Harrison","given":"Maria J","non-dropping-particle":"","parse-names":false,"suffix":""}],"container-title":"Proceedings of the National Academy of Sciences of the United States of America","id":"ITEM-2","issue":"5","issued":{"date-parts":[["2007","1","30"]]},"page":"1720-5","title":"A Medicago truncatula phosphate transporter indispensable for the arbuscular mycorrhizal symbiosis.","type":"article-journal","volume":"104"},"uris":["http://www.mendeley.com/documents/?uuid=0b7367d2-f022-43c0-b9dd-a7a6b8bee4d8"]}],"mendeley":{"formattedCitation":"(Harrison et al., 2002; Javot et al., 2007)","plainTextFormattedCitation":"(Harrison et al., 2002; Javot et al., 2007)","previouslyFormattedCitation":"(Harrison et al., 2002; Javot et al., 2007)"},"properties":{"noteIndex":0},"schema":"https://github.com/citation-style-language/schema/raw/master/csl-citation.json"}</w:instrText>
      </w:r>
      <w:r w:rsidRPr="00223DC5">
        <w:rPr>
          <w:rFonts w:eastAsia="MinionPro-Regular"/>
          <w:color w:val="1F1E21"/>
        </w:rPr>
        <w:fldChar w:fldCharType="separate"/>
      </w:r>
      <w:r w:rsidRPr="00223DC5">
        <w:rPr>
          <w:rFonts w:eastAsia="MinionPro-Regular"/>
          <w:noProof/>
          <w:color w:val="1F1E21"/>
        </w:rPr>
        <w:t>(Harrison et al., 2002; Javot et al., 2007)</w:t>
      </w:r>
      <w:r w:rsidRPr="00223DC5">
        <w:rPr>
          <w:rFonts w:eastAsia="MinionPro-Regular"/>
          <w:color w:val="1F1E21"/>
        </w:rPr>
        <w:fldChar w:fldCharType="end"/>
      </w:r>
      <w:r w:rsidRPr="00223DC5">
        <w:rPr>
          <w:rFonts w:eastAsia="MinionPro-Regular"/>
          <w:color w:val="1F1E21"/>
        </w:rPr>
        <w:t>. Interestingly, MtPT4 is also essential for the maintenance of arbuscules, i.e. the symbiotic structu</w:t>
      </w:r>
      <w:r w:rsidR="00E66636">
        <w:rPr>
          <w:rFonts w:eastAsia="MinionPro-Regular"/>
          <w:color w:val="1F1E21"/>
        </w:rPr>
        <w:t>re of the AM nutrient transport</w:t>
      </w:r>
      <w:r w:rsidRPr="00223DC5">
        <w:rPr>
          <w:rFonts w:eastAsia="MinionPro-Regular"/>
          <w:color w:val="1F1E21"/>
        </w:rPr>
        <w:t xml:space="preserve"> </w:t>
      </w:r>
      <w:r w:rsidRPr="00223DC5">
        <w:rPr>
          <w:rFonts w:eastAsia="MinionPro-Regular"/>
          <w:color w:val="1F1E21"/>
        </w:rPr>
        <w:fldChar w:fldCharType="begin" w:fldLock="1"/>
      </w:r>
      <w:r w:rsidR="00EE33AB">
        <w:rPr>
          <w:rFonts w:eastAsia="MinionPro-Regular"/>
          <w:color w:val="1F1E21"/>
        </w:rPr>
        <w:instrText>ADDIN CSL_CITATION {"citationItems":[{"id":"ITEM-1","itemData":{"DOI":"10.1073/pnas.0608136104","ISSN":"0027-8424","PMID":"17242358","abstract":"The arbuscular mycorrhizal (AM) symbiosis is a mutualistic endosymbiosis formed by plant roots and AM fungi. Most vascular flowering plants have the ability to form these associations, which have a significant impact on plant health and consequently on ecosystem function. Nutrient exchange is a central feature of the AM symbiosis, and AM fungi obtain carbon from their plant host while assisting the plant with the acquisition of phosphorus (as phosphate) from the soil. In the AM symbiosis, the fungus delivers P(i) to the root through specialized hyphae called arbuscules. The molecular mechanisms of P(i) and carbon transfer in the symbiosis are largely unknown, as are the mechanisms by which the plant regulates the symbiosis in response to its nutrient status. Plants possess many classes of P(i) transport proteins, including a unique clade (Pht1, subfamily I), members of which are expressed only in the AM symbiosis. Here, we show that MtPT4, a Medicago truncatula member of subfamily I, is essential for the acquisition of P(i) delivered by the AM fungus. However, more significantly, MtPT4 function is critical for AM symbiosis. Loss of MtPT4 function leads to premature death of the arbuscules; the fungus is unable to proliferate within the root, and symbiosis is terminated. Thus, P(i) transport is not only a benefit for the plant but is also a requirement for the AM symbiosis.","author":[{"dropping-particle":"","family":"Javot","given":"Hélène","non-dropping-particle":"","parse-names":false,"suffix":""},{"dropping-particle":"","family":"Penmetsa","given":"R Varma","non-dropping-particle":"","parse-names":false,"suffix":""},{"dropping-particle":"","family":"Terzaghi","given":"Nadia","non-dropping-particle":"","parse-names":false,"suffix":""},{"dropping-particle":"","family":"Cook","given":"Douglas R","non-dropping-particle":"","parse-names":false,"suffix":""},{"dropping-particle":"","family":"Harrison","given":"Maria J","non-dropping-particle":"","parse-names":false,"suffix":""}],"container-title":"Proceedings of the National Academy of Sciences of the United States of America","id":"ITEM-1","issue":"5","issued":{"date-parts":[["2007","1","30"]]},"page":"1720-5","title":"A Medicago truncatula phosphate transporter indispensable for the arbuscular mycorrhizal symbiosis.","type":"article-journal","volume":"104"},"uris":["http://www.mendeley.com/documents/?uuid=0b7367d2-f022-43c0-b9dd-a7a6b8bee4d8"]}],"mendeley":{"formattedCitation":"(Javot et al., 2007)","plainTextFormattedCitation":"(Javot et al., 2007)","previouslyFormattedCitation":"(Javot et al., 2007)"},"properties":{"noteIndex":0},"schema":"https://github.com/citation-style-language/schema/raw/master/csl-citation.json"}</w:instrText>
      </w:r>
      <w:r w:rsidRPr="00223DC5">
        <w:rPr>
          <w:rFonts w:eastAsia="MinionPro-Regular"/>
          <w:color w:val="1F1E21"/>
        </w:rPr>
        <w:fldChar w:fldCharType="separate"/>
      </w:r>
      <w:r w:rsidRPr="00223DC5">
        <w:rPr>
          <w:rFonts w:eastAsia="MinionPro-Regular"/>
          <w:noProof/>
          <w:color w:val="1F1E21"/>
        </w:rPr>
        <w:t>(Javot et al., 2007)</w:t>
      </w:r>
      <w:r w:rsidRPr="00223DC5">
        <w:rPr>
          <w:rFonts w:eastAsia="MinionPro-Regular"/>
          <w:color w:val="1F1E21"/>
        </w:rPr>
        <w:fldChar w:fldCharType="end"/>
      </w:r>
      <w:r w:rsidRPr="00223DC5">
        <w:rPr>
          <w:rFonts w:eastAsia="MinionPro-Regular"/>
          <w:color w:val="1F1E21"/>
        </w:rPr>
        <w:t>, suggesting that Pi metabolism and AM symbiosis are intimately connected.</w:t>
      </w:r>
    </w:p>
    <w:p w14:paraId="05551DCB" w14:textId="4891C8F9" w:rsidR="00223DC5" w:rsidRPr="00223DC5" w:rsidRDefault="00223DC5" w:rsidP="007C3C15">
      <w:pPr>
        <w:ind w:firstLine="720"/>
        <w:rPr>
          <w:rFonts w:eastAsia="MinionPro-Regular"/>
          <w:color w:val="1F1E21"/>
        </w:rPr>
      </w:pPr>
      <w:r w:rsidRPr="00223DC5">
        <w:rPr>
          <w:rFonts w:eastAsia="MinionPro-Regular"/>
          <w:color w:val="1F1E21"/>
        </w:rPr>
        <w:t xml:space="preserve">Recently, Loth-Pereda et al. (2011) </w:t>
      </w:r>
      <w:r w:rsidRPr="00223DC5">
        <w:t xml:space="preserve">showed that the </w:t>
      </w:r>
      <w:r w:rsidR="00B911BE" w:rsidRPr="00223DC5">
        <w:rPr>
          <w:rFonts w:eastAsia="MinionPro-Regular"/>
          <w:color w:val="1F1E21"/>
        </w:rPr>
        <w:t>Pi transporter</w:t>
      </w:r>
      <w:r w:rsidR="00B911BE">
        <w:rPr>
          <w:rFonts w:eastAsia="MinionPro-Regular"/>
          <w:color w:val="1F1E21"/>
        </w:rPr>
        <w:t>s</w:t>
      </w:r>
      <w:r w:rsidR="00B911BE" w:rsidRPr="00223DC5">
        <w:t xml:space="preserve"> </w:t>
      </w:r>
      <w:r w:rsidRPr="00223DC5">
        <w:t xml:space="preserve">PtPT9 and PtPT12 from </w:t>
      </w:r>
      <w:r w:rsidRPr="00635993">
        <w:rPr>
          <w:i/>
        </w:rPr>
        <w:t>Populus trichocarpa</w:t>
      </w:r>
      <w:r w:rsidR="00C501AE">
        <w:t xml:space="preserve"> were up</w:t>
      </w:r>
      <w:r w:rsidRPr="00223DC5">
        <w:t xml:space="preserve">regulated in EM symbiosis under Pi starvation </w:t>
      </w:r>
      <w:r w:rsidRPr="00223DC5">
        <w:fldChar w:fldCharType="begin" w:fldLock="1"/>
      </w:r>
      <w:r w:rsidR="00EE33AB">
        <w:instrText>ADDIN CSL_CITATION {"citationItems":[{"id":"ITEM-1","itemData":{"DOI":"10.1104/pp.111.180646","ISSN":"1532-2548","PMID":"21705655","abstract":"Gene networks involved in inorganic phosphate (Pi) acquisition and homeostasis in woody perennial species able to form mycorrhizal symbioses are poorly known. Here, we describe the features of the 12 genes coding for Pi transporters of the Pht1 family in poplar (Populus trichocarpa). Individual Pht1 transporters play distinct roles in acquiring and translocating Pi in different tissues of mycorrhizal and nonmycorrhizal poplar during different growth conditions and developmental stages. Pi starvation triggered the up-regulation of most members of the Pht1 family, especially PtPT9 and PtPT11. PtPT9 and PtPT12 showed a striking up-regulation in ectomycorrhizas and endomycorrhizas, whereas PtPT1 and PtPT11 were strongly down-regulated. PtPT10 transcripts were highly abundant in arbuscular mycorrhiza (AM) roots only. PtPT8 and PtPT10 are phylogenetically associated to the AM-inducible Pht1 subfamily I. The analysis of promoter sequences revealed conserved motifs similar to other AM-inducible orthologs in PtPT10 only. To gain more insight into gene regulatory mechanisms governing the AM symbiosis in woody plant species, the activation of the poplar PtPT10 promoter was investigated and detected in AM of potato (Solanum tuberosum) roots. These results indicated that the regulation of AM-inducible Pi transporter genes is conserved between perennial woody and herbaceous plant species. Moreover, poplar has developed an alternative Pi uptake pathway distinct from AM plants, allowing ectomycorrhizal poplar to recruit PtPT9 and PtPT12 to cope with limiting Pi concentrations in forest soils.","author":[{"dropping-particle":"","family":"Loth-Pereda","given":"Verónica","non-dropping-particle":"","parse-names":false,"suffix":""},{"dropping-particle":"","family":"Orsini","given":"Elena","non-dropping-particle":"","parse-names":false,"suffix":""},{"dropping-particle":"","family":"Courty","given":"Pierre-Emmanuel","non-dropping-particle":"","parse-names":false,"suffix":""},{"dropping-particle":"","family":"Lota","given":"Frédéric","non-dropping-particle":"","parse-names":false,"suffix":""},{"dropping-particle":"","family":"Kohler","given":"Annegret","non-dropping-particle":"","parse-names":false,"suffix":""},{"dropping-particle":"","family":"Diss","given":"Loic","non-dropping-particle":"","parse-names":false,"suffix":""},{"dropping-particle":"","family":"Blaudez","given":"Damien","non-dropping-particle":"","parse-names":false,"suffix":""},{"dropping-particle":"","family":"Chalot","given":"Michel","non-dropping-particle":"","parse-names":false,"suffix":""},{"dropping-particle":"","family":"Nehls","given":"Uwe","non-dropping-particle":"","parse-names":false,"suffix":""},{"dropping-particle":"","family":"Bucher","given":"Marcel","non-dropping-particle":"","parse-names":false,"suffix":""},{"dropping-particle":"","family":"Martin","given":"Francis","non-dropping-particle":"","parse-names":false,"suffix":""}],"container-title":"Plant physiology","id":"ITEM-1","issue":"4","issued":{"date-parts":[["2011","8"]]},"page":"2141-54","title":"Structure and expression profile of the phosphate Pht1 transporter gene family in mycorrhizal Populus trichocarpa.","type":"article-journal","volume":"156"},"uris":["http://www.mendeley.com/documents/?uuid=f5db9416-da65-481e-992f-9977135c6138"]}],"mendeley":{"formattedCitation":"(Loth-Pereda et al., 2011)","plainTextFormattedCitation":"(Loth-Pereda et al., 2011)","previouslyFormattedCitation":"(Loth-Pereda et al., 2011)"},"properties":{"noteIndex":0},"schema":"https://github.com/citation-style-language/schema/raw/master/csl-citation.json"}</w:instrText>
      </w:r>
      <w:r w:rsidRPr="00223DC5">
        <w:fldChar w:fldCharType="separate"/>
      </w:r>
      <w:r w:rsidRPr="00223DC5">
        <w:rPr>
          <w:noProof/>
        </w:rPr>
        <w:t>(Loth-Pereda et al., 2011)</w:t>
      </w:r>
      <w:r w:rsidRPr="00223DC5">
        <w:fldChar w:fldCharType="end"/>
      </w:r>
      <w:r w:rsidRPr="00223DC5">
        <w:t xml:space="preserve">. </w:t>
      </w:r>
      <w:r w:rsidRPr="00223DC5">
        <w:rPr>
          <w:rFonts w:eastAsia="MinionPro-Regular"/>
          <w:color w:val="1F1E21"/>
        </w:rPr>
        <w:t>These are the only EM plant Pi transporter genes reported so far and may suggest that the last step of Pi transport at</w:t>
      </w:r>
      <w:r w:rsidR="00E66636">
        <w:rPr>
          <w:rFonts w:eastAsia="MinionPro-Regular"/>
          <w:color w:val="1F1E21"/>
        </w:rPr>
        <w:t xml:space="preserve"> the</w:t>
      </w:r>
      <w:r w:rsidRPr="00223DC5">
        <w:rPr>
          <w:rFonts w:eastAsia="MinionPro-Regular"/>
          <w:color w:val="1F1E21"/>
        </w:rPr>
        <w:t xml:space="preserve"> EM fungus-root interphase may occur in a similar mode of function to AM. </w:t>
      </w:r>
    </w:p>
    <w:p w14:paraId="2D649C9C" w14:textId="35F50CA0" w:rsidR="00223DC5" w:rsidRPr="00223DC5" w:rsidRDefault="00223DC5" w:rsidP="007C3C15">
      <w:pPr>
        <w:ind w:firstLine="720"/>
        <w:rPr>
          <w:rFonts w:eastAsia="MinionPro-Regular"/>
          <w:color w:val="1F1E21"/>
        </w:rPr>
      </w:pPr>
      <w:r w:rsidRPr="00223DC5">
        <w:t>In both EM</w:t>
      </w:r>
      <w:r w:rsidR="00607DA8">
        <w:t>F</w:t>
      </w:r>
      <w:r w:rsidRPr="00223DC5">
        <w:t xml:space="preserve"> and plants, high-affinity Pi transporters are important in Pi acquisition </w:t>
      </w:r>
      <w:r w:rsidRPr="00223DC5">
        <w:fldChar w:fldCharType="begin" w:fldLock="1"/>
      </w:r>
      <w:r w:rsidR="00EE33AB">
        <w:instrText>ADDIN CSL_CITATION {"citationItems":[{"id":"ITEM-1","itemData":{"DOI":"10.1007/s00572-013-0496-9","ISSN":"1432-1890","PMID":"23572325","abstract":"Understanding the mechanisms that underlie nutrient use efficiency and carbon allocation along with mycorrhizal interactions is critical for managing croplands and forests soundly. Indeed, nutrient availability, uptake and exchange in biotrophic interactions drive plant growth and modulate biomass allocation. These parameters are crucial for plant yield, a major issue in the context of high biomass production. Transport processes across the polarized membrane interfaces are of major importance in the functioning of the established mycorrhizal association as the symbiotic relationship is based on a 'fair trade' between the fungus and the host plant. Nutrient and/or metabolite uptake and exchanges, at biotrophic interfaces, are controlled by membrane transporters whose regulation patterns are essential for determining the outcome of plant-fungus interactions and adapting to changes in soil nutrient quantity and/or quality. In the present review, we summarize the current state of the art regarding transport systems in the two major forms of mycorrhiza, namely ecto- and arbuscular mycorrhiza.","author":[{"dropping-particle":"","family":"Casieri","given":"Leonardo","non-dropping-particle":"","parse-names":false,"suffix":""},{"dropping-particle":"","family":"Ait Lahmidi","given":"Nassima","non-dropping-particle":"","parse-names":false,"suffix":""},{"dropping-particle":"","family":"Doidy","given":"Joan","non-dropping-particle":"","parse-names":false,"suffix":""},{"dropping-particle":"","family":"Veneault-Fourrey","given":"Claire","non-dropping-particle":"","parse-names":false,"suffix":""},{"dropping-particle":"","family":"Migeon","given":"Aude","non-dropping-particle":"","parse-names":false,"suffix":""},{"dropping-particle":"","family":"Bonneau","given":"Laurent","non-dropping-particle":"","parse-names":false,"suffix":""},{"dropping-particle":"","family":"Courty","given":"Pierre-Emmanuel","non-dropping-particle":"","parse-names":false,"suffix":""},{"dropping-particle":"","family":"Garcia","given":"Kevin","non-dropping-particle":"","parse-names":false,"suffix":""},{"dropping-particle":"","family":"Charbonnier","given":"Maryse","non-dropping-particle":"","parse-names":false,"suffix":""},{"dropping-particle":"","family":"Delteil","given":"Amandine","non-dropping-particle":"","parse-names":false,"suffix":""},{"dropping-particle":"","family":"Brun","given":"Annick","non-dropping-particle":"","parse-names":false,"suffix":""},{"dropping-particle":"","family":"Zimmermann","given":"Sabine","non-dropping-particle":"","parse-names":false,"suffix":""},{"dropping-particle":"","family":"Plassard","given":"Claude","non-dropping-particle":"","parse-names":false,"suffix":""},{"dropping-particle":"","family":"Wipf","given":"Daniel","non-dropping-particle":"","parse-names":false,"suffix":""}],"container-title":"Mycorrhiza","id":"ITEM-1","issue":"8","issued":{"date-parts":[["2013","11"]]},"page":"597-625","title":"Biotrophic transportome in mutualistic plant-fungal interactions.","type":"article-journal","volume":"23"},"uris":["http://www.mendeley.com/documents/?uuid=4969173b-4df2-4aad-a1ce-588c7c3102bf"]}],"mendeley":{"formattedCitation":"(Casieri et al., 2013)","plainTextFormattedCitation":"(Casieri et al., 2013)","previouslyFormattedCitation":"(Casieri et al., 2013)"},"properties":{"noteIndex":0},"schema":"https://github.com/citation-style-language/schema/raw/master/csl-citation.json"}</w:instrText>
      </w:r>
      <w:r w:rsidRPr="00223DC5">
        <w:fldChar w:fldCharType="separate"/>
      </w:r>
      <w:r w:rsidRPr="00223DC5">
        <w:rPr>
          <w:noProof/>
        </w:rPr>
        <w:t>(Casieri et al., 2013)</w:t>
      </w:r>
      <w:r w:rsidRPr="00223DC5">
        <w:fldChar w:fldCharType="end"/>
      </w:r>
      <w:r w:rsidRPr="00223DC5">
        <w:t>. Kothe et al. (2002) have identified in the EM</w:t>
      </w:r>
      <w:r w:rsidR="00B911BE">
        <w:t xml:space="preserve"> fungus</w:t>
      </w:r>
      <w:r w:rsidRPr="00223DC5">
        <w:t xml:space="preserve"> </w:t>
      </w:r>
      <w:r w:rsidRPr="00223DC5">
        <w:rPr>
          <w:i/>
        </w:rPr>
        <w:t xml:space="preserve">Tricholoma </w:t>
      </w:r>
      <w:r w:rsidRPr="004271F5">
        <w:t>spp</w:t>
      </w:r>
      <w:r w:rsidR="00B911BE" w:rsidRPr="004271F5">
        <w:t>.</w:t>
      </w:r>
      <w:r w:rsidR="002F515C">
        <w:t>, belonging to Basidiomycetes,</w:t>
      </w:r>
      <w:r w:rsidRPr="00223DC5">
        <w:t xml:space="preserve"> two genes with homology to high-affinity Pi transporters, and whose expression was induced under Pi starvation </w:t>
      </w:r>
      <w:r w:rsidRPr="00223DC5">
        <w:fldChar w:fldCharType="begin" w:fldLock="1"/>
      </w:r>
      <w:r w:rsidR="00EE33AB">
        <w:instrText>ADDIN CSL_CITATION {"citationItems":[{"id":"ITEM-1","itemData":{"ISSN":"0949-5460","abstract":"The uptake of phosphate by the fungus and its delivery to the host plant is one of the functions of mycorrhizal symbiosis. Woodland soils are generally limited in phosphate and therefore this function is one of the essential parts of the ectomycorrhizal symbiosis. The phosphate is mobilized by short range substrate acidification and then transported as polyphosphate from the substrate hyphae to the plant and into the vascular tissues. The higher phosphate levels in mycorrhiza are visualized by polyphosphate staining in cross sections of mycorrhiza. For phosphate uptake into the fungal hyphae, high affinity phosphate transporters are responsible. In T. vaccinum a gene hybridizing to the ascomycete proton symporter of the high affinity phosphate transporter family was shown. The use of proton as symported ion is limited to acidic environments which allow easy access to protons. Under neutral or alkaline conditions, medium acidification was therefore investigated with T. vaccinum. A second system is using sodium symport for phosphate uptake. Hybridization with the sodium symporter was seen in T. terreum thus allowing this fungus access to phosphate independent of initial medium pH. For both transporters expression was shown to be higher under phosphorus starvation with a basal expression level of the sodium symporter in T. terreum at high phosphate concentrations.","author":[{"dropping-particle":"","family":"Kothe","given":"Erika","non-dropping-particle":"","parse-names":false,"suffix":""},{"dropping-particle":"","family":"Muller","given":"Doreen","non-dropping-particle":"","parse-names":false,"suffix":""},{"dropping-particle":"","family":"Krause","given":"Katrin","non-dropping-particle":"","parse-names":false,"suffix":""}],"container-title":"Journal of applied botany","id":"ITEM-1","issue":"3-4","issued":{"date-parts":[["2002"]]},"language":"eng","page":"127-131","publisher":"Blackwell","title":"Different high affinity phosphate uptake systems of ectomycorrhizal Tricholoma species in relation to substrate specificity","type":"article-journal","volume":"76"},"uris":["http://www.mendeley.com/documents/?uuid=5b568688-8e69-4a3b-8d8a-cf1c7855c72b"]}],"mendeley":{"formattedCitation":"(Kothe et al., 2002)","plainTextFormattedCitation":"(Kothe et al., 2002)","previouslyFormattedCitation":"(Kothe et al., 2002)"},"properties":{"noteIndex":0},"schema":"https://github.com/citation-style-language/schema/raw/master/csl-citation.json"}</w:instrText>
      </w:r>
      <w:r w:rsidRPr="00223DC5">
        <w:fldChar w:fldCharType="separate"/>
      </w:r>
      <w:r w:rsidRPr="00223DC5">
        <w:rPr>
          <w:noProof/>
        </w:rPr>
        <w:t>(Kothe et al., 2002)</w:t>
      </w:r>
      <w:r w:rsidRPr="00223DC5">
        <w:fldChar w:fldCharType="end"/>
      </w:r>
      <w:r w:rsidRPr="00223DC5">
        <w:t xml:space="preserve">. Moreover, Tatry et al. (2009) identified and functionally characterised two plasma membrane Pi transporters HcPT1 and HcPT2 from </w:t>
      </w:r>
      <w:r w:rsidRPr="00223DC5">
        <w:rPr>
          <w:i/>
        </w:rPr>
        <w:t>Hebeloma cylindrosporum</w:t>
      </w:r>
      <w:r w:rsidR="00E7524C">
        <w:t>, a Basidiomycete</w:t>
      </w:r>
      <w:r w:rsidRPr="00223DC5">
        <w:t xml:space="preserve"> </w:t>
      </w:r>
      <w:r w:rsidRPr="00223DC5">
        <w:fldChar w:fldCharType="begin" w:fldLock="1"/>
      </w:r>
      <w:r w:rsidR="00EE33AB">
        <w:instrText>ADDIN CSL_CITATION {"citationItems":[{"id":"ITEM-1","itemData":{"DOI":"10.1111/j.1365-313X.2008.03749.x","ISSN":"1365-313X","PMID":"19054369","abstract":"Ectomycorrhizal symbiosis markedly improves plant phosphate uptake, but the molecular mechanisms underlying this benefit are still poorly understood. We identified two ESTs in a cDNA library prepared from the ectomycorrhizal basidiomycete Hebeloma cylindrosporum with significant similarities to phosphate transporters from the endomycorrhizal fungus Glomus versiforme and from non-mycorrhizal fungi. The full-length cDNAs corresponding to these two ESTs complemented a yeast phosphate transport mutant (Deltapho84). Measurements of (33)P-phosphate influx into yeast expressing either cDNA demonstrated that the encoded proteins, named HcPT1 and HcPT2, were able to mediate Pi:H(+) symport with different affinities for Pi (K(m) values of 55 and 4 mum, respectively). Real-time RT-PCR showed that Pi starvation increased the levels of HcPT1 transcripts in H. cylindrosporum hyphae grown in pure culture. Transcript levels of HcPT2 were less dependent on Pi availability. The two transporters were expressed in H. cylindrosporum associated with its natural host plant, Pinus pinaster, grown under low or high P conditions. The presence of ectomycorrhizae increased net Pi uptake rates into intact Pinus pinaster roots at low or high soil P levels. The expression patterns of HcPT1 and HcPT2 indicate that the two fungal phosphate transporters may be involved in uptake of phosphate from the soil solution under the two soil P availability conditions used.","author":[{"dropping-particle":"","family":"Tatry","given":"Marie-Violaine","non-dropping-particle":"","parse-names":false,"suffix":""},{"dropping-particle":"","family":"Kassis","given":"Elie","non-dropping-particle":"El","parse-names":false,"suffix":""},{"dropping-particle":"","family":"Lambilliotte","given":"Raphaël","non-dropping-particle":"","parse-names":false,"suffix":""},{"dropping-particle":"","family":"Corratgé","given":"Claire","non-dropping-particle":"","parse-names":false,"suffix":""},{"dropping-particle":"","family":"Aarle","given":"Ingrid","non-dropping-particle":"van","parse-names":false,"suffix":""},{"dropping-particle":"","family":"Amenc","given":"Laurie K","non-dropping-particle":"","parse-names":false,"suffix":""},{"dropping-particle":"","family":"Alary","given":"Rémi","non-dropping-particle":"","parse-names":false,"suffix":""},{"dropping-particle":"","family":"Zimmermann","given":"Sabine","non-dropping-particle":"","parse-names":false,"suffix":""},{"dropping-particle":"","family":"Sentenac","given":"Hervé","non-dropping-particle":"","parse-names":false,"suffix":""},{"dropping-particle":"","family":"Plassard","given":"Claude","non-dropping-particle":"","parse-names":false,"suffix":""}],"container-title":"The Plant journal : for cell and molecular biology","id":"ITEM-1","issue":"6","issued":{"date-parts":[["2009","3"]]},"page":"1092-102","title":"Two differentially regulated phosphate transporters from the symbiotic fungus Hebeloma cylindrosporum and phosphorus acquisition by ectomycorrhizal Pinus pinaster.","type":"article-journal","volume":"57"},"uris":["http://www.mendeley.com/documents/?uuid=334233a2-c949-4def-90cb-cb4c687b90e2"]}],"mendeley":{"formattedCitation":"(Tatry et al., 2009)","plainTextFormattedCitation":"(Tatry et al., 2009)","previouslyFormattedCitation":"(Tatry et al., 2009)"},"properties":{"noteIndex":0},"schema":"https://github.com/citation-style-language/schema/raw/master/csl-citation.json"}</w:instrText>
      </w:r>
      <w:r w:rsidRPr="00223DC5">
        <w:fldChar w:fldCharType="separate"/>
      </w:r>
      <w:r w:rsidRPr="00223DC5">
        <w:rPr>
          <w:noProof/>
        </w:rPr>
        <w:t>(Tatry et al., 2009)</w:t>
      </w:r>
      <w:r w:rsidRPr="00223DC5">
        <w:fldChar w:fldCharType="end"/>
      </w:r>
      <w:r w:rsidRPr="00223DC5">
        <w:t>. Both HcPT1 and HcPT2 transporters were suggested to function as high-affinity Pi transporters coupled with H</w:t>
      </w:r>
      <w:r w:rsidRPr="00223DC5">
        <w:rPr>
          <w:vertAlign w:val="superscript"/>
        </w:rPr>
        <w:t>+</w:t>
      </w:r>
      <w:r w:rsidRPr="00223DC5">
        <w:t xml:space="preserve"> symporter activity. Interestingly, both HcPT1 and HcPT2 transporters were expressed during EM symbiosis. However, under Pi-limiting conditions, only the expression of HcPT1 was induced, suggesting a specific role of HcPT1 in P</w:t>
      </w:r>
      <w:r w:rsidR="00E7524C">
        <w:t>i</w:t>
      </w:r>
      <w:r w:rsidRPr="00223DC5">
        <w:t xml:space="preserve"> deprivation, and HcPT2 having a role in Pi-sufficient conditions </w:t>
      </w:r>
      <w:r w:rsidRPr="00223DC5">
        <w:fldChar w:fldCharType="begin" w:fldLock="1"/>
      </w:r>
      <w:r w:rsidR="00EE33AB">
        <w:instrText>ADDIN CSL_CITATION {"citationItems":[{"id":"ITEM-1","itemData":{"DOI":"10.1111/j.1365-313X.2008.03749.x","ISSN":"1365-313X","PMID":"19054369","abstract":"Ectomycorrhizal symbiosis markedly improves plant phosphate uptake, but the molecular mechanisms underlying this benefit are still poorly understood. We identified two ESTs in a cDNA library prepared from the ectomycorrhizal basidiomycete Hebeloma cylindrosporum with significant similarities to phosphate transporters from the endomycorrhizal fungus Glomus versiforme and from non-mycorrhizal fungi. The full-length cDNAs corresponding to these two ESTs complemented a yeast phosphate transport mutant (Deltapho84). Measurements of (33)P-phosphate influx into yeast expressing either cDNA demonstrated that the encoded proteins, named HcPT1 and HcPT2, were able to mediate Pi:H(+) symport with different affinities for Pi (K(m) values of 55 and 4 mum, respectively). Real-time RT-PCR showed that Pi starvation increased the levels of HcPT1 transcripts in H. cylindrosporum hyphae grown in pure culture. Transcript levels of HcPT2 were less dependent on Pi availability. The two transporters were expressed in H. cylindrosporum associated with its natural host plant, Pinus pinaster, grown under low or high P conditions. The presence of ectomycorrhizae increased net Pi uptake rates into intact Pinus pinaster roots at low or high soil P levels. The expression patterns of HcPT1 and HcPT2 indicate that the two fungal phosphate transporters may be involved in uptake of phosphate from the soil solution under the two soil P availability conditions used.","author":[{"dropping-particle":"","family":"Tatry","given":"Marie-Violaine","non-dropping-particle":"","parse-names":false,"suffix":""},{"dropping-particle":"","family":"Kassis","given":"Elie","non-dropping-particle":"El","parse-names":false,"suffix":""},{"dropping-particle":"","family":"Lambilliotte","given":"Raphaël","non-dropping-particle":"","parse-names":false,"suffix":""},{"dropping-particle":"","family":"Corratgé","given":"Claire","non-dropping-particle":"","parse-names":false,"suffix":""},{"dropping-particle":"","family":"Aarle","given":"Ingrid","non-dropping-particle":"van","parse-names":false,"suffix":""},{"dropping-particle":"","family":"Amenc","given":"Laurie K","non-dropping-particle":"","parse-names":false,"suffix":""},{"dropping-particle":"","family":"Alary","given":"Rémi","non-dropping-particle":"","parse-names":false,"suffix":""},{"dropping-particle":"","family":"Zimmermann","given":"Sabine","non-dropping-particle":"","parse-names":false,"suffix":""},{"dropping-particle":"","family":"Sentenac","given":"Hervé","non-dropping-particle":"","parse-names":false,"suffix":""},{"dropping-particle":"","family":"Plassard","given":"Claude","non-dropping-particle":"","parse-names":false,"suffix":""}],"container-title":"The Plant journal : for cell and molecular biology","id":"ITEM-1","issue":"6","issued":{"date-parts":[["2009","3"]]},"page":"1092-102","title":"Two differentially regulated phosphate transporters from the symbiotic fungus Hebeloma cylindrosporum and phosphorus acquisition by ectomycorrhizal Pinus pinaster.","type":"article-journal","volume":"57"},"uris":["http://www.mendeley.com/documents/?uuid=334233a2-c949-4def-90cb-cb4c687b90e2"]}],"mendeley":{"formattedCitation":"(Tatry et al., 2009)","plainTextFormattedCitation":"(Tatry et al., 2009)","previouslyFormattedCitation":"(Tatry et al., 2009)"},"properties":{"noteIndex":0},"schema":"https://github.com/citation-style-language/schema/raw/master/csl-citation.json"}</w:instrText>
      </w:r>
      <w:r w:rsidRPr="00223DC5">
        <w:fldChar w:fldCharType="separate"/>
      </w:r>
      <w:r w:rsidRPr="00223DC5">
        <w:rPr>
          <w:noProof/>
        </w:rPr>
        <w:t>(Tatry et al., 2009)</w:t>
      </w:r>
      <w:r w:rsidRPr="00223DC5">
        <w:fldChar w:fldCharType="end"/>
      </w:r>
      <w:r w:rsidR="00E7524C">
        <w:t>.</w:t>
      </w:r>
    </w:p>
    <w:p w14:paraId="07D8D86E" w14:textId="498F240E" w:rsidR="00223DC5" w:rsidRPr="00223DC5" w:rsidRDefault="00223DC5" w:rsidP="007C3C15">
      <w:pPr>
        <w:ind w:firstLine="720"/>
      </w:pPr>
      <w:r w:rsidRPr="00223DC5">
        <w:rPr>
          <w:color w:val="1F1E21"/>
        </w:rPr>
        <w:t>It is possible that EMF possess a P</w:t>
      </w:r>
      <w:r w:rsidR="00EA3A27">
        <w:rPr>
          <w:color w:val="1F1E21"/>
        </w:rPr>
        <w:t>i</w:t>
      </w:r>
      <w:r w:rsidRPr="00223DC5">
        <w:rPr>
          <w:color w:val="1F1E21"/>
        </w:rPr>
        <w:t xml:space="preserve"> sensing mechanism in response to intracellular and</w:t>
      </w:r>
      <w:r w:rsidR="00F57213">
        <w:rPr>
          <w:color w:val="1F1E21"/>
        </w:rPr>
        <w:t>/or</w:t>
      </w:r>
      <w:r w:rsidRPr="00223DC5">
        <w:rPr>
          <w:color w:val="1F1E21"/>
        </w:rPr>
        <w:t xml:space="preserve"> extracellular P</w:t>
      </w:r>
      <w:r w:rsidR="00EA3A27">
        <w:rPr>
          <w:color w:val="1F1E21"/>
        </w:rPr>
        <w:t>i</w:t>
      </w:r>
      <w:r w:rsidRPr="00223DC5">
        <w:rPr>
          <w:color w:val="1F1E21"/>
        </w:rPr>
        <w:t xml:space="preserve"> content. </w:t>
      </w:r>
      <w:r w:rsidRPr="00223DC5">
        <w:t xml:space="preserve">Indeed, Pi uptake by EMF is generally reduced when the intracellular Pi concentration is high, suggesting that internal Pi concentration regulates Pi absorption </w:t>
      </w:r>
      <w:r w:rsidRPr="00223DC5">
        <w:fldChar w:fldCharType="begin" w:fldLock="1"/>
      </w:r>
      <w:r w:rsidR="00EE33AB">
        <w:instrText>ADDIN CSL_CITATION {"citationItems":[{"id":"ITEM-1","itemData":{"DOI":"10.1017/S0953756204009992","ISSN":"09537562","author":[{"dropping-particle":"","family":"Bücking","given":"Heike","non-dropping-particle":"","parse-names":false,"suffix":""}],"container-title":"Mycological Research","id":"ITEM-1","issue":"6","issued":{"date-parts":[["2004","6"]]},"page":"599-609","title":"Phosphate absorption and efflux of three ectomycorrhizal fungi as affected by external phosphate, cation and carbohydrate concentrations","type":"article-journal","volume":"108"},"uris":["http://www.mendeley.com/documents/?uuid=f539e865-8d14-465b-b079-ef41163789c7"]}],"mendeley":{"formattedCitation":"(Bücking, 2004)","plainTextFormattedCitation":"(Bücking, 2004)","previouslyFormattedCitation":"(Bücking, 2004)"},"properties":{"noteIndex":0},"schema":"https://github.com/citation-style-language/schema/raw/master/csl-citation.json"}</w:instrText>
      </w:r>
      <w:r w:rsidRPr="00223DC5">
        <w:fldChar w:fldCharType="separate"/>
      </w:r>
      <w:r w:rsidRPr="00223DC5">
        <w:rPr>
          <w:noProof/>
        </w:rPr>
        <w:t>(Bücking, 2004)</w:t>
      </w:r>
      <w:r w:rsidRPr="00223DC5">
        <w:fldChar w:fldCharType="end"/>
      </w:r>
      <w:r w:rsidRPr="00223DC5">
        <w:t xml:space="preserve">. </w:t>
      </w:r>
      <w:r w:rsidRPr="00223DC5">
        <w:rPr>
          <w:color w:val="1F1E21"/>
        </w:rPr>
        <w:t>The hypothesis that plasma membrane Pi transporters of the extraradical mycelium can function as P</w:t>
      </w:r>
      <w:r w:rsidR="00EA3A27">
        <w:rPr>
          <w:color w:val="1F1E21"/>
        </w:rPr>
        <w:t>i</w:t>
      </w:r>
      <w:r w:rsidRPr="00223DC5">
        <w:rPr>
          <w:color w:val="1F1E21"/>
        </w:rPr>
        <w:t xml:space="preserve"> s</w:t>
      </w:r>
      <w:r w:rsidR="00EA3A27">
        <w:rPr>
          <w:color w:val="1F1E21"/>
        </w:rPr>
        <w:t>ensors was proposed for AMF</w:t>
      </w:r>
      <w:r w:rsidRPr="00223DC5">
        <w:rPr>
          <w:color w:val="1F1E21"/>
        </w:rPr>
        <w:t xml:space="preserve"> </w:t>
      </w:r>
      <w:r w:rsidRPr="00223DC5">
        <w:rPr>
          <w:color w:val="1F1E21"/>
        </w:rPr>
        <w:fldChar w:fldCharType="begin" w:fldLock="1"/>
      </w:r>
      <w:r w:rsidR="00EE33AB">
        <w:rPr>
          <w:color w:val="1F1E21"/>
        </w:rPr>
        <w:instrText>ADDIN CSL_CITATION {"citationItems":[{"id":"ITEM-1","itemData":{"DOI":"10.1094/MPMI.2001.14.10.1140","ISBN":"5802235810","ISSN":"0894-0282","PMID":"11605953","abstract":"The majority of vascular flowering plants are able to form symbiotic associations with arbuscular mycorrhizal fungi. These symbioses, termed arbuscular mycorrhizas, are mutually beneficial, and the fungus delivers phosphate to the plant while receiving carbon. In these symbioses, phosphate uptake by the arbuscular mycorrhizal fungus is the first step in the process of phosphate transport to the plant. Previously, we cloned a phosphate transporter gene involved in this process. Here, we analyze the expression and regulation of a phosphate transporter gene (GiPT) in the extra-radical mycelium of the arbuscular mycorrhizal fungus Glomus intraradices during mycorrhizal association with carrot or Medicago truncatula roots. These analyses reveal that GiPT expression is regulated in response to phosphate concentrations in the environment surrounding the extra-radical hyphae and modulated by the overall phosphate status of the mycorrhiza. Phosphate concentrations, typical of those found in the soil solution, result in expression of GiPT. These data imply that G. intraradices can perceive phosphate levels in the external environment but also suggest the presence of an internal phosphate sensing mechanism.","author":[{"dropping-particle":"","family":"Maldonado-Mendoza","given":"I E","non-dropping-particle":"","parse-names":false,"suffix":""},{"dropping-particle":"","family":"Dewbre","given":"G R","non-dropping-particle":"","parse-names":false,"suffix":""},{"dropping-particle":"","family":"Harrison","given":"M J","non-dropping-particle":"","parse-names":false,"suffix":""}],"container-title":"Molecular plant-microbe interactions : MPMI","id":"ITEM-1","issue":"10","issued":{"date-parts":[["2001","10"]]},"page":"1140-8","title":"A phosphate transporter gene from the extra-radical mycelium of an arbuscular mycorrhizal fungus Glomus intraradices is regulated in response to phosphate in the environment.","type":"article-journal","volume":"14"},"uris":["http://www.mendeley.com/documents/?uuid=0bef42a5-58d9-42fe-893e-eb0e6db9c99d"]}],"mendeley":{"formattedCitation":"(Maldonado-Mendoza et al., 2001)","plainTextFormattedCitation":"(Maldonado-Mendoza et al., 2001)","previouslyFormattedCitation":"(Maldonado-Mendoza et al., 2001)"},"properties":{"noteIndex":0},"schema":"https://github.com/citation-style-language/schema/raw/master/csl-citation.json"}</w:instrText>
      </w:r>
      <w:r w:rsidRPr="00223DC5">
        <w:rPr>
          <w:color w:val="1F1E21"/>
        </w:rPr>
        <w:fldChar w:fldCharType="separate"/>
      </w:r>
      <w:r w:rsidRPr="00223DC5">
        <w:rPr>
          <w:noProof/>
          <w:color w:val="1F1E21"/>
        </w:rPr>
        <w:t>(Maldonado-Mendoza et al., 2001)</w:t>
      </w:r>
      <w:r w:rsidRPr="00223DC5">
        <w:rPr>
          <w:color w:val="1F1E21"/>
        </w:rPr>
        <w:fldChar w:fldCharType="end"/>
      </w:r>
      <w:r w:rsidRPr="00223DC5">
        <w:rPr>
          <w:color w:val="1F1E21"/>
        </w:rPr>
        <w:t xml:space="preserve">. This hypothesis is based on the </w:t>
      </w:r>
      <w:r w:rsidRPr="00223DC5">
        <w:t>extensively studied</w:t>
      </w:r>
      <w:r w:rsidRPr="00223DC5">
        <w:rPr>
          <w:color w:val="1F1E21"/>
        </w:rPr>
        <w:t xml:space="preserve"> mechanism of </w:t>
      </w:r>
      <w:r w:rsidRPr="00223DC5">
        <w:t xml:space="preserve">Pi signalling </w:t>
      </w:r>
      <w:r w:rsidRPr="00223DC5">
        <w:rPr>
          <w:color w:val="1F1E21"/>
        </w:rPr>
        <w:t xml:space="preserve">in yeast, where </w:t>
      </w:r>
      <w:r w:rsidRPr="00223DC5">
        <w:t xml:space="preserve">intracellular Pi concentration regulates Pi transporters via a Pi-responsive signal transduction pathway that also controls Pi transporter genes </w:t>
      </w:r>
      <w:r w:rsidRPr="00223DC5">
        <w:lastRenderedPageBreak/>
        <w:t xml:space="preserve">transcription </w:t>
      </w:r>
      <w:r w:rsidRPr="00223DC5">
        <w:fldChar w:fldCharType="begin" w:fldLock="1"/>
      </w:r>
      <w:r w:rsidR="00EE33AB">
        <w:instrText>ADDIN CSL_CITATION {"citationItems":[{"id":"ITEM-1","itemData":{"DOI":"10.1016/j.molcel.2007.07.022","ISSN":"1097-2765","PMID":"17889672","abstract":"The regulation of transporters by nutrient-responsive signaling pathways allows cells to tailor nutrient uptake to environmental conditions. We investigated the role of feedback generated by transporter regulation in the budding yeast phosphate-responsive signal transduction (PHO) pathway. Cells starved for phosphate activate feedback loops that regulate high- and low-affinity phosphate transport. We determined that positive feedback is generated by PHO pathway-dependent upregulation of Spl2, a negative regulator of low-affinity phosphate uptake. The interplay of positive and negative feedback loops leads to bistability in phosphate transporter usage--individual cells express predominantly either low- or high-affinity transporters, both of which can yield similar phosphate uptake capacity. Cells lacking the high-affinity transporter, and associated negative feedback, exhibit phenotypes that arise from hysteresis due to unopposed positive feedback. In wild-type cells, population heterogeneity generated by feedback loops may provide a strategy for anticipating changes in environmental phosphate levels.","author":[{"dropping-particle":"","family":"Wykoff","given":"Dennis D","non-dropping-particle":"","parse-names":false,"suffix":""},{"dropping-particle":"","family":"Rizvi","given":"Abbas H","non-dropping-particle":"","parse-names":false,"suffix":""},{"dropping-particle":"","family":"Raser","given":"Jonathan M","non-dropping-particle":"","parse-names":false,"suffix":""},{"dropping-particle":"","family":"Margolin","given":"Brian","non-dropping-particle":"","parse-names":false,"suffix":""},{"dropping-particle":"","family":"O'Shea","given":"Erin K","non-dropping-particle":"","parse-names":false,"suffix":""}],"container-title":"Molecular cell","id":"ITEM-1","issue":"6","issued":{"date-parts":[["2007","9","21"]]},"page":"1005-13","title":"Positive feedback regulates switching of phosphate transporters in S. cerevisiae.","type":"article-journal","volume":"27"},"uris":["http://www.mendeley.com/documents/?uuid=dabb2430-4a69-48ae-9065-6821e5a857de"]}],"mendeley":{"formattedCitation":"(Wykoff et al., 2007)","plainTextFormattedCitation":"(Wykoff et al., 2007)","previouslyFormattedCitation":"(Wykoff et al., 2007)"},"properties":{"noteIndex":0},"schema":"https://github.com/citation-style-language/schema/raw/master/csl-citation.json"}</w:instrText>
      </w:r>
      <w:r w:rsidRPr="00223DC5">
        <w:fldChar w:fldCharType="separate"/>
      </w:r>
      <w:r w:rsidRPr="00223DC5">
        <w:rPr>
          <w:noProof/>
        </w:rPr>
        <w:t>(Wykoff et al., 2007)</w:t>
      </w:r>
      <w:r w:rsidRPr="00223DC5">
        <w:fldChar w:fldCharType="end"/>
      </w:r>
      <w:r w:rsidRPr="00223DC5">
        <w:t xml:space="preserve">. </w:t>
      </w:r>
      <w:r w:rsidRPr="00223DC5">
        <w:rPr>
          <w:color w:val="1F1E21"/>
        </w:rPr>
        <w:t xml:space="preserve">Moreover, the high-affinity Pi transporter of yeast PHO84 has been proposed to act as a Pi "transceptor” </w:t>
      </w:r>
      <w:r w:rsidR="00F319BE">
        <w:rPr>
          <w:color w:val="1F1E21"/>
        </w:rPr>
        <w:t>cap</w:t>
      </w:r>
      <w:r w:rsidRPr="00223DC5">
        <w:rPr>
          <w:color w:val="1F1E21"/>
        </w:rPr>
        <w:t xml:space="preserve">able of sensing </w:t>
      </w:r>
      <w:r w:rsidR="00F319BE">
        <w:rPr>
          <w:color w:val="1F1E21"/>
        </w:rPr>
        <w:t xml:space="preserve">the </w:t>
      </w:r>
      <w:r w:rsidRPr="00223DC5">
        <w:rPr>
          <w:color w:val="1F1E21"/>
        </w:rPr>
        <w:t xml:space="preserve">external Pi concentration </w:t>
      </w:r>
      <w:r w:rsidRPr="00223DC5">
        <w:rPr>
          <w:color w:val="1F1E21"/>
        </w:rPr>
        <w:fldChar w:fldCharType="begin" w:fldLock="1"/>
      </w:r>
      <w:r w:rsidR="00EE33AB">
        <w:rPr>
          <w:color w:val="1F1E21"/>
        </w:rPr>
        <w:instrText>ADDIN CSL_CITATION {"citationItems":[{"id":"ITEM-1","itemData":{"DOI":"10.1073/pnas.0906546107","ISSN":"1091-6490","PMID":"20133652","abstract":"A novel concept in eukaryotic signal transduction is the use of nutrient transporters and closely related proteins as nutrient sensors. The action mechanism of these \"transceptors\" is unclear. The Pho84 phosphate transceptor in yeast transports phosphate and mediates rapid phosphate activation of the protein kinase A (PKA) pathway during growth induction. We have now identified several phosphate-containing compounds that act as nontransported signaling agonists of Pho84. This indicates that signaling does not require complete transport of the substrate. For the nontransported agonist glycerol-3-phosphate (Gly3P), we show that it is transported by two other carriers, Git1 and Pho91, without triggering signaling. Gly3P is a competitive inhibitor of transport through Pho84, indicating direct interaction with its phosphate-binding site. We also identified phosphonoacetic acid as a competitive inhibitor of transport without agonist function for signaling. This indicates that binding of a compound into the phosphate-binding site of Pho84 is not enough to trigger signaling. Apparently, signaling requires a specific conformational change that may be part of, but does not require, the complete transport cycle. Using Substituted Cysteine Accessibility Method (SCAM) we identified Phe(160) in TMD IV and Val(392) in TMD VIII as residues exposed with their side chain into the phosphate-binding site of Pho84. Inhibition of both transport and signaling by covalent modification of Pho84(F160C) or Pho84(V392C) showed that the same binding site is used for transport of phosphate and for signaling with both phosphate and Gly3P. Our results provide to the best of our knowledge the first insight into the molecular mechanism of a phosphate transceptor.","author":[{"dropping-particle":"","family":"Popova","given":"Yulia","non-dropping-particle":"","parse-names":false,"suffix":""},{"dropping-particle":"","family":"Thayumanavan","given":"Palvannan","non-dropping-particle":"","parse-names":false,"suffix":""},{"dropping-particle":"","family":"Lonati","given":"Elena","non-dropping-particle":"","parse-names":false,"suffix":""},{"dropping-particle":"","family":"Agrochão","given":"Margarida","non-dropping-particle":"","parse-names":false,"suffix":""},{"dropping-particle":"","family":"Thevelein","given":"Johan M","non-dropping-particle":"","parse-names":false,"suffix":""}],"container-title":"PNAS","id":"ITEM-1","issue":"7","issued":{"date-parts":[["2010","2","16"]]},"page":"2890-5","title":"Transport and signaling through the phosphate-binding site of the yeast Pho84 phosphate transceptor.","type":"article-journal","volume":"107"},"uris":["http://www.mendeley.com/documents/?uuid=65d9def5-a2f8-46bd-bcd9-e01c5c626136"]}],"mendeley":{"formattedCitation":"(Popova et al., 2010)","plainTextFormattedCitation":"(Popova et al., 2010)","previouslyFormattedCitation":"(Popova et al., 2010)"},"properties":{"noteIndex":0},"schema":"https://github.com/citation-style-language/schema/raw/master/csl-citation.json"}</w:instrText>
      </w:r>
      <w:r w:rsidRPr="00223DC5">
        <w:rPr>
          <w:color w:val="1F1E21"/>
        </w:rPr>
        <w:fldChar w:fldCharType="separate"/>
      </w:r>
      <w:r w:rsidRPr="00223DC5">
        <w:rPr>
          <w:noProof/>
          <w:color w:val="1F1E21"/>
        </w:rPr>
        <w:t>(Popova et al., 2010)</w:t>
      </w:r>
      <w:r w:rsidRPr="00223DC5">
        <w:rPr>
          <w:color w:val="1F1E21"/>
        </w:rPr>
        <w:fldChar w:fldCharType="end"/>
      </w:r>
      <w:r w:rsidRPr="00223DC5">
        <w:rPr>
          <w:color w:val="1F1E21"/>
        </w:rPr>
        <w:t>. It would be interesting to extend and inv</w:t>
      </w:r>
      <w:r w:rsidR="00EA3A27">
        <w:rPr>
          <w:color w:val="1F1E21"/>
        </w:rPr>
        <w:t>estigate this concept to the EMF</w:t>
      </w:r>
      <w:r w:rsidRPr="00223DC5">
        <w:rPr>
          <w:color w:val="1F1E21"/>
        </w:rPr>
        <w:t xml:space="preserve"> Pi transporters, especially the model organism of this study</w:t>
      </w:r>
      <w:r w:rsidR="00F319BE">
        <w:rPr>
          <w:color w:val="1F1E21"/>
        </w:rPr>
        <w:t>,</w:t>
      </w:r>
      <w:r w:rsidRPr="00223DC5">
        <w:rPr>
          <w:color w:val="1F1E21"/>
        </w:rPr>
        <w:t xml:space="preserve"> </w:t>
      </w:r>
      <w:r w:rsidRPr="00223DC5">
        <w:rPr>
          <w:i/>
        </w:rPr>
        <w:t>P</w:t>
      </w:r>
      <w:r w:rsidR="00607DA8">
        <w:rPr>
          <w:i/>
        </w:rPr>
        <w:t>.</w:t>
      </w:r>
      <w:r w:rsidRPr="00223DC5">
        <w:rPr>
          <w:i/>
        </w:rPr>
        <w:t xml:space="preserve"> involutus</w:t>
      </w:r>
      <w:r w:rsidRPr="00223DC5">
        <w:rPr>
          <w:color w:val="1F1E21"/>
        </w:rPr>
        <w:t>, to understand P nutrition in EM.</w:t>
      </w:r>
    </w:p>
    <w:p w14:paraId="24F39994" w14:textId="306C9B9F" w:rsidR="00223DC5" w:rsidRPr="00223DC5" w:rsidRDefault="00223DC5" w:rsidP="00D9161C">
      <w:pPr>
        <w:ind w:firstLine="720"/>
      </w:pPr>
      <w:r w:rsidRPr="00223DC5">
        <w:t>Also, the accumulation of P</w:t>
      </w:r>
      <w:r w:rsidR="00EA3A27">
        <w:t>i as poly-Pi</w:t>
      </w:r>
      <w:r w:rsidRPr="00223DC5">
        <w:t xml:space="preserve"> within the extraradical mycelium may also affect the transcription of EMF Pi transporters. Accumulation of poly-</w:t>
      </w:r>
      <w:r w:rsidR="00EA3A27">
        <w:t>Pi</w:t>
      </w:r>
      <w:r w:rsidRPr="00223DC5">
        <w:t xml:space="preserve"> may function t</w:t>
      </w:r>
      <w:r w:rsidR="00EA3A27">
        <w:t>o maintain low Pi concentration</w:t>
      </w:r>
      <w:r w:rsidRPr="00223DC5">
        <w:t xml:space="preserve"> that in turn could induce transcripti</w:t>
      </w:r>
      <w:r w:rsidR="00EA3A27">
        <w:t>on of the extraradical mycelium-</w:t>
      </w:r>
      <w:r w:rsidRPr="00223DC5">
        <w:t xml:space="preserve">localised high-affinity Pi transporters. This mechanism operates in the AMF and may also be conserved to the EMF </w:t>
      </w:r>
      <w:r w:rsidRPr="00223DC5">
        <w:fldChar w:fldCharType="begin" w:fldLock="1"/>
      </w:r>
      <w:r w:rsidR="00EE33AB">
        <w:instrText>ADDIN CSL_CITATION {"citationItems":[{"id":"ITEM-1","itemData":{"DOI":"10.1111/j.1469-8137.2009.03168.x","ISSN":"0028-646X","author":[{"dropping-particle":"","family":"Hijikata","given":"Nowaki","non-dropping-particle":"","parse-names":false,"suffix":""},{"dropping-particle":"","family":"Murase","given":"Masatake","non-dropping-particle":"","parse-names":false,"suffix":""},{"dropping-particle":"","family":"Tani","given":"Chiharu","non-dropping-particle":"","parse-names":false,"suffix":""},{"dropping-particle":"","family":"Ohtomo","given":"Ryo","non-dropping-particle":"","parse-names":false,"suffix":""},{"dropping-particle":"","family":"Osaki","given":"Mitsuru","non-dropping-particle":"","parse-names":false,"suffix":""},{"dropping-particle":"","family":"Ezawa","given":"Tatsuhiro","non-dropping-particle":"","parse-names":false,"suffix":""}],"container-title":"New Phytologist","id":"ITEM-1","issue":"2","issued":{"date-parts":[["2010"]]},"page":"285-289","publisher-place":"Oxford, UK","title":"Polyphosphate has a central role in the rapid and massive accumulation of phosphorus in extraradical mycelium of an arbuscular mycorrhizal fungus","type":"article-journal","volume":"186"},"uris":["http://www.mendeley.com/documents/?uuid=382a43e3-9a8f-47e1-90ae-8f993a0f8f32"]}],"mendeley":{"formattedCitation":"(Hijikata et al., 2010)","plainTextFormattedCitation":"(Hijikata et al., 2010)","previouslyFormattedCitation":"(Hijikata et al., 2010)"},"properties":{"noteIndex":0},"schema":"https://github.com/citation-style-language/schema/raw/master/csl-citation.json"}</w:instrText>
      </w:r>
      <w:r w:rsidRPr="00223DC5">
        <w:fldChar w:fldCharType="separate"/>
      </w:r>
      <w:r w:rsidRPr="00223DC5">
        <w:rPr>
          <w:noProof/>
        </w:rPr>
        <w:t>(Hijikata et al., 2010)</w:t>
      </w:r>
      <w:r w:rsidRPr="00223DC5">
        <w:fldChar w:fldCharType="end"/>
      </w:r>
      <w:r w:rsidRPr="00223DC5">
        <w:t xml:space="preserve">. </w:t>
      </w:r>
    </w:p>
    <w:p w14:paraId="30577D49" w14:textId="73294A00" w:rsidR="00223DC5" w:rsidRPr="00223DC5" w:rsidRDefault="00223DC5" w:rsidP="00D9161C">
      <w:pPr>
        <w:ind w:firstLine="720"/>
      </w:pPr>
      <w:r w:rsidRPr="00223DC5">
        <w:t>Although many Pi transporters</w:t>
      </w:r>
      <w:r w:rsidR="00012477">
        <w:t xml:space="preserve"> </w:t>
      </w:r>
      <w:r w:rsidRPr="00223DC5">
        <w:t xml:space="preserve">have been identified in EMF, for EM plants the only transporters that have reported </w:t>
      </w:r>
      <w:r w:rsidR="00012477">
        <w:t>and are</w:t>
      </w:r>
      <w:r w:rsidRPr="00223DC5">
        <w:t xml:space="preserve"> induced during EM symbiosis are the </w:t>
      </w:r>
      <w:r w:rsidRPr="00223DC5">
        <w:rPr>
          <w:i/>
        </w:rPr>
        <w:t>PtPT9</w:t>
      </w:r>
      <w:r w:rsidRPr="00223DC5">
        <w:t xml:space="preserve"> and </w:t>
      </w:r>
      <w:r w:rsidRPr="00223DC5">
        <w:rPr>
          <w:i/>
        </w:rPr>
        <w:t>PtPT12</w:t>
      </w:r>
      <w:r w:rsidRPr="00223DC5">
        <w:t xml:space="preserve"> from </w:t>
      </w:r>
      <w:r w:rsidRPr="00223DC5">
        <w:rPr>
          <w:i/>
        </w:rPr>
        <w:t>P</w:t>
      </w:r>
      <w:r w:rsidR="00607DA8">
        <w:rPr>
          <w:i/>
        </w:rPr>
        <w:t>.</w:t>
      </w:r>
      <w:r w:rsidRPr="00223DC5">
        <w:rPr>
          <w:i/>
        </w:rPr>
        <w:t xml:space="preserve"> trichocarpa </w:t>
      </w:r>
      <w:r w:rsidRPr="00223DC5">
        <w:rPr>
          <w:i/>
        </w:rPr>
        <w:fldChar w:fldCharType="begin" w:fldLock="1"/>
      </w:r>
      <w:r w:rsidR="00EE33AB">
        <w:rPr>
          <w:i/>
        </w:rPr>
        <w:instrText>ADDIN CSL_CITATION {"citationItems":[{"id":"ITEM-1","itemData":{"DOI":"10.1104/pp.111.180646","ISSN":"1532-2548","PMID":"21705655","abstract":"Gene networks involved in inorganic phosphate (Pi) acquisition and homeostasis in woody perennial species able to form mycorrhizal symbioses are poorly known. Here, we describe the features of the 12 genes coding for Pi transporters of the Pht1 family in poplar (Populus trichocarpa). Individual Pht1 transporters play distinct roles in acquiring and translocating Pi in different tissues of mycorrhizal and nonmycorrhizal poplar during different growth conditions and developmental stages. Pi starvation triggered the up-regulation of most members of the Pht1 family, especially PtPT9 and PtPT11. PtPT9 and PtPT12 showed a striking up-regulation in ectomycorrhizas and endomycorrhizas, whereas PtPT1 and PtPT11 were strongly down-regulated. PtPT10 transcripts were highly abundant in arbuscular mycorrhiza (AM) roots only. PtPT8 and PtPT10 are phylogenetically associated to the AM-inducible Pht1 subfamily I. The analysis of promoter sequences revealed conserved motifs similar to other AM-inducible orthologs in PtPT10 only. To gain more insight into gene regulatory mechanisms governing the AM symbiosis in woody plant species, the activation of the poplar PtPT10 promoter was investigated and detected in AM of potato (Solanum tuberosum) roots. These results indicated that the regulation of AM-inducible Pi transporter genes is conserved between perennial woody and herbaceous plant species. Moreover, poplar has developed an alternative Pi uptake pathway distinct from AM plants, allowing ectomycorrhizal poplar to recruit PtPT9 and PtPT12 to cope with limiting Pi concentrations in forest soils.","author":[{"dropping-particle":"","family":"Loth-Pereda","given":"Verónica","non-dropping-particle":"","parse-names":false,"suffix":""},{"dropping-particle":"","family":"Orsini","given":"Elena","non-dropping-particle":"","parse-names":false,"suffix":""},{"dropping-particle":"","family":"Courty","given":"Pierre-Emmanuel","non-dropping-particle":"","parse-names":false,"suffix":""},{"dropping-particle":"","family":"Lota","given":"Frédéric","non-dropping-particle":"","parse-names":false,"suffix":""},{"dropping-particle":"","family":"Kohler","given":"Annegret","non-dropping-particle":"","parse-names":false,"suffix":""},{"dropping-particle":"","family":"Diss","given":"Loic","non-dropping-particle":"","parse-names":false,"suffix":""},{"dropping-particle":"","family":"Blaudez","given":"Damien","non-dropping-particle":"","parse-names":false,"suffix":""},{"dropping-particle":"","family":"Chalot","given":"Michel","non-dropping-particle":"","parse-names":false,"suffix":""},{"dropping-particle":"","family":"Nehls","given":"Uwe","non-dropping-particle":"","parse-names":false,"suffix":""},{"dropping-particle":"","family":"Bucher","given":"Marcel","non-dropping-particle":"","parse-names":false,"suffix":""},{"dropping-particle":"","family":"Martin","given":"Francis","non-dropping-particle":"","parse-names":false,"suffix":""}],"container-title":"Plant physiology","id":"ITEM-1","issue":"4","issued":{"date-parts":[["2011","8"]]},"page":"2141-54","title":"Structure and expression profile of the phosphate Pht1 transporter gene family in mycorrhizal Populus trichocarpa.","type":"article-journal","volume":"156"},"uris":["http://www.mendeley.com/documents/?uuid=f5db9416-da65-481e-992f-9977135c6138"]}],"mendeley":{"formattedCitation":"(Loth-Pereda et al., 2011)","plainTextFormattedCitation":"(Loth-Pereda et al., 2011)","previouslyFormattedCitation":"(Loth-Pereda et al., 2011)"},"properties":{"noteIndex":0},"schema":"https://github.com/citation-style-language/schema/raw/master/csl-citation.json"}</w:instrText>
      </w:r>
      <w:r w:rsidRPr="00223DC5">
        <w:rPr>
          <w:i/>
        </w:rPr>
        <w:fldChar w:fldCharType="separate"/>
      </w:r>
      <w:r w:rsidRPr="00223DC5">
        <w:rPr>
          <w:noProof/>
        </w:rPr>
        <w:t>(Loth-Pereda et al., 2011)</w:t>
      </w:r>
      <w:r w:rsidRPr="00223DC5">
        <w:rPr>
          <w:i/>
        </w:rPr>
        <w:fldChar w:fldCharType="end"/>
      </w:r>
      <w:r w:rsidRPr="00223DC5">
        <w:t xml:space="preserve">. In particular, </w:t>
      </w:r>
      <w:r w:rsidRPr="00223DC5">
        <w:rPr>
          <w:i/>
        </w:rPr>
        <w:t>PtPT9</w:t>
      </w:r>
      <w:r w:rsidRPr="00223DC5">
        <w:t xml:space="preserve"> and </w:t>
      </w:r>
      <w:r w:rsidRPr="00223DC5">
        <w:rPr>
          <w:i/>
        </w:rPr>
        <w:t xml:space="preserve">PtPT12 </w:t>
      </w:r>
      <w:r w:rsidR="00C501AE">
        <w:t>were up</w:t>
      </w:r>
      <w:r w:rsidRPr="00223DC5">
        <w:t xml:space="preserve">regulated in EM symbiosis with </w:t>
      </w:r>
      <w:r w:rsidRPr="00223DC5">
        <w:rPr>
          <w:i/>
        </w:rPr>
        <w:t>Laccaria bicolor</w:t>
      </w:r>
      <w:r w:rsidRPr="00223DC5">
        <w:t xml:space="preserve"> under Pi starvation. These results suggest that these transporters play a role in Pi transport during EM symbiosis.</w:t>
      </w:r>
    </w:p>
    <w:p w14:paraId="276E2E0A" w14:textId="77777777" w:rsidR="00223DC5" w:rsidRPr="00223DC5" w:rsidRDefault="00223DC5" w:rsidP="00D9161C"/>
    <w:p w14:paraId="48E90B47" w14:textId="71B16CD6" w:rsidR="00223DC5" w:rsidRPr="00223DC5" w:rsidRDefault="00223DC5" w:rsidP="00635993">
      <w:pPr>
        <w:pStyle w:val="Heading2"/>
      </w:pPr>
      <w:bookmarkStart w:id="45" w:name="_Toc507603962"/>
      <w:bookmarkStart w:id="46" w:name="_Toc507604229"/>
      <w:bookmarkStart w:id="47" w:name="_Toc519016946"/>
      <w:bookmarkStart w:id="48" w:name="_Toc520837844"/>
      <w:r w:rsidRPr="00223DC5">
        <w:t>1.</w:t>
      </w:r>
      <w:r w:rsidR="00607DA8">
        <w:t>5</w:t>
      </w:r>
      <w:r w:rsidR="00A751AF">
        <w:t>.2 Carbohydrate</w:t>
      </w:r>
      <w:r w:rsidRPr="00223DC5">
        <w:t xml:space="preserve"> utilisation in </w:t>
      </w:r>
      <w:r w:rsidR="00A751AF">
        <w:t xml:space="preserve">the </w:t>
      </w:r>
      <w:r w:rsidRPr="00223DC5">
        <w:t>EM symbiosis</w:t>
      </w:r>
      <w:bookmarkEnd w:id="45"/>
      <w:bookmarkEnd w:id="46"/>
      <w:bookmarkEnd w:id="47"/>
      <w:bookmarkEnd w:id="48"/>
    </w:p>
    <w:p w14:paraId="2F626DDF" w14:textId="06F7D345" w:rsidR="00223DC5" w:rsidRPr="00223DC5" w:rsidRDefault="00223DC5" w:rsidP="003F7054">
      <w:r w:rsidRPr="00223DC5">
        <w:t xml:space="preserve">Sucrose, </w:t>
      </w:r>
      <w:r w:rsidR="00F319BE">
        <w:t xml:space="preserve">a </w:t>
      </w:r>
      <w:r w:rsidRPr="00223DC5">
        <w:t>disaccharide</w:t>
      </w:r>
      <w:r w:rsidR="00F319BE">
        <w:t xml:space="preserve"> </w:t>
      </w:r>
      <w:r w:rsidRPr="00223DC5">
        <w:t>s</w:t>
      </w:r>
      <w:r w:rsidR="00F319BE">
        <w:t>ugar</w:t>
      </w:r>
      <w:r w:rsidRPr="00223DC5">
        <w:t xml:space="preserve">, is the principal photosynthetic carbohydrate produced and transported in </w:t>
      </w:r>
      <w:r w:rsidR="00431214">
        <w:t>the majority of the</w:t>
      </w:r>
      <w:r w:rsidRPr="00223DC5">
        <w:t xml:space="preserve"> higher plants, and many sucrose transporters are present within higher plant genomes. In contrast, no evidence supports the presence of sucrose transporters in the currently sequenced genomes of EMF. Moreover, experimental data demonstrated only the uptake of the monosaccharides, glucose and fructose by EMF </w:t>
      </w:r>
      <w:r w:rsidRPr="00223DC5">
        <w:fldChar w:fldCharType="begin" w:fldLock="1"/>
      </w:r>
      <w:r w:rsidR="00EE33AB">
        <w:instrText>ADDIN CSL_CITATION {"citationItems":[{"id":"ITEM-1","itemData":{"author":[{"dropping-particle":"","family":"Chen","given":"XYA","non-dropping-particle":"","parse-names":false,"suffix":""},{"dropping-particle":"","family":"Hampp","given":"R","non-dropping-particle":"","parse-names":false,"suffix":""}],"container-title":"New phytologist","id":"ITEM-1","issued":{"date-parts":[["1993"]]},"page":"601-608","title":"Sugar uptake by protoplasts of the ectomycorrhizal fungus, Amanita muse aria (L. ex fr.) Hooker","type":"article-journal","volume":"125"},"uris":["http://www.mendeley.com/documents/?uuid=96dc7717-4d36-463a-9c37-2d9ae81abcca"]}],"mendeley":{"formattedCitation":"(Chen and Hampp, 1993)","plainTextFormattedCitation":"(Chen and Hampp, 1993)","previouslyFormattedCitation":"(Chen and Hampp, 1993)"},"properties":{"noteIndex":0},"schema":"https://github.com/citation-style-language/schema/raw/master/csl-citation.json"}</w:instrText>
      </w:r>
      <w:r w:rsidRPr="00223DC5">
        <w:fldChar w:fldCharType="separate"/>
      </w:r>
      <w:r w:rsidRPr="00223DC5">
        <w:rPr>
          <w:noProof/>
        </w:rPr>
        <w:t>(Chen and Hampp, 1993)</w:t>
      </w:r>
      <w:r w:rsidRPr="00223DC5">
        <w:fldChar w:fldCharType="end"/>
      </w:r>
      <w:r w:rsidRPr="00223DC5">
        <w:t xml:space="preserve">. Taken together </w:t>
      </w:r>
      <w:r w:rsidR="00F319BE">
        <w:t>th</w:t>
      </w:r>
      <w:r w:rsidRPr="00223DC5">
        <w:t>is suggest</w:t>
      </w:r>
      <w:r w:rsidR="00F319BE">
        <w:t>s</w:t>
      </w:r>
      <w:r w:rsidRPr="00223DC5">
        <w:t xml:space="preserve"> that the major carbohydrate sources assimilated by EMF are monosaccharides and not disaccharides.</w:t>
      </w:r>
    </w:p>
    <w:p w14:paraId="6E1DDE00" w14:textId="3127E857" w:rsidR="00223DC5" w:rsidRPr="00223DC5" w:rsidRDefault="00223DC5" w:rsidP="007F746A">
      <w:pPr>
        <w:ind w:firstLine="720"/>
      </w:pPr>
      <w:r w:rsidRPr="00223DC5">
        <w:t>Current knowledge on carbohydrate assimilation acro</w:t>
      </w:r>
      <w:r w:rsidR="00431214">
        <w:t>ss the EM symbiotic interphase, the Hartig net,</w:t>
      </w:r>
      <w:r w:rsidRPr="00223DC5">
        <w:t xml:space="preserve"> supports a model where plant-derived sucrose needs first to be hydrolysed into hexoses by sucrolytic enzymes, such as acid invertases, acting within the symbiotic apoplastic space, before its assimilation by </w:t>
      </w:r>
      <w:r w:rsidR="00431214">
        <w:t>EMF</w:t>
      </w:r>
      <w:r w:rsidRPr="00223DC5">
        <w:t xml:space="preserve"> </w:t>
      </w:r>
      <w:r w:rsidRPr="00223DC5">
        <w:fldChar w:fldCharType="begin" w:fldLock="1"/>
      </w:r>
      <w:r w:rsidR="00EE33AB">
        <w:instrText>ADDIN CSL_CITATION {"citationItems":[{"id":"ITEM-1","itemData":{"DOI":"10.1111/j.1469-8137.1995.tb04312.x","ISSN":"0028-646X","author":[{"dropping-particle":"","family":"Schaeffer","given":"Christoph","non-dropping-particle":"","parse-names":false,"suffix":""},{"dropping-particle":"","family":"Wallenda","given":"Thomas","non-dropping-particle":"","parse-names":false,"suffix":""},{"dropping-particle":"","family":"Guttenberger","given":"Martin","non-dropping-particle":"","parse-names":false,"suffix":""},{"dropping-particle":"","family":"Hampp","given":"Rudiger","non-dropping-particle":"","parse-names":false,"suffix":""}],"container-title":"New Phytologist","id":"ITEM-1","issue":"3","issued":{"date-parts":[["1995","3"]]},"page":"417-424","title":"Acid invertase in mycorrhizal and non-mycorrhizal roots of Norway spruce (Picea abies [L.] Karst.) seedlings","type":"article-journal","volume":"129"},"uris":["http://www.mendeley.com/documents/?uuid=a4d95872-8c6c-4bf5-9b99-ec4a11c4d518"]}],"mendeley":{"formattedCitation":"(Schaeffer et al., 1995)","plainTextFormattedCitation":"(Schaeffer et al., 1995)","previouslyFormattedCitation":"(Schaeffer et al., 1995)"},"properties":{"noteIndex":0},"schema":"https://github.com/citation-style-language/schema/raw/master/csl-citation.json"}</w:instrText>
      </w:r>
      <w:r w:rsidRPr="00223DC5">
        <w:fldChar w:fldCharType="separate"/>
      </w:r>
      <w:r w:rsidRPr="00223DC5">
        <w:rPr>
          <w:noProof/>
        </w:rPr>
        <w:t>(Schaeffer et al., 1995)</w:t>
      </w:r>
      <w:r w:rsidRPr="00223DC5">
        <w:fldChar w:fldCharType="end"/>
      </w:r>
      <w:r w:rsidRPr="00223DC5">
        <w:t xml:space="preserve">. Given that acid invertase genes are lacking from the recently sequenced Basidiomycota </w:t>
      </w:r>
      <w:r w:rsidR="00431214">
        <w:lastRenderedPageBreak/>
        <w:t xml:space="preserve">EMF </w:t>
      </w:r>
      <w:r w:rsidRPr="00223DC5">
        <w:t>genomes, except the Ascomycota-belonging EM</w:t>
      </w:r>
      <w:r w:rsidR="00607DA8">
        <w:t xml:space="preserve"> fungus</w:t>
      </w:r>
      <w:r w:rsidRPr="00223DC5">
        <w:t xml:space="preserve"> </w:t>
      </w:r>
      <w:r w:rsidRPr="00223DC5">
        <w:rPr>
          <w:i/>
        </w:rPr>
        <w:t>Tuber melanosporum</w:t>
      </w:r>
      <w:r w:rsidRPr="00223DC5">
        <w:t xml:space="preserve"> (black truffle) </w:t>
      </w:r>
      <w:r w:rsidRPr="00223DC5">
        <w:fldChar w:fldCharType="begin" w:fldLock="1"/>
      </w:r>
      <w:r w:rsidR="00EE33AB">
        <w:instrText>ADDIN CSL_CITATION {"citationItems":[{"id":"ITEM-1","itemData":{"DOI":"10.1038/nature08867","ISBN":"0001277200","ISSN":"1476-4687","PMID":"20348908","abstract":"The Périgord black truffle (Tuber melanosporum Vittad.) and the Piedmont white truffle dominate today's truffle market. The hypogeous fruiting body of T. melanosporum is a gastronomic delicacy produced by an ectomycorrhizal symbiont endemic to calcareous soils in southern Europe. The worldwide demand for this truffle has fuelled intense efforts at cultivation. Identification of processes that condition and trigger fruit body and symbiosis formation, ultimately leading to efficient crop production, will be facilitated by a thorough analysis of truffle genomic traits. In the ectomycorrhizal Laccaria bicolor, the expansion of gene families may have acted as a 'symbiosis toolbox'. This feature may however reflect evolution of this particular taxon and not a general trait shared by all ectomycorrhizal species. To get a better understanding of the biology and evolution of the ectomycorrhizal symbiosis, we report here the sequence of the haploid genome of T. melanosporum, which at approximately 125 megabases is the largest and most complex fungal genome sequenced so far. This expansion results from a proliferation of transposable elements accounting for approximately 58% of the genome. In contrast, this genome only contains approximately 7,500 protein-coding genes with very rare multigene families. It lacks large sets of carbohydrate cleaving enzymes, but a few of them involved in degradation of plant cell walls are induced in symbiotic tissues. The latter feature and the upregulation of genes encoding for lipases and multicopper oxidases suggest that T. melanosporum degrades its host cell walls during colonization. Symbiosis induces an increased expression of carbohydrate and amino acid transporters in both L. bicolor and T. melanosporum, but the comparison of genomic traits in the two ectomycorrhizal fungi showed that genetic predispositions for symbiosis-'the symbiosis toolbox'-evolved along different ways in ascomycetes and basidiomycetes.","author":[{"dropping-particle":"","family":"Martin","given":"Francis","non-dropping-particle":"","parse-names":false,"suffix":""},{"dropping-particle":"","family":"Kohler","given":"Annegret","non-dropping-particle":"","parse-names":false,"suffix":""},{"dropping-particle":"","family":"Murat","given":"Claude","non-dropping-particle":"","parse-names":false,"suffix":""},{"dropping-particle":"","family":"Balestrini","given":"Raffaella","non-dropping-particle":"","parse-names":false,"suffix":""},{"dropping-particle":"","family":"Coutinho","given":"Pedro M","non-dropping-particle":"","parse-names":false,"suffix":""},{"dropping-particle":"","family":"Jaillon","given":"Olivier","non-dropping-particle":"","parse-names":false,"suffix":""},{"dropping-particle":"","family":"Montanini","given":"Barbara","non-dropping-particle":"","parse-names":false,"suffix":""},{"dropping-particle":"","family":"Morin","given":"Emmanuelle","non-dropping-particle":"","parse-names":false,"suffix":""},{"dropping-particle":"","family":"Noel","given":"Benjamin","non-dropping-particle":"","parse-names":false,"suffix":""},{"dropping-particle":"","family":"Percudani","given":"Riccardo","non-dropping-particle":"","parse-names":false,"suffix":""},{"dropping-particle":"","family":"Porcel","given":"Bettina","non-dropping-particle":"","parse-names":false,"suffix":""},{"dropping-particle":"","family":"Rubini","given":"Andrea","non-dropping-particle":"","parse-names":false,"suffix":""},{"dropping-particle":"","family":"Amicucci","given":"Antonella","non-dropping-particle":"","parse-names":false,"suffix":""},{"dropping-particle":"","family":"Amselem","given":"Joelle","non-dropping-particle":"","parse-names":false,"suffix":""},{"dropping-particle":"","family":"Anthouard","given":"Véronique","non-dropping-particle":"","parse-names":false,"suffix":""},{"dropping-particle":"","family":"Arcioni","given":"Sergio","non-dropping-particle":"","parse-names":false,"suffix":""},{"dropping-particle":"","family":"Artiguenave","given":"François","non-dropping-particle":"","parse-names":false,"suffix":""},{"dropping-particle":"","family":"Aury","given":"Jean-Marc","non-dropping-particle":"","parse-names":false,"suffix":""},{"dropping-particle":"","family":"Ballario","given":"Paola","non-dropping-particle":"","parse-names":false,"suffix":""},{"dropping-particle":"","family":"Bolchi","given":"Angelo","non-dropping-particle":"","parse-names":false,"suffix":""},{"dropping-particle":"","family":"Brenna","given":"Andrea","non-dropping-particle":"","parse-names":false,"suffix":""},{"dropping-particle":"","family":"Brun","given":"Annick","non-dropping-particle":"","parse-names":false,"suffix":""},{"dropping-particle":"","family":"Buée","given":"Marc","non-dropping-particle":"","parse-names":false,"suffix":""},{"dropping-particle":"","family":"Cantarel","given":"Brandi","non-dropping-particle":"","parse-names":false,"suffix":""},{"dropping-particle":"","family":"Chevalier","given":"Gérard","non-dropping-particle":"","parse-names":false,"suffix":""},{"dropping-particle":"","family":"Couloux","given":"Arnaud","non-dropping-particle":"","parse-names":false,"suffix":""},{"dropping-particle":"","family":"Silva","given":"Corinne","non-dropping-particle":"Da","parse-names":false,"suffix":""},{"dropping-particle":"","family":"Denoeud","given":"France","non-dropping-particle":"","parse-names":false,"suffix":""},{"dropping-particle":"","family":"Duplessis","given":"Sébastien","non-dropping-particle":"","parse-names":false,"suffix":""},{"dropping-particle":"","family":"Ghignone","given":"Stefano","non-dropping-particle":"","parse-names":false,"suffix":""},{"dropping-particle":"","family":"Hilselberger","given":"Benoît","non-dropping-particle":"","parse-names":false,"suffix":""},{"dropping-particle":"","family":"Iotti","given":"Mirco","non-dropping-particle":"","parse-names":false,"suffix":""},{"dropping-particle":"","family":"Marçais","given":"Benoît","non-dropping-particle":"","parse-names":false,"suffix":""},{"dropping-particle":"","family":"Mello","given":"Antonietta","non-dropping-particle":"","parse-names":false,"suffix":""},{"dropping-particle":"","family":"Miranda","given":"Michele","non-dropping-particle":"","parse-names":false,"suffix":""},{"dropping-particle":"","family":"Pacioni","given":"Giovanni","non-dropping-particle":"","parse-names":false,"suffix":""},{"dropping-particle":"","family":"Quesneville","given":"Hadi","non-dropping-particle":"","parse-names":false,"suffix":""},{"dropping-particle":"","family":"Riccioni","given":"Claudia","non-dropping-particle":"","parse-names":false,"suffix":""},{"dropping-particle":"","family":"Ruotolo","given":"Roberta","non-dropping-particle":"","parse-names":false,"suffix":""},{"dropping-particle":"","family":"Splivallo","given":"Richard","non-dropping-particle":"","parse-names":false,"suffix":""},{"dropping-particle":"","family":"Stocchi","given":"Vilberto","non-dropping-particle":"","parse-names":false,"suffix":""},{"dropping-particle":"","family":"Tisserant","given":"Emilie","non-dropping-particle":"","parse-names":false,"suffix":""},{"dropping-particle":"","family":"Viscomi","given":"Arturo Roberto","non-dropping-particle":"","parse-names":false,"suffix":""},{"dropping-particle":"","family":"Zambonelli","given":"Alessandra","non-dropping-particle":"","parse-names":false,"suffix":""},{"dropping-particle":"","family":"Zampieri","given":"Elisa","non-dropping-particle":"","parse-names":false,"suffix":""},{"dropping-particle":"","family":"Henrissat","given":"Bernard","non-dropping-particle":"","parse-names":false,"suffix":""},{"dropping-particle":"","family":"Lebrun","given":"Marc-Henri","non-dropping-particle":"","parse-names":false,"suffix":""},{"dropping-particle":"","family":"Paolocci","given":"Francesco","non-dropping-particle":"","parse-names":false,"suffix":""},{"dropping-particle":"","family":"Bonfante","given":"Paola","non-dropping-particle":"","parse-names":false,"suffix":""},{"dropping-particle":"","family":"Ottonello","given":"Simone","non-dropping-particle":"","parse-names":false,"suffix":""},{"dropping-particle":"","family":"Wincker","given":"Patrick","non-dropping-particle":"","parse-names":false,"suffix":""}],"container-title":"Nature","id":"ITEM-1","issue":"7291","issued":{"date-parts":[["2010","4","15"]]},"page":"1033-8","title":"Périgord black truffle genome uncovers evolutionary origins and mechanisms of symbiosis.","type":"article-journal","volume":"464"},"uris":["http://www.mendeley.com/documents/?uuid=e3886360-070e-4f7f-b419-2c08bd43b6cf"]}],"mendeley":{"formattedCitation":"(Martin et al., 2010)","plainTextFormattedCitation":"(Martin et al., 2010)","previouslyFormattedCitation":"(Martin et al., 2010)"},"properties":{"noteIndex":0},"schema":"https://github.com/citation-style-language/schema/raw/master/csl-citation.json"}</w:instrText>
      </w:r>
      <w:r w:rsidRPr="00223DC5">
        <w:fldChar w:fldCharType="separate"/>
      </w:r>
      <w:r w:rsidRPr="00223DC5">
        <w:rPr>
          <w:noProof/>
        </w:rPr>
        <w:t>(Martin et al., 2010)</w:t>
      </w:r>
      <w:r w:rsidRPr="00223DC5">
        <w:fldChar w:fldCharType="end"/>
      </w:r>
      <w:r w:rsidRPr="00223DC5">
        <w:t>, EM</w:t>
      </w:r>
      <w:r w:rsidR="00607DA8">
        <w:t>F</w:t>
      </w:r>
      <w:r w:rsidRPr="00223DC5">
        <w:t xml:space="preserve"> primarily depend on plant-derived acid invertases to assimilate plant sugars. Therefore, sucrose is first delivered into the plant apoplast</w:t>
      </w:r>
      <w:r w:rsidR="00701AA0">
        <w:t>ic space</w:t>
      </w:r>
      <w:r w:rsidRPr="00223DC5">
        <w:t xml:space="preserve"> via passive diffusion mediated by plant sucrose transporters, where </w:t>
      </w:r>
      <w:r w:rsidR="00F319BE">
        <w:t xml:space="preserve">it </w:t>
      </w:r>
      <w:r w:rsidRPr="00223DC5">
        <w:t>is hydrolysed by plant-derived acid invertases into glucose and fruc</w:t>
      </w:r>
      <w:r w:rsidR="00431214">
        <w:t>tose. Next, glucose or fructose</w:t>
      </w:r>
      <w:r w:rsidRPr="00223DC5">
        <w:t xml:space="preserve"> is assimilated by EMF via passive diffusion, which is mediated via EM</w:t>
      </w:r>
      <w:r w:rsidR="00607DA8">
        <w:t xml:space="preserve"> fungal</w:t>
      </w:r>
      <w:r w:rsidR="00431214">
        <w:t xml:space="preserve"> plasma membrane-</w:t>
      </w:r>
      <w:r w:rsidRPr="00223DC5">
        <w:t xml:space="preserve">localised hexose transporters </w:t>
      </w:r>
      <w:r w:rsidRPr="00223DC5">
        <w:fldChar w:fldCharType="begin" w:fldLock="1"/>
      </w:r>
      <w:r w:rsidR="00EE33AB">
        <w:instrText>ADDIN CSL_CITATION {"citationItems":[{"id":"ITEM-1","itemData":{"DOI":"10.1111/j.1469-8137.1995.tb04312.x","ISSN":"0028-646X","author":[{"dropping-particle":"","family":"Schaeffer","given":"Christoph","non-dropping-particle":"","parse-names":false,"suffix":""},{"dropping-particle":"","family":"Wallenda","given":"Thomas","non-dropping-particle":"","parse-names":false,"suffix":""},{"dropping-particle":"","family":"Guttenberger","given":"Martin","non-dropping-particle":"","parse-names":false,"suffix":""},{"dropping-particle":"","family":"Hampp","given":"Rudiger","non-dropping-particle":"","parse-names":false,"suffix":""}],"container-title":"New Phytologist","id":"ITEM-1","issue":"3","issued":{"date-parts":[["1995","3"]]},"page":"417-424","title":"Acid invertase in mycorrhizal and non-mycorrhizal roots of Norway spruce (Picea abies [L.] Karst.) seedlings","type":"article-journal","volume":"129"},"uris":["http://www.mendeley.com/documents/?uuid=a4d95872-8c6c-4bf5-9b99-ec4a11c4d518"]}],"mendeley":{"formattedCitation":"(Schaeffer et al., 1995)","plainTextFormattedCitation":"(Schaeffer et al., 1995)","previouslyFormattedCitation":"(Schaeffer et al., 1995)"},"properties":{"noteIndex":0},"schema":"https://github.com/citation-style-language/schema/raw/master/csl-citation.json"}</w:instrText>
      </w:r>
      <w:r w:rsidRPr="00223DC5">
        <w:fldChar w:fldCharType="separate"/>
      </w:r>
      <w:r w:rsidRPr="00223DC5">
        <w:rPr>
          <w:noProof/>
        </w:rPr>
        <w:t>(Schaeffer et al., 1995)</w:t>
      </w:r>
      <w:r w:rsidRPr="00223DC5">
        <w:fldChar w:fldCharType="end"/>
      </w:r>
      <w:r w:rsidRPr="00223DC5">
        <w:t>.</w:t>
      </w:r>
    </w:p>
    <w:p w14:paraId="0ADA859D" w14:textId="4C4A6E28" w:rsidR="00223DC5" w:rsidRPr="00223DC5" w:rsidRDefault="00223DC5" w:rsidP="007F746A">
      <w:pPr>
        <w:ind w:firstLine="720"/>
      </w:pPr>
      <w:r w:rsidRPr="00223DC5">
        <w:t xml:space="preserve">Many putative hexose transporters involved in carbohydrate uptake during symbiosis have </w:t>
      </w:r>
      <w:r w:rsidR="00F319BE">
        <w:t xml:space="preserve">been </w:t>
      </w:r>
      <w:r w:rsidRPr="00223DC5">
        <w:t>identified in EM</w:t>
      </w:r>
      <w:r w:rsidR="00607DA8">
        <w:t>F</w:t>
      </w:r>
      <w:r w:rsidRPr="00223DC5">
        <w:t>. For instance, AmMST1</w:t>
      </w:r>
      <w:r w:rsidRPr="00223DC5">
        <w:rPr>
          <w:i/>
        </w:rPr>
        <w:t xml:space="preserve"> </w:t>
      </w:r>
      <w:r w:rsidRPr="00223DC5">
        <w:t xml:space="preserve">from </w:t>
      </w:r>
      <w:r w:rsidRPr="00223DC5">
        <w:rPr>
          <w:i/>
        </w:rPr>
        <w:t>Amanita muscaria</w:t>
      </w:r>
      <w:r w:rsidRPr="00223DC5">
        <w:t xml:space="preserve"> was functionally characterised via heterologous complementation with yeast hexose mutants as a </w:t>
      </w:r>
      <w:r w:rsidR="00F319BE">
        <w:t xml:space="preserve">preferential </w:t>
      </w:r>
      <w:r w:rsidRPr="00223DC5">
        <w:t xml:space="preserve">glucose transporter </w:t>
      </w:r>
      <w:r w:rsidRPr="00223DC5">
        <w:fldChar w:fldCharType="begin" w:fldLock="1"/>
      </w:r>
      <w:r w:rsidR="00EE33AB">
        <w:instrText>ADDIN CSL_CITATION {"citationItems":[{"id":"ITEM-1","itemData":{"DOI":"10.1094/MPMI.1998.11.3.167","ISSN":"0894-0282","PMID":"9487692","abstract":"Ectomycorrhizas are formed between certain soil fungi and fine roots of predominantly woody plants. An important feature of this symbiosis is the supply of plant-derived carbohydrates to the fungus. As a first step toward a better understanding of the molecular basis of this process, we cloned a monosaccharide transporter from the ectomycorrhizal fungus Amanita muscaria. Degenerate oligonucleotide primers were designed to match conserved regions from known fungal sugar transporters. A cDNA fragment of the transporter was obtained from mycorrhizal mRNA by reverse transcription-polymerase chain reaction. This fragment was used to identify a clone (AmMst1) encoding the entire monosaccharide transporter in a Picea abies/A. muscaria mycorrhizal cDNA library. The cDNA codes for an open reading frame of 520 amino acids, showing best homology to a Neurospora crassa monosaccharide transporter. The function of AmMST1 as monosaccharide transporter was confirmed by heterologous expression of the cDNA in a Schizosaccharomyces pombe mutant lacking a monosaccharide uptake system. AmMst1 was constitutively expressed in fungal hyphae under all growth conditions. Nevertheless, in mycorrhizas as well as in hyphae grown at monosaccharide concentrations above 5 mM, the amount of AmMst1 transcript increased fourfold. We therefore suggest that AmMst1 is upregulated in ectomycorrhizas by a monosaccharide-controlled mechanism.","author":[{"dropping-particle":"","family":"Nehls","given":"U","non-dropping-particle":"","parse-names":false,"suffix":""},{"dropping-particle":"","family":"Wiese","given":"J","non-dropping-particle":"","parse-names":false,"suffix":""},{"dropping-particle":"","family":"Guttenberger","given":"M","non-dropping-particle":"","parse-names":false,"suffix":""},{"dropping-particle":"","family":"Hampp","given":"R","non-dropping-particle":"","parse-names":false,"suffix":""}],"container-title":"Molecular plant-microbe interactions : MPMI","id":"ITEM-1","issue":"3","issued":{"date-parts":[["1998","3"]]},"page":"167-76","title":"Carbon allocation in ectomycorrhizas: identification and expression analysis of an Amanita muscaria monosaccharide transporter.","type":"article-journal","volume":"11"},"uris":["http://www.mendeley.com/documents/?uuid=71d1568b-e696-4870-9eae-c3992f461387"]},{"id":"ITEM-2","itemData":{"DOI":"10.1055/s-2000-12984","ISSN":"1435-8603","author":[{"dropping-particle":"","family":"Wiese","given":"J.","non-dropping-particle":"","parse-names":false,"suffix":""},{"dropping-particle":"","family":"Kleber","given":"R.","non-dropping-particle":"","parse-names":false,"suffix":""},{"dropping-particle":"","family":"Hampp","given":"R.","non-dropping-particle":"","parse-names":false,"suffix":""},{"dropping-particle":"","family":"Nehls","given":"U.","non-dropping-particle":"","parse-names":false,"suffix":""}],"container-title":"Plant Biology","id":"ITEM-2","issue":"3","issued":{"date-parts":[["2000","5"]]},"page":"278-282","title":"Functional Characterization of the Amanita muscaria Monosaccharide Transporter, AmMst1","type":"article-journal","volume":"2"},"uris":["http://www.mendeley.com/documents/?uuid=e317625e-c73b-4e78-bcf1-f75d41c92225"]}],"mendeley":{"formattedCitation":"(Nehls et al., 1998; Wiese et al., 2000)","plainTextFormattedCitation":"(Nehls et al., 1998; Wiese et al., 2000)","previouslyFormattedCitation":"(Nehls et al., 1998; Wiese et al., 2000)"},"properties":{"noteIndex":0},"schema":"https://github.com/citation-style-language/schema/raw/master/csl-citation.json"}</w:instrText>
      </w:r>
      <w:r w:rsidRPr="00223DC5">
        <w:fldChar w:fldCharType="separate"/>
      </w:r>
      <w:r w:rsidRPr="00223DC5">
        <w:rPr>
          <w:noProof/>
        </w:rPr>
        <w:t>(Nehls et al., 1998; Wiese et al., 2000)</w:t>
      </w:r>
      <w:r w:rsidRPr="00223DC5">
        <w:fldChar w:fldCharType="end"/>
      </w:r>
      <w:r w:rsidRPr="00223DC5">
        <w:t xml:space="preserve">. Le Quéré et al. (2005) identified a putative hexose transporter from </w:t>
      </w:r>
      <w:r w:rsidRPr="00223DC5">
        <w:rPr>
          <w:i/>
        </w:rPr>
        <w:t>P</w:t>
      </w:r>
      <w:r w:rsidR="00607DA8">
        <w:rPr>
          <w:i/>
        </w:rPr>
        <w:t>.</w:t>
      </w:r>
      <w:r w:rsidRPr="00223DC5">
        <w:rPr>
          <w:i/>
        </w:rPr>
        <w:t xml:space="preserve"> involutus</w:t>
      </w:r>
      <w:r w:rsidRPr="00223DC5">
        <w:t xml:space="preserve"> named hxtA via </w:t>
      </w:r>
      <w:r w:rsidR="00F319BE">
        <w:t xml:space="preserve">a </w:t>
      </w:r>
      <w:r w:rsidRPr="00223DC5">
        <w:t>transcriptomic appro</w:t>
      </w:r>
      <w:r w:rsidR="00C501AE">
        <w:t>ach, which was significantly up</w:t>
      </w:r>
      <w:r w:rsidRPr="00223DC5">
        <w:t xml:space="preserve">regulated during EM symbiosis development between </w:t>
      </w:r>
      <w:r w:rsidRPr="00223DC5">
        <w:rPr>
          <w:i/>
        </w:rPr>
        <w:t>P</w:t>
      </w:r>
      <w:r w:rsidR="00607DA8">
        <w:rPr>
          <w:i/>
        </w:rPr>
        <w:t>.</w:t>
      </w:r>
      <w:r w:rsidRPr="00223DC5">
        <w:rPr>
          <w:i/>
        </w:rPr>
        <w:t xml:space="preserve"> involutus </w:t>
      </w:r>
      <w:r w:rsidRPr="00223DC5">
        <w:t xml:space="preserve">and </w:t>
      </w:r>
      <w:r w:rsidRPr="00223DC5">
        <w:rPr>
          <w:i/>
        </w:rPr>
        <w:t>Betula</w:t>
      </w:r>
      <w:r w:rsidRPr="00223DC5">
        <w:t xml:space="preserve"> </w:t>
      </w:r>
      <w:r w:rsidRPr="00223DC5">
        <w:rPr>
          <w:i/>
        </w:rPr>
        <w:t xml:space="preserve">pendula </w:t>
      </w:r>
      <w:r w:rsidRPr="00223DC5">
        <w:t>(birch)</w:t>
      </w:r>
      <w:r w:rsidR="00431214">
        <w:t xml:space="preserve"> </w:t>
      </w:r>
      <w:r w:rsidR="00431214">
        <w:fldChar w:fldCharType="begin" w:fldLock="1"/>
      </w:r>
      <w:r w:rsidR="00EE33AB">
        <w:instrText>ADDIN CSL_CITATION {"citationItems":[{"id":"ITEM-1","itemData":{"DOI":"10.1094/MPMI-18-0659","ISSN":"0894-0282","PMID":"16042012","abstract":"The formation of ectomycorrhizal (ECM) root tissue is characterized by distinct morphological and developmental stages, such as preinfection and adhesion, mantle, and Hartig net formation. The global pattern of gene expression during these stages in the birch (Betula pendula)-Paxillus involutus ECM association was analyzed using cDNA microarrays. In comparison with nonsymbiotic conditions, 251 fungal (from a total of 1,075) and 138 plant (1,074 in total) genes were found to be differentially regulated during the ECM development. For instance, during mantle and Hartig net development, there were several plant genes upregulated that are normally involved in defense responses during pathogenic fungal challenges. These responses were, at later stages of ECM development, found to be repressed. Other birch genes that showed differential regulation involved several homologs that usually are implicated in water permeability (aquaporins) and water stress tolerance (dehydrins). Among fungal genes differentially upregulated during stages of mantle and Hartig net formation were homologs putatively involved in mitochondrial respiration. In fully developed ECM tissue, there was an upregulation of fungal genes related to protein synthesis and the cytoskeleton assembly machinery. This study highlights complex molecular interactions between two symbionts during the development of an ECM association.","author":[{"dropping-particle":"","family":"Quéré","given":"Antoine","non-dropping-particle":"Le","parse-names":false,"suffix":""},{"dropping-particle":"","family":"Wright","given":"Derek P","non-dropping-particle":"","parse-names":false,"suffix":""},{"dropping-particle":"","family":"Söderström","given":"Bengt","non-dropping-particle":"","parse-names":false,"suffix":""},{"dropping-particle":"","family":"Tunlid","given":"Anders","non-dropping-particle":"","parse-names":false,"suffix":""},{"dropping-particle":"","family":"Johansson","given":"Tomas","non-dropping-particle":"","parse-names":false,"suffix":""}],"container-title":"Molecular plant-microbe interactions : MPMI","id":"ITEM-1","issue":"7","issued":{"date-parts":[["2005","7"]]},"page":"659-73","title":"Global patterns of gene regulation associated with the development of ectomycorrhiza between birch (Betula pendula Roth.) and Paxillus involutus (Batsch) Fr.","type":"article-journal","volume":"18"},"uris":["http://www.mendeley.com/documents/?uuid=9fc632e2-fc9e-4bb2-8a2f-4c014ca35806"]}],"mendeley":{"formattedCitation":"(Le Quéré et al., 2005)","plainTextFormattedCitation":"(Le Quéré et al., 2005)","previouslyFormattedCitation":"(Le Quéré et al., 2005)"},"properties":{"noteIndex":0},"schema":"https://github.com/citation-style-language/schema/raw/master/csl-citation.json"}</w:instrText>
      </w:r>
      <w:r w:rsidR="00431214">
        <w:fldChar w:fldCharType="separate"/>
      </w:r>
      <w:r w:rsidR="00431214" w:rsidRPr="00431214">
        <w:rPr>
          <w:noProof/>
        </w:rPr>
        <w:t>(Le Quéré et al., 2005)</w:t>
      </w:r>
      <w:r w:rsidR="00431214">
        <w:fldChar w:fldCharType="end"/>
      </w:r>
      <w:r w:rsidRPr="00223DC5">
        <w:t xml:space="preserve">. AmMST1 hexose transporter was proposed as a putative hexose transporter for hexose assimilation across the plant-fungal EM symbiotic interphase </w:t>
      </w:r>
      <w:r w:rsidRPr="00223DC5">
        <w:fldChar w:fldCharType="begin" w:fldLock="1"/>
      </w:r>
      <w:r w:rsidR="00EE33AB">
        <w:instrText>ADDIN CSL_CITATION {"citationItems":[{"id":"ITEM-1","itemData":{"DOI":"10.1094/MPMI-18-0659","ISSN":"0894-0282","PMID":"16042012","abstract":"The formation of ectomycorrhizal (ECM) root tissue is characterized by distinct morphological and developmental stages, such as preinfection and adhesion, mantle, and Hartig net formation. The global pattern of gene expression during these stages in the birch (Betula pendula)-Paxillus involutus ECM association was analyzed using cDNA microarrays. In comparison with nonsymbiotic conditions, 251 fungal (from a total of 1,075) and 138 plant (1,074 in total) genes were found to be differentially regulated during the ECM development. For instance, during mantle and Hartig net development, there were several plant genes upregulated that are normally involved in defense responses during pathogenic fungal challenges. These responses were, at later stages of ECM development, found to be repressed. Other birch genes that showed differential regulation involved several homologs that usually are implicated in water permeability (aquaporins) and water stress tolerance (dehydrins). Among fungal genes differentially upregulated during stages of mantle and Hartig net formation were homologs putatively involved in mitochondrial respiration. In fully developed ECM tissue, there was an upregulation of fungal genes related to protein synthesis and the cytoskeleton assembly machinery. This study highlights complex molecular interactions between two symbionts during the development of an ECM association.","author":[{"dropping-particle":"","family":"Quéré","given":"Antoine","non-dropping-particle":"Le","parse-names":false,"suffix":""},{"dropping-particle":"","family":"Wright","given":"Derek P","non-dropping-particle":"","parse-names":false,"suffix":""},{"dropping-particle":"","family":"Söderström","given":"Bengt","non-dropping-particle":"","parse-names":false,"suffix":""},{"dropping-particle":"","family":"Tunlid","given":"Anders","non-dropping-particle":"","parse-names":false,"suffix":""},{"dropping-particle":"","family":"Johansson","given":"Tomas","non-dropping-particle":"","parse-names":false,"suffix":""}],"container-title":"Molecular plant-microbe interactions : MPMI","id":"ITEM-1","issue":"7","issued":{"date-parts":[["2005","7"]]},"page":"659-73","title":"Global patterns of gene regulation associated with the development of ectomycorrhiza between birch (Betula pendula Roth.) and Paxillus involutus (Batsch) Fr.","type":"article-journal","volume":"18"},"uris":["http://www.mendeley.com/documents/?uuid=9fc632e2-fc9e-4bb2-8a2f-4c014ca35806"]}],"mendeley":{"formattedCitation":"(Le Quéré et al., 2005)","plainTextFormattedCitation":"(Le Quéré et al., 2005)","previouslyFormattedCitation":"(Le Quéré et al., 2005)"},"properties":{"noteIndex":0},"schema":"https://github.com/citation-style-language/schema/raw/master/csl-citation.json"}</w:instrText>
      </w:r>
      <w:r w:rsidRPr="00223DC5">
        <w:fldChar w:fldCharType="separate"/>
      </w:r>
      <w:r w:rsidRPr="00223DC5">
        <w:rPr>
          <w:noProof/>
        </w:rPr>
        <w:t>(Le Quéré et al., 2005)</w:t>
      </w:r>
      <w:r w:rsidRPr="00223DC5">
        <w:fldChar w:fldCharType="end"/>
      </w:r>
      <w:r w:rsidRPr="00223DC5">
        <w:t xml:space="preserve">. </w:t>
      </w:r>
    </w:p>
    <w:p w14:paraId="7C4482D1" w14:textId="3772C026" w:rsidR="00223DC5" w:rsidRPr="00223DC5" w:rsidRDefault="00223DC5" w:rsidP="00FB36B8">
      <w:pPr>
        <w:ind w:firstLine="720"/>
      </w:pPr>
      <w:r w:rsidRPr="00223DC5">
        <w:t>Also, in the EM</w:t>
      </w:r>
      <w:r w:rsidR="00607DA8">
        <w:t xml:space="preserve"> fungus</w:t>
      </w:r>
      <w:r w:rsidRPr="00223DC5">
        <w:t xml:space="preserve"> </w:t>
      </w:r>
      <w:r w:rsidRPr="00223DC5">
        <w:rPr>
          <w:i/>
        </w:rPr>
        <w:t>L</w:t>
      </w:r>
      <w:r w:rsidR="00607DA8">
        <w:rPr>
          <w:i/>
        </w:rPr>
        <w:t>.</w:t>
      </w:r>
      <w:r w:rsidRPr="00223DC5">
        <w:rPr>
          <w:i/>
        </w:rPr>
        <w:t xml:space="preserve"> bicolor</w:t>
      </w:r>
      <w:r w:rsidRPr="00223DC5">
        <w:t xml:space="preserve">, Larsen et al. (2011) showed that hexose transport activity is enriched when forming EM associations with aspen trees </w:t>
      </w:r>
      <w:r w:rsidRPr="00223DC5">
        <w:fldChar w:fldCharType="begin" w:fldLock="1"/>
      </w:r>
      <w:r w:rsidR="00EE33AB">
        <w:instrText>ADDIN CSL_CITATION {"citationItems":[{"id":"ITEM-1","itemData":{"DOI":"10.1186/1752-0509-5-70","ISSN":"1752-0509","PMID":"21569493","abstract":"BACKGROUND: Mycorrhizae, symbiotic interactions between soil fungi and tree roots, are ubiquitous in terrestrial ecosystems. The fungi contribute phosphorous, nitrogen and mobilized nutrients from organic matter in the soil and in return the fungus receives photosynthetically-derived carbohydrates. This union of plant and fungal metabolisms is the mycorrhizal metabolome. Understanding this symbiotic relationship at a molecular level provides important contributions to the understanding of forest ecosystems and global carbon cycling.\n\nRESULTS: We generated next generation short-read transcriptomic sequencing data from fully-formed ectomycorrhizae between Laccaria bicolor and aspen (Populus tremuloides) roots. The transcriptomic data was used to identify statistically significantly expressed gene models using a bootstrap-style approach, and these expressed genes were mapped to specific metabolic pathways. Integration of expressed genes that code for metabolic enzymes and the set of expressed membrane transporters generates a predictive model of the ectomycorrhizal metabolome. The generated model of mycorrhizal metabolome predicts that the specific compounds glycine, glutamate, and allantoin are synthesized by L. bicolor and that these compounds or their metabolites may be used for the benefit of aspen in exchange for the photosynthetically-derived sugars fructose and glucose.\n\nCONCLUSIONS: The analysis illustrates an approach to generate testable biological hypotheses to investigate the complex molecular interactions that drive ectomycorrhizal symbiosis. These models are consistent with experimental environmental data and provide insight into the molecular exchange processes for organisms in this complex ecosystem. The method used here for predicting metabolomic models of mycorrhizal systems from deep RNA sequencing data can be generalized and is broadly applicable to transcriptomic data derived from complex systems.","author":[{"dropping-particle":"","family":"Larsen","given":"Peter E","non-dropping-particle":"","parse-names":false,"suffix":""},{"dropping-particle":"","family":"Sreedasyam","given":"Avinash","non-dropping-particle":"","parse-names":false,"suffix":""},{"dropping-particle":"","family":"Trivedi","given":"Geetika","non-dropping-particle":"","parse-names":false,"suffix":""},{"dropping-particle":"","family":"Podila","given":"Gopi K","non-dropping-particle":"","parse-names":false,"suffix":""},{"dropping-particle":"","family":"Cseke","given":"Leland J","non-dropping-particle":"","parse-names":false,"suffix":""},{"dropping-particle":"","family":"Collart","given":"Frank R","non-dropping-particle":"","parse-names":false,"suffix":""}],"container-title":"BMC systems biology","id":"ITEM-1","issue":"1","issued":{"date-parts":[["2011","1"]]},"page":"70","publisher":"BioMed Central Ltd","title":"Using next generation transcriptome sequencing to predict an ectomycorrhizal metabolome.","type":"article-journal","volume":"5"},"uris":["http://www.mendeley.com/documents/?uuid=f51af59e-6152-4aa4-a6f1-9cd294aa3aae"]}],"mendeley":{"formattedCitation":"(Larsen et al., 2011)","plainTextFormattedCitation":"(Larsen et al., 2011)","previouslyFormattedCitation":"(Larsen et al., 2011)"},"properties":{"noteIndex":0},"schema":"https://github.com/citation-style-language/schema/raw/master/csl-citation.json"}</w:instrText>
      </w:r>
      <w:r w:rsidRPr="00223DC5">
        <w:fldChar w:fldCharType="separate"/>
      </w:r>
      <w:r w:rsidRPr="00223DC5">
        <w:rPr>
          <w:noProof/>
        </w:rPr>
        <w:t>(Larsen et al., 2011)</w:t>
      </w:r>
      <w:r w:rsidRPr="00223DC5">
        <w:fldChar w:fldCharType="end"/>
      </w:r>
      <w:r w:rsidR="007507A5">
        <w:t xml:space="preserve">. The former </w:t>
      </w:r>
      <w:r w:rsidRPr="00223DC5">
        <w:t xml:space="preserve">is also consistent with the current annotation of </w:t>
      </w:r>
      <w:r w:rsidRPr="00223DC5">
        <w:rPr>
          <w:i/>
        </w:rPr>
        <w:t>L</w:t>
      </w:r>
      <w:r w:rsidR="00607DA8">
        <w:rPr>
          <w:i/>
        </w:rPr>
        <w:t>.</w:t>
      </w:r>
      <w:r w:rsidRPr="00223DC5">
        <w:rPr>
          <w:i/>
        </w:rPr>
        <w:t xml:space="preserve"> bicolor</w:t>
      </w:r>
      <w:r w:rsidRPr="00223DC5">
        <w:t xml:space="preserve"> genome, which is rich in hexose (monosaccharide) transporters and includes fifteen putative hexose transporter genes (</w:t>
      </w:r>
      <w:r w:rsidRPr="00223DC5">
        <w:rPr>
          <w:i/>
        </w:rPr>
        <w:t xml:space="preserve">MST </w:t>
      </w:r>
      <w:r w:rsidRPr="00223DC5">
        <w:t xml:space="preserve">genes) </w:t>
      </w:r>
      <w:r w:rsidRPr="00223DC5">
        <w:fldChar w:fldCharType="begin" w:fldLock="1"/>
      </w:r>
      <w:r w:rsidR="00EE33AB">
        <w:instrText>ADDIN CSL_CITATION {"citationItems":[{"id":"ITEM-1","itemData":{"DOI":"10.1111/j.1469-8137.2008.02539.x","ISSN":"1469-8137","PMID":"18627493","abstract":"Formation of ectomycorrhizas, a symbiosis with fine roots of woody plants, is one way for soil fungi to overcome carbohydrate limitation in forest ecosystems. Fifteen potential hexose transporter proteins, of which 10 group within three clusters, are encoded in the genome of the ectomycorrhizal model fungus Laccaria bicolor. For 14 of them, transcripts were detectable. When grown in liquid culture, carbon starvation resulted in at least twofold higher transcript abundances for seven genes. Temporarily elevated transcript abundance after sugar addition was observed for three genes. Compared with the extraradical mycelium, ectomycorrhiza formation resulted in a strongly enhanced expression of six genes, of which four revealed their highest observed transcript abundances in symbiosis. A function as hexose importer was proven for three of them. Only three genes, of which just one was expressed at a considerable level, revealed a reduced transcript content in mycorrhizas. From gene expression patterns and import kinetics, the L. bicolor hexose transporters could be divided into two groups: those responsible for uptake of carbohydrates by soil-growing hyphae, for improved carbon nutrition, and to reduce nutrient uptake competition by other soil microorganisms; and those responsible for efficient hexose uptake at the plant-fungus interface.","author":[{"dropping-particle":"","family":"López","given":"Mónica Fajardo","non-dropping-particle":"","parse-names":false,"suffix":""},{"dropping-particle":"","family":"Dietz","given":"Sandra","non-dropping-particle":"","parse-names":false,"suffix":""},{"dropping-particle":"","family":"Grunze","given":"Nina","non-dropping-particle":"","parse-names":false,"suffix":""},{"dropping-particle":"","family":"Bloschies","given":"Jutta","non-dropping-particle":"","parse-names":false,"suffix":""},{"dropping-particle":"","family":"Weiss","given":"Michael","non-dropping-particle":"","parse-names":false,"suffix":""},{"dropping-particle":"","family":"Nehls","given":"Uwe","non-dropping-particle":"","parse-names":false,"suffix":""}],"container-title":"The New phytologist","id":"ITEM-1","issue":"2","issued":{"date-parts":[["2008","1"]]},"page":"365-78","title":"The sugar porter gene family of Laccaria bicolor: function in ectomycorrhizal symbiosis and soil-growing hyphae.","type":"article-journal","volume":"180"},"uris":["http://www.mendeley.com/documents/?uuid=d40117aa-b5f4-4b7f-9477-7a21b2ec41bb"]}],"mendeley":{"formattedCitation":"(López et al., 2008)","plainTextFormattedCitation":"(López et al., 2008)","previouslyFormattedCitation":"(López et al., 2008)"},"properties":{"noteIndex":0},"schema":"https://github.com/citation-style-language/schema/raw/master/csl-citation.json"}</w:instrText>
      </w:r>
      <w:r w:rsidRPr="00223DC5">
        <w:fldChar w:fldCharType="separate"/>
      </w:r>
      <w:r w:rsidRPr="00223DC5">
        <w:rPr>
          <w:noProof/>
        </w:rPr>
        <w:t>(López et al., 2008)</w:t>
      </w:r>
      <w:r w:rsidRPr="00223DC5">
        <w:fldChar w:fldCharType="end"/>
      </w:r>
      <w:r w:rsidRPr="00223DC5">
        <w:t xml:space="preserve">. Moreover, according to </w:t>
      </w:r>
      <w:r w:rsidRPr="00223DC5">
        <w:rPr>
          <w:noProof/>
        </w:rPr>
        <w:t>López et al. (2008),</w:t>
      </w:r>
      <w:r w:rsidRPr="00223DC5">
        <w:t xml:space="preserve"> the transcripts of four h</w:t>
      </w:r>
      <w:r w:rsidR="00C501AE">
        <w:t>exose transporter genes were up</w:t>
      </w:r>
      <w:r w:rsidRPr="00223DC5">
        <w:t xml:space="preserve">regulated during EM symbiosis, and for three of them, hexose uptake has been demonstrated via heterologous expression and complementation with yeast hexose transporter mutants </w:t>
      </w:r>
      <w:r w:rsidRPr="00223DC5">
        <w:fldChar w:fldCharType="begin" w:fldLock="1"/>
      </w:r>
      <w:r w:rsidR="00EE33AB">
        <w:instrText>ADDIN CSL_CITATION {"citationItems":[{"id":"ITEM-1","itemData":{"DOI":"10.1111/j.1469-8137.2008.02539.x","ISSN":"1469-8137","PMID":"18627493","abstract":"Formation of ectomycorrhizas, a symbiosis with fine roots of woody plants, is one way for soil fungi to overcome carbohydrate limitation in forest ecosystems. Fifteen potential hexose transporter proteins, of which 10 group within three clusters, are encoded in the genome of the ectomycorrhizal model fungus Laccaria bicolor. For 14 of them, transcripts were detectable. When grown in liquid culture, carbon starvation resulted in at least twofold higher transcript abundances for seven genes. Temporarily elevated transcript abundance after sugar addition was observed for three genes. Compared with the extraradical mycelium, ectomycorrhiza formation resulted in a strongly enhanced expression of six genes, of which four revealed their highest observed transcript abundances in symbiosis. A function as hexose importer was proven for three of them. Only three genes, of which just one was expressed at a considerable level, revealed a reduced transcript content in mycorrhizas. From gene expression patterns and import kinetics, the L. bicolor hexose transporters could be divided into two groups: those responsible for uptake of carbohydrates by soil-growing hyphae, for improved carbon nutrition, and to reduce nutrient uptake competition by other soil microorganisms; and those responsible for efficient hexose uptake at the plant-fungus interface.","author":[{"dropping-particle":"","family":"López","given":"Mónica Fajardo","non-dropping-particle":"","parse-names":false,"suffix":""},{"dropping-particle":"","family":"Dietz","given":"Sandra","non-dropping-particle":"","parse-names":false,"suffix":""},{"dropping-particle":"","family":"Grunze","given":"Nina","non-dropping-particle":"","parse-names":false,"suffix":""},{"dropping-particle":"","family":"Bloschies","given":"Jutta","non-dropping-particle":"","parse-names":false,"suffix":""},{"dropping-particle":"","family":"Weiss","given":"Michael","non-dropping-particle":"","parse-names":false,"suffix":""},{"dropping-particle":"","family":"Nehls","given":"Uwe","non-dropping-particle":"","parse-names":false,"suffix":""}],"container-title":"The New phytologist","id":"ITEM-1","issue":"2","issued":{"date-parts":[["2008","1"]]},"page":"365-78","title":"The sugar porter gene family of Laccaria bicolor: function in ectomycorrhizal symbiosis and soil-growing hyphae.","type":"article-journal","volume":"180"},"uris":["http://www.mendeley.com/documents/?uuid=d40117aa-b5f4-4b7f-9477-7a21b2ec41bb"]}],"mendeley":{"formattedCitation":"(López et al., 2008)","plainTextFormattedCitation":"(López et al., 2008)","previouslyFormattedCitation":"(López et al., 2008)"},"properties":{"noteIndex":0},"schema":"https://github.com/citation-style-language/schema/raw/master/csl-citation.json"}</w:instrText>
      </w:r>
      <w:r w:rsidRPr="00223DC5">
        <w:fldChar w:fldCharType="separate"/>
      </w:r>
      <w:r w:rsidRPr="00223DC5">
        <w:rPr>
          <w:noProof/>
        </w:rPr>
        <w:t>(López et al., 2008)</w:t>
      </w:r>
      <w:r w:rsidRPr="00223DC5">
        <w:fldChar w:fldCharType="end"/>
      </w:r>
      <w:r w:rsidRPr="00223DC5">
        <w:t>.</w:t>
      </w:r>
    </w:p>
    <w:p w14:paraId="6B5B8143" w14:textId="2FDEA753" w:rsidR="00223DC5" w:rsidRPr="00223DC5" w:rsidRDefault="00223DC5" w:rsidP="007C3C15">
      <w:pPr>
        <w:ind w:firstLine="720"/>
      </w:pPr>
      <w:r w:rsidRPr="00223DC5">
        <w:t>Plant EM sugar transpo</w:t>
      </w:r>
      <w:r w:rsidR="007507A5">
        <w:t>rters identified so far include</w:t>
      </w:r>
      <w:r w:rsidRPr="00223DC5">
        <w:t xml:space="preserve"> a putative hexose transporter </w:t>
      </w:r>
      <w:r w:rsidRPr="00223DC5">
        <w:rPr>
          <w:i/>
        </w:rPr>
        <w:t xml:space="preserve">PaMST1 </w:t>
      </w:r>
      <w:r w:rsidRPr="00223DC5">
        <w:t xml:space="preserve">from </w:t>
      </w:r>
      <w:r w:rsidR="00721FAE">
        <w:rPr>
          <w:i/>
        </w:rPr>
        <w:t>Picea abies</w:t>
      </w:r>
      <w:r w:rsidRPr="00223DC5">
        <w:t xml:space="preserve">, identified through </w:t>
      </w:r>
      <w:r w:rsidR="00431214">
        <w:t xml:space="preserve">reverse transcription </w:t>
      </w:r>
      <w:r w:rsidR="00683234" w:rsidRPr="000D7D3D">
        <w:t>polymerase chain reaction</w:t>
      </w:r>
      <w:r w:rsidR="00683234">
        <w:t xml:space="preserve"> </w:t>
      </w:r>
      <w:r w:rsidR="00431214">
        <w:t>(</w:t>
      </w:r>
      <w:r w:rsidRPr="00223DC5">
        <w:t>RT-PCR</w:t>
      </w:r>
      <w:r w:rsidR="00683234">
        <w:t>)</w:t>
      </w:r>
      <w:r w:rsidRPr="00223DC5">
        <w:t xml:space="preserve"> from </w:t>
      </w:r>
      <w:r w:rsidR="00683234">
        <w:rPr>
          <w:i/>
        </w:rPr>
        <w:t>Picea abies-</w:t>
      </w:r>
      <w:r w:rsidRPr="00223DC5">
        <w:rPr>
          <w:i/>
        </w:rPr>
        <w:t xml:space="preserve">A. muscaria </w:t>
      </w:r>
      <w:r w:rsidRPr="00223DC5">
        <w:t xml:space="preserve">EM symbiotic cDNA library, whose expression was slightly reduced in EM symbiosis </w:t>
      </w:r>
      <w:r w:rsidRPr="00223DC5">
        <w:fldChar w:fldCharType="begin" w:fldLock="1"/>
      </w:r>
      <w:r w:rsidR="00EE33AB">
        <w:instrText>ADDIN CSL_CITATION {"citationItems":[{"id":"ITEM-1","itemData":{"DOI":"10.1007/s004680050227","ISSN":"09311890","author":[{"dropping-particle":"","family":"Nehls","given":"U.","non-dropping-particle":"","parse-names":false,"suffix":""},{"dropping-particle":"","family":"Wiese","given":"Joachim","non-dropping-particle":"","parse-names":false,"suffix":""},{"dropping-particle":"","family":"Hampp","given":"Rüdiger","non-dropping-particle":"","parse-names":false,"suffix":""}],"container-title":"Trees","id":"ITEM-1","issue":"6","issued":{"date-parts":[["2000","5","8"]]},"page":"334-338","title":"Cloning of a Picea abies monosaccharide transporter gene and expression – analysis in plant tissues and ectomycorrhizas","type":"article-journal","volume":"14"},"uris":["http://www.mendeley.com/documents/?uuid=83523c85-2676-4311-895c-54b6c09b2bfa"]}],"mendeley":{"formattedCitation":"(Nehls et al., 2000)","plainTextFormattedCitation":"(Nehls et al., 2000)","previouslyFormattedCitation":"(Nehls et al., 2000)"},"properties":{"noteIndex":0},"schema":"https://github.com/citation-style-language/schema/raw/master/csl-citation.json"}</w:instrText>
      </w:r>
      <w:r w:rsidRPr="00223DC5">
        <w:fldChar w:fldCharType="separate"/>
      </w:r>
      <w:r w:rsidRPr="00223DC5">
        <w:rPr>
          <w:noProof/>
        </w:rPr>
        <w:t>(Nehls et al., 2000)</w:t>
      </w:r>
      <w:r w:rsidRPr="00223DC5">
        <w:fldChar w:fldCharType="end"/>
      </w:r>
      <w:r w:rsidRPr="00223DC5">
        <w:t xml:space="preserve">. Two putative hexose transporters, </w:t>
      </w:r>
      <w:r w:rsidRPr="00223DC5">
        <w:rPr>
          <w:i/>
        </w:rPr>
        <w:t>BpHEX1</w:t>
      </w:r>
      <w:r w:rsidRPr="00223DC5">
        <w:t xml:space="preserve"> and </w:t>
      </w:r>
      <w:r w:rsidRPr="00223DC5">
        <w:rPr>
          <w:i/>
        </w:rPr>
        <w:t>BpHEX2</w:t>
      </w:r>
      <w:r w:rsidRPr="00223DC5">
        <w:t xml:space="preserve">, and one sucrose transporter </w:t>
      </w:r>
      <w:r w:rsidRPr="00223DC5">
        <w:rPr>
          <w:i/>
        </w:rPr>
        <w:t>BpSUC1</w:t>
      </w:r>
      <w:r w:rsidRPr="00223DC5">
        <w:t xml:space="preserve"> from </w:t>
      </w:r>
      <w:r w:rsidRPr="00223DC5">
        <w:lastRenderedPageBreak/>
        <w:t xml:space="preserve">birch EM roots colonised with </w:t>
      </w:r>
      <w:r w:rsidRPr="00223DC5">
        <w:rPr>
          <w:i/>
        </w:rPr>
        <w:t>P</w:t>
      </w:r>
      <w:r w:rsidR="00F76F40">
        <w:rPr>
          <w:i/>
        </w:rPr>
        <w:t>.</w:t>
      </w:r>
      <w:r w:rsidRPr="00223DC5">
        <w:rPr>
          <w:i/>
        </w:rPr>
        <w:t xml:space="preserve"> involutus</w:t>
      </w:r>
      <w:r w:rsidRPr="00223DC5">
        <w:t xml:space="preserve"> </w:t>
      </w:r>
      <w:r w:rsidRPr="00223DC5">
        <w:fldChar w:fldCharType="begin" w:fldLock="1"/>
      </w:r>
      <w:r w:rsidR="00EE33AB">
        <w:instrText>ADDIN CSL_CITATION {"citationItems":[{"id":"ITEM-1","itemData":{"DOI":"10.1046/j.1365-3040.2000.00518.x","ISSN":"0140-7791","author":[{"dropping-particle":"","family":"Wright","given":"D. P.","non-dropping-particle":"","parse-names":false,"suffix":""},{"dropping-particle":"","family":"Scholes","given":"J. D.","non-dropping-particle":"","parse-names":false,"suffix":""},{"dropping-particle":"","family":"Read","given":"D. J.","non-dropping-particle":"","parse-names":false,"suffix":""},{"dropping-particle":"","family":"Rolfe","given":"S. A.","non-dropping-particle":"","parse-names":false,"suffix":""}],"container-title":"Plant, Cell and Environment","id":"ITEM-1","issue":"1","issued":{"date-parts":[["2000","1"]]},"page":"39-49","title":"Changes in carbon allocation and expression of carbon transporter genes in Betula pendula Roth. colonized by the ectomycorrhizal fungus Paxillus involutus (Batsch) Fr.","type":"article-journal","volume":"23"},"uris":["http://www.mendeley.com/documents/?uuid=d12a195c-699b-473c-a8b6-e03f51634ce4"]}],"mendeley":{"formattedCitation":"(Wright et al., 2000)","plainTextFormattedCitation":"(Wright et al., 2000)","previouslyFormattedCitation":"(Wright et al., 2000)"},"properties":{"noteIndex":0},"schema":"https://github.com/citation-style-language/schema/raw/master/csl-citation.json"}</w:instrText>
      </w:r>
      <w:r w:rsidRPr="00223DC5">
        <w:fldChar w:fldCharType="separate"/>
      </w:r>
      <w:r w:rsidRPr="00223DC5">
        <w:rPr>
          <w:noProof/>
        </w:rPr>
        <w:t>(Wright et al., 2000)</w:t>
      </w:r>
      <w:r w:rsidRPr="00223DC5">
        <w:fldChar w:fldCharType="end"/>
      </w:r>
      <w:r w:rsidRPr="00223DC5">
        <w:t>. The transcript level of all the three transport</w:t>
      </w:r>
      <w:r w:rsidR="00877B3F">
        <w:t>er genes was significantly down</w:t>
      </w:r>
      <w:r w:rsidRPr="00223DC5">
        <w:t xml:space="preserve">regulated in EM symbiosis </w:t>
      </w:r>
      <w:r w:rsidRPr="00223DC5">
        <w:fldChar w:fldCharType="begin" w:fldLock="1"/>
      </w:r>
      <w:r w:rsidR="00EE33AB">
        <w:instrText>ADDIN CSL_CITATION {"citationItems":[{"id":"ITEM-1","itemData":{"DOI":"10.1046/j.1365-3040.2000.00518.x","ISSN":"0140-7791","author":[{"dropping-particle":"","family":"Wright","given":"D. P.","non-dropping-particle":"","parse-names":false,"suffix":""},{"dropping-particle":"","family":"Scholes","given":"J. D.","non-dropping-particle":"","parse-names":false,"suffix":""},{"dropping-particle":"","family":"Read","given":"D. J.","non-dropping-particle":"","parse-names":false,"suffix":""},{"dropping-particle":"","family":"Rolfe","given":"S. A.","non-dropping-particle":"","parse-names":false,"suffix":""}],"container-title":"Plant, Cell and Environment","id":"ITEM-1","issue":"1","issued":{"date-parts":[["2000","1"]]},"page":"39-49","title":"Changes in carbon allocation and expression of carbon transporter genes in Betula pendula Roth. colonized by the ectomycorrhizal fungus Paxillus involutus (Batsch) Fr.","type":"article-journal","volume":"23"},"uris":["http://www.mendeley.com/documents/?uuid=d12a195c-699b-473c-a8b6-e03f51634ce4"]}],"mendeley":{"formattedCitation":"(Wright et al., 2000)","plainTextFormattedCitation":"(Wright et al., 2000)","previouslyFormattedCitation":"(Wright et al., 2000)"},"properties":{"noteIndex":0},"schema":"https://github.com/citation-style-language/schema/raw/master/csl-citation.json"}</w:instrText>
      </w:r>
      <w:r w:rsidRPr="00223DC5">
        <w:fldChar w:fldCharType="separate"/>
      </w:r>
      <w:r w:rsidRPr="00223DC5">
        <w:rPr>
          <w:noProof/>
        </w:rPr>
        <w:t>(Wright et al., 2000)</w:t>
      </w:r>
      <w:r w:rsidRPr="00223DC5">
        <w:fldChar w:fldCharType="end"/>
      </w:r>
      <w:r w:rsidRPr="00223DC5">
        <w:t xml:space="preserve">. These data </w:t>
      </w:r>
      <w:r w:rsidRPr="00223DC5">
        <w:fldChar w:fldCharType="begin" w:fldLock="1"/>
      </w:r>
      <w:r w:rsidR="00EE33AB">
        <w:instrText>ADDIN CSL_CITATION {"citationItems":[{"id":"ITEM-1","itemData":{"DOI":"10.1007/s004680050227","ISSN":"09311890","author":[{"dropping-particle":"","family":"Nehls","given":"U.","non-dropping-particle":"","parse-names":false,"suffix":""},{"dropping-particle":"","family":"Wiese","given":"Joachim","non-dropping-particle":"","parse-names":false,"suffix":""},{"dropping-particle":"","family":"Hampp","given":"Rüdiger","non-dropping-particle":"","parse-names":false,"suffix":""}],"container-title":"Trees","id":"ITEM-1","issue":"6","issued":{"date-parts":[["2000","5","8"]]},"page":"334-338","title":"Cloning of a Picea abies monosaccharide transporter gene and expression – analysis in plant tissues and ectomycorrhizas","type":"article-journal","volume":"14"},"uris":["http://www.mendeley.com/documents/?uuid=83523c85-2676-4311-895c-54b6c09b2bfa"]},{"id":"ITEM-2","itemData":{"DOI":"10.1046/j.1365-3040.2000.00518.x","ISSN":"0140-7791","author":[{"dropping-particle":"","family":"Wright","given":"D. P.","non-dropping-particle":"","parse-names":false,"suffix":""},{"dropping-particle":"","family":"Scholes","given":"J. D.","non-dropping-particle":"","parse-names":false,"suffix":""},{"dropping-particle":"","family":"Read","given":"D. J.","non-dropping-particle":"","parse-names":false,"suffix":""},{"dropping-particle":"","family":"Rolfe","given":"S. A.","non-dropping-particle":"","parse-names":false,"suffix":""}],"container-title":"Plant, Cell and Environment","id":"ITEM-2","issue":"1","issued":{"date-parts":[["2000","1"]]},"page":"39-49","title":"Changes in carbon allocation and expression of carbon transporter genes in Betula pendula Roth. colonized by the ectomycorrhizal fungus Paxillus involutus (Batsch) Fr.","type":"article-journal","volume":"23"},"uris":["http://www.mendeley.com/documents/?uuid=d12a195c-699b-473c-a8b6-e03f51634ce4"]}],"mendeley":{"formattedCitation":"(Nehls et al., 2000; Wright et al., 2000)","plainTextFormattedCitation":"(Nehls et al., 2000; Wright et al., 2000)","previouslyFormattedCitation":"(Nehls et al., 2000; Wright et al., 2000)"},"properties":{"noteIndex":0},"schema":"https://github.com/citation-style-language/schema/raw/master/csl-citation.json"}</w:instrText>
      </w:r>
      <w:r w:rsidRPr="00223DC5">
        <w:fldChar w:fldCharType="separate"/>
      </w:r>
      <w:r w:rsidRPr="00223DC5">
        <w:rPr>
          <w:noProof/>
        </w:rPr>
        <w:t>(Nehls et al., 2000; Wright et al., 2000)</w:t>
      </w:r>
      <w:r w:rsidRPr="00223DC5">
        <w:fldChar w:fldCharType="end"/>
      </w:r>
      <w:r w:rsidRPr="00223DC5">
        <w:t xml:space="preserve"> suggest that during EM symbiosis plants do not necessarily increase sugar transport activity, although reduced gene transcript does not always mean transport reduced activity, in contrast to EMF sugar transporter activity. For instance, the </w:t>
      </w:r>
      <w:r w:rsidRPr="00223DC5">
        <w:rPr>
          <w:i/>
        </w:rPr>
        <w:t xml:space="preserve">AmMST1 </w:t>
      </w:r>
      <w:r w:rsidRPr="00223DC5">
        <w:t xml:space="preserve">transcript of </w:t>
      </w:r>
      <w:r w:rsidRPr="00223DC5">
        <w:rPr>
          <w:i/>
        </w:rPr>
        <w:t xml:space="preserve">A. muscaria, </w:t>
      </w:r>
      <w:r w:rsidRPr="00223DC5">
        <w:t xml:space="preserve">when in EM symbiosis with </w:t>
      </w:r>
      <w:r w:rsidR="00721FAE">
        <w:rPr>
          <w:i/>
        </w:rPr>
        <w:t>Picea abies</w:t>
      </w:r>
      <w:r w:rsidR="00C501AE">
        <w:t>, is significantly up</w:t>
      </w:r>
      <w:r w:rsidRPr="00223DC5">
        <w:t xml:space="preserve">regulated </w:t>
      </w:r>
      <w:r w:rsidRPr="00223DC5">
        <w:fldChar w:fldCharType="begin" w:fldLock="1"/>
      </w:r>
      <w:r w:rsidR="00EE33AB">
        <w:instrText>ADDIN CSL_CITATION {"citationItems":[{"id":"ITEM-1","itemData":{"DOI":"10.1094/MPMI.1998.11.3.167","ISSN":"0894-0282","PMID":"9487692","abstract":"Ectomycorrhizas are formed between certain soil fungi and fine roots of predominantly woody plants. An important feature of this symbiosis is the supply of plant-derived carbohydrates to the fungus. As a first step toward a better understanding of the molecular basis of this process, we cloned a monosaccharide transporter from the ectomycorrhizal fungus Amanita muscaria. Degenerate oligonucleotide primers were designed to match conserved regions from known fungal sugar transporters. A cDNA fragment of the transporter was obtained from mycorrhizal mRNA by reverse transcription-polymerase chain reaction. This fragment was used to identify a clone (AmMst1) encoding the entire monosaccharide transporter in a Picea abies/A. muscaria mycorrhizal cDNA library. The cDNA codes for an open reading frame of 520 amino acids, showing best homology to a Neurospora crassa monosaccharide transporter. The function of AmMST1 as monosaccharide transporter was confirmed by heterologous expression of the cDNA in a Schizosaccharomyces pombe mutant lacking a monosaccharide uptake system. AmMst1 was constitutively expressed in fungal hyphae under all growth conditions. Nevertheless, in mycorrhizas as well as in hyphae grown at monosaccharide concentrations above 5 mM, the amount of AmMst1 transcript increased fourfold. We therefore suggest that AmMst1 is upregulated in ectomycorrhizas by a monosaccharide-controlled mechanism.","author":[{"dropping-particle":"","family":"Nehls","given":"U","non-dropping-particle":"","parse-names":false,"suffix":""},{"dropping-particle":"","family":"Wiese","given":"J","non-dropping-particle":"","parse-names":false,"suffix":""},{"dropping-particle":"","family":"Guttenberger","given":"M","non-dropping-particle":"","parse-names":false,"suffix":""},{"dropping-particle":"","family":"Hampp","given":"R","non-dropping-particle":"","parse-names":false,"suffix":""}],"container-title":"Molecular plant-microbe interactions : MPMI","id":"ITEM-1","issue":"3","issued":{"date-parts":[["1998","3"]]},"page":"167-76","title":"Carbon allocation in ectomycorrhizas: identification and expression analysis of an Amanita muscaria monosaccharide transporter.","type":"article-journal","volume":"11"},"uris":["http://www.mendeley.com/documents/?uuid=71d1568b-e696-4870-9eae-c3992f461387"]}],"mendeley":{"formattedCitation":"(Nehls et al., 1998)","plainTextFormattedCitation":"(Nehls et al., 1998)","previouslyFormattedCitation":"(Nehls et al., 1998)"},"properties":{"noteIndex":0},"schema":"https://github.com/citation-style-language/schema/raw/master/csl-citation.json"}</w:instrText>
      </w:r>
      <w:r w:rsidRPr="00223DC5">
        <w:fldChar w:fldCharType="separate"/>
      </w:r>
      <w:r w:rsidRPr="00223DC5">
        <w:rPr>
          <w:noProof/>
        </w:rPr>
        <w:t>(Nehls et al., 1998)</w:t>
      </w:r>
      <w:r w:rsidRPr="00223DC5">
        <w:fldChar w:fldCharType="end"/>
      </w:r>
      <w:r w:rsidRPr="00223DC5">
        <w:t>.</w:t>
      </w:r>
    </w:p>
    <w:p w14:paraId="307AD290" w14:textId="5EFF9B4F" w:rsidR="00223DC5" w:rsidRPr="00223DC5" w:rsidRDefault="00223DC5" w:rsidP="007C3C15">
      <w:pPr>
        <w:ind w:firstLine="720"/>
      </w:pPr>
      <w:r w:rsidRPr="00223DC5">
        <w:t>Sugar transport across the symbiotic apoplastic space provides a mean</w:t>
      </w:r>
      <w:r w:rsidR="00DB70EE">
        <w:t>s</w:t>
      </w:r>
      <w:r w:rsidRPr="00223DC5">
        <w:t xml:space="preserve"> for carbohydrate regulation, since cell wall-bound plant invertases present in the apoplast</w:t>
      </w:r>
      <w:r w:rsidR="00701AA0">
        <w:t>ic space</w:t>
      </w:r>
      <w:r w:rsidRPr="00223DC5">
        <w:t xml:space="preserve"> can function as markers for the C demand. The increased activity of plant invertase</w:t>
      </w:r>
      <w:r w:rsidR="00EB3E99">
        <w:t>s</w:t>
      </w:r>
      <w:r w:rsidRPr="00223DC5">
        <w:t xml:space="preserve"> in AM symbiosis could suggest that these sucrolytic enzymes play an essential role for the hexose supply of AMF </w:t>
      </w:r>
      <w:r w:rsidRPr="00223DC5">
        <w:fldChar w:fldCharType="begin" w:fldLock="1"/>
      </w:r>
      <w:r w:rsidR="00EE33AB">
        <w:instrText>ADDIN CSL_CITATION {"citationItems":[{"id":"ITEM-1","itemData":{"DOI":"10.1093/jxb/erl172","ISSN":"0022-0957","PMID":"17050639","abstract":"Extracellular invertases are suggested to play a crucial role in the arbuscular mycorrhiza (AM) symbiosis to fulfil the increased sink function of the mycorrhizal root and the supply of the obligate biotrophic AM fungus with hexoses. In tomato (Lycopersicon esculentum), LIN6 represents an apoplastic invertase which is described as a key enzyme in establishing and maintaining sink metabolism. In this study, transcript levels of LIN6 were analysed in tomato roots colonized with the AM fungus Glomus intraradices. Using real-time RT-PCR, a nearly 3-fold increase in LIN6 mRNA levels was detected at late stages of mycorrhization (11 weeks after inoculation). A 1.8-fold induction could already be achieved at earlier stages (5 weeks after inoculation) using higher inoculum concentrations, whereas wounding of non-mycorrhizal roots resulted in up to 12-fold enhanced LIN6 transcripts. As revealed by in situ hybridization, the expression of LIN6 upon mycorrhization was specifically restricted to colonized cells and to the central cylinder. Such a strongly localized pattern due to mycorrhizal cells and to the central core could also be shown for promoter activity using transgenic Nicotiana tabacum plants expressing the gene coding for beta-glucuronidase under the control of the LIN6 promoter. The moderate induction of LIN6 expression in mycorrhizal tomato roots compared with stress-stimulated induction suggested a fine-tuning in the activation of sink metabolism in the mutualistic interaction, avoiding stress-induced defence reactions.","author":[{"dropping-particle":"","family":"Schaarschmidt","given":"Sara","non-dropping-particle":"","parse-names":false,"suffix":""},{"dropping-particle":"","family":"Roitsch","given":"Thomas","non-dropping-particle":"","parse-names":false,"suffix":""},{"dropping-particle":"","family":"Hause","given":"Bettina","non-dropping-particle":"","parse-names":false,"suffix":""}],"container-title":"Journal of experimental botany","id":"ITEM-1","issue":"15","issued":{"date-parts":[["2006","1"]]},"page":"4015-23","title":"Arbuscular mycorrhiza induces gene expression of the apoplastic invertase LIN6 in tomato (Lycopersicon esculentum) roots.","type":"article-journal","volume":"57"},"uris":["http://www.mendeley.com/documents/?uuid=a79d0351-fe6b-4eac-a9ee-bec855393c69"]}],"mendeley":{"formattedCitation":"(Schaarschmidt et al., 2006)","plainTextFormattedCitation":"(Schaarschmidt et al., 2006)","previouslyFormattedCitation":"(Schaarschmidt et al., 2006)"},"properties":{"noteIndex":0},"schema":"https://github.com/citation-style-language/schema/raw/master/csl-citation.json"}</w:instrText>
      </w:r>
      <w:r w:rsidRPr="00223DC5">
        <w:fldChar w:fldCharType="separate"/>
      </w:r>
      <w:r w:rsidRPr="00223DC5">
        <w:rPr>
          <w:noProof/>
        </w:rPr>
        <w:t>(Schaarschmidt et al., 2006)</w:t>
      </w:r>
      <w:r w:rsidRPr="00223DC5">
        <w:fldChar w:fldCharType="end"/>
      </w:r>
      <w:r w:rsidRPr="00223DC5">
        <w:t xml:space="preserve">. However, data derived from research investigating the invertase activity during EM symbiosis are controversial. For instance, according to Wright et al. (2000) increased invertase activity was observed during EM symbiosis between </w:t>
      </w:r>
      <w:r w:rsidRPr="00223DC5">
        <w:rPr>
          <w:i/>
        </w:rPr>
        <w:t>P</w:t>
      </w:r>
      <w:r w:rsidR="00F76F40">
        <w:rPr>
          <w:i/>
        </w:rPr>
        <w:t>.</w:t>
      </w:r>
      <w:r w:rsidRPr="00223DC5">
        <w:rPr>
          <w:i/>
        </w:rPr>
        <w:t xml:space="preserve"> involutus </w:t>
      </w:r>
      <w:r w:rsidRPr="00223DC5">
        <w:t>and birch, while S</w:t>
      </w:r>
      <w:r w:rsidR="00EB3E99">
        <w:t>c</w:t>
      </w:r>
      <w:r w:rsidRPr="00223DC5">
        <w:t xml:space="preserve">haeffer et al. (1995) reported no differences in invertase activity during EM </w:t>
      </w:r>
      <w:r w:rsidR="00EB3E99">
        <w:t xml:space="preserve">symbiosis </w:t>
      </w:r>
      <w:r w:rsidRPr="00223DC5">
        <w:t xml:space="preserve">of </w:t>
      </w:r>
      <w:r w:rsidR="00721FAE">
        <w:rPr>
          <w:i/>
        </w:rPr>
        <w:t>Picea abies</w:t>
      </w:r>
      <w:r w:rsidRPr="00223DC5">
        <w:t xml:space="preserve"> with the basidiomycete </w:t>
      </w:r>
      <w:r w:rsidRPr="00223DC5">
        <w:rPr>
          <w:i/>
        </w:rPr>
        <w:t>A</w:t>
      </w:r>
      <w:r w:rsidR="00F76F40">
        <w:rPr>
          <w:i/>
        </w:rPr>
        <w:t>.</w:t>
      </w:r>
      <w:r w:rsidRPr="00223DC5">
        <w:rPr>
          <w:i/>
        </w:rPr>
        <w:t xml:space="preserve"> muscaria</w:t>
      </w:r>
      <w:r w:rsidRPr="00223DC5">
        <w:t xml:space="preserve"> or the ascomycete </w:t>
      </w:r>
      <w:r w:rsidRPr="00223DC5">
        <w:rPr>
          <w:i/>
        </w:rPr>
        <w:t>Cenococcum geophilum</w:t>
      </w:r>
      <w:r w:rsidR="00EB3E99">
        <w:rPr>
          <w:i/>
        </w:rPr>
        <w:t xml:space="preserve"> </w:t>
      </w:r>
      <w:r w:rsidR="00EB3E99">
        <w:rPr>
          <w:i/>
        </w:rPr>
        <w:fldChar w:fldCharType="begin" w:fldLock="1"/>
      </w:r>
      <w:r w:rsidR="00EE33AB">
        <w:rPr>
          <w:i/>
        </w:rPr>
        <w:instrText>ADDIN CSL_CITATION {"citationItems":[{"id":"ITEM-1","itemData":{"DOI":"10.1046/j.1365-3040.2000.00518.x","ISSN":"0140-7791","author":[{"dropping-particle":"","family":"Wright","given":"D. P.","non-dropping-particle":"","parse-names":false,"suffix":""},{"dropping-particle":"","family":"Scholes","given":"J. D.","non-dropping-particle":"","parse-names":false,"suffix":""},{"dropping-particle":"","family":"Read","given":"D. J.","non-dropping-particle":"","parse-names":false,"suffix":""},{"dropping-particle":"","family":"Rolfe","given":"S. A.","non-dropping-particle":"","parse-names":false,"suffix":""}],"container-title":"Plant, Cell and Environment","id":"ITEM-1","issue":"1","issued":{"date-parts":[["2000","1"]]},"page":"39-49","title":"Changes in carbon allocation and expression of carbon transporter genes in Betula pendula Roth. colonized by the ectomycorrhizal fungus Paxillus involutus (Batsch) Fr.","type":"article-journal","volume":"23"},"uris":["http://www.mendeley.com/documents/?uuid=d12a195c-699b-473c-a8b6-e03f51634ce4"]},{"id":"ITEM-2","itemData":{"DOI":"10.1111/j.1469-8137.1995.tb04312.x","ISSN":"0028-646X","author":[{"dropping-particle":"","family":"Schaeffer","given":"Christoph","non-dropping-particle":"","parse-names":false,"suffix":""},{"dropping-particle":"","family":"Wallenda","given":"Thomas","non-dropping-particle":"","parse-names":false,"suffix":""},{"dropping-particle":"","family":"Guttenberger","given":"Martin","non-dropping-particle":"","parse-names":false,"suffix":""},{"dropping-particle":"","family":"Hampp","given":"Rudiger","non-dropping-particle":"","parse-names":false,"suffix":""}],"container-title":"New Phytologist","id":"ITEM-2","issue":"3","issued":{"date-parts":[["1995","3"]]},"page":"417-424","title":"Acid invertase in mycorrhizal and non-mycorrhizal roots of Norway spruce (Picea abies [L.] Karst.) seedlings","type":"article-journal","volume":"129"},"uris":["http://www.mendeley.com/documents/?uuid=a4d95872-8c6c-4bf5-9b99-ec4a11c4d518"]}],"mendeley":{"formattedCitation":"(Wright et al., 2000; Schaeffer et al., 1995)","plainTextFormattedCitation":"(Wright et al., 2000; Schaeffer et al., 1995)","previouslyFormattedCitation":"(Wright et al., 2000; Schaeffer et al., 1995)"},"properties":{"noteIndex":0},"schema":"https://github.com/citation-style-language/schema/raw/master/csl-citation.json"}</w:instrText>
      </w:r>
      <w:r w:rsidR="00EB3E99">
        <w:rPr>
          <w:i/>
        </w:rPr>
        <w:fldChar w:fldCharType="separate"/>
      </w:r>
      <w:r w:rsidR="00EB3E99" w:rsidRPr="00EB3E99">
        <w:rPr>
          <w:noProof/>
        </w:rPr>
        <w:t>(Wright et al., 2000; Schaeffer et al., 1995)</w:t>
      </w:r>
      <w:r w:rsidR="00EB3E99">
        <w:rPr>
          <w:i/>
        </w:rPr>
        <w:fldChar w:fldCharType="end"/>
      </w:r>
      <w:r w:rsidRPr="00223DC5">
        <w:t>.</w:t>
      </w:r>
    </w:p>
    <w:p w14:paraId="1D890FBD" w14:textId="436310CF" w:rsidR="00AF25CF" w:rsidRDefault="00223DC5" w:rsidP="00AF25CF">
      <w:pPr>
        <w:ind w:firstLine="720"/>
      </w:pPr>
      <w:r w:rsidRPr="00223DC5">
        <w:t xml:space="preserve">According to Nehls et al. (2010), the contradictory results found for the invertase activity during EM symbiosis could be interpreted as follows. Sucrose hydrolysis occurs into equal amounts of glucose and fructose. However, parallel to the increase in invertase gene expression, fructose transporter activity </w:t>
      </w:r>
      <w:r w:rsidR="00DB70EE">
        <w:t xml:space="preserve">is </w:t>
      </w:r>
      <w:r w:rsidRPr="00223DC5">
        <w:t xml:space="preserve">repressed, while glucose import capacity is not affected </w:t>
      </w:r>
      <w:r w:rsidRPr="00223DC5">
        <w:fldChar w:fldCharType="begin" w:fldLock="1"/>
      </w:r>
      <w:r w:rsidR="00EE33AB">
        <w:instrText>ADDIN CSL_CITATION {"citationItems":[{"id":"ITEM-1","itemData":{"DOI":"10.1111/j.1438-8677.1991.tb00256.x","ISSN":"1438-8677","author":[{"dropping-particle":"","family":"Salzer","given":"P","non-dropping-particle":"","parse-names":false,"suffix":""},{"dropping-particle":"","family":"Hager","given":"A","non-dropping-particle":"","parse-names":false,"suffix":""}],"container-title":"Botanica Acta","id":"ITEM-1","issue":"6","issued":{"date-parts":[["1991"]]},"page":"439-445","publisher":"Blackwell Publishing Ltd","title":"Sucrose Utilization of the Ectomycorrhizal Fungi Amanita muscaria and Hebeloma crustuliniforme Depends on the Cell Wall-bound Invertase Activity of their Host Picea abies","type":"article-journal","volume":"104"},"uris":["http://www.mendeley.com/documents/?uuid=ad9a5e25-6a75-48fe-a565-d80171fd1902"]}],"mendeley":{"formattedCitation":"(Salzer and Hager, 1991)","plainTextFormattedCitation":"(Salzer and Hager, 1991)","previouslyFormattedCitation":"(Salzer and Hager, 1991)"},"properties":{"noteIndex":0},"schema":"https://github.com/citation-style-language/schema/raw/master/csl-citation.json"}</w:instrText>
      </w:r>
      <w:r w:rsidRPr="00223DC5">
        <w:fldChar w:fldCharType="separate"/>
      </w:r>
      <w:r w:rsidRPr="00223DC5">
        <w:rPr>
          <w:noProof/>
        </w:rPr>
        <w:t>(Salzer and Hager, 1991)</w:t>
      </w:r>
      <w:r w:rsidRPr="00223DC5">
        <w:fldChar w:fldCharType="end"/>
      </w:r>
      <w:r w:rsidRPr="00223DC5">
        <w:t xml:space="preserve">. As a consequence, </w:t>
      </w:r>
      <w:r w:rsidR="00DB70EE">
        <w:t xml:space="preserve">the </w:t>
      </w:r>
      <w:r w:rsidRPr="00223DC5">
        <w:t>fructose concentration increases in</w:t>
      </w:r>
      <w:r w:rsidR="007507A5">
        <w:t xml:space="preserve"> the symbiotic apoplastic space</w:t>
      </w:r>
      <w:r w:rsidRPr="00223DC5">
        <w:t xml:space="preserve"> and could inhibit invertase activity </w:t>
      </w:r>
      <w:r w:rsidRPr="00223DC5">
        <w:fldChar w:fldCharType="begin" w:fldLock="1"/>
      </w:r>
      <w:r w:rsidR="00EE33AB">
        <w:instrText>ADDIN CSL_CITATION {"citationItems":[{"id":"ITEM-1","itemData":{"DOI":"10.1111/j.1438-8677.2009.00312.x","ISSN":"1438-8677","PMID":"20398236","abstract":"Ectomycorrhizal (ECM) symbiosis is a mutualistic interaction between certain soil fungi and fine roots of perennial plants, mainly forest trees, by which both partners become capable of efficiently colonising nutrient-limited environments. The success of this interaction is reflected in the dominance of ECM forest ecosystems in the Northern hemisphere. Apart from their economic importance (wood production), forest ecosystems are essential for large-scale carbon sequestration, leading to substantial reductions in anthropogenic CO(2) release. The biological function of ECM symbiosis is the exchange of fungus-derived mineral nutrients for plant-derived carbohydrates. Improved plant nutrition as a result of this interaction, however, has a price. Together with their fungal partner, root systems of ECM plants can receive about half of the photosynthetically fixed carbon. To enable such a strong carbohydrate sink, the monosaccharide uptake capacity and carbohydrate flux through glycolysis and intermediate carbohydrate storage pools (trehalose and/or mannitol) of mycorrhizal fungi is strongly increased at the plant-fungus interface. Apart from their function as a carbohydrate store, trehalose/mannitol are additionally considered to be involved in carbon allocation within the fungal colony. Dependent on the fungal species involved in the symbiosis, regulation and fine-tuning of fungal carbohydrate uptake and metabolism seems to be controlled either by developmental mechanisms or by the apoplastic sugar content. As a consequence of the increased carbohydrate demand in symbiosis, trees increase their photosynthetic capacity. In addition, host plants control and restrict carbohydrate flux towards their partner to avoid fungal parasitism. The mechanisms behind this phenomenon are still largely unknown but rates of local sucrose hydrolysis and hexose uptake by rhizodermal cells are thought to restrict fungal carbohydrate nutrition under certain conditions (e.g., reduced fungal nutrient export).","author":[{"dropping-particle":"","family":"Nehls","given":"U","non-dropping-particle":"","parse-names":false,"suffix":""},{"dropping-particle":"","family":"Göhringer","given":"F","non-dropping-particle":"","parse-names":false,"suffix":""},{"dropping-particle":"","family":"Wittulsky","given":"S","non-dropping-particle":"","parse-names":false,"suffix":""},{"dropping-particle":"","family":"Dietz","given":"S","non-dropping-particle":"","parse-names":false,"suffix":""}],"container-title":"Plant biology (Stuttgart, Germany)","id":"ITEM-1","issue":"2","issued":{"date-parts":[["2010","3"]]},"page":"292-301","title":"Fungal carbohydrate support in the ectomycorrhizal symbiosis: a review.","type":"article-journal","volume":"12"},"uris":["http://www.mendeley.com/documents/?uuid=28d2946d-d875-489f-b5de-255269f84621"]}],"mendeley":{"formattedCitation":"(Nehls et al., 2010)","plainTextFormattedCitation":"(Nehls et al., 2010)","previouslyFormattedCitation":"(Nehls et al., 2010)"},"properties":{"noteIndex":0},"schema":"https://github.com/citation-style-language/schema/raw/master/csl-citation.json"}</w:instrText>
      </w:r>
      <w:r w:rsidRPr="00223DC5">
        <w:fldChar w:fldCharType="separate"/>
      </w:r>
      <w:r w:rsidRPr="00223DC5">
        <w:rPr>
          <w:noProof/>
        </w:rPr>
        <w:t>(Nehls et al., 2010)</w:t>
      </w:r>
      <w:r w:rsidRPr="00223DC5">
        <w:fldChar w:fldCharType="end"/>
      </w:r>
      <w:r w:rsidR="00AF25CF">
        <w:t>.</w:t>
      </w:r>
    </w:p>
    <w:p w14:paraId="305A7210" w14:textId="00246D25" w:rsidR="00223DC5" w:rsidRPr="00223DC5" w:rsidRDefault="00223DC5" w:rsidP="00E90B55">
      <w:pPr>
        <w:ind w:firstLine="720"/>
      </w:pPr>
      <w:r w:rsidRPr="00223DC5">
        <w:t>A molecular mechanism based on the concerted regulation of hexose transporters and apoplastic enzymes, such as invertases, favours a case where trees can efficiently control the concentration of photosynthetic sugars that are transported towards EM</w:t>
      </w:r>
      <w:r w:rsidR="00AF25CF">
        <w:t>F</w:t>
      </w:r>
      <w:r w:rsidRPr="00223DC5">
        <w:t>. Moreover, this mechanism supports the possibility of penalisation of EM</w:t>
      </w:r>
      <w:r w:rsidR="00F76F40">
        <w:t>F</w:t>
      </w:r>
      <w:r w:rsidRPr="00223DC5">
        <w:t xml:space="preserve"> which do not </w:t>
      </w:r>
      <w:r w:rsidRPr="00223DC5">
        <w:lastRenderedPageBreak/>
        <w:t xml:space="preserve">provide </w:t>
      </w:r>
      <w:r w:rsidR="00DB70EE">
        <w:t xml:space="preserve">sufficient </w:t>
      </w:r>
      <w:r w:rsidRPr="00223DC5">
        <w:t xml:space="preserve">nutrients </w:t>
      </w:r>
      <w:r w:rsidR="00DB70EE">
        <w:t xml:space="preserve">to </w:t>
      </w:r>
      <w:r w:rsidRPr="00223DC5">
        <w:t xml:space="preserve">the host trees, by restricting carbohydrate supply </w:t>
      </w:r>
      <w:r w:rsidRPr="00223DC5">
        <w:fldChar w:fldCharType="begin" w:fldLock="1"/>
      </w:r>
      <w:r w:rsidR="00EE33AB">
        <w:instrText>ADDIN CSL_CITATION {"citationItems":[{"id":"ITEM-1","itemData":{"DOI":"10.1093/jxb/erm334","ISSN":"1460-2431","PMID":"18272925","abstract":"Mycorrhiza formation is the consequence of a mutualistic interaction between certain soil fungi and plant roots that helps to overcome nutritional limitations faced by the respective partners. In symbiosis, fungi contribute to tree nutrition by means of mineral weathering and mobilization of nutrients from organic matter, and obtain plant-derived carbohydrates as a response. Support with easily degradable carbohydrates seems to be the driving force for fungi to undergo this type of interaction. As a consequence, the fungal hexose uptake capacity is strongly increased in Hartig net hyphae of the model fungi Amanita muscaria and Laccaria bicolor. Next to fast carbohydrate uptake and metabolism, storage carbohydrates are of special interest. In functional A. muscaria ectomycorrhizas, expression and activity of proteins involved in trehalose biosynthesis is mainly localized in hyphae of the Hartig net, indicating an important function of trehalose in generation of a strong carbon sink by fungal hyphae. In symbiosis, fungal partners receive up to approximately 19 times more carbohydrates from their hosts than normal leakage of the root system would cause, resulting in a strong carbohydrate demand of infected roots and, as a consequence, a more efficient plant photosynthesis. To avoid fungal parasitism, the plant seems to have developed mechanisms to control carbohydrate drain towards the fungal partner and link it to the fungus-derived mineral nutrition. In this contribution, current knowledge on fungal strategies to obtain carbohydrates from its host and plant strategies to enable, but also to control and restrict (under certain conditions), carbon transfer are summarized.","author":[{"dropping-particle":"","family":"Nehls","given":"Uwe","non-dropping-particle":"","parse-names":false,"suffix":""}],"container-title":"Journal of experimental botany","id":"ITEM-1","issue":"5","issued":{"date-parts":[["2008","1"]]},"page":"1097-108","title":"Mastering ectomycorrhizal symbiosis: the impact of carbohydrates.","type":"article-journal","volume":"59"},"uris":["http://www.mendeley.com/documents/?uuid=df06bdd8-a447-434c-bd00-779e1be9831e"]}],"mendeley":{"formattedCitation":"(Nehls, 2008)","plainTextFormattedCitation":"(Nehls, 2008)","previouslyFormattedCitation":"(Nehls, 2008)"},"properties":{"noteIndex":0},"schema":"https://github.com/citation-style-language/schema/raw/master/csl-citation.json"}</w:instrText>
      </w:r>
      <w:r w:rsidRPr="00223DC5">
        <w:fldChar w:fldCharType="separate"/>
      </w:r>
      <w:r w:rsidRPr="00223DC5">
        <w:rPr>
          <w:noProof/>
        </w:rPr>
        <w:t>(Nehls, 2008)</w:t>
      </w:r>
      <w:r w:rsidRPr="00223DC5">
        <w:fldChar w:fldCharType="end"/>
      </w:r>
      <w:r w:rsidRPr="00223DC5">
        <w:t>.</w:t>
      </w:r>
      <w:r w:rsidR="00E90B55">
        <w:br w:type="page"/>
      </w:r>
    </w:p>
    <w:p w14:paraId="71C196A4" w14:textId="1E82E527" w:rsidR="00223DC5" w:rsidRPr="00223DC5" w:rsidRDefault="00EA2080" w:rsidP="003F7054">
      <w:r>
        <w:rPr>
          <w:noProof/>
          <w:lang w:eastAsia="en-GB"/>
        </w:rPr>
        <w:lastRenderedPageBreak/>
        <w:drawing>
          <wp:inline distT="0" distB="0" distL="0" distR="0" wp14:anchorId="1E9DDEBD" wp14:editId="3F445F15">
            <wp:extent cx="5943600" cy="189611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 1.2_.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1896110"/>
                    </a:xfrm>
                    <a:prstGeom prst="rect">
                      <a:avLst/>
                    </a:prstGeom>
                  </pic:spPr>
                </pic:pic>
              </a:graphicData>
            </a:graphic>
          </wp:inline>
        </w:drawing>
      </w:r>
    </w:p>
    <w:p w14:paraId="107BC44A" w14:textId="77777777" w:rsidR="00EF6ED2" w:rsidRDefault="00223DC5" w:rsidP="00635993">
      <w:pPr>
        <w:pStyle w:val="Subtitle"/>
        <w:pBdr>
          <w:top w:val="single" w:sz="4" w:space="1" w:color="auto"/>
        </w:pBdr>
        <w:rPr>
          <w:b w:val="0"/>
        </w:rPr>
      </w:pPr>
      <w:r w:rsidRPr="00223DC5">
        <w:t xml:space="preserve">Figure 1.2 </w:t>
      </w:r>
      <w:r w:rsidRPr="00635993">
        <w:rPr>
          <w:b w:val="0"/>
        </w:rPr>
        <w:t xml:space="preserve">Simplified schematic of the </w:t>
      </w:r>
      <w:r w:rsidR="00DB70EE" w:rsidRPr="00635993">
        <w:rPr>
          <w:b w:val="0"/>
        </w:rPr>
        <w:t>Pi</w:t>
      </w:r>
      <w:r w:rsidRPr="00635993">
        <w:rPr>
          <w:b w:val="0"/>
        </w:rPr>
        <w:t xml:space="preserve"> and</w:t>
      </w:r>
      <w:r w:rsidR="00DB70EE" w:rsidRPr="00635993">
        <w:rPr>
          <w:b w:val="0"/>
        </w:rPr>
        <w:t xml:space="preserve"> carbohydrate</w:t>
      </w:r>
      <w:r w:rsidR="00EB5A1B" w:rsidRPr="00635993">
        <w:rPr>
          <w:b w:val="0"/>
        </w:rPr>
        <w:t>s</w:t>
      </w:r>
      <w:r w:rsidRPr="00635993">
        <w:rPr>
          <w:b w:val="0"/>
        </w:rPr>
        <w:t xml:space="preserve"> transport mechanisms involved in EM symbiosis at the mycelium-soil and fungus-root interphase. </w:t>
      </w:r>
      <w:r w:rsidR="00F57213" w:rsidRPr="00F57213">
        <w:t>A.</w:t>
      </w:r>
      <w:r w:rsidR="00F57213">
        <w:rPr>
          <w:b w:val="0"/>
        </w:rPr>
        <w:t xml:space="preserve"> </w:t>
      </w:r>
      <w:r w:rsidRPr="00F57213">
        <w:rPr>
          <w:b w:val="0"/>
        </w:rPr>
        <w:t>Key putative mechanisms involved in P</w:t>
      </w:r>
      <w:r w:rsidR="00E90B55" w:rsidRPr="00F57213">
        <w:rPr>
          <w:b w:val="0"/>
        </w:rPr>
        <w:t>i</w:t>
      </w:r>
      <w:r w:rsidRPr="00F57213">
        <w:rPr>
          <w:b w:val="0"/>
        </w:rPr>
        <w:t xml:space="preserve"> uptake, translocation and transfer to the host plant during EM association.</w:t>
      </w:r>
      <w:r w:rsidR="00A470A8">
        <w:rPr>
          <w:b w:val="0"/>
        </w:rPr>
        <w:t xml:space="preserve"> Soil Pi uptake via high-</w:t>
      </w:r>
      <w:r w:rsidRPr="00635993">
        <w:rPr>
          <w:b w:val="0"/>
        </w:rPr>
        <w:t>affinity Pi transporters (PHT1 family) occurs at the tip of the growing mycelium. Translocation to the host probably occurs via a tubular vacuol</w:t>
      </w:r>
      <w:r w:rsidR="00DB70EE" w:rsidRPr="00635993">
        <w:rPr>
          <w:b w:val="0"/>
        </w:rPr>
        <w:t>e</w:t>
      </w:r>
      <w:r w:rsidRPr="00635993">
        <w:rPr>
          <w:b w:val="0"/>
        </w:rPr>
        <w:t xml:space="preserve"> system, where Pi is transported possibly via either anion non-specific or Pi-specific channels and accumulate</w:t>
      </w:r>
      <w:r w:rsidR="00DB70EE" w:rsidRPr="00635993">
        <w:rPr>
          <w:b w:val="0"/>
        </w:rPr>
        <w:t>s</w:t>
      </w:r>
      <w:r w:rsidRPr="00635993">
        <w:rPr>
          <w:b w:val="0"/>
        </w:rPr>
        <w:t xml:space="preserve"> </w:t>
      </w:r>
      <w:r w:rsidR="00DB70EE" w:rsidRPr="00635993">
        <w:rPr>
          <w:b w:val="0"/>
        </w:rPr>
        <w:t xml:space="preserve">as </w:t>
      </w:r>
      <w:r w:rsidRPr="00635993">
        <w:rPr>
          <w:b w:val="0"/>
        </w:rPr>
        <w:t>poly-P</w:t>
      </w:r>
      <w:r w:rsidR="00E90B55">
        <w:rPr>
          <w:b w:val="0"/>
        </w:rPr>
        <w:t>i</w:t>
      </w:r>
      <w:r w:rsidRPr="00635993">
        <w:rPr>
          <w:b w:val="0"/>
        </w:rPr>
        <w:t xml:space="preserve"> granules. Pi shortly before reach</w:t>
      </w:r>
      <w:r w:rsidR="00DB70EE" w:rsidRPr="00635993">
        <w:rPr>
          <w:b w:val="0"/>
        </w:rPr>
        <w:t>ing</w:t>
      </w:r>
      <w:r w:rsidRPr="00635993">
        <w:rPr>
          <w:b w:val="0"/>
        </w:rPr>
        <w:t xml:space="preserve"> the Hartig net is release</w:t>
      </w:r>
      <w:r w:rsidR="00FD071B">
        <w:rPr>
          <w:b w:val="0"/>
        </w:rPr>
        <w:t>d from p</w:t>
      </w:r>
      <w:r w:rsidR="00E90B55">
        <w:rPr>
          <w:b w:val="0"/>
        </w:rPr>
        <w:t>oly-Pi</w:t>
      </w:r>
      <w:r w:rsidRPr="00635993">
        <w:rPr>
          <w:b w:val="0"/>
        </w:rPr>
        <w:t xml:space="preserve"> by </w:t>
      </w:r>
      <w:r w:rsidR="00FD071B">
        <w:rPr>
          <w:b w:val="0"/>
        </w:rPr>
        <w:t>poly-Pase</w:t>
      </w:r>
      <w:r w:rsidR="00B534DB">
        <w:rPr>
          <w:b w:val="0"/>
        </w:rPr>
        <w:t>s</w:t>
      </w:r>
      <w:r w:rsidRPr="00635993">
        <w:rPr>
          <w:b w:val="0"/>
        </w:rPr>
        <w:t xml:space="preserve"> and exported into the hyphal cytoplasm, possibly via vacuolar anion non-specific or Pi-specific channels. Next, Pi is transported into the symbiotic apoplastic space possibly via fungal plasma membrane Pi channels. Last, Pi is absorbed into the host plant by high-affinity </w:t>
      </w:r>
      <w:r w:rsidR="00FD071B">
        <w:rPr>
          <w:b w:val="0"/>
        </w:rPr>
        <w:t>Pi</w:t>
      </w:r>
      <w:r w:rsidRPr="00635993">
        <w:rPr>
          <w:b w:val="0"/>
        </w:rPr>
        <w:t xml:space="preserve"> transporters (belonging to PHT1 family) </w:t>
      </w:r>
      <w:r w:rsidR="00FD071B">
        <w:rPr>
          <w:b w:val="0"/>
        </w:rPr>
        <w:t>which</w:t>
      </w:r>
      <w:r w:rsidRPr="00635993">
        <w:rPr>
          <w:b w:val="0"/>
        </w:rPr>
        <w:t xml:space="preserve"> </w:t>
      </w:r>
      <w:r w:rsidR="00DB70EE" w:rsidRPr="00635993">
        <w:rPr>
          <w:b w:val="0"/>
        </w:rPr>
        <w:t xml:space="preserve">are </w:t>
      </w:r>
      <w:r w:rsidRPr="00635993">
        <w:rPr>
          <w:b w:val="0"/>
        </w:rPr>
        <w:t>localise</w:t>
      </w:r>
      <w:r w:rsidR="00DB70EE" w:rsidRPr="00635993">
        <w:rPr>
          <w:b w:val="0"/>
        </w:rPr>
        <w:t>d</w:t>
      </w:r>
      <w:r w:rsidRPr="00635993">
        <w:rPr>
          <w:b w:val="0"/>
        </w:rPr>
        <w:t xml:space="preserve"> on the plasma membrane of root epidermal cell</w:t>
      </w:r>
      <w:r w:rsidR="00DB70EE" w:rsidRPr="00635993">
        <w:rPr>
          <w:b w:val="0"/>
        </w:rPr>
        <w:t>s</w:t>
      </w:r>
      <w:r w:rsidRPr="00635993">
        <w:rPr>
          <w:b w:val="0"/>
        </w:rPr>
        <w:t xml:space="preserve"> (adapted from: </w:t>
      </w:r>
      <w:r w:rsidRPr="00635993">
        <w:rPr>
          <w:b w:val="0"/>
        </w:rPr>
        <w:fldChar w:fldCharType="begin" w:fldLock="1"/>
      </w:r>
      <w:r w:rsidR="00EE33AB">
        <w:rPr>
          <w:b w:val="0"/>
        </w:rPr>
        <w:instrText>ADDIN CSL_CITATION {"citationItems":[{"id":"ITEM-1","itemData":{"DOI":"10.1038/ncomms1046","ISSN":"2041-1723","PMID":"20975705","abstract":"Mycorrhizal fungi are a heterogeneous group of diverse fungal taxa, associated with the roots of over 90% of all plant species. Recently, state-of-the-art molecular and genetic tools, coupled to high-throughput sequencing and advanced microscopy, have led to the genome and transcriptome analysis of several symbionts. Signalling pathways between plants and fungi have now been described and the identification of several novel nutrient transporters has revealed some of the cellular processes that underlie symbiosis. Thus, the contributions of each partner in a mycorrhizal association are starting to be unravelled. This new knowledge is now available for use in agricultural practices.","author":[{"dropping-particle":"","family":"Bonfante","given":"Paola","non-dropping-particle":"","parse-names":false,"suffix":""},{"dropping-particle":"","family":"Genre","given":"Andrea","non-dropping-particle":"","parse-names":false,"suffix":""}],"container-title":"Nature communications","id":"ITEM-1","issue":"4","issued":{"date-parts":[["2010","1"]]},"page":"48","publisher":"Nature Publishing Group","title":"Mechanisms underlying beneficial plant-fungus interactions in mycorrhizal symbiosis.","type":"article-journal","volume":"1"},"uris":["http://www.mendeley.com/documents/?uuid=1eb56068-4d4a-4f1c-a2a7-1cc206b204ac"]},{"id":"ITEM-2","itemData":{"DOI":"10.1007/s11104-011-0731-0","ISBN":"1110401107310","ISSN":"0032-079X","author":[{"dropping-particle":"","family":"Cairney","given":"John W. G.","non-dropping-particle":"","parse-names":false,"suffix":""}],"container-title":"Plant and Soil","id":"ITEM-2","issue":"1-2","issued":{"date-parts":[["2011","2","20"]]},"page":"51-71","title":"Ectomycorrhizal fungi: the symbiotic route to the root for phosphorus in forest soils","type":"article-journal","volume":"344"},"uris":["http://www.mendeley.com/documents/?uuid=3c3b4a3f-ad9f-44ca-8a69-12912106b3c0"]},{"id":"ITEM-3","itemData":{"DOI":"10.1007/s00572-013-0496-9","ISSN":"1432-1890","PMID":"23572325","abstract":"Understanding the mechanisms that underlie nutrient use efficiency and carbon allocation along with mycorrhizal interactions is critical for managing croplands and forests soundly. Indeed, nutrient availability, uptake and exchange in biotrophic interactions drive plant growth and modulate biomass allocation. These parameters are crucial for plant yield, a major issue in the context of high biomass production. Transport processes across the polarized membrane interfaces are of major importance in the functioning of the established mycorrhizal association as the symbiotic relationship is based on a 'fair trade' between the fungus and the host plant. Nutrient and/or metabolite uptake and exchanges, at biotrophic interfaces, are controlled by membrane transporters whose regulation patterns are essential for determining the outcome of plant-fungus interactions and adapting to changes in soil nutrient quantity and/or quality. In the present review, we summarize the current state of the art regarding transport systems in the two major forms of mycorrhiza, namely ecto- and arbuscular mycorrhiza.","author":[{"dropping-particle":"","family":"Casieri","given":"Leonardo","non-dropping-particle":"","parse-names":false,"suffix":""},{"dropping-particle":"","family":"Ait Lahmidi","given":"Nassima","non-dropping-particle":"","parse-names":false,"suffix":""},{"dropping-particle":"","family":"Doidy","given":"Joan","non-dropping-particle":"","parse-names":false,"suffix":""},{"dropping-particle":"","family":"Veneault-Fourrey","given":"Claire","non-dropping-particle":"","parse-names":false,"suffix":""},{"dropping-particle":"","family":"Migeon","given":"Aude","non-dropping-particle":"","parse-names":false,"suffix":""},{"dropping-particle":"","family":"Bonneau","given":"Laurent","non-dropping-particle":"","parse-names":false,"suffix":""},{"dropping-particle":"","family":"Courty","given":"Pierre-Emmanuel","non-dropping-particle":"","parse-names":false,"suffix":""},{"dropping-particle":"","family":"Garcia","given":"Kevin","non-dropping-particle":"","parse-names":false,"suffix":""},{"dropping-particle":"","family":"Charbonnier","given":"Maryse","non-dropping-particle":"","parse-names":false,"suffix":""},{"dropping-particle":"","family":"Delteil","given":"Amandine","non-dropping-particle":"","parse-names":false,"suffix":""},{"dropping-particle":"","family":"Brun","given":"Annick","non-dropping-particle":"","parse-names":false,"suffix":""},{"dropping-particle":"","family":"Zimmermann","given":"Sabine","non-dropping-particle":"","parse-names":false,"suffix":""},{"dropping-particle":"","family":"Plassard","given":"Claude","non-dropping-particle":"","parse-names":false,"suffix":""},{"dropping-particle":"","family":"Wipf","given":"Daniel","non-dropping-particle":"","parse-names":false,"suffix":""}],"container-title":"Mycorrhiza","id":"ITEM-3","issue":"8","issued":{"date-parts":[["2013","11"]]},"page":"597-625","title":"Biotrophic transportome in mutualistic plant-fungal interactions.","type":"article-journal","volume":"23"},"uris":["http://www.mendeley.com/documents/?uuid=4969173b-4df2-4aad-a1ce-588c7c3102bf"]}],"mendeley":{"formattedCitation":"(Bonfante and Genre, 2010; Cairney, 2011; Casieri et al., 2013)","plainTextFormattedCitation":"(Bonfante and Genre, 2010; Cairney, 2011; Casieri et al., 2013)","previouslyFormattedCitation":"(Bonfante and Genre, 2010; Cairney, 2011; Casieri et al., 2013)"},"properties":{"noteIndex":0},"schema":"https://github.com/citation-style-language/schema/raw/master/csl-citation.json"}</w:instrText>
      </w:r>
      <w:r w:rsidRPr="00635993">
        <w:rPr>
          <w:b w:val="0"/>
        </w:rPr>
        <w:fldChar w:fldCharType="separate"/>
      </w:r>
      <w:r w:rsidRPr="00635993">
        <w:rPr>
          <w:b w:val="0"/>
          <w:noProof/>
        </w:rPr>
        <w:t>(Bonfante and Genre, 2010; Cairney, 2011; Casieri et al., 2013)</w:t>
      </w:r>
      <w:r w:rsidRPr="00635993">
        <w:rPr>
          <w:b w:val="0"/>
        </w:rPr>
        <w:fldChar w:fldCharType="end"/>
      </w:r>
      <w:r w:rsidRPr="00635993">
        <w:rPr>
          <w:b w:val="0"/>
        </w:rPr>
        <w:t xml:space="preserve">). </w:t>
      </w:r>
      <w:r w:rsidR="00F57213" w:rsidRPr="00F57213">
        <w:t>B.</w:t>
      </w:r>
      <w:r w:rsidR="00F57213">
        <w:rPr>
          <w:b w:val="0"/>
        </w:rPr>
        <w:t xml:space="preserve"> </w:t>
      </w:r>
      <w:r w:rsidRPr="00635993">
        <w:rPr>
          <w:b w:val="0"/>
        </w:rPr>
        <w:t>Putative mechanisms mediating</w:t>
      </w:r>
      <w:r w:rsidR="00DB70EE" w:rsidRPr="00635993">
        <w:rPr>
          <w:b w:val="0"/>
        </w:rPr>
        <w:t xml:space="preserve"> carbohydrate</w:t>
      </w:r>
      <w:r w:rsidR="00EB5A1B" w:rsidRPr="00635993">
        <w:rPr>
          <w:b w:val="0"/>
        </w:rPr>
        <w:t>s</w:t>
      </w:r>
      <w:r w:rsidRPr="00635993">
        <w:rPr>
          <w:b w:val="0"/>
        </w:rPr>
        <w:t xml:space="preserve"> allocation during EM symbiosis. It assumes that sucrose is released into the symbiotic apoplastic space via sucrose transporters (SUC/SUT), residing on the plasma membrane of root epidermal cells. Within the apoplast</w:t>
      </w:r>
      <w:r w:rsidR="00701AA0">
        <w:rPr>
          <w:b w:val="0"/>
        </w:rPr>
        <w:t>ic space</w:t>
      </w:r>
      <w:r w:rsidRPr="00635993">
        <w:rPr>
          <w:b w:val="0"/>
        </w:rPr>
        <w:t xml:space="preserve">, the disaccharide sucrose is hydrolysed by plant origin cell wall-bound invertases (CW-inv) into equimolar monosaccharides (fructose and glucose). It also assumes that glucose is transported into the fungal cytoplasm via monosaccharide transporters (MST), while fructose remains within </w:t>
      </w:r>
      <w:r w:rsidR="00701AA0">
        <w:rPr>
          <w:b w:val="0"/>
        </w:rPr>
        <w:t xml:space="preserve">the </w:t>
      </w:r>
      <w:r w:rsidRPr="00635993">
        <w:rPr>
          <w:b w:val="0"/>
        </w:rPr>
        <w:t>apoplast</w:t>
      </w:r>
      <w:r w:rsidR="00701AA0">
        <w:rPr>
          <w:b w:val="0"/>
        </w:rPr>
        <w:t>ic space</w:t>
      </w:r>
      <w:r w:rsidRPr="00635993">
        <w:rPr>
          <w:b w:val="0"/>
        </w:rPr>
        <w:t xml:space="preserve"> functioning as a regulatory molecule for invertase activity. Glucose within the fungal cytoplasm is phosphorylated (glucose-6-P) and further utilised for energy production (ATP, NADP) and anabolic processes or storage in the form of trehalose/mannitol or gly</w:t>
      </w:r>
      <w:r w:rsidR="00FD071B">
        <w:rPr>
          <w:b w:val="0"/>
        </w:rPr>
        <w:t>cogen. In particular, trehalose</w:t>
      </w:r>
      <w:r w:rsidRPr="00635993">
        <w:rPr>
          <w:b w:val="0"/>
        </w:rPr>
        <w:t>⁄mannit</w:t>
      </w:r>
      <w:r w:rsidR="00FD071B">
        <w:rPr>
          <w:b w:val="0"/>
        </w:rPr>
        <w:t>ol is used for long-distance carbohydrates</w:t>
      </w:r>
      <w:r w:rsidRPr="00635993">
        <w:rPr>
          <w:b w:val="0"/>
        </w:rPr>
        <w:t xml:space="preserve"> transport towards soil-growing hyphae (adapted from Nehls et al. (2010).</w:t>
      </w:r>
    </w:p>
    <w:p w14:paraId="2ABD1754" w14:textId="772605ED" w:rsidR="00223DC5" w:rsidRPr="00B46FB7" w:rsidRDefault="00223DC5" w:rsidP="00635993">
      <w:pPr>
        <w:pStyle w:val="Subtitle"/>
        <w:pBdr>
          <w:top w:val="single" w:sz="4" w:space="1" w:color="auto"/>
        </w:pBdr>
      </w:pPr>
      <w:r w:rsidRPr="00223DC5">
        <w:br w:type="page"/>
      </w:r>
    </w:p>
    <w:p w14:paraId="3334ADD6" w14:textId="5099C87C" w:rsidR="00223DC5" w:rsidRPr="00223DC5" w:rsidRDefault="00223DC5" w:rsidP="00635993">
      <w:pPr>
        <w:pStyle w:val="Heading1"/>
      </w:pPr>
      <w:bookmarkStart w:id="49" w:name="_Toc507603963"/>
      <w:bookmarkStart w:id="50" w:name="_Toc507604230"/>
      <w:bookmarkStart w:id="51" w:name="_Toc519016947"/>
      <w:bookmarkStart w:id="52" w:name="_Toc520837845"/>
      <w:r w:rsidRPr="00223DC5">
        <w:lastRenderedPageBreak/>
        <w:t>1.</w:t>
      </w:r>
      <w:r w:rsidR="00F76F40">
        <w:t>6</w:t>
      </w:r>
      <w:r w:rsidRPr="00223DC5">
        <w:t xml:space="preserve"> Aim, hypotheses and objectives</w:t>
      </w:r>
      <w:bookmarkEnd w:id="49"/>
      <w:bookmarkEnd w:id="50"/>
      <w:bookmarkEnd w:id="51"/>
      <w:bookmarkEnd w:id="52"/>
    </w:p>
    <w:p w14:paraId="06FDA6B0" w14:textId="154B15B6" w:rsidR="00223DC5" w:rsidRPr="00223DC5" w:rsidRDefault="00223DC5" w:rsidP="00635993">
      <w:pPr>
        <w:pStyle w:val="Heading2"/>
      </w:pPr>
      <w:bookmarkStart w:id="53" w:name="_Toc507603964"/>
      <w:bookmarkStart w:id="54" w:name="_Toc507604231"/>
      <w:bookmarkStart w:id="55" w:name="_Toc519016948"/>
      <w:bookmarkStart w:id="56" w:name="_Toc520837846"/>
      <w:r w:rsidRPr="00223DC5">
        <w:t>1.</w:t>
      </w:r>
      <w:r w:rsidR="00F76F40">
        <w:t>6</w:t>
      </w:r>
      <w:r w:rsidRPr="00223DC5">
        <w:t>.1 Aim</w:t>
      </w:r>
      <w:bookmarkEnd w:id="53"/>
      <w:bookmarkEnd w:id="54"/>
      <w:bookmarkEnd w:id="55"/>
      <w:bookmarkEnd w:id="56"/>
      <w:r w:rsidRPr="00223DC5">
        <w:t xml:space="preserve"> </w:t>
      </w:r>
    </w:p>
    <w:p w14:paraId="4BF06D67" w14:textId="56237E53" w:rsidR="00223DC5" w:rsidRPr="00223DC5" w:rsidRDefault="00223DC5" w:rsidP="003F7054">
      <w:r w:rsidRPr="00223DC5">
        <w:t>The aim of this work is to study how EM</w:t>
      </w:r>
      <w:r w:rsidR="00F76F40">
        <w:t>F</w:t>
      </w:r>
      <w:r w:rsidRPr="00223DC5">
        <w:t xml:space="preserve"> regulate phosphate mineral weathering and Pi uptake at the molecular level. Hence, the central aim of this research is primarily to identify the EM</w:t>
      </w:r>
      <w:r w:rsidR="00F76F40">
        <w:t xml:space="preserve"> fungal </w:t>
      </w:r>
      <w:r w:rsidRPr="00223DC5">
        <w:t xml:space="preserve">genes that are essential for the weathering of </w:t>
      </w:r>
      <w:r w:rsidR="008901A1">
        <w:t xml:space="preserve">Pi-rich mineral </w:t>
      </w:r>
      <w:r w:rsidR="00701AA0">
        <w:t>HAP</w:t>
      </w:r>
      <w:r w:rsidRPr="00223DC5">
        <w:t xml:space="preserve"> at the </w:t>
      </w:r>
      <w:r w:rsidR="008901A1" w:rsidRPr="00223DC5">
        <w:t>fungus</w:t>
      </w:r>
      <w:r w:rsidRPr="00223DC5">
        <w:t>-</w:t>
      </w:r>
      <w:r w:rsidR="008901A1" w:rsidRPr="00223DC5">
        <w:t xml:space="preserve">mineral </w:t>
      </w:r>
      <w:r w:rsidRPr="00223DC5">
        <w:t>interface. Besides the regulation of Pi uptake by the EM</w:t>
      </w:r>
      <w:r w:rsidR="008901A1">
        <w:t>F</w:t>
      </w:r>
      <w:r w:rsidRPr="00223DC5">
        <w:t xml:space="preserve"> hyphae in response to </w:t>
      </w:r>
      <w:r w:rsidR="00701AA0">
        <w:t>HAP</w:t>
      </w:r>
      <w:r w:rsidRPr="00223DC5">
        <w:t xml:space="preserve"> solubilisation is equally important. The accomplishment of this research w</w:t>
      </w:r>
      <w:r w:rsidR="006A5716">
        <w:t>ill</w:t>
      </w:r>
      <w:r w:rsidRPr="00223DC5">
        <w:t xml:space="preserve"> be crucial in understanding the molecular mechanisms that underlie biological weathering of phosphate minerals driven by EMF as well as EM symbiosis.</w:t>
      </w:r>
    </w:p>
    <w:p w14:paraId="61A1DC7C" w14:textId="77777777" w:rsidR="00223DC5" w:rsidRPr="00223DC5" w:rsidRDefault="00223DC5" w:rsidP="007F746A"/>
    <w:p w14:paraId="1994799C" w14:textId="4902884D" w:rsidR="00223DC5" w:rsidRPr="00223DC5" w:rsidRDefault="00223DC5" w:rsidP="00635993">
      <w:pPr>
        <w:pStyle w:val="Heading2"/>
      </w:pPr>
      <w:bookmarkStart w:id="57" w:name="_Toc507603965"/>
      <w:bookmarkStart w:id="58" w:name="_Toc507604232"/>
      <w:bookmarkStart w:id="59" w:name="_Toc519016949"/>
      <w:bookmarkStart w:id="60" w:name="_Toc520837847"/>
      <w:r w:rsidRPr="00223DC5">
        <w:t>1.</w:t>
      </w:r>
      <w:r w:rsidR="00F76F40">
        <w:t>6</w:t>
      </w:r>
      <w:r w:rsidRPr="00223DC5">
        <w:t>.2 Hypotheses</w:t>
      </w:r>
      <w:bookmarkEnd w:id="57"/>
      <w:bookmarkEnd w:id="58"/>
      <w:bookmarkEnd w:id="59"/>
      <w:bookmarkEnd w:id="60"/>
    </w:p>
    <w:p w14:paraId="700A131C" w14:textId="77777777" w:rsidR="00223DC5" w:rsidRPr="00223DC5" w:rsidRDefault="00223DC5" w:rsidP="00635993">
      <w:r w:rsidRPr="00223DC5">
        <w:t>The research presented in the thesis follows three main hypotheses:</w:t>
      </w:r>
    </w:p>
    <w:p w14:paraId="4D8C1747" w14:textId="114427B5" w:rsidR="00223DC5" w:rsidRPr="00223DC5" w:rsidRDefault="00F76F40" w:rsidP="003F7054">
      <w:r>
        <w:t>1.</w:t>
      </w:r>
      <w:r w:rsidR="00223DC5" w:rsidRPr="00223DC5">
        <w:t xml:space="preserve"> </w:t>
      </w:r>
      <w:r w:rsidR="00223DC5" w:rsidRPr="00223DC5">
        <w:rPr>
          <w:i/>
        </w:rPr>
        <w:t>P. involutus</w:t>
      </w:r>
      <w:r w:rsidR="00223DC5" w:rsidRPr="00223DC5">
        <w:t xml:space="preserve"> high-affinity Pi transporters which mediate Pi uptake at the </w:t>
      </w:r>
      <w:r w:rsidR="00E15778" w:rsidRPr="00223DC5">
        <w:t>fungus-mineral</w:t>
      </w:r>
      <w:r w:rsidR="00223DC5" w:rsidRPr="00223DC5">
        <w:t xml:space="preserve"> interface will be transcriptionally upregulated in response t</w:t>
      </w:r>
      <w:r w:rsidR="00877B3F">
        <w:t>o low Pi availability, and down</w:t>
      </w:r>
      <w:r w:rsidR="00223DC5" w:rsidRPr="00223DC5">
        <w:t>regulated in response to high Pi av</w:t>
      </w:r>
      <w:r w:rsidR="00701AA0">
        <w:t>ailability from HAP</w:t>
      </w:r>
      <w:r w:rsidR="00223DC5" w:rsidRPr="00223DC5">
        <w:t xml:space="preserve"> solubilisation. Additionally, EM symbiosis will affect the expression of fungal genes differentially regulated during </w:t>
      </w:r>
      <w:r w:rsidR="00E15778">
        <w:t>low Pi availability</w:t>
      </w:r>
      <w:r w:rsidR="00223DC5" w:rsidRPr="00223DC5">
        <w:t>.</w:t>
      </w:r>
    </w:p>
    <w:p w14:paraId="1265CD3F" w14:textId="2B9C7F59" w:rsidR="00223DC5" w:rsidRPr="00223DC5" w:rsidRDefault="00F76F40" w:rsidP="007F746A">
      <w:r>
        <w:t>2.</w:t>
      </w:r>
      <w:r w:rsidR="00223DC5" w:rsidRPr="00223DC5">
        <w:t xml:space="preserve"> </w:t>
      </w:r>
      <w:r w:rsidR="00223DC5" w:rsidRPr="00223DC5">
        <w:rPr>
          <w:i/>
        </w:rPr>
        <w:t>P. involutus</w:t>
      </w:r>
      <w:r w:rsidR="00223DC5" w:rsidRPr="00223DC5">
        <w:t xml:space="preserve"> genes actively involved in the solubilisation of phosphate minerals mainly encode for transporters such as LMWOA transporters and H</w:t>
      </w:r>
      <w:r w:rsidR="00223DC5" w:rsidRPr="00223DC5">
        <w:rPr>
          <w:vertAlign w:val="superscript"/>
        </w:rPr>
        <w:t>+</w:t>
      </w:r>
      <w:r w:rsidR="00C501AE">
        <w:t>-ATPases, and will be up</w:t>
      </w:r>
      <w:r w:rsidR="00223DC5" w:rsidRPr="00223DC5">
        <w:t>regulate</w:t>
      </w:r>
      <w:r w:rsidR="00701AA0">
        <w:t>d in response to HAP</w:t>
      </w:r>
      <w:r w:rsidR="00223DC5" w:rsidRPr="00223DC5">
        <w:t xml:space="preserve"> weathering at the </w:t>
      </w:r>
      <w:r w:rsidR="008901A1" w:rsidRPr="00223DC5">
        <w:t>fungus-mineral</w:t>
      </w:r>
      <w:r w:rsidR="00223DC5" w:rsidRPr="00223DC5">
        <w:t xml:space="preserve"> interface. EM symbiosis will either enhance the expression of these genes or trigger a different suite of weathering genes in </w:t>
      </w:r>
      <w:r w:rsidR="00223DC5" w:rsidRPr="00223DC5">
        <w:rPr>
          <w:i/>
        </w:rPr>
        <w:t>P. involutus</w:t>
      </w:r>
      <w:r w:rsidR="00223DC5" w:rsidRPr="00223DC5">
        <w:t>.</w:t>
      </w:r>
    </w:p>
    <w:p w14:paraId="1CACEEF2" w14:textId="7F47567A" w:rsidR="00833ACB" w:rsidRPr="00223DC5" w:rsidRDefault="00F76F40" w:rsidP="007C3C15">
      <w:r>
        <w:t>3.</w:t>
      </w:r>
      <w:r w:rsidR="008901A1">
        <w:t xml:space="preserve"> LMWOA</w:t>
      </w:r>
      <w:r w:rsidR="00223DC5" w:rsidRPr="00223DC5">
        <w:t xml:space="preserve"> will be the main metabolites excreted at the </w:t>
      </w:r>
      <w:r w:rsidR="008901A1" w:rsidRPr="00223DC5">
        <w:t>fungus-mineral</w:t>
      </w:r>
      <w:r w:rsidR="00223DC5" w:rsidRPr="00223DC5">
        <w:t xml:space="preserve"> interfa</w:t>
      </w:r>
      <w:r w:rsidR="00701AA0">
        <w:t>ce in response to HAP</w:t>
      </w:r>
      <w:r w:rsidR="00223DC5" w:rsidRPr="00223DC5">
        <w:t xml:space="preserve"> solubilisation, and their secretion will be additionally enhanced by the presence of </w:t>
      </w:r>
      <w:r w:rsidR="008901A1">
        <w:t xml:space="preserve">EM </w:t>
      </w:r>
      <w:r w:rsidR="00223DC5" w:rsidRPr="00223DC5">
        <w:t>symbiosis.</w:t>
      </w:r>
      <w:r w:rsidR="003413D4">
        <w:t xml:space="preserve"> Presumably, oxalic acid will be among the most abundant LMWOA produced in response to HAP solubilisation.</w:t>
      </w:r>
    </w:p>
    <w:p w14:paraId="49CA5EB0" w14:textId="77777777" w:rsidR="00223DC5" w:rsidRPr="00223DC5" w:rsidRDefault="00223DC5" w:rsidP="007C3C15"/>
    <w:p w14:paraId="739F67F1" w14:textId="7CC8D9BB" w:rsidR="00223DC5" w:rsidRPr="00223DC5" w:rsidRDefault="00223DC5" w:rsidP="00635993">
      <w:pPr>
        <w:pStyle w:val="Heading2"/>
      </w:pPr>
      <w:bookmarkStart w:id="61" w:name="_Toc507603966"/>
      <w:bookmarkStart w:id="62" w:name="_Toc507604233"/>
      <w:bookmarkStart w:id="63" w:name="_Toc519016950"/>
      <w:bookmarkStart w:id="64" w:name="_Toc520837848"/>
      <w:r w:rsidRPr="00223DC5">
        <w:lastRenderedPageBreak/>
        <w:t>1.</w:t>
      </w:r>
      <w:r w:rsidR="00F76F40">
        <w:t>6</w:t>
      </w:r>
      <w:r w:rsidRPr="00223DC5">
        <w:t>.3 Objectives</w:t>
      </w:r>
      <w:bookmarkEnd w:id="61"/>
      <w:bookmarkEnd w:id="62"/>
      <w:bookmarkEnd w:id="63"/>
      <w:bookmarkEnd w:id="64"/>
    </w:p>
    <w:p w14:paraId="456378DE" w14:textId="555A7519" w:rsidR="00223DC5" w:rsidRPr="00223DC5" w:rsidRDefault="00223DC5" w:rsidP="003F7054">
      <w:r w:rsidRPr="00223DC5">
        <w:t xml:space="preserve">1. Development of a Pi-varying system allowing </w:t>
      </w:r>
      <w:r w:rsidR="00F76F40">
        <w:t>the</w:t>
      </w:r>
      <w:r w:rsidRPr="00223DC5">
        <w:t xml:space="preserve"> reliabl</w:t>
      </w:r>
      <w:r w:rsidR="00F76F40">
        <w:t>e</w:t>
      </w:r>
      <w:r w:rsidRPr="00223DC5">
        <w:t xml:space="preserve"> study </w:t>
      </w:r>
      <w:r w:rsidR="00F76F40">
        <w:t xml:space="preserve">of </w:t>
      </w:r>
      <w:r w:rsidRPr="00223DC5">
        <w:rPr>
          <w:i/>
        </w:rPr>
        <w:t>P. involutus</w:t>
      </w:r>
      <w:r w:rsidRPr="00223DC5">
        <w:t xml:space="preserve"> response</w:t>
      </w:r>
      <w:r w:rsidR="00F76F40">
        <w:t>s</w:t>
      </w:r>
      <w:r w:rsidRPr="00223DC5">
        <w:t xml:space="preserve"> to low or high availability of Pi (Chapter 2). Development of an active </w:t>
      </w:r>
      <w:r w:rsidR="00701AA0">
        <w:t>HAP</w:t>
      </w:r>
      <w:r w:rsidRPr="00223DC5">
        <w:t xml:space="preserve"> weathering system</w:t>
      </w:r>
      <w:r w:rsidR="008901A1">
        <w:t>, in which</w:t>
      </w:r>
      <w:r w:rsidRPr="00223DC5">
        <w:t xml:space="preserve"> the solubilisation of the phosp</w:t>
      </w:r>
      <w:r w:rsidR="00701AA0">
        <w:t>hate-rich mineral HAP</w:t>
      </w:r>
      <w:r w:rsidRPr="00223DC5">
        <w:t xml:space="preserve"> by </w:t>
      </w:r>
      <w:r w:rsidRPr="00223DC5">
        <w:rPr>
          <w:i/>
        </w:rPr>
        <w:t>P. involutus</w:t>
      </w:r>
      <w:r w:rsidRPr="00223DC5">
        <w:t xml:space="preserve"> is tested by </w:t>
      </w:r>
      <w:r w:rsidR="00DF1650">
        <w:t>s</w:t>
      </w:r>
      <w:r w:rsidR="00DF1650" w:rsidRPr="00DF1650">
        <w:t xml:space="preserve">canning electron microscopy and electron dispersive X-ray spectroscopy </w:t>
      </w:r>
      <w:r w:rsidR="00DF1650">
        <w:t>(SEM-EDX) analysis (Chapter 4).</w:t>
      </w:r>
    </w:p>
    <w:p w14:paraId="1420C148" w14:textId="2FC4B1E8" w:rsidR="00223DC5" w:rsidRPr="00223DC5" w:rsidRDefault="00223DC5" w:rsidP="007F746A">
      <w:r w:rsidRPr="00223DC5">
        <w:t>2. Identification through bioinformatic an</w:t>
      </w:r>
      <w:r w:rsidR="002B3872">
        <w:t>alysis and literature search of (</w:t>
      </w:r>
      <w:r w:rsidRPr="00223DC5">
        <w:t xml:space="preserve">a) </w:t>
      </w:r>
      <w:r w:rsidRPr="00223DC5">
        <w:rPr>
          <w:i/>
        </w:rPr>
        <w:t>P. involutus</w:t>
      </w:r>
      <w:r w:rsidRPr="00223DC5">
        <w:t xml:space="preserve"> Pi-transporter genes that are putatively involve</w:t>
      </w:r>
      <w:r w:rsidR="002B3872">
        <w:t>d in the Pi-uptake (Chapter 2) and (</w:t>
      </w:r>
      <w:r w:rsidRPr="00223DC5">
        <w:t xml:space="preserve">b) </w:t>
      </w:r>
      <w:r w:rsidRPr="00223DC5">
        <w:rPr>
          <w:i/>
        </w:rPr>
        <w:t>P. involutus</w:t>
      </w:r>
      <w:r w:rsidRPr="00223DC5">
        <w:t xml:space="preserve"> genes putatively involved in </w:t>
      </w:r>
      <w:r w:rsidR="00701AA0">
        <w:t>HAP</w:t>
      </w:r>
      <w:r w:rsidRPr="00223DC5">
        <w:t xml:space="preserve"> </w:t>
      </w:r>
      <w:r w:rsidR="00421338">
        <w:t>mineral weathering (Chapter 4).</w:t>
      </w:r>
    </w:p>
    <w:p w14:paraId="47A39875" w14:textId="0C80FE41" w:rsidR="00223DC5" w:rsidRPr="00223DC5" w:rsidRDefault="00223DC5" w:rsidP="00FB36B8">
      <w:r w:rsidRPr="00223DC5">
        <w:t>3. Development and optimisation of a re</w:t>
      </w:r>
      <w:r w:rsidR="006A5716">
        <w:t>producible</w:t>
      </w:r>
      <w:r w:rsidRPr="00223DC5">
        <w:t xml:space="preserve"> method for </w:t>
      </w:r>
      <w:r w:rsidR="006A5716">
        <w:t xml:space="preserve">EM </w:t>
      </w:r>
      <w:r w:rsidRPr="00223DC5">
        <w:t xml:space="preserve">fungal RNA extraction. The RNA will be initially converted into cDNA and used for gene expression analysis of putative </w:t>
      </w:r>
      <w:r w:rsidRPr="00223DC5">
        <w:rPr>
          <w:i/>
        </w:rPr>
        <w:t>P. involutus</w:t>
      </w:r>
      <w:r w:rsidRPr="00223DC5">
        <w:t xml:space="preserve"> </w:t>
      </w:r>
      <w:r w:rsidR="00701AA0">
        <w:t>HAP</w:t>
      </w:r>
      <w:r w:rsidRPr="00223DC5">
        <w:t xml:space="preserve"> weathering genes </w:t>
      </w:r>
      <w:r w:rsidR="008901A1">
        <w:t>and/</w:t>
      </w:r>
      <w:r w:rsidRPr="00223DC5">
        <w:t xml:space="preserve">or Pi transporters by </w:t>
      </w:r>
      <w:r w:rsidR="00421338">
        <w:t>semi-</w:t>
      </w:r>
      <w:r w:rsidR="00421338" w:rsidRPr="00223DC5">
        <w:t xml:space="preserve">quantitative </w:t>
      </w:r>
      <w:r w:rsidRPr="00223DC5">
        <w:t xml:space="preserve">reverse transcription </w:t>
      </w:r>
      <w:r w:rsidR="00683234" w:rsidRPr="000D7D3D">
        <w:t>polymerase chain reaction</w:t>
      </w:r>
      <w:r w:rsidRPr="00223DC5">
        <w:t xml:space="preserve"> (</w:t>
      </w:r>
      <w:r w:rsidR="00421338" w:rsidRPr="00223DC5">
        <w:t>q</w:t>
      </w:r>
      <w:r w:rsidRPr="00223DC5">
        <w:t>RT-PCR</w:t>
      </w:r>
      <w:r w:rsidR="002B3872">
        <w:t>)</w:t>
      </w:r>
      <w:r w:rsidRPr="00223DC5">
        <w:t xml:space="preserve"> </w:t>
      </w:r>
      <w:r w:rsidR="002B3872">
        <w:t>(</w:t>
      </w:r>
      <w:r w:rsidRPr="00223DC5">
        <w:t xml:space="preserve">Chapters 2 and 4). Subsequently, RNA of sufficiently high quality will be used for whole-transcriptome </w:t>
      </w:r>
      <w:r w:rsidR="002B3872">
        <w:t xml:space="preserve">RNA sequencing </w:t>
      </w:r>
      <w:r w:rsidR="002B3872" w:rsidRPr="00223DC5">
        <w:t>(RNA-seq</w:t>
      </w:r>
      <w:r w:rsidR="002B3872">
        <w:t>)</w:t>
      </w:r>
      <w:r w:rsidR="002B3872" w:rsidRPr="00223DC5">
        <w:t xml:space="preserve"> </w:t>
      </w:r>
      <w:r w:rsidRPr="00223DC5">
        <w:t xml:space="preserve">analysis </w:t>
      </w:r>
      <w:r w:rsidR="002B3872">
        <w:t>(</w:t>
      </w:r>
      <w:r w:rsidRPr="00223DC5">
        <w:t>Chapters 3 and 5).</w:t>
      </w:r>
    </w:p>
    <w:p w14:paraId="6A1CAE46" w14:textId="445C054C" w:rsidR="00223DC5" w:rsidRPr="00223DC5" w:rsidRDefault="00223DC5" w:rsidP="007C3C15">
      <w:r w:rsidRPr="00223DC5">
        <w:t xml:space="preserve">4. Identification of novel </w:t>
      </w:r>
      <w:r w:rsidRPr="00223DC5">
        <w:rPr>
          <w:i/>
        </w:rPr>
        <w:t>P. involutus</w:t>
      </w:r>
      <w:r w:rsidRPr="00223DC5">
        <w:t xml:space="preserve"> genes involved in the regulation of Pi uptake by RNA-seq analysis (Chapter 3). Identification of novel </w:t>
      </w:r>
      <w:r w:rsidRPr="00223DC5">
        <w:rPr>
          <w:i/>
        </w:rPr>
        <w:t>P. involutus</w:t>
      </w:r>
      <w:r w:rsidRPr="00223DC5">
        <w:t xml:space="preserve"> genes involved in the solubilisation of </w:t>
      </w:r>
      <w:r w:rsidR="00701AA0">
        <w:t>HAP</w:t>
      </w:r>
      <w:r w:rsidRPr="00223DC5">
        <w:t xml:space="preserve"> b</w:t>
      </w:r>
      <w:r w:rsidR="002B3872">
        <w:t>y RNA-seq analysis (Chapter 5).</w:t>
      </w:r>
    </w:p>
    <w:p w14:paraId="6956913D" w14:textId="27E9EBA6" w:rsidR="00223DC5" w:rsidRPr="00223DC5" w:rsidRDefault="00223DC5" w:rsidP="007C3C15">
      <w:r w:rsidRPr="00223DC5">
        <w:t xml:space="preserve">5. Isolation of metabolites secreted at the fungal-mineral interface </w:t>
      </w:r>
      <w:r w:rsidR="002B3872">
        <w:t>with</w:t>
      </w:r>
      <w:r w:rsidRPr="00223DC5">
        <w:t xml:space="preserve">in the active </w:t>
      </w:r>
      <w:r w:rsidR="00701AA0">
        <w:t>HAP</w:t>
      </w:r>
      <w:r w:rsidRPr="00223DC5">
        <w:t xml:space="preserve"> weathering</w:t>
      </w:r>
      <w:r w:rsidR="006A5716">
        <w:t xml:space="preserve"> system for metabolomic</w:t>
      </w:r>
      <w:r w:rsidRPr="00223DC5">
        <w:t xml:space="preserve"> </w:t>
      </w:r>
      <w:r w:rsidR="006A5716">
        <w:t>analysis</w:t>
      </w:r>
      <w:r w:rsidRPr="00223DC5">
        <w:t xml:space="preserve"> through </w:t>
      </w:r>
      <w:r w:rsidR="006D678A" w:rsidRPr="000D7D3D">
        <w:t>ultra-high performance liquid chromatography-quadrupole time-of-flight mass spectrometry (</w:t>
      </w:r>
      <w:r w:rsidR="006D678A" w:rsidRPr="000D7D3D">
        <w:rPr>
          <w:rFonts w:cs="Arial"/>
        </w:rPr>
        <w:t>UPLC-Q-TOF-MS</w:t>
      </w:r>
      <w:r w:rsidR="006D678A">
        <w:t xml:space="preserve">) </w:t>
      </w:r>
      <w:r w:rsidRPr="00223DC5">
        <w:t>(Chapter 5).</w:t>
      </w:r>
    </w:p>
    <w:p w14:paraId="390EBAE2" w14:textId="77777777" w:rsidR="00223DC5" w:rsidRPr="00223DC5" w:rsidRDefault="00223DC5" w:rsidP="007C3C15"/>
    <w:p w14:paraId="05245542" w14:textId="7DD15133" w:rsidR="00223DC5" w:rsidRPr="00223DC5" w:rsidRDefault="00223DC5" w:rsidP="00635993">
      <w:pPr>
        <w:pStyle w:val="Heading2"/>
      </w:pPr>
      <w:bookmarkStart w:id="65" w:name="_Toc507603967"/>
      <w:bookmarkStart w:id="66" w:name="_Toc507604234"/>
      <w:bookmarkStart w:id="67" w:name="_Toc519016951"/>
      <w:bookmarkStart w:id="68" w:name="_Toc520837849"/>
      <w:r w:rsidRPr="00223DC5">
        <w:t>1.</w:t>
      </w:r>
      <w:r w:rsidR="002C7308">
        <w:t>6</w:t>
      </w:r>
      <w:r w:rsidRPr="00223DC5">
        <w:t>.4 Overview of experimental chapters</w:t>
      </w:r>
      <w:bookmarkEnd w:id="65"/>
      <w:bookmarkEnd w:id="66"/>
      <w:bookmarkEnd w:id="67"/>
      <w:bookmarkEnd w:id="68"/>
    </w:p>
    <w:p w14:paraId="1540FD97" w14:textId="79B8706E" w:rsidR="00223DC5" w:rsidRPr="00223DC5" w:rsidRDefault="00223DC5" w:rsidP="00BC0767">
      <w:r w:rsidRPr="00223DC5">
        <w:t xml:space="preserve">The first part of this work investigates the response of </w:t>
      </w:r>
      <w:r w:rsidRPr="00223DC5">
        <w:rPr>
          <w:i/>
        </w:rPr>
        <w:t>P. involutus</w:t>
      </w:r>
      <w:r w:rsidRPr="00223DC5">
        <w:t xml:space="preserve"> to varying Pi availability, and mainly seeks to answer how Pi availability regulates the expression of </w:t>
      </w:r>
      <w:r w:rsidRPr="00223DC5">
        <w:rPr>
          <w:i/>
        </w:rPr>
        <w:t>P. involutus</w:t>
      </w:r>
      <w:r w:rsidRPr="00223DC5">
        <w:t xml:space="preserve"> Pi transporters. For this study, axenic systems have been developed </w:t>
      </w:r>
      <w:r w:rsidR="00F76F40">
        <w:t xml:space="preserve">in </w:t>
      </w:r>
      <w:r w:rsidR="002D55B4">
        <w:t>both non-symbiotic</w:t>
      </w:r>
      <w:r w:rsidRPr="00223DC5">
        <w:t xml:space="preserve"> </w:t>
      </w:r>
      <w:r w:rsidR="002D55B4">
        <w:t xml:space="preserve">(NS) </w:t>
      </w:r>
      <w:r w:rsidRPr="00223DC5">
        <w:t>and symbiotic</w:t>
      </w:r>
      <w:r w:rsidR="002D55B4">
        <w:t xml:space="preserve"> (S)</w:t>
      </w:r>
      <w:r w:rsidRPr="00223DC5">
        <w:t xml:space="preserve"> </w:t>
      </w:r>
      <w:r w:rsidR="002D55B4">
        <w:t xml:space="preserve">systems </w:t>
      </w:r>
      <w:r w:rsidRPr="00223DC5">
        <w:t xml:space="preserve">which vary in Pi content. The expression </w:t>
      </w:r>
      <w:r w:rsidRPr="00223DC5">
        <w:lastRenderedPageBreak/>
        <w:t xml:space="preserve">of </w:t>
      </w:r>
      <w:r w:rsidRPr="00223DC5">
        <w:rPr>
          <w:i/>
        </w:rPr>
        <w:t>P. involutus</w:t>
      </w:r>
      <w:r w:rsidRPr="00223DC5">
        <w:t xml:space="preserve"> Pi transporter genes</w:t>
      </w:r>
      <w:r w:rsidR="001B185C">
        <w:t xml:space="preserve"> (</w:t>
      </w:r>
      <w:r w:rsidR="001B185C" w:rsidRPr="001B185C">
        <w:rPr>
          <w:i/>
        </w:rPr>
        <w:t>PiPTs</w:t>
      </w:r>
      <w:r w:rsidR="001B185C">
        <w:t>)</w:t>
      </w:r>
      <w:r w:rsidRPr="00223DC5">
        <w:t xml:space="preserve">, which have been identified via bioinformatics, has been studied at the gene transcription level by qRT-PCR. According to this study, </w:t>
      </w:r>
      <w:r w:rsidR="001B185C" w:rsidRPr="001B185C">
        <w:rPr>
          <w:i/>
        </w:rPr>
        <w:t>PiPTs</w:t>
      </w:r>
      <w:r w:rsidR="001B185C" w:rsidRPr="00223DC5">
        <w:t xml:space="preserve"> </w:t>
      </w:r>
      <w:r w:rsidRPr="00223DC5">
        <w:t xml:space="preserve">are transcriptionally active when Pi availability is low (0.15-3.67 μM), indicating that Pi uptake operates via high-affinity Pi transporters, as shown in Chapter 2. Additionally, the transcriptome of </w:t>
      </w:r>
      <w:r w:rsidRPr="00223DC5">
        <w:rPr>
          <w:i/>
        </w:rPr>
        <w:t>P. involutus</w:t>
      </w:r>
      <w:r w:rsidRPr="00223DC5">
        <w:t xml:space="preserve"> hyphae during the same experimental conditions of Pi availability has </w:t>
      </w:r>
      <w:r w:rsidR="00F76F40">
        <w:t xml:space="preserve">been </w:t>
      </w:r>
      <w:r w:rsidRPr="00223DC5">
        <w:t>studied using RNA-seq whole transcri</w:t>
      </w:r>
      <w:r w:rsidR="000B223C">
        <w:t>ptome analysis. The outcome of</w:t>
      </w:r>
      <w:r w:rsidRPr="00223DC5">
        <w:t xml:space="preserve"> this study provided valuable information on the Pi uptake and its regulation by the EM</w:t>
      </w:r>
      <w:r w:rsidR="00F76F40">
        <w:t xml:space="preserve"> fungal</w:t>
      </w:r>
      <w:r w:rsidRPr="00223DC5">
        <w:t xml:space="preserve"> hyphae during symbiosis or not while experiencing varying conditions of Pi availability. For instance, EM symbiosis enhances the expression of the </w:t>
      </w:r>
      <w:r w:rsidRPr="00223DC5">
        <w:rPr>
          <w:i/>
        </w:rPr>
        <w:t>P. involutus</w:t>
      </w:r>
      <w:r w:rsidRPr="00223DC5">
        <w:t xml:space="preserve"> Pi transporter </w:t>
      </w:r>
      <w:r w:rsidRPr="00BC0767">
        <w:rPr>
          <w:i/>
        </w:rPr>
        <w:t>PiPT4</w:t>
      </w:r>
      <w:r w:rsidRPr="00223DC5">
        <w:t xml:space="preserve"> in conditions of low Pi availability, providing a possible mechanism by which </w:t>
      </w:r>
      <w:r w:rsidRPr="00223DC5">
        <w:rPr>
          <w:i/>
        </w:rPr>
        <w:t>P</w:t>
      </w:r>
      <w:r w:rsidR="002D55B4">
        <w:rPr>
          <w:i/>
        </w:rPr>
        <w:t>.</w:t>
      </w:r>
      <w:r w:rsidRPr="00223DC5">
        <w:rPr>
          <w:i/>
        </w:rPr>
        <w:t xml:space="preserve"> sylvestris</w:t>
      </w:r>
      <w:r w:rsidR="00701AA0">
        <w:t xml:space="preserve"> seedlings</w:t>
      </w:r>
      <w:r w:rsidRPr="00223DC5">
        <w:t xml:space="preserve"> can enhance fungal Pi uptake in conditions of low Pi availability. The results of this analysis are presented in Chapter 3.</w:t>
      </w:r>
    </w:p>
    <w:p w14:paraId="794D43EC" w14:textId="638BCCDD" w:rsidR="00223DC5" w:rsidRPr="00223DC5" w:rsidRDefault="00223DC5" w:rsidP="003F7054">
      <w:pPr>
        <w:ind w:firstLine="720"/>
      </w:pPr>
      <w:r w:rsidRPr="00223DC5">
        <w:t>In the second part, genes of the EM</w:t>
      </w:r>
      <w:r w:rsidR="002C7308">
        <w:t xml:space="preserve"> fungus</w:t>
      </w:r>
      <w:r w:rsidRPr="00223DC5">
        <w:t xml:space="preserve"> </w:t>
      </w:r>
      <w:r w:rsidRPr="00223DC5">
        <w:rPr>
          <w:i/>
        </w:rPr>
        <w:t>P</w:t>
      </w:r>
      <w:r w:rsidR="002C7308">
        <w:rPr>
          <w:i/>
        </w:rPr>
        <w:t>.</w:t>
      </w:r>
      <w:r w:rsidRPr="00223DC5">
        <w:rPr>
          <w:i/>
        </w:rPr>
        <w:t xml:space="preserve"> involutus</w:t>
      </w:r>
      <w:r w:rsidRPr="00223DC5">
        <w:t xml:space="preserve"> which are putatively involved in mineral weathering have been identified via bioinformatics. The experimental systems which are used are axenic and have been optimized for studying both the </w:t>
      </w:r>
      <w:r w:rsidR="00701AA0">
        <w:t>NS</w:t>
      </w:r>
      <w:r w:rsidRPr="00223DC5">
        <w:t xml:space="preserve"> and </w:t>
      </w:r>
      <w:r w:rsidR="00701AA0">
        <w:t>S</w:t>
      </w:r>
      <w:r w:rsidR="002C7308">
        <w:t>-</w:t>
      </w:r>
      <w:r w:rsidRPr="00223DC5">
        <w:t>driv</w:t>
      </w:r>
      <w:r w:rsidR="00701AA0">
        <w:t xml:space="preserve">en phosphate mineral weathering. </w:t>
      </w:r>
      <w:r w:rsidRPr="00223DC5">
        <w:t>Further analysis on t</w:t>
      </w:r>
      <w:r w:rsidR="00701AA0">
        <w:t>he chemistry of HAP</w:t>
      </w:r>
      <w:r w:rsidRPr="00223DC5">
        <w:t xml:space="preserve"> surface using SEM-EDX </w:t>
      </w:r>
      <w:r w:rsidR="005D7DDF">
        <w:t xml:space="preserve">analysis </w:t>
      </w:r>
      <w:r w:rsidRPr="00223DC5">
        <w:t xml:space="preserve">has shown that the P has been significantly depleted, while </w:t>
      </w:r>
      <w:r w:rsidR="00701AA0">
        <w:t>Ca</w:t>
      </w:r>
      <w:r w:rsidRPr="00223DC5">
        <w:t xml:space="preserve"> and </w:t>
      </w:r>
      <w:r w:rsidR="00701AA0">
        <w:t>C</w:t>
      </w:r>
      <w:r w:rsidRPr="00223DC5">
        <w:t xml:space="preserve"> has been enriched. This result indicates that </w:t>
      </w:r>
      <w:r w:rsidR="00701AA0">
        <w:t>HAP</w:t>
      </w:r>
      <w:r w:rsidRPr="00223DC5">
        <w:t xml:space="preserve"> is effectively dissolved, potentially through an organic acid extrusion mechanism where the excreted acid dissolves </w:t>
      </w:r>
      <w:r w:rsidR="00701AA0">
        <w:t>HAP</w:t>
      </w:r>
      <w:r w:rsidRPr="00223DC5">
        <w:t xml:space="preserve"> and renders P available. At the same time, secondary minerals are formed between the organic anion and the </w:t>
      </w:r>
      <w:r w:rsidR="00F64674">
        <w:t>Ca</w:t>
      </w:r>
      <w:r w:rsidRPr="00223DC5">
        <w:t xml:space="preserve"> ion of </w:t>
      </w:r>
      <w:r w:rsidR="00701AA0">
        <w:t>HAP</w:t>
      </w:r>
      <w:r w:rsidRPr="00223DC5">
        <w:t xml:space="preserve">. SEM-EDX analysis provided evidence of the elemental composition of the secondary mineral formed by the fungal hyphae during </w:t>
      </w:r>
      <w:r w:rsidR="00701AA0">
        <w:t>HAP</w:t>
      </w:r>
      <w:r w:rsidRPr="00223DC5">
        <w:t xml:space="preserve"> dissolution. The above results are shown in Chapter 4. </w:t>
      </w:r>
    </w:p>
    <w:p w14:paraId="6D60DC23" w14:textId="08BE4267" w:rsidR="000D7D3D" w:rsidRDefault="002C7308" w:rsidP="00EF6ED2">
      <w:pPr>
        <w:ind w:firstLine="720"/>
      </w:pPr>
      <w:r>
        <w:t xml:space="preserve">The </w:t>
      </w:r>
      <w:r w:rsidR="00223DC5" w:rsidRPr="00223DC5">
        <w:t xml:space="preserve">transcriptome of </w:t>
      </w:r>
      <w:r w:rsidR="00223DC5" w:rsidRPr="00223DC5">
        <w:rPr>
          <w:i/>
        </w:rPr>
        <w:t>P. involutus</w:t>
      </w:r>
      <w:r w:rsidR="00223DC5" w:rsidRPr="00223DC5">
        <w:t xml:space="preserve"> during active weathering of </w:t>
      </w:r>
      <w:r w:rsidR="00F64674">
        <w:t>HAP</w:t>
      </w:r>
      <w:r w:rsidR="00223DC5" w:rsidRPr="00223DC5">
        <w:t xml:space="preserve"> has been studied via RNA-seq</w:t>
      </w:r>
      <w:r w:rsidR="00F64674">
        <w:t xml:space="preserve"> analysis</w:t>
      </w:r>
      <w:r w:rsidR="00223DC5" w:rsidRPr="00223DC5">
        <w:t xml:space="preserve">. On the same experimental system, </w:t>
      </w:r>
      <w:r w:rsidR="00F64674" w:rsidRPr="000D7D3D">
        <w:rPr>
          <w:rFonts w:cs="Arial"/>
        </w:rPr>
        <w:t>UPLC-Q-TOF-MS</w:t>
      </w:r>
      <w:r w:rsidR="00F64674" w:rsidRPr="00223DC5">
        <w:t xml:space="preserve"> </w:t>
      </w:r>
      <w:r w:rsidR="00223DC5" w:rsidRPr="00223DC5">
        <w:t xml:space="preserve">analysis has been used for metabolomic profiling in response to </w:t>
      </w:r>
      <w:r w:rsidR="00701AA0">
        <w:t>HAP</w:t>
      </w:r>
      <w:r w:rsidR="00223DC5" w:rsidRPr="00223DC5">
        <w:t xml:space="preserve"> weathering. Both transcriptomic and metabolomic approaches were </w:t>
      </w:r>
      <w:r w:rsidR="00F64674">
        <w:t>applied</w:t>
      </w:r>
      <w:r w:rsidR="00223DC5" w:rsidRPr="00223DC5">
        <w:t xml:space="preserve"> in either </w:t>
      </w:r>
      <w:r w:rsidR="00F64674">
        <w:t>NS</w:t>
      </w:r>
      <w:r w:rsidR="00223DC5" w:rsidRPr="00223DC5">
        <w:t xml:space="preserve"> or </w:t>
      </w:r>
      <w:r w:rsidR="00F64674">
        <w:t xml:space="preserve">S </w:t>
      </w:r>
      <w:r w:rsidR="00701AA0">
        <w:t>HAP</w:t>
      </w:r>
      <w:r w:rsidR="00223DC5" w:rsidRPr="00223DC5">
        <w:t xml:space="preserve"> weathering systems. The study has revealed that EM symbiosis induces a completely different set of </w:t>
      </w:r>
      <w:r w:rsidR="00701AA0">
        <w:t>HAP</w:t>
      </w:r>
      <w:r w:rsidR="00223DC5" w:rsidRPr="00223DC5">
        <w:t xml:space="preserve"> weathering genes in </w:t>
      </w:r>
      <w:r w:rsidR="00223DC5" w:rsidRPr="00223DC5">
        <w:rPr>
          <w:i/>
        </w:rPr>
        <w:t>P. involutus</w:t>
      </w:r>
      <w:r w:rsidR="00223DC5" w:rsidRPr="00223DC5">
        <w:t xml:space="preserve"> hyphae compared to the fungus growing alone, including the </w:t>
      </w:r>
      <w:r w:rsidR="00F64674">
        <w:t>S-</w:t>
      </w:r>
      <w:r w:rsidR="00223DC5" w:rsidRPr="00223DC5">
        <w:t xml:space="preserve">specific induction of organic acid metabolic </w:t>
      </w:r>
      <w:r w:rsidR="00F64674">
        <w:t>genes</w:t>
      </w:r>
      <w:r w:rsidR="00223DC5" w:rsidRPr="00223DC5">
        <w:t xml:space="preserve">. Indirect </w:t>
      </w:r>
      <w:r w:rsidR="000B223C">
        <w:lastRenderedPageBreak/>
        <w:t>evidence</w:t>
      </w:r>
      <w:r w:rsidR="00223DC5" w:rsidRPr="00223DC5">
        <w:t xml:space="preserve"> from gene expression profile</w:t>
      </w:r>
      <w:r w:rsidR="00F64674">
        <w:t>s</w:t>
      </w:r>
      <w:r w:rsidR="00223DC5" w:rsidRPr="00223DC5">
        <w:t xml:space="preserve"> of previously-identified Pi starvation-responsive genes in the weathering system, as well as measurement of Pi content in fungal hyphae, indicated that EM symbiosis can enhance Pi solubilisation from </w:t>
      </w:r>
      <w:r w:rsidR="00701AA0">
        <w:t>HAP</w:t>
      </w:r>
      <w:r w:rsidR="00223DC5" w:rsidRPr="00223DC5">
        <w:t xml:space="preserve"> by </w:t>
      </w:r>
      <w:r w:rsidR="00223DC5" w:rsidRPr="00223DC5">
        <w:rPr>
          <w:i/>
        </w:rPr>
        <w:t>P. involutus</w:t>
      </w:r>
      <w:r w:rsidR="00223DC5" w:rsidRPr="00223DC5">
        <w:t xml:space="preserve">. Lastly, </w:t>
      </w:r>
      <w:r>
        <w:t xml:space="preserve">the </w:t>
      </w:r>
      <w:r w:rsidR="00223DC5" w:rsidRPr="00223DC5">
        <w:t xml:space="preserve">metabolomic analysis </w:t>
      </w:r>
      <w:r>
        <w:t>supported</w:t>
      </w:r>
      <w:r w:rsidR="00223DC5" w:rsidRPr="00223DC5">
        <w:t xml:space="preserve"> the finding</w:t>
      </w:r>
      <w:r>
        <w:t>s</w:t>
      </w:r>
      <w:r w:rsidR="00223DC5" w:rsidRPr="00223DC5">
        <w:t xml:space="preserve"> of the RNA-seq analysis, leading to the identification of multiple metabolites enhanced in </w:t>
      </w:r>
      <w:r>
        <w:t xml:space="preserve">the </w:t>
      </w:r>
      <w:r w:rsidR="00223DC5" w:rsidRPr="00223DC5">
        <w:t xml:space="preserve">presence of </w:t>
      </w:r>
      <w:r w:rsidR="00701AA0">
        <w:t>HAP</w:t>
      </w:r>
      <w:r w:rsidR="00223DC5" w:rsidRPr="00223DC5">
        <w:t xml:space="preserve"> which were specifically present in either </w:t>
      </w:r>
      <w:r w:rsidR="00F64674">
        <w:t xml:space="preserve">NS </w:t>
      </w:r>
      <w:r w:rsidR="00223DC5" w:rsidRPr="00223DC5">
        <w:t xml:space="preserve">or </w:t>
      </w:r>
      <w:r w:rsidR="00F64674">
        <w:t xml:space="preserve">S </w:t>
      </w:r>
      <w:r w:rsidR="00F64674" w:rsidRPr="00223DC5">
        <w:t>system</w:t>
      </w:r>
      <w:r w:rsidR="00F64674">
        <w:t>s</w:t>
      </w:r>
      <w:r w:rsidR="00AE5B00">
        <w:t xml:space="preserve">. These </w:t>
      </w:r>
      <w:r w:rsidR="00223DC5" w:rsidRPr="00223DC5">
        <w:t>resu</w:t>
      </w:r>
      <w:r w:rsidR="00E37CC9">
        <w:t>lts are presented in Chapter 5.</w:t>
      </w:r>
      <w:r w:rsidR="000D7D3D" w:rsidRPr="000D7D3D">
        <w:br w:type="page"/>
      </w:r>
    </w:p>
    <w:p w14:paraId="37EA27D9" w14:textId="664B49D9" w:rsidR="000D7D3D" w:rsidRPr="000D7D3D" w:rsidRDefault="000D7D3D" w:rsidP="00635993">
      <w:pPr>
        <w:pStyle w:val="Title"/>
        <w:rPr>
          <w:i/>
        </w:rPr>
      </w:pPr>
      <w:bookmarkStart w:id="69" w:name="_Toc507603968"/>
      <w:bookmarkStart w:id="70" w:name="_Toc507604235"/>
      <w:bookmarkStart w:id="71" w:name="_Toc519016952"/>
      <w:bookmarkStart w:id="72" w:name="_Toc520837850"/>
      <w:r w:rsidRPr="000D7D3D">
        <w:lastRenderedPageBreak/>
        <w:t xml:space="preserve">Chapter 2. Effects of </w:t>
      </w:r>
      <w:r w:rsidR="00654E64">
        <w:t>phosphate</w:t>
      </w:r>
      <w:r w:rsidRPr="000D7D3D">
        <w:t xml:space="preserve"> concentration on growth, hyphal morphology, </w:t>
      </w:r>
      <w:r w:rsidR="00654E64">
        <w:t>phosphate</w:t>
      </w:r>
      <w:r w:rsidR="00654E64" w:rsidRPr="000D7D3D">
        <w:t xml:space="preserve"> </w:t>
      </w:r>
      <w:r w:rsidRPr="000D7D3D">
        <w:t xml:space="preserve">content and relative expression of </w:t>
      </w:r>
      <w:r w:rsidR="00654E64">
        <w:t>phosphate transporter</w:t>
      </w:r>
      <w:r w:rsidR="004361F8">
        <w:t xml:space="preserve"> gene</w:t>
      </w:r>
      <w:r w:rsidR="00654E64">
        <w:t>s of</w:t>
      </w:r>
      <w:r w:rsidR="00654E64" w:rsidRPr="000D7D3D">
        <w:rPr>
          <w:i/>
        </w:rPr>
        <w:t xml:space="preserve"> </w:t>
      </w:r>
      <w:r w:rsidRPr="000D7D3D">
        <w:rPr>
          <w:i/>
        </w:rPr>
        <w:t>Paxillus involutus</w:t>
      </w:r>
      <w:bookmarkEnd w:id="69"/>
      <w:bookmarkEnd w:id="70"/>
      <w:bookmarkEnd w:id="71"/>
      <w:bookmarkEnd w:id="72"/>
    </w:p>
    <w:p w14:paraId="2D07707F" w14:textId="77777777" w:rsidR="000D7D3D" w:rsidRPr="000D7D3D" w:rsidRDefault="000D7D3D" w:rsidP="003F7054"/>
    <w:p w14:paraId="1173889D" w14:textId="12F9979E" w:rsidR="000D7D3D" w:rsidRPr="000D7D3D" w:rsidRDefault="000D7D3D" w:rsidP="00635993">
      <w:pPr>
        <w:pStyle w:val="Heading1"/>
      </w:pPr>
      <w:bookmarkStart w:id="73" w:name="_Toc507603969"/>
      <w:bookmarkStart w:id="74" w:name="_Toc507604236"/>
      <w:bookmarkStart w:id="75" w:name="_Toc519016953"/>
      <w:bookmarkStart w:id="76" w:name="_Toc520837851"/>
      <w:r w:rsidRPr="000D7D3D">
        <w:t>2.1 Introduction</w:t>
      </w:r>
      <w:bookmarkEnd w:id="73"/>
      <w:bookmarkEnd w:id="74"/>
      <w:bookmarkEnd w:id="75"/>
      <w:bookmarkEnd w:id="76"/>
    </w:p>
    <w:p w14:paraId="184CA5A9" w14:textId="2469F933" w:rsidR="000D7D3D" w:rsidRPr="000D7D3D" w:rsidRDefault="000D7D3D" w:rsidP="003F7054">
      <w:r w:rsidRPr="000D7D3D">
        <w:t xml:space="preserve">Phosphorus (P) is an essential element for all living organisms. In plants, P plays a primary role within a variety of plant physiological responses, including DNA replication, cell metabolism and cell signalling </w:t>
      </w:r>
      <w:r w:rsidRPr="000D7D3D">
        <w:fldChar w:fldCharType="begin" w:fldLock="1"/>
      </w:r>
      <w:r w:rsidR="00EE33AB">
        <w:instrText>ADDIN CSL_CITATION {"citationItems":[{"id":"ITEM-1","itemData":{"DOI":"10.​1104/​pp.​116.​2.​447","author":[{"dropping-particle":"","family":"Schachtman","given":"Daniel P","non-dropping-particle":"","parse-names":false,"suffix":""},{"dropping-particle":"","family":"Reid","given":"Robert J","non-dropping-particle":"","parse-names":false,"suffix":""},{"dropping-particle":"","family":"Ayling","given":"S M","non-dropping-particle":"","parse-names":false,"suffix":""}],"container-title":"Plant physiology","id":"ITEM-1","issued":{"date-parts":[["1998"]]},"page":"447-453","title":"Phosphorus Uptake by Plants: From Soil to Cell","type":"article-journal","volume":"116"},"uris":["http://www.mendeley.com/documents/?uuid=7c5e2fcb-7bdb-4218-87d6-1d3f996d7b8f"]}],"mendeley":{"formattedCitation":"(Schachtman et al., 1998)","plainTextFormattedCitation":"(Schachtman et al., 1998)","previouslyFormattedCitation":"(Schachtman et al., 1998)"},"properties":{"noteIndex":0},"schema":"https://github.com/citation-style-language/schema/raw/master/csl-citation.json"}</w:instrText>
      </w:r>
      <w:r w:rsidRPr="000D7D3D">
        <w:fldChar w:fldCharType="separate"/>
      </w:r>
      <w:r w:rsidRPr="000D7D3D">
        <w:rPr>
          <w:noProof/>
        </w:rPr>
        <w:t>(Schachtman et al., 1998)</w:t>
      </w:r>
      <w:r w:rsidRPr="000D7D3D">
        <w:fldChar w:fldCharType="end"/>
      </w:r>
      <w:r w:rsidRPr="000D7D3D">
        <w:t xml:space="preserve">. Despite its major significance in plant biology, P is at the same time a limiting factor for plant growth and reproduction. The main reasons for its limitation are that, despite its abundance in the environment, P is neither readily accessible nor evenly distributed in the majority of the soils for reasons explained below </w:t>
      </w:r>
      <w:r w:rsidRPr="000D7D3D">
        <w:fldChar w:fldCharType="begin" w:fldLock="1"/>
      </w:r>
      <w:r w:rsidR="00EE33AB">
        <w:instrText>ADDIN CSL_CITATION {"citationItems":[{"id":"ITEM-1","itemData":{"DOI":"10.3389/fpls.2011.00083","ISSN":"1664-462X","PMID":"22645553","abstract":"The main source of phosphorus for plants is inorganic phosphate (Pi), which is characterized by its poor availability and low mobility. Uptake of this element from the soil relies heavily upon the PHT1 transporters, a specific family of plant plasma membrane proteins that were identified by homology with the yeast PHO84 Pi transporter. Since the discovery of PHT1 transporters in 1996, various studies have revealed that their function is controlled by a highly complex network of regulation. This review will summarize the current state of research on plant PHT1 multigenic families, including physiological, biochemical, molecular, cellular, and genetics studies.","author":[{"dropping-particle":"","family":"Nussaume","given":"Laurent","non-dropping-particle":"","parse-names":false,"suffix":""},{"dropping-particle":"","family":"Kanno","given":"Satomi","non-dropping-particle":"","parse-names":false,"suffix":""},{"dropping-particle":"","family":"Javot","given":"Hélène","non-dropping-particle":"","parse-names":false,"suffix":""},{"dropping-particle":"","family":"Marin","given":"Elena","non-dropping-particle":"","parse-names":false,"suffix":""},{"dropping-particle":"","family":"Pochon","given":"Nathalie","non-dropping-particle":"","parse-names":false,"suffix":""},{"dropping-particle":"","family":"Ayadi","given":"Amal","non-dropping-particle":"","parse-names":false,"suffix":""},{"dropping-particle":"","family":"Nakanishi","given":"Tomoko M","non-dropping-particle":"","parse-names":false,"suffix":""},{"dropping-particle":"","family":"Thibaud","given":"Marie-Christine","non-dropping-particle":"","parse-names":false,"suffix":""}],"container-title":"Frontiers in plant science","id":"ITEM-1","issue":"November","issued":{"date-parts":[["2011","1"]]},"page":"83","title":"Phosphate Import in Plants: Focus on the PHT1 Transporters.","type":"article-journal","volume":"2"},"uris":["http://www.mendeley.com/documents/?uuid=fb5384d9-785d-4b72-8339-6705015f16b4"]}],"mendeley":{"formattedCitation":"(Nussaume et al., 2011)","plainTextFormattedCitation":"(Nussaume et al., 2011)","previouslyFormattedCitation":"(Nussaume et al., 2011)"},"properties":{"noteIndex":0},"schema":"https://github.com/citation-style-language/schema/raw/master/csl-citation.json"}</w:instrText>
      </w:r>
      <w:r w:rsidRPr="000D7D3D">
        <w:fldChar w:fldCharType="separate"/>
      </w:r>
      <w:r w:rsidRPr="000D7D3D">
        <w:rPr>
          <w:noProof/>
        </w:rPr>
        <w:t>(Nussaume et al., 2011)</w:t>
      </w:r>
      <w:r w:rsidRPr="000D7D3D">
        <w:fldChar w:fldCharType="end"/>
      </w:r>
      <w:r w:rsidRPr="000D7D3D">
        <w:t xml:space="preserve">. </w:t>
      </w:r>
    </w:p>
    <w:p w14:paraId="4F7C07D4" w14:textId="5A19DB05" w:rsidR="000D7D3D" w:rsidRPr="000D7D3D" w:rsidRDefault="000D7D3D" w:rsidP="007F746A">
      <w:pPr>
        <w:ind w:firstLine="720"/>
      </w:pPr>
      <w:r w:rsidRPr="000D7D3D">
        <w:t>P is primarily absorbed by plants in</w:t>
      </w:r>
      <w:r w:rsidR="00F01C9F">
        <w:t xml:space="preserve"> the form of inorganic </w:t>
      </w:r>
      <w:r w:rsidR="001909D7">
        <w:t>P</w:t>
      </w:r>
      <w:r w:rsidRPr="000D7D3D">
        <w:t xml:space="preserve"> (Pi), and, depending on the soil pH, can exist as PO</w:t>
      </w:r>
      <w:r w:rsidRPr="000D7D3D">
        <w:rPr>
          <w:vertAlign w:val="subscript"/>
        </w:rPr>
        <w:t>4</w:t>
      </w:r>
      <w:r w:rsidRPr="000D7D3D">
        <w:rPr>
          <w:vertAlign w:val="superscript"/>
        </w:rPr>
        <w:t>3−</w:t>
      </w:r>
      <w:r w:rsidRPr="000D7D3D">
        <w:t>, HPO</w:t>
      </w:r>
      <w:r w:rsidRPr="000D7D3D">
        <w:rPr>
          <w:vertAlign w:val="subscript"/>
        </w:rPr>
        <w:t>4</w:t>
      </w:r>
      <w:r w:rsidRPr="000D7D3D">
        <w:rPr>
          <w:vertAlign w:val="superscript"/>
        </w:rPr>
        <w:t>2−</w:t>
      </w:r>
      <w:r w:rsidRPr="000D7D3D">
        <w:t xml:space="preserve"> and H</w:t>
      </w:r>
      <w:r w:rsidRPr="000D7D3D">
        <w:rPr>
          <w:vertAlign w:val="subscript"/>
        </w:rPr>
        <w:t>2</w:t>
      </w:r>
      <w:r w:rsidRPr="000D7D3D">
        <w:t>PO</w:t>
      </w:r>
      <w:r w:rsidRPr="000D7D3D">
        <w:rPr>
          <w:vertAlign w:val="subscript"/>
        </w:rPr>
        <w:t>4</w:t>
      </w:r>
      <w:r w:rsidRPr="000D7D3D">
        <w:rPr>
          <w:vertAlign w:val="superscript"/>
        </w:rPr>
        <w:t>−</w:t>
      </w:r>
      <w:r w:rsidRPr="000D7D3D">
        <w:t>. Usually, Pi is acquired by plants in the form of H</w:t>
      </w:r>
      <w:r w:rsidRPr="000D7D3D">
        <w:rPr>
          <w:vertAlign w:val="subscript"/>
        </w:rPr>
        <w:t>2</w:t>
      </w:r>
      <w:r w:rsidRPr="000D7D3D">
        <w:t>PO</w:t>
      </w:r>
      <w:r w:rsidRPr="000D7D3D">
        <w:rPr>
          <w:vertAlign w:val="subscript"/>
        </w:rPr>
        <w:t>4</w:t>
      </w:r>
      <w:r w:rsidRPr="000D7D3D">
        <w:rPr>
          <w:vertAlign w:val="superscript"/>
        </w:rPr>
        <w:t>−</w:t>
      </w:r>
      <w:r w:rsidR="00402E20">
        <w:t xml:space="preserve"> at pH 5.0-6.0, where</w:t>
      </w:r>
      <w:r w:rsidRPr="000D7D3D">
        <w:t xml:space="preserve"> </w:t>
      </w:r>
      <w:r w:rsidR="00402E20">
        <w:t xml:space="preserve">according to Pi uptake studies </w:t>
      </w:r>
      <w:r w:rsidRPr="000D7D3D">
        <w:t xml:space="preserve">maximal Pi uptake occurs </w:t>
      </w:r>
      <w:r w:rsidRPr="000D7D3D">
        <w:fldChar w:fldCharType="begin" w:fldLock="1"/>
      </w:r>
      <w:r w:rsidR="00EE33AB">
        <w:instrText>ADDIN CSL_CITATION {"citationItems":[{"id":"ITEM-1","itemData":{"DOI":"10.1007/BF00951459","ISSN":"1432-2048","abstract":"Phosphate uptake was studied by determining [32P]phosphate influx and by measurements of the electrical membrane potential in duckweed (Lemna gibba L.). Phosphate-induced membrane depolarization (ΔE m ) was controlled by the intracellular phosphate content, thus maximal ΔE m by 1 mM H2PO 4 - was up to 133 mV after 15d of phosphate starvation. The ΔE m was strongly dependent on the extracellular pH, with a sharp optimum at pH 5.7. It is suggested that phosphate uptake is energized by the electrochemical proton gradient, proceeding by a 2H+/H2PO 4 - contransport mechanism. This is supported also by the fusicoccin stimulation of phosphate influx. Kinetics of phosphate influx and of ΔE m , which represent mere plasmalemma transport, are best described by two Michaelis-Menten terms without any linear components.","author":[{"dropping-particle":"","family":"Ullrich-Eberius","given":"C I","non-dropping-particle":"","parse-names":false,"suffix":""},{"dropping-particle":"","family":"Novacky","given":"A","non-dropping-particle":"","parse-names":false,"suffix":""},{"dropping-particle":"","family":"Bel","given":"A J E","non-dropping-particle":"van","parse-names":false,"suffix":""}],"container-title":"Planta","id":"ITEM-1","issue":"1","issued":{"date-parts":[["1984","1"]]},"page":"46-52","title":"Phosphate uptake in Lemna gibba G1: energetics and kinetics","type":"article-journal","volume":"161"},"uris":["http://www.mendeley.com/documents/?uuid=e215a107-93db-4e12-b572-81d48037dcde"]}],"mendeley":{"formattedCitation":"(Ullrich-Eberius et al., 1984)","plainTextFormattedCitation":"(Ullrich-Eberius et al., 1984)","previouslyFormattedCitation":"(Ullrich-Eberius et al., 1984)"},"properties":{"noteIndex":0},"schema":"https://github.com/citation-style-language/schema/raw/master/csl-citation.json"}</w:instrText>
      </w:r>
      <w:r w:rsidRPr="000D7D3D">
        <w:fldChar w:fldCharType="separate"/>
      </w:r>
      <w:r w:rsidRPr="000D7D3D">
        <w:rPr>
          <w:noProof/>
        </w:rPr>
        <w:t>(Ullrich-Eberius et al., 1984)</w:t>
      </w:r>
      <w:r w:rsidRPr="000D7D3D">
        <w:fldChar w:fldCharType="end"/>
      </w:r>
      <w:r w:rsidRPr="000D7D3D">
        <w:t xml:space="preserve">. However, the presence of Pi in soils </w:t>
      </w:r>
      <w:r w:rsidR="00402E20" w:rsidRPr="000D7D3D">
        <w:t xml:space="preserve">ranges </w:t>
      </w:r>
      <w:r w:rsidRPr="000D7D3D">
        <w:t xml:space="preserve">at low concentrations </w:t>
      </w:r>
      <w:r w:rsidR="00402E20">
        <w:t xml:space="preserve">between </w:t>
      </w:r>
      <w:r w:rsidRPr="000D7D3D">
        <w:t xml:space="preserve">1-10 μM </w:t>
      </w:r>
      <w:r w:rsidRPr="000D7D3D">
        <w:fldChar w:fldCharType="begin" w:fldLock="1"/>
      </w:r>
      <w:r w:rsidR="00EE33AB">
        <w:instrText>ADDIN CSL_CITATION {"citationItems":[{"id":"ITEM-1","itemData":{"author":[{"dropping-particle":"","family":"Bieleski","given":"R L","non-dropping-particle":"","parse-names":false,"suffix":""}],"container-title":"Annual Review of Plant Physiology","id":"ITEM-1","issued":{"date-parts":[["1973"]]},"page":"225-252","title":"Phosphate pools, phosphate transport, and phosphate availability","type":"article-journal","volume":"24"},"uris":["http://www.mendeley.com/documents/?uuid=f05a77d2-78e2-4356-912c-e5663e3eae17"]}],"mendeley":{"formattedCitation":"(Bieleski, 1973)","plainTextFormattedCitation":"(Bieleski, 1973)","previouslyFormattedCitation":"(Bieleski, 1973)"},"properties":{"noteIndex":0},"schema":"https://github.com/citation-style-language/schema/raw/master/csl-citation.json"}</w:instrText>
      </w:r>
      <w:r w:rsidRPr="000D7D3D">
        <w:fldChar w:fldCharType="separate"/>
      </w:r>
      <w:r w:rsidRPr="000D7D3D">
        <w:rPr>
          <w:noProof/>
        </w:rPr>
        <w:t>(Bieleski, 1973)</w:t>
      </w:r>
      <w:r w:rsidRPr="000D7D3D">
        <w:fldChar w:fldCharType="end"/>
      </w:r>
      <w:r w:rsidRPr="000D7D3D">
        <w:t>. Moreover, Pi is poorly mobile in soils with a diffusion coefficiency ranging from 10</w:t>
      </w:r>
      <w:r w:rsidRPr="000D7D3D">
        <w:rPr>
          <w:vertAlign w:val="superscript"/>
        </w:rPr>
        <w:t>-12</w:t>
      </w:r>
      <w:r w:rsidRPr="000D7D3D">
        <w:t>-10</w:t>
      </w:r>
      <w:r w:rsidRPr="000D7D3D">
        <w:rPr>
          <w:vertAlign w:val="superscript"/>
        </w:rPr>
        <w:t>-15</w:t>
      </w:r>
      <w:r w:rsidRPr="000D7D3D">
        <w:t xml:space="preserve"> m</w:t>
      </w:r>
      <w:r w:rsidRPr="000D7D3D">
        <w:rPr>
          <w:vertAlign w:val="superscript"/>
        </w:rPr>
        <w:t>2</w:t>
      </w:r>
      <w:r w:rsidRPr="000D7D3D">
        <w:t xml:space="preserve"> s</w:t>
      </w:r>
      <w:r w:rsidRPr="000D7D3D">
        <w:rPr>
          <w:vertAlign w:val="superscript"/>
        </w:rPr>
        <w:t>-1</w:t>
      </w:r>
      <w:r w:rsidRPr="000D7D3D">
        <w:t xml:space="preserve">, which results in the formation of </w:t>
      </w:r>
      <w:r w:rsidR="00402E20">
        <w:t>a</w:t>
      </w:r>
      <w:r w:rsidRPr="000D7D3D">
        <w:t xml:space="preserve"> Pi depletion zone around plant roots </w:t>
      </w:r>
      <w:r w:rsidRPr="000D7D3D">
        <w:fldChar w:fldCharType="begin" w:fldLock="1"/>
      </w:r>
      <w:r w:rsidR="00EE33AB">
        <w:instrText>ADDIN CSL_CITATION {"citationItems":[{"id":"ITEM-1","itemData":{"ISSN":"0032-0781","abstract":"We studied the kinetics of inorganic phosphate (P1) uptake from 0.1-1,000 {micro}M P1 by protoplasts from suspension-cultured cells of Catharanthus roseus (L.) G. Don. Concentration dependence of [32P]P1 uptake revealed two kinetically different uptake systems, a high-affinity system and a low-affinity system, with Km values of 3.0 and 47 {micro}M, respectively. Protoplasts from cells grown in Pi-rich media had a medium level of the low-affinity activity and a very low level of the high-affinity activity. It appeared low-affinity system is expressed constitutively, while the high-affinity system is regulated by the availability of Pi. When cells grown in a Pi-rich media were transferred to Pi-depleted media, the high-affinity activity increased significantly after 2 d, but the low-affinity activity was barely changed. Upon addition of 10 mM Pi, the high level of the high-affinity activity fell to almost undetectable level in 1d. Both uptake systems exhibited maximum activity between pH 5 and 6.\\n","author":[{"dropping-particle":"","family":"Furihata","given":"Takashi","non-dropping-particle":"","parse-names":false,"suffix":""},{"dropping-particle":"","family":"Suzuki","given":"Mikio","non-dropping-particle":"","parse-names":false,"suffix":""},{"dropping-particle":"","family":"Sakurai","given":"Hidehiro","non-dropping-particle":"","parse-names":false,"suffix":""}],"container-title":"Plant Cell Physiol.","id":"ITEM-1","issue":"8","issued":{"date-parts":[["1992"]]},"page":"1151-1157","title":"Kinetic characterization of two phosphate uptake systems with different affinities in suspension-cultured catharanthus roseus protoplasts","type":"article-journal","volume":"33"},"uris":["http://www.mendeley.com/documents/?uuid=b9200009-40e3-4274-a6a9-adc4d38ae33c"]},{"id":"ITEM-2","itemData":{"DOI":"10.1007/BF00951459","ISSN":"1432-2048","abstract":"Phosphate uptake was studied by determining [32P]phosphate influx and by measurements of the electrical membrane potential in duckweed (Lemna gibba L.). Phosphate-induced membrane depolarization (ΔE m ) was controlled by the intracellular phosphate content, thus maximal ΔE m by 1 mM H2PO 4 - was up to 133 mV after 15d of phosphate starvation. The ΔE m was strongly dependent on the extracellular pH, with a sharp optimum at pH 5.7. It is suggested that phosphate uptake is energized by the electrochemical proton gradient, proceeding by a 2H+/H2PO 4 - contransport mechanism. This is supported also by the fusicoccin stimulation of phosphate influx. Kinetics of phosphate influx and of ΔE m , which represent mere plasmalemma transport, are best described by two Michaelis-Menten terms without any linear components.","author":[{"dropping-particle":"","family":"Ullrich-Eberius","given":"C I","non-dropping-particle":"","parse-names":false,"suffix":""},{"dropping-particle":"","family":"Novacky","given":"A","non-dropping-particle":"","parse-names":false,"suffix":""},{"dropping-particle":"","family":"Bel","given":"A J E","non-dropping-particle":"van","parse-names":false,"suffix":""}],"container-title":"Planta","id":"ITEM-2","issue":"1","issued":{"date-parts":[["1984","1"]]},"page":"46-52","title":"Phosphate uptake in Lemna gibba G1: energetics and kinetics","type":"article-journal","volume":"161"},"uris":["http://www.mendeley.com/documents/?uuid=e215a107-93db-4e12-b572-81d48037dcde"]}],"mendeley":{"formattedCitation":"(Furihata et al., 1992; Ullrich-Eberius et al., 1984)","plainTextFormattedCitation":"(Furihata et al., 1992; Ullrich-Eberius et al., 1984)","previouslyFormattedCitation":"(Furihata et al., 1992; Ullrich-Eberius et al., 1984)"},"properties":{"noteIndex":0},"schema":"https://github.com/citation-style-language/schema/raw/master/csl-citation.json"}</w:instrText>
      </w:r>
      <w:r w:rsidRPr="000D7D3D">
        <w:fldChar w:fldCharType="separate"/>
      </w:r>
      <w:r w:rsidRPr="000D7D3D">
        <w:rPr>
          <w:noProof/>
        </w:rPr>
        <w:t>(Furihata et al., 1992; Ullrich-Eberius et al., 1984)</w:t>
      </w:r>
      <w:r w:rsidRPr="000D7D3D">
        <w:fldChar w:fldCharType="end"/>
      </w:r>
      <w:r w:rsidRPr="000D7D3D">
        <w:t xml:space="preserve">. Besides its low availability, Pi also forms complexes with the majority of cations present in the soil, rendering it largely inaccessible. For example, in acidic soils, which make 30% of soils on a global scale, Pi interacts with aluminium </w:t>
      </w:r>
      <w:r w:rsidR="00402E20">
        <w:t xml:space="preserve">(Al) </w:t>
      </w:r>
      <w:r w:rsidRPr="000D7D3D">
        <w:t>and iron</w:t>
      </w:r>
      <w:r w:rsidR="00402E20">
        <w:t xml:space="preserve"> (Fe)</w:t>
      </w:r>
      <w:r w:rsidRPr="000D7D3D">
        <w:t xml:space="preserve"> </w:t>
      </w:r>
      <w:r w:rsidRPr="000D7D3D">
        <w:fldChar w:fldCharType="begin" w:fldLock="1"/>
      </w:r>
      <w:r w:rsidR="00EE33AB">
        <w:instrText>ADDIN CSL_CITATION {"citationItems":[{"id":"ITEM-1","itemData":{"DOI":"10.1007/BF00009558","ISBN":"0032-079X","ISSN":"0032-079X","abstract":"Acid soils occupy approximately 30% or 3950 m ha of the world's ice\\nfree land area and occur mainly in two global belts where they have\\ndeveloped under udic or ustic moisture regimes. The northern belt (cold\\nand temperate climate) is dominated by Spodosols, Alfisols, Inceptisols\\nand Histosols and the southern tropical belt consists largely of\\nUltisols and Oxisols.\\nSixty-seven percent of the acid soils support forests and woodlands and\\napproximately 18% are covered by savanna, prairie and steppe\\nvegetation. Only 4.5% (179 m ha) of the acid soil area is used for\\narable crops. A further 33 m ha is utilized for perennial tropical\\ncrops. The value of the annual production in these areas is\\napproximately US$ 129 billion. Value of products from forests,\\nwoodlands and permanent pastures on acid soils is difficult to evaluate.\\nForests of the tropics and wetlands have an invaluable role in global,\\nregional and local ecosystem balance and a protective role for flora,\\nfauna and water resources. While acid soils in the northern belt are\\nincreasingly protected and reafforested, the destructive exploitation of\\ntimber and abusive modern shifting cultivation have contributed to the\\nloss of &gt; 250 million ha of tropical forest during the second half of\\nthis century leaving vast areas of anthropic savannas on heavily eroded\\nand degraded acid soils.\\nThe authors believe that attempts to develop acid soils for agriculture\\nand agroforestry in the tropics should concentrate on these deforested\\nand abandoned areas of degraded acid soils. However, this will be\\ndifficult without significant initial investment and adequate\\ntechnology. A three step development approach is suggested, which could\\nhelp prevent or halt the annual destruction of &gt; 5 mill. ha tropical\\nforests by `'untraditional shifting cultivators''. It would help to\\nprotect the fragile natural ecosystems on tropical acid soils now\\nconsidered to be indispensable for the future life on earth.","author":[{"dropping-particle":"","family":"Uexküll","given":"H.R.","non-dropping-particle":"von","parse-names":false,"suffix":""},{"dropping-particle":"","family":"Mutert","given":"E.","non-dropping-particle":"","parse-names":false,"suffix":""}],"container-title":"Plant and Soil","id":"ITEM-1","issued":{"date-parts":[["1995"]]},"page":"1-15","title":"Global Extent, Development and Economic-Impact of Acid Soils","type":"article-journal","volume":"171"},"uris":["http://www.mendeley.com/documents/?uuid=d669e407-db88-4138-8676-07c080058ca8"]}],"mendeley":{"formattedCitation":"(von Uexküll and Mutert, 1995)","plainTextFormattedCitation":"(von Uexküll and Mutert, 1995)","previouslyFormattedCitation":"(von Uexküll and Mutert, 1995)"},"properties":{"noteIndex":0},"schema":"https://github.com/citation-style-language/schema/raw/master/csl-citation.json"}</w:instrText>
      </w:r>
      <w:r w:rsidRPr="000D7D3D">
        <w:fldChar w:fldCharType="separate"/>
      </w:r>
      <w:r w:rsidRPr="000D7D3D">
        <w:rPr>
          <w:noProof/>
        </w:rPr>
        <w:t>(von Uexküll and Mutert, 1995)</w:t>
      </w:r>
      <w:r w:rsidRPr="000D7D3D">
        <w:fldChar w:fldCharType="end"/>
      </w:r>
      <w:r w:rsidRPr="000D7D3D">
        <w:t>, whereas calcium</w:t>
      </w:r>
      <w:r w:rsidR="00402E20">
        <w:t xml:space="preserve"> (Ca)</w:t>
      </w:r>
      <w:r w:rsidRPr="000D7D3D">
        <w:t xml:space="preserve"> phosphates are predominant in calcareous soils </w:t>
      </w:r>
      <w:r w:rsidRPr="000D7D3D">
        <w:fldChar w:fldCharType="begin" w:fldLock="1"/>
      </w:r>
      <w:r w:rsidR="00EE33AB">
        <w:instrText>ADDIN CSL_CITATION {"citationItems":[{"id":"ITEM-1","itemData":{"DOI":"10.1023/A:1020663916259","ISBN":"0032-079X","ISSN":"0032079X","PMID":"608","abstract":"Phosphorus (P) is one of themajor plant growth-limiting nutrients although it is abundant in soils in both inorganic and organic forms. Phosphate solubilizing micro-organisms (PSMs) are ubiquitous in soils and could play an important role in supplying P to plants in a more environmentally friendly and sustainable manner. Although solubilization of P compounds by microbes is very common under laboratory conditions, results in the field have been highly variable. This variability has hampered the large-scale use of PSMs in agriculture.Many reasons have been suggested for this variability, but none of them have been extensively investigated. In spite of the importance of PSMs in agriculture, the detailed biochemical and molecular mechanisms of P solubilization are not known. Recentwork in our laboratory has shown that the conditions employed to isolate PSMs do not reflect soil conditions and that PSMs capable of effectively releasing P from soil are not so highly abundant as was suggested in earlier studies. These studies have also indicated that the mineral phosphate solubilizing (mps) ability of microbes could be linked to specific genes, and that these genes are present even in non P solubilizing bacteria. Understanding the genetic basis of P solubilization could help in transforming more rhizosphere-competent bacteria into PSMs. Further research should also focus on the microbial solubilization of iron (Fe) and aluminum (Al) phosphates, as well as mobilization of the organic phosphate reserves present in the soils.","author":[{"dropping-particle":"","family":"Gyaneshwar","given":"P.","non-dropping-particle":"","parse-names":false,"suffix":""},{"dropping-particle":"","family":"Naresh Kumar","given":"G.","non-dropping-particle":"","parse-names":false,"suffix":""},{"dropping-particle":"","family":"Parekh","given":"L. J.","non-dropping-particle":"","parse-names":false,"suffix":""},{"dropping-particle":"","family":"Poole","given":"P. S.","non-dropping-particle":"","parse-names":false,"suffix":""}],"container-title":"Plant and Soil","id":"ITEM-1","issued":{"date-parts":[["2002"]]},"page":"83-93","title":"Role of soil microorganisms in improving P nutrition of plants","type":"article-journal","volume":"245"},"uris":["http://www.mendeley.com/documents/?uuid=c2a41be2-1342-45ee-8c5e-aa37f8a3c8e7"]}],"mendeley":{"formattedCitation":"(Gyaneshwar et al., 2002)","plainTextFormattedCitation":"(Gyaneshwar et al., 2002)","previouslyFormattedCitation":"(Gyaneshwar et al., 2002)"},"properties":{"noteIndex":0},"schema":"https://github.com/citation-style-language/schema/raw/master/csl-citation.json"}</w:instrText>
      </w:r>
      <w:r w:rsidRPr="000D7D3D">
        <w:fldChar w:fldCharType="separate"/>
      </w:r>
      <w:r w:rsidRPr="000D7D3D">
        <w:rPr>
          <w:noProof/>
        </w:rPr>
        <w:t>(Gyaneshwar et al., 2002)</w:t>
      </w:r>
      <w:r w:rsidRPr="000D7D3D">
        <w:fldChar w:fldCharType="end"/>
      </w:r>
      <w:r w:rsidRPr="000D7D3D">
        <w:t>.</w:t>
      </w:r>
    </w:p>
    <w:p w14:paraId="64453C23" w14:textId="6037CD0B" w:rsidR="000D7D3D" w:rsidRPr="000D7D3D" w:rsidRDefault="000D7D3D" w:rsidP="00635993">
      <w:pPr>
        <w:ind w:firstLine="720"/>
      </w:pPr>
      <w:r w:rsidRPr="000D7D3D">
        <w:t xml:space="preserve">However, during the evolution plants developed various mechanisms to cope with low soil Pi availability and hence maximise Pi uptake </w:t>
      </w:r>
      <w:r w:rsidRPr="000D7D3D">
        <w:fldChar w:fldCharType="begin" w:fldLock="1"/>
      </w:r>
      <w:r w:rsidR="00EE33AB">
        <w:instrText>ADDIN CSL_CITATION {"citationItems":[{"id":"ITEM-1","itemData":{"DOI":"10.1111/j.1469-8137.2012.04167.x","ISSN":"1469-8137","PMID":"22578268","abstract":"• The activation of high-affinity root transport systems is the best-conserved strategy employed by plants to cope with low inorganic phosphate (Pi) availability, a role traditionally assigned to Pi transporters of the Pht1 family, whose respective contributions to Pi acquisition remain unclear. • To characterize the Arabidopsis thaliana Pht1;9 transporter, we combined heterologous functional expression in yeast with expression/subcellular localization studies and reverse genetics approaches in planta. Double Pht1;9/Pht1;8 silencing lines were also generated to gain insight into the role of the closest Pht1;9 homolog. • Pht1;9 encodes a functional plasma membrane-localized transporter that mediates high-affinity Pi/H</w:instrText>
      </w:r>
      <w:r w:rsidR="00EE33AB">
        <w:rPr>
          <w:rFonts w:ascii="Cambria Math" w:hAnsi="Cambria Math" w:cs="Cambria Math"/>
        </w:rPr>
        <w:instrText>⁺</w:instrText>
      </w:r>
      <w:r w:rsidR="00EE33AB">
        <w:instrText xml:space="preserve"> symport activity in yeast and is highly induced in Pi-starved Arabidopsis roots. Null pht1;9 alleles exhibit exacerbated responses to prolonged Pi limitation and enhanced tolerance to arsenate exposure, whereas Pht1;9 overexpression induces the opposite phenotypes. Strikingly, Pht1;9/Pht1;8 silencing lines display more pronounced defects than the pht1;9 mutants. • Pi and arsenic plant content analyses confirmed a role of Pht1;9 in Pi acquisition during Pi starvation and arsenate uptake at the root-soil interface. Although not affecting plant internal Pi repartition, Pht1;9 activity influences the overall Arabidopsis Pi status. Finally, our results indicate that both the Pht1;9 and Pht1;8 transporters function in sustaining plant Pi supply on environmental Pi depletion.","author":[{"dropping-particle":"","family":"Remy","given":"E","non-dropping-particle":"","parse-names":false,"suffix":""},{"dropping-particle":"","family":"Cabrito","given":"T R","non-dropping-particle":"","parse-names":false,"suffix":""},{"dropping-particle":"","family":"Batista","given":"R a","non-dropping-particle":"","parse-names":false,"suffix":""},{"dropping-particle":"","family":"Teixeira","given":"M C","non-dropping-particle":"","parse-names":false,"suffix":""},{"dropping-particle":"","family":"Sá-Correia","given":"I","non-dropping-particle":"","parse-names":false,"suffix":""},{"dropping-particle":"","family":"Duque","given":"P","non-dropping-particle":"","parse-names":false,"suffix":""}],"container-title":"The New phytologist","id":"ITEM-1","issue":"2","issued":{"date-parts":[["2012","7"]]},"page":"356-71","title":"The Pht1;9 and Pht1;8 transporters mediate inorganic phosphate acquisition by the Arabidopsis thaliana root during phosphorus starvation.","type":"article-journal","volume":"195"},"uris":["http://www.mendeley.com/documents/?uuid=6202ebb6-3097-4934-b535-81dae7e5e367"]}],"mendeley":{"formattedCitation":"(Remy et al., 2012)","plainTextFormattedCitation":"(Remy et al., 2012)","previouslyFormattedCitation":"(Remy et al., 2012)"},"properties":{"noteIndex":0},"schema":"https://github.com/citation-style-language/schema/raw/master/csl-citation.json"}</w:instrText>
      </w:r>
      <w:r w:rsidRPr="000D7D3D">
        <w:fldChar w:fldCharType="separate"/>
      </w:r>
      <w:r w:rsidRPr="000D7D3D">
        <w:rPr>
          <w:noProof/>
        </w:rPr>
        <w:t>(Remy et al., 2012)</w:t>
      </w:r>
      <w:r w:rsidRPr="000D7D3D">
        <w:fldChar w:fldCharType="end"/>
      </w:r>
      <w:r w:rsidRPr="000D7D3D">
        <w:t>. Symbiotic mycorrhizal associations serve as one of the major strategies that ultimately enhances Pi uptake by plants.</w:t>
      </w:r>
      <w:r w:rsidRPr="000D7D3D">
        <w:rPr>
          <w:color w:val="131313"/>
        </w:rPr>
        <w:t xml:space="preserve"> For instance, the majority of temperate and boreal trees form mutualistic </w:t>
      </w:r>
      <w:r w:rsidRPr="000D7D3D">
        <w:rPr>
          <w:color w:val="131313"/>
        </w:rPr>
        <w:lastRenderedPageBreak/>
        <w:t>ectomycorrhizal (EM) symbioses, where EM fun</w:t>
      </w:r>
      <w:r w:rsidR="00D645C6">
        <w:rPr>
          <w:color w:val="131313"/>
        </w:rPr>
        <w:t>gi</w:t>
      </w:r>
      <w:r w:rsidRPr="000D7D3D">
        <w:rPr>
          <w:color w:val="131313"/>
        </w:rPr>
        <w:t xml:space="preserve"> (EMF) form a hyphal mantle around the roots of the host tree and further penetrate between the epidermal and cortical cells, forming a specialised structure, the Hartig net </w:t>
      </w:r>
      <w:r w:rsidRPr="000D7D3D">
        <w:rPr>
          <w:color w:val="131313"/>
        </w:rPr>
        <w:fldChar w:fldCharType="begin" w:fldLock="1"/>
      </w:r>
      <w:r w:rsidR="00EE33AB">
        <w:rPr>
          <w:color w:val="131313"/>
        </w:rPr>
        <w:instrText>ADDIN CSL_CITATION {"citationItems":[{"id":"ITEM-1","itemData":{"DOI":"10.1007/s11104-011-0731-0","ISBN":"1110401107310","ISSN":"0032-079X","author":[{"dropping-particle":"","family":"Cairney","given":"John W. G.","non-dropping-particle":"","parse-names":false,"suffix":""}],"container-title":"Plant and Soil","id":"ITEM-1","issue":"1-2","issued":{"date-parts":[["2011","2","20"]]},"page":"51-71","title":"Ectomycorrhizal fungi: the symbiotic route to the root for phosphorus in forest soils","type":"article-journal","volume":"344"},"uris":["http://www.mendeley.com/documents/?uuid=3c3b4a3f-ad9f-44ca-8a69-12912106b3c0"]}],"mendeley":{"formattedCitation":"(Cairney, 2011)","plainTextFormattedCitation":"(Cairney, 2011)","previouslyFormattedCitation":"(Cairney, 2011)"},"properties":{"noteIndex":0},"schema":"https://github.com/citation-style-language/schema/raw/master/csl-citation.json"}</w:instrText>
      </w:r>
      <w:r w:rsidRPr="000D7D3D">
        <w:rPr>
          <w:color w:val="131313"/>
        </w:rPr>
        <w:fldChar w:fldCharType="separate"/>
      </w:r>
      <w:r w:rsidRPr="000D7D3D">
        <w:rPr>
          <w:noProof/>
          <w:color w:val="131313"/>
        </w:rPr>
        <w:t>(Cairney, 2011)</w:t>
      </w:r>
      <w:r w:rsidRPr="000D7D3D">
        <w:rPr>
          <w:color w:val="131313"/>
        </w:rPr>
        <w:fldChar w:fldCharType="end"/>
      </w:r>
      <w:r w:rsidRPr="000D7D3D">
        <w:rPr>
          <w:color w:val="131313"/>
        </w:rPr>
        <w:t xml:space="preserve">. The Hartig net represents the </w:t>
      </w:r>
      <w:r w:rsidR="00402E20" w:rsidRPr="000D7D3D">
        <w:rPr>
          <w:color w:val="131313"/>
        </w:rPr>
        <w:t>plant</w:t>
      </w:r>
      <w:r w:rsidRPr="000D7D3D">
        <w:rPr>
          <w:color w:val="131313"/>
        </w:rPr>
        <w:t>-</w:t>
      </w:r>
      <w:r w:rsidR="00402E20" w:rsidRPr="000D7D3D">
        <w:rPr>
          <w:color w:val="131313"/>
        </w:rPr>
        <w:t xml:space="preserve">fungus </w:t>
      </w:r>
      <w:r w:rsidRPr="000D7D3D">
        <w:rPr>
          <w:color w:val="131313"/>
        </w:rPr>
        <w:t>interface across which nutrients, includin</w:t>
      </w:r>
      <w:r w:rsidR="00402E20">
        <w:rPr>
          <w:color w:val="131313"/>
        </w:rPr>
        <w:t>g Pi, and photosynthetic sugars</w:t>
      </w:r>
      <w:r w:rsidRPr="000D7D3D">
        <w:rPr>
          <w:color w:val="131313"/>
        </w:rPr>
        <w:t xml:space="preserve"> are exchanged between </w:t>
      </w:r>
      <w:r w:rsidR="00402E20">
        <w:rPr>
          <w:color w:val="131313"/>
        </w:rPr>
        <w:t xml:space="preserve">the </w:t>
      </w:r>
      <w:r w:rsidRPr="000D7D3D">
        <w:rPr>
          <w:color w:val="131313"/>
        </w:rPr>
        <w:t xml:space="preserve">symbiotic partners </w:t>
      </w:r>
      <w:r w:rsidRPr="000D7D3D">
        <w:rPr>
          <w:color w:val="131313"/>
        </w:rPr>
        <w:fldChar w:fldCharType="begin" w:fldLock="1"/>
      </w:r>
      <w:r w:rsidR="00EE33AB">
        <w:rPr>
          <w:color w:val="131313"/>
        </w:rPr>
        <w:instrText>ADDIN CSL_CITATION {"citationItems":[{"id":"ITEM-1","itemData":{"DOI":"10.1007/s11104-011-0731-0","ISBN":"1110401107310","ISSN":"0032-079X","author":[{"dropping-particle":"","family":"Cairney","given":"John W. G.","non-dropping-particle":"","parse-names":false,"suffix":""}],"container-title":"Plant and Soil","id":"ITEM-1","issue":"1-2","issued":{"date-parts":[["2011","2","20"]]},"page":"51-71","title":"Ectomycorrhizal fungi: the symbiotic route to the root for phosphorus in forest soils","type":"article-journal","volume":"344"},"uris":["http://www.mendeley.com/documents/?uuid=3c3b4a3f-ad9f-44ca-8a69-12912106b3c0"]}],"mendeley":{"formattedCitation":"(Cairney, 2011)","plainTextFormattedCitation":"(Cairney, 2011)","previouslyFormattedCitation":"(Cairney, 2011)"},"properties":{"noteIndex":0},"schema":"https://github.com/citation-style-language/schema/raw/master/csl-citation.json"}</w:instrText>
      </w:r>
      <w:r w:rsidRPr="000D7D3D">
        <w:rPr>
          <w:color w:val="131313"/>
        </w:rPr>
        <w:fldChar w:fldCharType="separate"/>
      </w:r>
      <w:r w:rsidRPr="000D7D3D">
        <w:rPr>
          <w:noProof/>
          <w:color w:val="131313"/>
        </w:rPr>
        <w:t>(Cairney, 2011)</w:t>
      </w:r>
      <w:r w:rsidRPr="000D7D3D">
        <w:rPr>
          <w:color w:val="131313"/>
        </w:rPr>
        <w:fldChar w:fldCharType="end"/>
      </w:r>
      <w:r w:rsidRPr="000D7D3D">
        <w:rPr>
          <w:color w:val="131313"/>
        </w:rPr>
        <w:t>. The extra</w:t>
      </w:r>
      <w:r w:rsidR="00402E20">
        <w:rPr>
          <w:color w:val="131313"/>
        </w:rPr>
        <w:t xml:space="preserve">radical mycelium </w:t>
      </w:r>
      <w:r w:rsidRPr="000D7D3D">
        <w:rPr>
          <w:color w:val="131313"/>
        </w:rPr>
        <w:t xml:space="preserve">is comprised of fungal hyphae that extend further from the mantle into the surrounding soil and play a major role in nutrient foraging and translocation </w:t>
      </w:r>
      <w:r w:rsidRPr="000D7D3D">
        <w:rPr>
          <w:color w:val="131313"/>
        </w:rPr>
        <w:fldChar w:fldCharType="begin" w:fldLock="1"/>
      </w:r>
      <w:r w:rsidR="00EE33AB">
        <w:rPr>
          <w:color w:val="131313"/>
        </w:rPr>
        <w:instrText>ADDIN CSL_CITATION {"citationItems":[{"id":"ITEM-1","itemData":{"DOI":"10.1007/s11104-011-0731-0","ISBN":"1110401107310","ISSN":"0032-079X","author":[{"dropping-particle":"","family":"Cairney","given":"John W. G.","non-dropping-particle":"","parse-names":false,"suffix":""}],"container-title":"Plant and Soil","id":"ITEM-1","issue":"1-2","issued":{"date-parts":[["2011","2","20"]]},"page":"51-71","title":"Ectomycorrhizal fungi: the symbiotic route to the root for phosphorus in forest soils","type":"article-journal","volume":"344"},"uris":["http://www.mendeley.com/documents/?uuid=3c3b4a3f-ad9f-44ca-8a69-12912106b3c0"]}],"mendeley":{"formattedCitation":"(Cairney, 2011)","plainTextFormattedCitation":"(Cairney, 2011)","previouslyFormattedCitation":"(Cairney, 2011)"},"properties":{"noteIndex":0},"schema":"https://github.com/citation-style-language/schema/raw/master/csl-citation.json"}</w:instrText>
      </w:r>
      <w:r w:rsidRPr="000D7D3D">
        <w:rPr>
          <w:color w:val="131313"/>
        </w:rPr>
        <w:fldChar w:fldCharType="separate"/>
      </w:r>
      <w:r w:rsidRPr="000D7D3D">
        <w:rPr>
          <w:noProof/>
          <w:color w:val="131313"/>
        </w:rPr>
        <w:t>(Cairney, 2011)</w:t>
      </w:r>
      <w:r w:rsidRPr="000D7D3D">
        <w:rPr>
          <w:color w:val="131313"/>
        </w:rPr>
        <w:fldChar w:fldCharType="end"/>
      </w:r>
      <w:r w:rsidRPr="000D7D3D">
        <w:rPr>
          <w:color w:val="131313"/>
        </w:rPr>
        <w:t xml:space="preserve">. </w:t>
      </w:r>
      <w:r w:rsidRPr="000D7D3D">
        <w:t xml:space="preserve">In particular, the presence of high-affinity fungal Pi transporters residing in the plasma membrane of the fungal hyphae at the </w:t>
      </w:r>
      <w:r w:rsidR="006437D6" w:rsidRPr="000D7D3D">
        <w:rPr>
          <w:color w:val="131313"/>
        </w:rPr>
        <w:t>extra</w:t>
      </w:r>
      <w:r w:rsidR="006437D6">
        <w:rPr>
          <w:color w:val="131313"/>
        </w:rPr>
        <w:t>radical mycelium</w:t>
      </w:r>
      <w:r w:rsidRPr="000D7D3D">
        <w:t xml:space="preserve"> mediates the uptake of Pi from the soil, which is further exchanged for photosynthetic sugars at the Hartig net </w:t>
      </w:r>
      <w:r w:rsidRPr="000D7D3D">
        <w:fldChar w:fldCharType="begin" w:fldLock="1"/>
      </w:r>
      <w:r w:rsidR="00EE33AB">
        <w:instrText>ADDIN CSL_CITATION {"citationItems":[{"id":"ITEM-1","itemData":{"DOI":"10.1007/s11104-011-0731-0","ISBN":"1110401107310","ISSN":"0032-079X","author":[{"dropping-particle":"","family":"Cairney","given":"John W. G.","non-dropping-particle":"","parse-names":false,"suffix":""}],"container-title":"Plant and Soil","id":"ITEM-1","issue":"1-2","issued":{"date-parts":[["2011","2","20"]]},"page":"51-71","title":"Ectomycorrhizal fungi: the symbiotic route to the root for phosphorus in forest soils","type":"article-journal","volume":"344"},"uris":["http://www.mendeley.com/documents/?uuid=3c3b4a3f-ad9f-44ca-8a69-12912106b3c0"]}],"mendeley":{"formattedCitation":"(Cairney, 2011)","plainTextFormattedCitation":"(Cairney, 2011)","previouslyFormattedCitation":"(Cairney, 2011)"},"properties":{"noteIndex":0},"schema":"https://github.com/citation-style-language/schema/raw/master/csl-citation.json"}</w:instrText>
      </w:r>
      <w:r w:rsidRPr="000D7D3D">
        <w:fldChar w:fldCharType="separate"/>
      </w:r>
      <w:r w:rsidRPr="000D7D3D">
        <w:rPr>
          <w:noProof/>
        </w:rPr>
        <w:t>(Cairney, 2011)</w:t>
      </w:r>
      <w:r w:rsidRPr="000D7D3D">
        <w:fldChar w:fldCharType="end"/>
      </w:r>
      <w:r w:rsidRPr="000D7D3D">
        <w:t>.</w:t>
      </w:r>
    </w:p>
    <w:p w14:paraId="4F20E8AD" w14:textId="29799300" w:rsidR="000D7D3D" w:rsidRPr="000D7D3D" w:rsidRDefault="000D7D3D" w:rsidP="003F7054">
      <w:pPr>
        <w:ind w:firstLine="720"/>
      </w:pPr>
      <w:r w:rsidRPr="000D7D3D">
        <w:t xml:space="preserve">The overall aim of this study was to assess mycelial growth responses and morphology of the EM fungus, </w:t>
      </w:r>
      <w:r w:rsidR="00683234">
        <w:rPr>
          <w:i/>
        </w:rPr>
        <w:t>Paxillus</w:t>
      </w:r>
      <w:r w:rsidRPr="000D7D3D">
        <w:rPr>
          <w:i/>
        </w:rPr>
        <w:t xml:space="preserve"> involutus </w:t>
      </w:r>
      <w:r w:rsidRPr="000D7D3D">
        <w:t>when fungal hyphae grow in various Pi concentrations, hence establish the best-performing media concerning varying Pi concentration for further experimental use. For instance, mycelia</w:t>
      </w:r>
      <w:r w:rsidR="006C7B1B">
        <w:t>l</w:t>
      </w:r>
      <w:r w:rsidRPr="000D7D3D">
        <w:t xml:space="preserve"> RNA extraction and cDNA synthesis to study relative gene expression of seven identified putative </w:t>
      </w:r>
      <w:r w:rsidR="001B185C" w:rsidRPr="00223DC5">
        <w:rPr>
          <w:i/>
        </w:rPr>
        <w:t>P. involutus</w:t>
      </w:r>
      <w:r w:rsidR="001B185C" w:rsidRPr="00223DC5">
        <w:t xml:space="preserve"> Pi transporter genes</w:t>
      </w:r>
      <w:r w:rsidR="001B185C">
        <w:t xml:space="preserve"> (</w:t>
      </w:r>
      <w:r w:rsidR="001B185C" w:rsidRPr="001B185C">
        <w:rPr>
          <w:i/>
        </w:rPr>
        <w:t>PiPTs</w:t>
      </w:r>
      <w:r w:rsidR="001B185C">
        <w:t>)</w:t>
      </w:r>
      <w:r w:rsidRPr="000D7D3D">
        <w:t xml:space="preserve"> (</w:t>
      </w:r>
      <w:r w:rsidRPr="000D7D3D">
        <w:rPr>
          <w:i/>
        </w:rPr>
        <w:t>PiPT1-7</w:t>
      </w:r>
      <w:r w:rsidRPr="000D7D3D">
        <w:t>) via semi-quantitative reverse transcription polymerase chain reaction (qRT-PCR) analysis.</w:t>
      </w:r>
    </w:p>
    <w:p w14:paraId="3C8B0625" w14:textId="26345E73" w:rsidR="000D7D3D" w:rsidRPr="000D7D3D" w:rsidRDefault="000D7D3D" w:rsidP="007F746A">
      <w:pPr>
        <w:ind w:firstLine="720"/>
      </w:pPr>
      <w:r w:rsidRPr="000D7D3D">
        <w:t xml:space="preserve">For this reason, Pi-varying media were designed and the response of </w:t>
      </w:r>
      <w:r w:rsidRPr="000D7D3D">
        <w:rPr>
          <w:i/>
        </w:rPr>
        <w:t>P. involutus</w:t>
      </w:r>
      <w:r w:rsidRPr="000D7D3D">
        <w:t xml:space="preserve"> hyphae tested by measuring fungal dry mass and hyphal Pi content. The Pi-varying media were initially inoculated with two different strengths of fungal inoculum. The strength of the fungal inoculum depends on the final concentration of the externally added Pi within the fungal culture media providing the inoculum, where </w:t>
      </w:r>
      <w:r w:rsidR="00683234">
        <w:t>full strength (</w:t>
      </w:r>
      <w:r w:rsidRPr="000D7D3D">
        <w:t>FS</w:t>
      </w:r>
      <w:r w:rsidR="00683234">
        <w:t>)</w:t>
      </w:r>
      <w:r w:rsidRPr="000D7D3D">
        <w:t xml:space="preserve"> and 10% </w:t>
      </w:r>
      <w:r w:rsidR="00683234">
        <w:t xml:space="preserve">strength </w:t>
      </w:r>
      <w:r w:rsidR="000A4368">
        <w:t xml:space="preserve">modified </w:t>
      </w:r>
      <w:r w:rsidR="000A4368" w:rsidRPr="000D7D3D">
        <w:t xml:space="preserve">Melin-Norkrans </w:t>
      </w:r>
      <w:r w:rsidR="000A4368">
        <w:t>(</w:t>
      </w:r>
      <w:r w:rsidRPr="000D7D3D">
        <w:t>MMN</w:t>
      </w:r>
      <w:r w:rsidR="000A4368">
        <w:t>)</w:t>
      </w:r>
      <w:r w:rsidRPr="000D7D3D">
        <w:t xml:space="preserve"> media contained 5.56 mM or 0.56 mM of Pi respectively. The purpose of utilizing both strengths of fungal inoculum in this experiment was to evaluate which of the two would provide an optimal growth response of </w:t>
      </w:r>
      <w:r w:rsidRPr="000D7D3D">
        <w:rPr>
          <w:i/>
        </w:rPr>
        <w:t>P. involutus</w:t>
      </w:r>
      <w:r w:rsidRPr="000D7D3D">
        <w:t xml:space="preserve"> during the Pi-varying fungal experiment. Besides, different </w:t>
      </w:r>
      <w:r w:rsidRPr="000D7D3D">
        <w:rPr>
          <w:i/>
        </w:rPr>
        <w:t>P. involutus</w:t>
      </w:r>
      <w:r w:rsidRPr="000D7D3D">
        <w:t xml:space="preserve"> strains were tested. These strains were </w:t>
      </w:r>
      <w:r w:rsidRPr="00683234">
        <w:rPr>
          <w:i/>
        </w:rPr>
        <w:t>P.</w:t>
      </w:r>
      <w:r w:rsidRPr="000D7D3D">
        <w:rPr>
          <w:i/>
        </w:rPr>
        <w:t xml:space="preserve"> involutus 13</w:t>
      </w:r>
      <w:r w:rsidRPr="000D7D3D">
        <w:t xml:space="preserve">, </w:t>
      </w:r>
      <w:r w:rsidRPr="000D7D3D">
        <w:rPr>
          <w:i/>
        </w:rPr>
        <w:t xml:space="preserve">P. involutus ATCC 200175, </w:t>
      </w:r>
      <w:r w:rsidRPr="000D7D3D">
        <w:t>of</w:t>
      </w:r>
      <w:r w:rsidR="00683234">
        <w:t xml:space="preserve"> which its genome was sequenced</w:t>
      </w:r>
      <w:r w:rsidRPr="000D7D3D">
        <w:t xml:space="preserve"> and genomic data are available via MycoCosm </w:t>
      </w:r>
      <w:r w:rsidRPr="000D7D3D">
        <w:fldChar w:fldCharType="begin" w:fldLock="1"/>
      </w:r>
      <w:r w:rsidR="00EE33AB">
        <w:instrText>ADDIN CSL_CITATION {"citationItems":[{"id":"ITEM-1","itemData":{"DOI":"10.1093/nar/gkt1183","ISBN":"1362-4962 (Electronic)\\n0305-1048 (Linking)","ISSN":"03051048","PMID":"24297253","abstract":"MycoCosm is a fungal genomics portal (http://jgi.doe.gov/fungi), developed by the US Department of Energy Joint Genome Institute to support integration, analysis and dissemination of fungal genome sequences and other 'omics' data by providing interactive web-based tools. MycoCosm also promotes and facilitates user community participation through the nomination of new species of fungi for sequencing, and the annotation and analysis of resulting data. By efficiently filling gaps in the Fungal Tree of Life, MycoCosm will help address important problems associated with energy and the environment, taking advantage of growing fungal genomics resources.","author":[{"dropping-particle":"V.","family":"Grigoriev","given":"Igor","non-dropping-particle":"","parse-names":false,"suffix":""},{"dropping-particle":"","family":"Nikitin","given":"Roman","non-dropping-particle":"","parse-names":false,"suffix":""},{"dropping-particle":"","family":"Haridas","given":"Sajeet","non-dropping-particle":"","parse-names":false,"suffix":""},{"dropping-particle":"","family":"Kuo","given":"Alan","non-dropping-particle":"","parse-names":false,"suffix":""},{"dropping-particle":"","family":"Ohm","given":"Robin","non-dropping-particle":"","parse-names":false,"suffix":""},{"dropping-particle":"","family":"Otillar","given":"Robert","non-dropping-particle":"","parse-names":false,"suffix":""},{"dropping-particle":"","family":"Riley","given":"Robert","non-dropping-particle":"","parse-names":false,"suffix":""},{"dropping-particle":"","family":"Salamov","given":"Asaf","non-dropping-particle":"","parse-names":false,"suffix":""},{"dropping-particle":"","family":"Zhao","given":"Xueling","non-dropping-particle":"","parse-names":false,"suffix":""},{"dropping-particle":"","family":"Korzeniewski","given":"Frank","non-dropping-particle":"","parse-names":false,"suffix":""},{"dropping-particle":"","family":"Smirnova","given":"Tatyana","non-dropping-particle":"","parse-names":false,"suffix":""},{"dropping-particle":"","family":"Nordberg","given":"Henrik","non-dropping-particle":"","parse-names":false,"suffix":""},{"dropping-particle":"","family":"Dubchak","given":"Inna","non-dropping-particle":"","parse-names":false,"suffix":""},{"dropping-particle":"","family":"Shabalov","given":"Igor","non-dropping-particle":"","parse-names":false,"suffix":""}],"container-title":"Nucleic Acids Research","id":"ITEM-1","issue":"December 2013","issued":{"date-parts":[["2014"]]},"page":"699-704","title":"MycoCosm portal: Gearing up for 1000 fungal genomes","type":"article-journal","volume":"42"},"uris":["http://www.mendeley.com/documents/?uuid=eee40767-9a6f-492f-9569-bb26ff80c11c"]}],"mendeley":{"formattedCitation":"(Grigoriev et al., 2014)","plainTextFormattedCitation":"(Grigoriev et al., 2014)","previouslyFormattedCitation":"(Grigoriev et al., 2014)"},"properties":{"noteIndex":0},"schema":"https://github.com/citation-style-language/schema/raw/master/csl-citation.json"}</w:instrText>
      </w:r>
      <w:r w:rsidRPr="000D7D3D">
        <w:fldChar w:fldCharType="separate"/>
      </w:r>
      <w:r w:rsidRPr="000D7D3D">
        <w:rPr>
          <w:noProof/>
        </w:rPr>
        <w:t xml:space="preserve">(Grigoriev et al., </w:t>
      </w:r>
      <w:r w:rsidRPr="000D7D3D">
        <w:rPr>
          <w:noProof/>
        </w:rPr>
        <w:lastRenderedPageBreak/>
        <w:t>2014)</w:t>
      </w:r>
      <w:r w:rsidRPr="000D7D3D">
        <w:fldChar w:fldCharType="end"/>
      </w:r>
      <w:r w:rsidRPr="000D7D3D">
        <w:t xml:space="preserve"> on the JGI database </w:t>
      </w:r>
      <w:r w:rsidRPr="000D7D3D">
        <w:fldChar w:fldCharType="begin" w:fldLock="1"/>
      </w:r>
      <w:r w:rsidR="00EE33AB">
        <w:instrText>ADDIN CSL_CITATION {"citationItems":[{"id":"ITEM-1","itemData":{"DOI":"10.1093/nar/gkt1069","ISBN":"1362-4962","ISSN":"03051048","PMID":"22110030","abstract":"The Department of Energy (DOE) Joint Genome Institute (JGI) is a national user facility with massive-scale DNA sequencing and analysis capabilities dedicated to advancing genomics for bioenergy and environmental applications. Beyond generating tens of trillions of DNA bases annually, the Institute develops and maintains data management systems and specialized analytical capabilities to manage and interpret complex genomic data sets, and to enable an expanding community of users around the world to analyze these data in different contexts over the web. The JGI Genome Portal (http://genome.jgi.doe.gov) provides a unified access point to all JGI genomic databases and analytical tools. A user can find all DOE JGI sequencing projects and their status, search for and download assemblies and annotations of sequenced genomes, and interactively explore those genomes and compare them with other sequenced microbes, fungi, plants or metagenomes using specialized systems tailored to each particular class of organisms. We describe here the general organization of the Genome Portal and the most recent addition, MycoCosm (http://jgi.doe.gov/fungi), a new integrated fungal genomics resource.","author":[{"dropping-particle":"","family":"Nordberg","given":"Henrik","non-dropping-particle":"","parse-names":false,"suffix":""},{"dropping-particle":"","family":"Cantor","given":"Michael","non-dropping-particle":"","parse-names":false,"suffix":""},{"dropping-particle":"","family":"Dusheyko","given":"Serge","non-dropping-particle":"","parse-names":false,"suffix":""},{"dropping-particle":"","family":"Hua","given":"Susan","non-dropping-particle":"","parse-names":false,"suffix":""},{"dropping-particle":"","family":"Poliakov","given":"Alexander","non-dropping-particle":"","parse-names":false,"suffix":""},{"dropping-particle":"","family":"Shabalov","given":"Igor","non-dropping-particle":"","parse-names":false,"suffix":""},{"dropping-particle":"","family":"Smirnova","given":"Tatyana","non-dropping-particle":"","parse-names":false,"suffix":""},{"dropping-particle":"V.","family":"Grigoriev","given":"Igor","non-dropping-particle":"","parse-names":false,"suffix":""},{"dropping-particle":"","family":"Dubchak","given":"Inna","non-dropping-particle":"","parse-names":false,"suffix":""}],"container-title":"Nucleic Acids Research","id":"ITEM-1","issue":"November 2013","issued":{"date-parts":[["2014"]]},"page":"26-31","title":"The genome portal of the Department of Energy Joint Genome Institute: 2014 updates","type":"article-journal","volume":"42"},"uris":["http://www.mendeley.com/documents/?uuid=b21f0d97-1a2b-4cf5-ba5d-15ca56906cc5"]},{"id":"ITEM-2","itemData":{"ISSN":"0305-1048","abstract":"The Department of Energy (DOE) Joint Genome Institute (JGI) is a national user facility with massive-scale DNA sequencing and analysis capabilities dedicated to advancing genomics for bioenergy and environmental applications. Beyond generating tens of trillions of DNA bases annually, the Institute develops and maintains data management systems and specialized analytical capabilities to manage and interpret complex genomic data sets, and to enable an expanding community of users around the world to analyze these data in different contexts over the web. The JGI Genome Portal (http://genome.jgi.doe.gov) provides a unified access point to all JGI genomic databases and analytical tools. A user can find all DOE JGI sequencing projects and their status, search for and download assemblies and annotations of sequenced genomes, and interactively explore those genomes and compare them with other sequenced microbes, fungi, plants or metagenomes using specialized systems tailored to each particular class of organisms. We describe here the general organization of the Genome Portal and the most recent addition, MycoCosm (http://jgi.doe.gov/fungi), a new integrated fungal genomics resource.","author":[{"dropping-particle":"V","family":"Grigoriev","given":"Igor","non-dropping-particle":"","parse-names":false,"suffix":""},{"dropping-particle":"","family":"Nordberg","given":"Henrik","non-dropping-particle":"","parse-names":false,"suffix":""},{"dropping-particle":"","family":"Shabalov","given":"Igor","non-dropping-particle":"","parse-names":false,"suffix":""},{"dropping-particle":"","family":"Aerts","given":"Andrea","non-dropping-particle":"","parse-names":false,"suffix":""},{"dropping-particle":"","family":"Cantor","given":"Mike","non-dropping-particle":"","parse-names":false,"suffix":""},{"dropping-particle":"","family":"Goodstein","given":"David","non-dropping-particle":"","parse-names":false,"suffix":""},{"dropping-particle":"","family":"Kuo","given":"Alan","non-dropping-particle":"","parse-names":false,"suffix":""},{"dropping-particle":"","family":"Minovitsky","given":"Simon","non-dropping-particle":"","parse-names":false,"suffix":""},{"dropping-particle":"","family":"Nikitin","given":"Roman","non-dropping-particle":"","parse-names":false,"suffix":""},{"dropping-particle":"","family":"Ohm","given":"Robin A","non-dropping-particle":"","parse-names":false,"suffix":""},{"dropping-particle":"","family":"Otillar","given":"Robert","non-dropping-particle":"","parse-names":false,"suffix":""},{"dropping-particle":"","family":"Poliakov","given":"Alex","non-dropping-particle":"","parse-names":false,"suffix":""},{"dropping-particle":"","family":"Ratnere","given":"Igor","non-dropping-particle":"","parse-names":false,"suffix":""},{"dropping-particle":"","family":"Riley","given":"Robert","non-dropping-particle":"","parse-names":false,"suffix":""},{"dropping-particle":"","family":"Smirnova","given":"Tatyana","non-dropping-particle":"","parse-names":false,"suffix":""},{"dropping-particle":"","family":"Rokhsar","given":"Daniel","non-dropping-particle":"","parse-names":false,"suffix":""},{"dropping-particle":"","family":"Dubchak","given":"Inna","non-dropping-particle":"","parse-names":false,"suffix":""}],"container-title":"Nucleic Acids Research","id":"ITEM-2","issue":"D1","issued":{"date-parts":[["2012","1","1"]]},"note":"10.1093/nar/gkr947","page":"D26-D32","title":"The Genome Portal of the Department of Energy Joint Genome Institute","type":"article-journal","volume":"40"},"uris":["http://www.mendeley.com/documents/?uuid=84ae87bb-9746-4372-b76e-1c36657fa2c3"]}],"mendeley":{"formattedCitation":"(Nordberg et al., 2014; Grigoriev et al., 2012)","plainTextFormattedCitation":"(Nordberg et al., 2014; Grigoriev et al., 2012)","previouslyFormattedCitation":"(Nordberg et al., 2014; Grigoriev et al., 2012)"},"properties":{"noteIndex":0},"schema":"https://github.com/citation-style-language/schema/raw/master/csl-citation.json"}</w:instrText>
      </w:r>
      <w:r w:rsidRPr="000D7D3D">
        <w:fldChar w:fldCharType="separate"/>
      </w:r>
      <w:r w:rsidRPr="000D7D3D">
        <w:rPr>
          <w:noProof/>
        </w:rPr>
        <w:t>(Nordberg et al., 2014; Grigoriev et al., 2012)</w:t>
      </w:r>
      <w:r w:rsidRPr="000D7D3D">
        <w:fldChar w:fldCharType="end"/>
      </w:r>
      <w:r w:rsidRPr="000D7D3D">
        <w:rPr>
          <w:i/>
        </w:rPr>
        <w:t xml:space="preserve">, </w:t>
      </w:r>
      <w:r w:rsidR="00683234">
        <w:t>and</w:t>
      </w:r>
      <w:r w:rsidRPr="000D7D3D">
        <w:t xml:space="preserve"> </w:t>
      </w:r>
      <w:r w:rsidRPr="000D7D3D">
        <w:rPr>
          <w:i/>
        </w:rPr>
        <w:t>P. involutus DJR1</w:t>
      </w:r>
      <w:r w:rsidRPr="000D7D3D">
        <w:t xml:space="preserve">. </w:t>
      </w:r>
    </w:p>
    <w:p w14:paraId="3C77965A" w14:textId="517A76F4" w:rsidR="000D7D3D" w:rsidRPr="000D7D3D" w:rsidRDefault="009D5BFF" w:rsidP="007F746A">
      <w:pPr>
        <w:ind w:firstLine="720"/>
      </w:pPr>
      <w:r w:rsidRPr="000D7D3D">
        <w:t>T</w:t>
      </w:r>
      <w:r w:rsidR="000D7D3D" w:rsidRPr="000D7D3D">
        <w:t xml:space="preserve">he study was expanded to non-symbiotic (NS) and symbiotic (S) conditions. The NS condition refers to where </w:t>
      </w:r>
      <w:r w:rsidRPr="009D5BFF">
        <w:rPr>
          <w:i/>
        </w:rPr>
        <w:t>P. involutus</w:t>
      </w:r>
      <w:r>
        <w:t xml:space="preserve"> fungal hyphae gre</w:t>
      </w:r>
      <w:r w:rsidR="000D7D3D" w:rsidRPr="000D7D3D">
        <w:t xml:space="preserve">w </w:t>
      </w:r>
      <w:r>
        <w:t xml:space="preserve">alone </w:t>
      </w:r>
      <w:r w:rsidR="000D7D3D" w:rsidRPr="000D7D3D">
        <w:t>on the M-MMN Pi-varying media (M-MMN</w:t>
      </w:r>
      <w:r w:rsidR="000D7D3D" w:rsidRPr="000D7D3D">
        <w:rPr>
          <w:vertAlign w:val="subscript"/>
        </w:rPr>
        <w:t>NS</w:t>
      </w:r>
      <w:r>
        <w:t>). Whereas,</w:t>
      </w:r>
      <w:r w:rsidR="000D7D3D" w:rsidRPr="000D7D3D">
        <w:t xml:space="preserve"> </w:t>
      </w:r>
      <w:r>
        <w:t xml:space="preserve">in </w:t>
      </w:r>
      <w:r w:rsidR="000D7D3D" w:rsidRPr="000D7D3D">
        <w:t xml:space="preserve">the S condition </w:t>
      </w:r>
      <w:r w:rsidRPr="009D5BFF">
        <w:rPr>
          <w:i/>
        </w:rPr>
        <w:t>P. involutus</w:t>
      </w:r>
      <w:r w:rsidRPr="000D7D3D">
        <w:t xml:space="preserve"> </w:t>
      </w:r>
      <w:r w:rsidR="000D7D3D" w:rsidRPr="000D7D3D">
        <w:t xml:space="preserve">fungal hyphae </w:t>
      </w:r>
      <w:r>
        <w:t>gre</w:t>
      </w:r>
      <w:r w:rsidR="000D7D3D" w:rsidRPr="000D7D3D">
        <w:t xml:space="preserve">w </w:t>
      </w:r>
      <w:r>
        <w:t xml:space="preserve">in EM symbiosis </w:t>
      </w:r>
      <w:r w:rsidR="000D7D3D" w:rsidRPr="000D7D3D">
        <w:t xml:space="preserve">together with </w:t>
      </w:r>
      <w:r w:rsidR="000D7D3D" w:rsidRPr="000D7D3D">
        <w:rPr>
          <w:i/>
        </w:rPr>
        <w:t>Pinus sylvestris</w:t>
      </w:r>
      <w:r w:rsidR="000D7D3D" w:rsidRPr="000D7D3D">
        <w:t xml:space="preserve"> seedling</w:t>
      </w:r>
      <w:r>
        <w:t>s</w:t>
      </w:r>
      <w:r w:rsidR="000D7D3D" w:rsidRPr="000D7D3D">
        <w:t xml:space="preserve"> on the M-MMN Pi-varying media (M-MMN</w:t>
      </w:r>
      <w:r w:rsidR="000D7D3D" w:rsidRPr="000D7D3D">
        <w:rPr>
          <w:vertAlign w:val="subscript"/>
        </w:rPr>
        <w:t>S</w:t>
      </w:r>
      <w:r>
        <w:t>).</w:t>
      </w:r>
    </w:p>
    <w:p w14:paraId="52CFDD86" w14:textId="52839E0E" w:rsidR="000D7D3D" w:rsidRDefault="000D7D3D" w:rsidP="00FB36B8">
      <w:pPr>
        <w:ind w:firstLine="720"/>
      </w:pPr>
      <w:r w:rsidRPr="000D7D3D">
        <w:t>For this study f</w:t>
      </w:r>
      <w:r w:rsidR="00F6401A">
        <w:t>ive</w:t>
      </w:r>
      <w:r w:rsidRPr="000D7D3D">
        <w:t xml:space="preserve"> main hypotheses </w:t>
      </w:r>
      <w:r w:rsidR="009D5BFF">
        <w:t>were</w:t>
      </w:r>
      <w:r w:rsidRPr="000D7D3D">
        <w:t xml:space="preserve"> tested, formulated as follows: </w:t>
      </w:r>
    </w:p>
    <w:p w14:paraId="0B724DED" w14:textId="0689CAF6" w:rsidR="00F6401A" w:rsidRPr="000D7D3D" w:rsidRDefault="00F6401A" w:rsidP="00635993">
      <w:r>
        <w:t xml:space="preserve">1. </w:t>
      </w:r>
      <w:r w:rsidR="002458C9">
        <w:t>High Pi or low Pi-containing</w:t>
      </w:r>
      <w:r>
        <w:t xml:space="preserve"> fungal inocula will </w:t>
      </w:r>
      <w:r w:rsidR="002458C9">
        <w:t>affect</w:t>
      </w:r>
      <w:r w:rsidR="00821F12">
        <w:t xml:space="preserve"> </w:t>
      </w:r>
      <w:r w:rsidR="002458C9">
        <w:t xml:space="preserve">mycelial </w:t>
      </w:r>
      <w:r w:rsidR="00821F12">
        <w:t xml:space="preserve">growth rates </w:t>
      </w:r>
      <w:r w:rsidR="002458C9">
        <w:t>on</w:t>
      </w:r>
      <w:r w:rsidR="00821F12">
        <w:t xml:space="preserve"> </w:t>
      </w:r>
      <w:r w:rsidR="002458C9">
        <w:t>the</w:t>
      </w:r>
      <w:r w:rsidR="00821F12">
        <w:t xml:space="preserve"> </w:t>
      </w:r>
      <w:r w:rsidR="001040BC">
        <w:t>Pi-</w:t>
      </w:r>
      <w:r w:rsidR="00821F12">
        <w:t xml:space="preserve">varying </w:t>
      </w:r>
      <w:r w:rsidR="001040BC">
        <w:t>media</w:t>
      </w:r>
      <w:r w:rsidR="002458C9">
        <w:t>. In particular, high</w:t>
      </w:r>
      <w:r w:rsidR="001040BC">
        <w:t xml:space="preserve">er </w:t>
      </w:r>
      <w:r w:rsidR="002458C9">
        <w:t xml:space="preserve">Pi </w:t>
      </w:r>
      <w:r w:rsidR="001040BC">
        <w:t xml:space="preserve">content within </w:t>
      </w:r>
      <w:r w:rsidR="00E01656">
        <w:t xml:space="preserve">the </w:t>
      </w:r>
      <w:r w:rsidR="001040BC">
        <w:t xml:space="preserve">fungal </w:t>
      </w:r>
      <w:r w:rsidR="00821F12">
        <w:t xml:space="preserve">inocula </w:t>
      </w:r>
      <w:r w:rsidR="00E01656">
        <w:t xml:space="preserve">will have </w:t>
      </w:r>
      <w:r w:rsidR="001040BC">
        <w:t>stronger impact on the mycelial growth</w:t>
      </w:r>
      <w:r w:rsidR="002458C9">
        <w:t xml:space="preserve"> </w:t>
      </w:r>
      <w:r w:rsidR="001040BC">
        <w:t xml:space="preserve">at the lowest concentrations of </w:t>
      </w:r>
      <w:r w:rsidR="00862A8D">
        <w:t xml:space="preserve">the </w:t>
      </w:r>
      <w:r w:rsidR="001040BC">
        <w:t>Pi-varying media</w:t>
      </w:r>
      <w:r w:rsidR="00821F12">
        <w:t>.</w:t>
      </w:r>
    </w:p>
    <w:p w14:paraId="3B243452" w14:textId="1668809D" w:rsidR="000D7D3D" w:rsidRPr="000D7D3D" w:rsidRDefault="00F6401A" w:rsidP="00635993">
      <w:r>
        <w:t>2</w:t>
      </w:r>
      <w:r w:rsidR="002E1D26">
        <w:t>.</w:t>
      </w:r>
      <w:r w:rsidR="000D7D3D" w:rsidRPr="000D7D3D">
        <w:t xml:space="preserve"> Different strains of </w:t>
      </w:r>
      <w:r w:rsidR="000D7D3D" w:rsidRPr="000D7D3D">
        <w:rPr>
          <w:i/>
        </w:rPr>
        <w:t>P. involutus</w:t>
      </w:r>
      <w:r w:rsidR="000D7D3D" w:rsidRPr="000D7D3D">
        <w:t xml:space="preserve"> will exhibit different growth rates and morphology in response to varying Pi concentrations.</w:t>
      </w:r>
    </w:p>
    <w:p w14:paraId="46A41024" w14:textId="7FD62B2A" w:rsidR="00B76D53" w:rsidRDefault="00F6401A" w:rsidP="00635993">
      <w:r>
        <w:t>3</w:t>
      </w:r>
      <w:r w:rsidR="002E1D26">
        <w:t>.</w:t>
      </w:r>
      <w:r w:rsidR="000D7D3D" w:rsidRPr="000D7D3D">
        <w:t xml:space="preserve"> </w:t>
      </w:r>
      <w:r w:rsidR="00B76D53" w:rsidRPr="000D7D3D">
        <w:rPr>
          <w:i/>
        </w:rPr>
        <w:t>P. involutus</w:t>
      </w:r>
      <w:r w:rsidR="00B76D53">
        <w:t xml:space="preserve"> hyphal Pi </w:t>
      </w:r>
      <w:r w:rsidR="00B76D53" w:rsidRPr="000D7D3D">
        <w:t>content will increase in response to the</w:t>
      </w:r>
      <w:r w:rsidR="00B76D53">
        <w:t xml:space="preserve"> Pi </w:t>
      </w:r>
      <w:r w:rsidR="00B76D53" w:rsidRPr="000D7D3D">
        <w:t>concentration of the Pi-varying media. In the S systems, the Pi content of the pine seedling</w:t>
      </w:r>
      <w:r w:rsidR="00B76D53">
        <w:t>s</w:t>
      </w:r>
      <w:r w:rsidR="00B76D53" w:rsidRPr="000D7D3D">
        <w:t xml:space="preserve"> will also increase in response to t</w:t>
      </w:r>
      <w:r w:rsidR="00B76D53">
        <w:t>he increasing Pi concentration.</w:t>
      </w:r>
    </w:p>
    <w:p w14:paraId="496956F3" w14:textId="77777777" w:rsidR="00B76D53" w:rsidRDefault="00F6401A" w:rsidP="003F7054">
      <w:r>
        <w:t>4</w:t>
      </w:r>
      <w:r w:rsidR="002E1D26">
        <w:t>.</w:t>
      </w:r>
      <w:r w:rsidR="000D7D3D" w:rsidRPr="000D7D3D">
        <w:t xml:space="preserve"> </w:t>
      </w:r>
      <w:r w:rsidR="00B76D53" w:rsidRPr="000D7D3D">
        <w:rPr>
          <w:i/>
        </w:rPr>
        <w:t>P. involutus</w:t>
      </w:r>
      <w:r w:rsidR="00B76D53" w:rsidRPr="000D7D3D">
        <w:t xml:space="preserve"> hyphal </w:t>
      </w:r>
      <w:r w:rsidR="00B76D53">
        <w:t xml:space="preserve">dry </w:t>
      </w:r>
      <w:r w:rsidR="00B76D53" w:rsidRPr="000D7D3D">
        <w:t>mass will increase within the Pi-varying systems in response to the increasing Pi concentration. In the S systems the dry mass of the seedlings will also increase in response to increasing Pi concentration.</w:t>
      </w:r>
    </w:p>
    <w:p w14:paraId="67B80C07" w14:textId="0606254A" w:rsidR="000D7D3D" w:rsidRPr="000D7D3D" w:rsidRDefault="00F6401A" w:rsidP="003F7054">
      <w:r>
        <w:t>5</w:t>
      </w:r>
      <w:r w:rsidR="002E1D26">
        <w:t>.</w:t>
      </w:r>
      <w:r w:rsidR="000D7D3D" w:rsidRPr="000D7D3D">
        <w:t xml:space="preserve"> The relative </w:t>
      </w:r>
      <w:r w:rsidR="000A4368">
        <w:t xml:space="preserve">gene </w:t>
      </w:r>
      <w:r w:rsidR="000D7D3D" w:rsidRPr="000D7D3D">
        <w:t xml:space="preserve">expression of putative </w:t>
      </w:r>
      <w:r w:rsidR="001B185C">
        <w:rPr>
          <w:i/>
        </w:rPr>
        <w:t xml:space="preserve">PiPTs </w:t>
      </w:r>
      <w:r w:rsidR="000D7D3D" w:rsidRPr="000D7D3D">
        <w:t>(</w:t>
      </w:r>
      <w:r w:rsidR="000D7D3D" w:rsidRPr="000D7D3D">
        <w:rPr>
          <w:i/>
        </w:rPr>
        <w:t>PiPT1-7</w:t>
      </w:r>
      <w:r w:rsidR="000D7D3D" w:rsidRPr="000D7D3D">
        <w:t>) will show upregulation at the lowest Pi concentrations, while at the highest</w:t>
      </w:r>
      <w:r w:rsidR="00877B3F">
        <w:t xml:space="preserve"> Pi concentrations will be down</w:t>
      </w:r>
      <w:r w:rsidR="000D7D3D" w:rsidRPr="000D7D3D">
        <w:t>regulated.</w:t>
      </w:r>
      <w:r w:rsidR="000D7D3D" w:rsidRPr="000D7D3D">
        <w:br w:type="page"/>
      </w:r>
    </w:p>
    <w:p w14:paraId="1AB25C4F" w14:textId="5B0227B2" w:rsidR="000D7D3D" w:rsidRPr="000D7D3D" w:rsidRDefault="000D7D3D" w:rsidP="00635993">
      <w:pPr>
        <w:pStyle w:val="Heading1"/>
      </w:pPr>
      <w:bookmarkStart w:id="77" w:name="_Toc507603970"/>
      <w:bookmarkStart w:id="78" w:name="_Toc507604237"/>
      <w:bookmarkStart w:id="79" w:name="_Toc519016954"/>
      <w:bookmarkStart w:id="80" w:name="_Toc520837852"/>
      <w:r w:rsidRPr="000D7D3D">
        <w:lastRenderedPageBreak/>
        <w:t>2.2 Materials and Methods</w:t>
      </w:r>
      <w:bookmarkEnd w:id="77"/>
      <w:bookmarkEnd w:id="78"/>
      <w:bookmarkEnd w:id="79"/>
      <w:bookmarkEnd w:id="80"/>
    </w:p>
    <w:p w14:paraId="478C0E87" w14:textId="77777777" w:rsidR="000D7D3D" w:rsidRPr="000D7D3D" w:rsidRDefault="000D7D3D" w:rsidP="003F7054"/>
    <w:p w14:paraId="631623FD" w14:textId="53C85569" w:rsidR="000D7D3D" w:rsidRPr="000D7D3D" w:rsidRDefault="000D7D3D" w:rsidP="00635993">
      <w:pPr>
        <w:pStyle w:val="Heading2"/>
      </w:pPr>
      <w:bookmarkStart w:id="81" w:name="_Toc507603971"/>
      <w:bookmarkStart w:id="82" w:name="_Toc507604238"/>
      <w:bookmarkStart w:id="83" w:name="_Toc519016955"/>
      <w:bookmarkStart w:id="84" w:name="_Toc520837853"/>
      <w:r w:rsidRPr="000D7D3D">
        <w:t xml:space="preserve">2.2.1 </w:t>
      </w:r>
      <w:r w:rsidR="0072113B">
        <w:t>Experimental design of the Pi-varying experiment</w:t>
      </w:r>
      <w:bookmarkEnd w:id="81"/>
      <w:bookmarkEnd w:id="82"/>
      <w:bookmarkEnd w:id="83"/>
      <w:bookmarkEnd w:id="84"/>
    </w:p>
    <w:p w14:paraId="636F7DAB" w14:textId="4F3FC142" w:rsidR="000D7D3D" w:rsidRPr="000D7D3D" w:rsidRDefault="000D7D3D" w:rsidP="003F7054">
      <w:r w:rsidRPr="000D7D3D">
        <w:t>T</w:t>
      </w:r>
      <w:r w:rsidR="001F04A8">
        <w:t xml:space="preserve">wo </w:t>
      </w:r>
      <w:r w:rsidR="00F9091C">
        <w:t xml:space="preserve">MMN </w:t>
      </w:r>
      <w:r w:rsidR="001F04A8">
        <w:t>media were prepared for fungal growth at different Pi conc</w:t>
      </w:r>
      <w:r w:rsidR="000A4368">
        <w:t xml:space="preserve">entrations. </w:t>
      </w:r>
      <w:r w:rsidR="00F9091C">
        <w:t xml:space="preserve">Firstly, an </w:t>
      </w:r>
      <w:r w:rsidR="001F04A8" w:rsidRPr="000D7D3D">
        <w:t>MMN</w:t>
      </w:r>
      <w:r w:rsidR="000A4368">
        <w:t xml:space="preserve"> </w:t>
      </w:r>
      <w:r w:rsidR="000A4368" w:rsidRPr="000D7D3D">
        <w:t xml:space="preserve">medium </w:t>
      </w:r>
      <w:r w:rsidRPr="000D7D3D">
        <w:t xml:space="preserve">formulated according to </w:t>
      </w:r>
      <w:r w:rsidR="007A4607">
        <w:t>Brun et al. (1995)</w:t>
      </w:r>
      <w:r w:rsidR="00C667E7">
        <w:t>,</w:t>
      </w:r>
      <w:r w:rsidRPr="000D7D3D">
        <w:t xml:space="preserve"> </w:t>
      </w:r>
      <w:r w:rsidR="001F04A8">
        <w:t>wi</w:t>
      </w:r>
      <w:r w:rsidR="00F9091C">
        <w:t xml:space="preserve">th different Pi concentrations and </w:t>
      </w:r>
      <w:r w:rsidR="00400C92">
        <w:t xml:space="preserve">it </w:t>
      </w:r>
      <w:r w:rsidR="00F9091C">
        <w:t>is refer</w:t>
      </w:r>
      <w:r w:rsidR="00205702">
        <w:t>r</w:t>
      </w:r>
      <w:r w:rsidR="00F9091C">
        <w:t xml:space="preserve">ed to as </w:t>
      </w:r>
      <w:r w:rsidRPr="000D7D3D">
        <w:t xml:space="preserve">Pi-varying </w:t>
      </w:r>
      <w:r w:rsidR="00400C92">
        <w:t>B-MMN medium</w:t>
      </w:r>
      <w:r w:rsidRPr="000D7D3D">
        <w:t xml:space="preserve"> </w:t>
      </w:r>
      <w:r w:rsidR="00F9091C" w:rsidRPr="000D7D3D">
        <w:t>(</w:t>
      </w:r>
      <w:r w:rsidR="00F9091C">
        <w:t>Appendix, Table 2</w:t>
      </w:r>
      <w:r w:rsidR="00F9091C" w:rsidRPr="000D7D3D">
        <w:t>)</w:t>
      </w:r>
      <w:r w:rsidR="00F9091C" w:rsidRPr="000D7D3D">
        <w:fldChar w:fldCharType="begin" w:fldLock="1"/>
      </w:r>
      <w:r w:rsidR="00EE33AB">
        <w:instrText>ADDIN CSL_CITATION {"citationItems":[{"id":"ITEM-1","itemData":{"author":[{"dropping-particle":"","family":"Brun","given":"Annick","non-dropping-particle":"","parse-names":false,"suffix":""},{"dropping-particle":"","family":"Chalot","given":"Michel","non-dropping-particle":"","parse-names":false,"suffix":""},{"dropping-particle":"","family":"Finlay","given":"Roger D","non-dropping-particle":"","parse-names":false,"suffix":""},{"dropping-particle":"","family":"Soderstrom","given":"B","non-dropping-particle":"","parse-names":false,"suffix":""}],"container-title":"New Phytologist","id":"ITEM-1","issued":{"date-parts":[["1995"]]},"page":"487-493","title":"Structure and function of the ectomycorrhizal association between Paxillus involutus ( Batsch ) Fr . and Betula pendula Roth .","type":"article-journal","volume":"129"},"uris":["http://www.mendeley.com/documents/?uuid=b77c0b95-e5e2-449e-a6f6-291595d111d7"]}],"mendeley":{"formattedCitation":"(Brun et al., 1995)","plainTextFormattedCitation":"(Brun et al., 1995)","previouslyFormattedCitation":"(Brun et al., 1995)"},"properties":{"noteIndex":0},"schema":"https://github.com/citation-style-language/schema/raw/master/csl-citation.json"}</w:instrText>
      </w:r>
      <w:r w:rsidR="00F9091C" w:rsidRPr="000D7D3D">
        <w:fldChar w:fldCharType="separate"/>
      </w:r>
      <w:r w:rsidR="00F9091C" w:rsidRPr="000D7D3D">
        <w:rPr>
          <w:noProof/>
        </w:rPr>
        <w:t>(Brun et al., 1995)</w:t>
      </w:r>
      <w:r w:rsidR="00F9091C" w:rsidRPr="000D7D3D">
        <w:fldChar w:fldCharType="end"/>
      </w:r>
      <w:r w:rsidRPr="000D7D3D">
        <w:t xml:space="preserve">. </w:t>
      </w:r>
      <w:r w:rsidR="00400C92">
        <w:t>Secondly, a</w:t>
      </w:r>
      <w:r w:rsidR="004E2123">
        <w:t xml:space="preserve">n </w:t>
      </w:r>
      <w:r w:rsidR="00F9091C">
        <w:t xml:space="preserve">alternative </w:t>
      </w:r>
      <w:r w:rsidR="00F9091C" w:rsidRPr="000D7D3D">
        <w:t>Pi-varying</w:t>
      </w:r>
      <w:r w:rsidR="00F9091C">
        <w:t xml:space="preserve"> MMN medium</w:t>
      </w:r>
      <w:r w:rsidRPr="000D7D3D">
        <w:t xml:space="preserve"> </w:t>
      </w:r>
      <w:r w:rsidR="00F9091C">
        <w:t>developed after</w:t>
      </w:r>
      <w:r w:rsidR="00C667E7">
        <w:t xml:space="preserve"> M</w:t>
      </w:r>
      <w:r w:rsidR="00C667E7" w:rsidRPr="000D7D3D">
        <w:rPr>
          <w:noProof/>
        </w:rPr>
        <w:t>ü</w:t>
      </w:r>
      <w:r w:rsidR="00C667E7">
        <w:t>ller et al. (2013),</w:t>
      </w:r>
      <w:r w:rsidR="00F9091C">
        <w:t xml:space="preserve"> </w:t>
      </w:r>
      <w:r w:rsidR="00400C92">
        <w:t>which</w:t>
      </w:r>
      <w:r w:rsidR="00F9091C">
        <w:t xml:space="preserve"> </w:t>
      </w:r>
      <w:r w:rsidR="00400C92">
        <w:t xml:space="preserve">additionally </w:t>
      </w:r>
      <w:r w:rsidR="004E2123">
        <w:t xml:space="preserve">included </w:t>
      </w:r>
      <w:r w:rsidRPr="000D7D3D">
        <w:t>activated charcoal</w:t>
      </w:r>
      <w:r w:rsidR="004E2123">
        <w:t xml:space="preserve"> </w:t>
      </w:r>
      <w:r w:rsidRPr="000D7D3D">
        <w:t>(</w:t>
      </w:r>
      <w:r w:rsidR="004E2123">
        <w:t>Appendix</w:t>
      </w:r>
      <w:r w:rsidR="000A4368">
        <w:t>,</w:t>
      </w:r>
      <w:r w:rsidR="004E2123">
        <w:t xml:space="preserve"> </w:t>
      </w:r>
      <w:r w:rsidR="00F9091C">
        <w:t>Table 3)</w:t>
      </w:r>
      <w:r w:rsidR="00F9091C" w:rsidRPr="00F9091C">
        <w:t xml:space="preserve"> </w:t>
      </w:r>
      <w:r w:rsidR="00F9091C" w:rsidRPr="000D7D3D">
        <w:fldChar w:fldCharType="begin" w:fldLock="1"/>
      </w:r>
      <w:r w:rsidR="00EE33AB">
        <w:instrText>ADDIN CSL_CITATION {"citationItems":[{"id":"ITEM-1","itemData":{"DOI":"10.3389/fpls.2013.00332","ISSN":"1664-462X","PMID":"23986772","abstract":"During the last decades the importance of the genus Populus increased because the poplar genome has been sequenced and molecular tools for basic research have become available. Poplar species occur in different habitats and harbor large genetic variation, which can be exploited for economic applications and for increasing our knowledge on the basic molecular mechanisms of the woody life style. Poplars are, therefore, employed to unravel the molecular mechanisms of wood formation, stress tolerance, tree nutrition and interaction with other organisms such as pathogens or mycorrhiza. The basis of these investigations is the reproducible production of homogeneous plant material. In this method paper we describe techniques and growth conditions for the in vitro propagation of different poplar species (Populus × canescens, P. trichocarpa, P. tremula, and P. euphratica) and ectomycorrhizal fungi (Laccaria bicolor, Paxillus involutus) as well as for their co-cultivation for ectomycorrhizal synthesis. Maintenance and plant preparation require different multiplication and rooting media. Growth systems to cultivate poplars under axenic conditions in agar and sand cultures with and without mycorrhizal fungi are described. Transfer of the plants from in vitro to in situ conditions is critical and hardening is important to prevent high mortality. Growth and vitality of the trees in vitro and outdoors with and without ectomycorrhizas are reported.","author":[{"dropping-particle":"","family":"Müller","given":"Anna","non-dropping-particle":"","parse-names":false,"suffix":""},{"dropping-particle":"","family":"Volmer","given":"Katharina","non-dropping-particle":"","parse-names":false,"suffix":""},{"dropping-particle":"","family":"Mishra-Knyrim","given":"Manika","non-dropping-particle":"","parse-names":false,"suffix":""},{"dropping-particle":"","family":"Polle","given":"Andrea","non-dropping-particle":"","parse-names":false,"suffix":""}],"container-title":"Frontiers in plant science","id":"ITEM-1","issue":"August","issued":{"date-parts":[["2013","1"]]},"page":"332","title":"Growing poplars for research with and without mycorrhizas.","type":"article-journal","volume":"4"},"uris":["http://www.mendeley.com/documents/?uuid=1116f2ac-3363-4f4a-bea5-cc9393fdaff1"]}],"mendeley":{"formattedCitation":"(Müller et al., 2013)","plainTextFormattedCitation":"(Müller et al., 2013)","previouslyFormattedCitation":"(Müller et al., 2013)"},"properties":{"noteIndex":0},"schema":"https://github.com/citation-style-language/schema/raw/master/csl-citation.json"}</w:instrText>
      </w:r>
      <w:r w:rsidR="00F9091C" w:rsidRPr="000D7D3D">
        <w:fldChar w:fldCharType="separate"/>
      </w:r>
      <w:r w:rsidR="00F9091C" w:rsidRPr="000D7D3D">
        <w:rPr>
          <w:noProof/>
        </w:rPr>
        <w:t>(Müller et al., 2013)</w:t>
      </w:r>
      <w:r w:rsidR="00F9091C" w:rsidRPr="000D7D3D">
        <w:fldChar w:fldCharType="end"/>
      </w:r>
      <w:r w:rsidR="00F9091C">
        <w:t>. This medium</w:t>
      </w:r>
      <w:r w:rsidRPr="000D7D3D">
        <w:t xml:space="preserve"> </w:t>
      </w:r>
      <w:r w:rsidR="004466D9">
        <w:t>is</w:t>
      </w:r>
      <w:r w:rsidRPr="000D7D3D">
        <w:t xml:space="preserve"> referred to as </w:t>
      </w:r>
      <w:r w:rsidR="00400C92" w:rsidRPr="000D7D3D">
        <w:t xml:space="preserve">Pi-varying </w:t>
      </w:r>
      <w:r w:rsidRPr="000D7D3D">
        <w:t>M-MMN</w:t>
      </w:r>
      <w:r w:rsidRPr="000D7D3D">
        <w:rPr>
          <w:vertAlign w:val="subscript"/>
        </w:rPr>
        <w:t>NS</w:t>
      </w:r>
      <w:r w:rsidRPr="000D7D3D">
        <w:t xml:space="preserve"> </w:t>
      </w:r>
      <w:r w:rsidR="000A4368">
        <w:t>or</w:t>
      </w:r>
      <w:r w:rsidRPr="000D7D3D">
        <w:t xml:space="preserve"> M-MMN</w:t>
      </w:r>
      <w:r w:rsidRPr="000D7D3D">
        <w:rPr>
          <w:vertAlign w:val="subscript"/>
        </w:rPr>
        <w:t>S</w:t>
      </w:r>
      <w:r w:rsidR="000A4368">
        <w:rPr>
          <w:vertAlign w:val="subscript"/>
        </w:rPr>
        <w:t xml:space="preserve"> </w:t>
      </w:r>
      <w:r w:rsidR="000A4368">
        <w:t>for the NS or S conditions respectively</w:t>
      </w:r>
      <w:r w:rsidRPr="000D7D3D">
        <w:t xml:space="preserve">. </w:t>
      </w:r>
      <w:r w:rsidR="0072113B">
        <w:t>M</w:t>
      </w:r>
      <w:r w:rsidRPr="000D7D3D">
        <w:t>edia w</w:t>
      </w:r>
      <w:r w:rsidR="0072113B">
        <w:t>ere</w:t>
      </w:r>
      <w:r w:rsidRPr="000D7D3D">
        <w:t xml:space="preserve"> autoclaved at </w:t>
      </w:r>
      <w:r w:rsidR="00C667E7">
        <w:t>15 psi for 15 minutes at 121</w:t>
      </w:r>
      <w:r w:rsidRPr="000D7D3D">
        <w:rPr>
          <w:rFonts w:cs="Arial"/>
        </w:rPr>
        <w:t>°</w:t>
      </w:r>
      <w:r w:rsidRPr="000D7D3D">
        <w:t>C (Prestige Medical Classic 2100 Standard) and poured into 90</w:t>
      </w:r>
      <w:r w:rsidR="0072113B">
        <w:t xml:space="preserve"> </w:t>
      </w:r>
      <w:r w:rsidRPr="000D7D3D">
        <w:t xml:space="preserve">mm round Petri dishes </w:t>
      </w:r>
      <w:r w:rsidR="00613EF7">
        <w:t>for the B-MMN and</w:t>
      </w:r>
      <w:r w:rsidR="00613EF7" w:rsidRPr="000D7D3D">
        <w:t xml:space="preserve"> M-MMN</w:t>
      </w:r>
      <w:r w:rsidR="00613EF7">
        <w:rPr>
          <w:vertAlign w:val="subscript"/>
        </w:rPr>
        <w:t>NS</w:t>
      </w:r>
      <w:r w:rsidR="00613EF7">
        <w:t xml:space="preserve"> or </w:t>
      </w:r>
      <w:r w:rsidR="00613EF7" w:rsidRPr="000D7D3D">
        <w:t>into 140</w:t>
      </w:r>
      <w:r w:rsidR="00613EF7">
        <w:t xml:space="preserve"> </w:t>
      </w:r>
      <w:r w:rsidR="00613EF7" w:rsidRPr="000D7D3D">
        <w:t xml:space="preserve">mm square Petri dishes </w:t>
      </w:r>
      <w:r w:rsidR="00613EF7">
        <w:t xml:space="preserve">for the </w:t>
      </w:r>
      <w:r w:rsidR="00613EF7" w:rsidRPr="000D7D3D">
        <w:t>M-MMN</w:t>
      </w:r>
      <w:r w:rsidR="00613EF7" w:rsidRPr="000D7D3D">
        <w:rPr>
          <w:vertAlign w:val="subscript"/>
        </w:rPr>
        <w:t>S</w:t>
      </w:r>
      <w:r w:rsidR="00613EF7">
        <w:t xml:space="preserve"> Pi-varying experimental designs respectively</w:t>
      </w:r>
      <w:r w:rsidRPr="000D7D3D">
        <w:t>. As per Sections 2.3.3 and 2.3.4, after the Pi-varying M-MMN</w:t>
      </w:r>
      <w:r w:rsidRPr="000D7D3D">
        <w:rPr>
          <w:vertAlign w:val="subscript"/>
        </w:rPr>
        <w:t>NS</w:t>
      </w:r>
      <w:r w:rsidRPr="000D7D3D">
        <w:t xml:space="preserve"> media w</w:t>
      </w:r>
      <w:r w:rsidR="0072113B">
        <w:t>ere</w:t>
      </w:r>
      <w:r w:rsidRPr="000D7D3D">
        <w:t xml:space="preserve"> poured into the </w:t>
      </w:r>
      <w:r w:rsidR="00FA4A34">
        <w:t xml:space="preserve">90 mm </w:t>
      </w:r>
      <w:r w:rsidRPr="000D7D3D">
        <w:t xml:space="preserve">Petri dishes, a sterile cellophane membrane was used to cover them. </w:t>
      </w:r>
      <w:r w:rsidRPr="00635993">
        <w:rPr>
          <w:i/>
        </w:rPr>
        <w:t>P. involutus</w:t>
      </w:r>
      <w:r w:rsidRPr="000D7D3D">
        <w:t xml:space="preserve"> inoculum, as plugs of 6 mm</w:t>
      </w:r>
      <w:r w:rsidR="00205702">
        <w:t>,</w:t>
      </w:r>
      <w:r w:rsidRPr="000D7D3D">
        <w:t xml:space="preserve"> which originated from FS MMN or 10%</w:t>
      </w:r>
      <w:r w:rsidR="0072113B">
        <w:t xml:space="preserve"> strength</w:t>
      </w:r>
      <w:r w:rsidRPr="000D7D3D">
        <w:t xml:space="preserve"> MMN fungal cultures, was used to inoculate three replicates of each Pi concentration at both recipes of the Pi-varying fungal experiment.</w:t>
      </w:r>
      <w:r w:rsidR="00012A71">
        <w:t xml:space="preserve"> </w:t>
      </w:r>
      <w:r w:rsidR="008B2897">
        <w:t xml:space="preserve">The strength of the </w:t>
      </w:r>
      <w:r w:rsidR="008B2897" w:rsidRPr="0018719D">
        <w:rPr>
          <w:i/>
        </w:rPr>
        <w:t>P. involutus</w:t>
      </w:r>
      <w:r w:rsidR="008B2897" w:rsidRPr="000D7D3D">
        <w:t xml:space="preserve"> inocul</w:t>
      </w:r>
      <w:r w:rsidR="00FF211E">
        <w:t>a</w:t>
      </w:r>
      <w:r w:rsidR="008B2897">
        <w:t xml:space="preserve"> refers to the amount of Pi contained in the MMN media, </w:t>
      </w:r>
      <w:r w:rsidR="0090385D">
        <w:t>where</w:t>
      </w:r>
      <w:r w:rsidR="008B2897">
        <w:t xml:space="preserve"> 10% MMN</w:t>
      </w:r>
      <w:r w:rsidR="0090385D">
        <w:t xml:space="preserve"> </w:t>
      </w:r>
      <w:r w:rsidR="008B2897">
        <w:t>conta</w:t>
      </w:r>
      <w:r w:rsidR="0090385D">
        <w:t>ins</w:t>
      </w:r>
      <w:r w:rsidR="008B2897">
        <w:t xml:space="preserve"> </w:t>
      </w:r>
      <w:r w:rsidR="00FF211E">
        <w:t>1/10</w:t>
      </w:r>
      <w:r w:rsidR="00FF211E" w:rsidRPr="00635993">
        <w:rPr>
          <w:vertAlign w:val="superscript"/>
        </w:rPr>
        <w:t>th</w:t>
      </w:r>
      <w:r w:rsidR="00FF211E">
        <w:t xml:space="preserve"> of the total Pi </w:t>
      </w:r>
      <w:r w:rsidR="0090385D">
        <w:t>of</w:t>
      </w:r>
      <w:r w:rsidR="00FF211E">
        <w:t xml:space="preserve"> the FS</w:t>
      </w:r>
      <w:r w:rsidR="00220CCD">
        <w:t xml:space="preserve"> MMN (Appendix, Table 1</w:t>
      </w:r>
      <w:r w:rsidR="0090385D">
        <w:t>)</w:t>
      </w:r>
      <w:r w:rsidR="005E3F26">
        <w:t>. The purpose of</w:t>
      </w:r>
      <w:r w:rsidR="00FF211E">
        <w:t xml:space="preserve"> using both strengths of </w:t>
      </w:r>
      <w:r w:rsidR="00FF211E" w:rsidRPr="0018719D">
        <w:rPr>
          <w:i/>
        </w:rPr>
        <w:t>P. involutus</w:t>
      </w:r>
      <w:r w:rsidR="00FF211E" w:rsidRPr="000D7D3D">
        <w:t xml:space="preserve"> inocul</w:t>
      </w:r>
      <w:r w:rsidR="00FF211E">
        <w:t xml:space="preserve">a </w:t>
      </w:r>
      <w:r w:rsidR="005E3F26">
        <w:t>wa</w:t>
      </w:r>
      <w:r w:rsidR="00FF211E">
        <w:t xml:space="preserve">s to test the impact of the Pi </w:t>
      </w:r>
      <w:r w:rsidR="00220CCD">
        <w:t xml:space="preserve">within the inocula plugs </w:t>
      </w:r>
      <w:r w:rsidR="00FF211E">
        <w:t>on the mycelial growth during the Pi-varying experiments.</w:t>
      </w:r>
    </w:p>
    <w:p w14:paraId="47350461" w14:textId="77777777" w:rsidR="000D7D3D" w:rsidRPr="000D7D3D" w:rsidRDefault="000D7D3D" w:rsidP="007F746A"/>
    <w:p w14:paraId="57F5CF5C" w14:textId="076685EA" w:rsidR="000D7D3D" w:rsidRPr="000D7D3D" w:rsidRDefault="000D7D3D" w:rsidP="00635993">
      <w:pPr>
        <w:pStyle w:val="Heading2"/>
      </w:pPr>
      <w:bookmarkStart w:id="85" w:name="_Toc507603972"/>
      <w:bookmarkStart w:id="86" w:name="_Toc507604239"/>
      <w:bookmarkStart w:id="87" w:name="_Toc519016956"/>
      <w:bookmarkStart w:id="88" w:name="_Toc520837854"/>
      <w:r w:rsidRPr="000D7D3D">
        <w:t>2.2.2 Fungal/plant material</w:t>
      </w:r>
      <w:bookmarkEnd w:id="85"/>
      <w:bookmarkEnd w:id="86"/>
      <w:bookmarkEnd w:id="87"/>
      <w:bookmarkEnd w:id="88"/>
    </w:p>
    <w:p w14:paraId="0C20D943" w14:textId="1DB0A865" w:rsidR="000D7D3D" w:rsidRPr="000D7D3D" w:rsidRDefault="000D7D3D" w:rsidP="003F7054">
      <w:r w:rsidRPr="000D7D3D">
        <w:rPr>
          <w:b/>
        </w:rPr>
        <w:t>Fungal Pi-varying experimental condition (NS):</w:t>
      </w:r>
      <w:r w:rsidRPr="000D7D3D">
        <w:rPr>
          <w:i/>
        </w:rPr>
        <w:t xml:space="preserve"> P. involutus </w:t>
      </w:r>
      <w:r w:rsidRPr="000D7D3D">
        <w:t>that</w:t>
      </w:r>
      <w:r w:rsidRPr="000D7D3D">
        <w:rPr>
          <w:i/>
        </w:rPr>
        <w:t xml:space="preserve"> </w:t>
      </w:r>
      <w:r w:rsidRPr="000D7D3D">
        <w:t>was grown either on FS or 10% strength MMN fungal culture media (</w:t>
      </w:r>
      <w:r w:rsidR="00666ED1" w:rsidRPr="000D7D3D">
        <w:t>Appendix</w:t>
      </w:r>
      <w:r w:rsidR="00666ED1">
        <w:t>,</w:t>
      </w:r>
      <w:r w:rsidR="00666ED1" w:rsidRPr="000D7D3D">
        <w:t xml:space="preserve"> </w:t>
      </w:r>
      <w:r w:rsidR="00666ED1">
        <w:t>Table 1</w:t>
      </w:r>
      <w:r w:rsidRPr="000D7D3D">
        <w:t xml:space="preserve">) </w:t>
      </w:r>
      <w:r w:rsidRPr="000D7D3D">
        <w:rPr>
          <w:rFonts w:eastAsia="Times New Roman"/>
        </w:rPr>
        <w:t xml:space="preserve">provided </w:t>
      </w:r>
      <w:r w:rsidRPr="000D7D3D">
        <w:t>fungal inoculum for the Pi-varying fungal experiment in Sections 2.3.1 and 2.3.2. Fungal plugs were cut with a 6</w:t>
      </w:r>
      <w:r w:rsidR="002E4F2B">
        <w:t xml:space="preserve"> </w:t>
      </w:r>
      <w:r w:rsidRPr="000D7D3D">
        <w:t>mm diameter cork borer and were inoculated on 90</w:t>
      </w:r>
      <w:r w:rsidR="002E4F2B">
        <w:t xml:space="preserve"> </w:t>
      </w:r>
      <w:r w:rsidRPr="000D7D3D">
        <w:t>mm Petri dishes of the B-MMN (Section 2.3.1) and M-MMN</w:t>
      </w:r>
      <w:r w:rsidRPr="000D7D3D">
        <w:rPr>
          <w:vertAlign w:val="subscript"/>
        </w:rPr>
        <w:t>NS</w:t>
      </w:r>
      <w:r w:rsidRPr="000D7D3D">
        <w:t xml:space="preserve"> Pi-varying fungal experiment (Sections 2.3.2., </w:t>
      </w:r>
      <w:r w:rsidRPr="000D7D3D">
        <w:lastRenderedPageBreak/>
        <w:t xml:space="preserve">2.3.3 and 2.3.4). </w:t>
      </w:r>
      <w:r w:rsidRPr="000D7D3D">
        <w:rPr>
          <w:i/>
        </w:rPr>
        <w:t>P. involutus</w:t>
      </w:r>
      <w:r w:rsidRPr="000D7D3D">
        <w:t xml:space="preserve"> </w:t>
      </w:r>
      <w:r w:rsidRPr="000D7D3D">
        <w:rPr>
          <w:i/>
        </w:rPr>
        <w:t xml:space="preserve">ATCC 200175, P. involutus 13 </w:t>
      </w:r>
      <w:r w:rsidRPr="000D7D3D">
        <w:t xml:space="preserve">and </w:t>
      </w:r>
      <w:r w:rsidRPr="000D7D3D">
        <w:rPr>
          <w:i/>
        </w:rPr>
        <w:t xml:space="preserve">P. involutus DJR1 </w:t>
      </w:r>
      <w:r w:rsidRPr="000D7D3D">
        <w:t>strains were kindly provided by Dr Francis M. Martin (INRA, France), Professor David Johnson (University of Aberdeen, UK) and Professor David J. Read (The University of Sheffield, UK), respectively.</w:t>
      </w:r>
    </w:p>
    <w:p w14:paraId="633B94D6" w14:textId="54773423" w:rsidR="000D7D3D" w:rsidRPr="000D7D3D" w:rsidRDefault="000D7D3D" w:rsidP="007F746A">
      <w:r w:rsidRPr="000D7D3D">
        <w:rPr>
          <w:b/>
        </w:rPr>
        <w:t>Symbiotic Pi-varying experimental condition (S):</w:t>
      </w:r>
      <w:r w:rsidR="00666ED1">
        <w:rPr>
          <w:i/>
        </w:rPr>
        <w:t xml:space="preserve"> Pinus sylvestris</w:t>
      </w:r>
      <w:r w:rsidRPr="000D7D3D">
        <w:t xml:space="preserve"> seeds (Forestry Commission, UK) were surface sterilised with 30% H</w:t>
      </w:r>
      <w:r w:rsidRPr="000D7D3D">
        <w:rPr>
          <w:vertAlign w:val="subscript"/>
        </w:rPr>
        <w:t>2</w:t>
      </w:r>
      <w:r w:rsidRPr="000D7D3D">
        <w:t>O</w:t>
      </w:r>
      <w:r w:rsidRPr="000D7D3D">
        <w:rPr>
          <w:vertAlign w:val="subscript"/>
        </w:rPr>
        <w:t xml:space="preserve">2 </w:t>
      </w:r>
      <w:r w:rsidRPr="000D7D3D">
        <w:t>and germinated on 1.2% plant agar (Duchefa). After seedling formation, th</w:t>
      </w:r>
      <w:r w:rsidR="00666ED1">
        <w:t xml:space="preserve">e pines were transferred to 140 </w:t>
      </w:r>
      <w:r w:rsidRPr="000D7D3D">
        <w:t xml:space="preserve">mm square Petri dishes containing 10% </w:t>
      </w:r>
      <w:r w:rsidR="00666ED1">
        <w:t xml:space="preserve">strength </w:t>
      </w:r>
      <w:r w:rsidRPr="000D7D3D">
        <w:t>MM</w:t>
      </w:r>
      <w:r w:rsidR="00666ED1">
        <w:t xml:space="preserve">N media and inoculated with a 6 </w:t>
      </w:r>
      <w:r w:rsidRPr="000D7D3D">
        <w:t xml:space="preserve">mm fungal plug that originated from 10% MMN fungal cultures. The seedlings </w:t>
      </w:r>
      <w:r w:rsidR="00BB3CB7">
        <w:t>were left for 12 weeks to form mycorrhiza</w:t>
      </w:r>
      <w:r w:rsidRPr="000D7D3D">
        <w:t>. Last</w:t>
      </w:r>
      <w:r w:rsidR="00BB3CB7">
        <w:t>ly, the mycorrhizal</w:t>
      </w:r>
      <w:r w:rsidRPr="000D7D3D">
        <w:t xml:space="preserve"> pines were transferred to the Pi-varying M-MMN</w:t>
      </w:r>
      <w:r w:rsidRPr="000D7D3D">
        <w:rPr>
          <w:vertAlign w:val="subscript"/>
        </w:rPr>
        <w:t>S</w:t>
      </w:r>
      <w:r w:rsidRPr="000D7D3D">
        <w:t xml:space="preserve"> experimental design adapted for symbiotic growth (</w:t>
      </w:r>
      <w:r w:rsidR="00721FAE" w:rsidRPr="000D7D3D">
        <w:t>Appendix</w:t>
      </w:r>
      <w:r w:rsidR="00721FAE">
        <w:t>, Table 3</w:t>
      </w:r>
      <w:r w:rsidRPr="000D7D3D">
        <w:t xml:space="preserve">). </w:t>
      </w:r>
    </w:p>
    <w:p w14:paraId="7FC9CA1A" w14:textId="77777777" w:rsidR="000D7D3D" w:rsidRPr="000D7D3D" w:rsidRDefault="000D7D3D" w:rsidP="00FB36B8"/>
    <w:p w14:paraId="7B5B4B04" w14:textId="313F14D3" w:rsidR="000D7D3D" w:rsidRPr="000D7D3D" w:rsidRDefault="000D7D3D" w:rsidP="00635993">
      <w:pPr>
        <w:pStyle w:val="Heading2"/>
      </w:pPr>
      <w:bookmarkStart w:id="89" w:name="_Toc507603973"/>
      <w:bookmarkStart w:id="90" w:name="_Toc507604240"/>
      <w:bookmarkStart w:id="91" w:name="_Toc519016957"/>
      <w:bookmarkStart w:id="92" w:name="_Toc520837855"/>
      <w:r w:rsidRPr="000D7D3D">
        <w:t>2.2.3 Determination of fungal and plant dry mass</w:t>
      </w:r>
      <w:bookmarkEnd w:id="89"/>
      <w:bookmarkEnd w:id="90"/>
      <w:bookmarkEnd w:id="91"/>
      <w:bookmarkEnd w:id="92"/>
    </w:p>
    <w:p w14:paraId="6E7041FB" w14:textId="2C128595" w:rsidR="000D7D3D" w:rsidRPr="000D7D3D" w:rsidRDefault="000D7D3D" w:rsidP="003F7054">
      <w:r w:rsidRPr="000D7D3D">
        <w:t>Fungal hyphae grown on cellophane-covered Petri dishes w</w:t>
      </w:r>
      <w:r w:rsidR="002E4F2B">
        <w:t>ere</w:t>
      </w:r>
      <w:r w:rsidRPr="000D7D3D">
        <w:t xml:space="preserve"> collected wit</w:t>
      </w:r>
      <w:r w:rsidR="00721FAE">
        <w:t xml:space="preserve">h a surface scraper tool into 2 </w:t>
      </w:r>
      <w:r w:rsidRPr="000D7D3D">
        <w:t>ml Eppendorf tubes and oven dr</w:t>
      </w:r>
      <w:r w:rsidR="00721FAE">
        <w:t>ied at 90°C for up to five days.</w:t>
      </w:r>
      <w:r w:rsidRPr="000D7D3D">
        <w:t xml:space="preserve"> </w:t>
      </w:r>
      <w:r w:rsidR="00721FAE" w:rsidRPr="000D7D3D">
        <w:t>F</w:t>
      </w:r>
      <w:r w:rsidRPr="000D7D3D">
        <w:t>or the non-cellophane-covered plates, the fungal mycelia were collected by transferring the contents of each Petri dish into a 50</w:t>
      </w:r>
      <w:r w:rsidR="002E4F2B">
        <w:t xml:space="preserve"> </w:t>
      </w:r>
      <w:r w:rsidRPr="000D7D3D">
        <w:t xml:space="preserve">ml Eppendorf tube with subsequent melting of the agar in a 95°C water bath </w:t>
      </w:r>
      <w:r w:rsidR="00E8643C">
        <w:t>un</w:t>
      </w:r>
      <w:r w:rsidR="00E8643C" w:rsidRPr="000D7D3D">
        <w:t>til</w:t>
      </w:r>
      <w:r w:rsidRPr="000D7D3D">
        <w:t xml:space="preserve"> separation of the mycelia from the agar. The mycelia were recollected into a clean 50</w:t>
      </w:r>
      <w:r w:rsidR="002E4F2B">
        <w:t xml:space="preserve"> </w:t>
      </w:r>
      <w:r w:rsidRPr="000D7D3D">
        <w:t xml:space="preserve">ml Eppendorf tube and were washed three times with 95°C distilled </w:t>
      </w:r>
      <w:r w:rsidR="00721FAE">
        <w:t xml:space="preserve">water </w:t>
      </w:r>
      <w:r w:rsidRPr="000D7D3D">
        <w:t>to remove any remain</w:t>
      </w:r>
      <w:r w:rsidR="002E4F2B">
        <w:t>ing</w:t>
      </w:r>
      <w:r w:rsidRPr="000D7D3D">
        <w:t xml:space="preserve"> agar. Finally, the mycelia were collected via filtration </w:t>
      </w:r>
      <w:r w:rsidR="002E4F2B">
        <w:t>using</w:t>
      </w:r>
      <w:r w:rsidRPr="000D7D3D">
        <w:t xml:space="preserve"> a Buchner funnel </w:t>
      </w:r>
      <w:r w:rsidR="002E4F2B">
        <w:t>with a</w:t>
      </w:r>
      <w:r w:rsidRPr="000D7D3D">
        <w:t xml:space="preserve"> 90</w:t>
      </w:r>
      <w:r w:rsidR="002E4F2B">
        <w:t xml:space="preserve"> </w:t>
      </w:r>
      <w:r w:rsidRPr="000D7D3D">
        <w:t xml:space="preserve">mm Whatman filter paper that </w:t>
      </w:r>
      <w:r w:rsidR="002E4F2B">
        <w:t xml:space="preserve">had been </w:t>
      </w:r>
      <w:r w:rsidRPr="000D7D3D">
        <w:t xml:space="preserve">oven dried at 90°C for five days. </w:t>
      </w:r>
      <w:r w:rsidR="002E4F2B">
        <w:t>P</w:t>
      </w:r>
      <w:r w:rsidRPr="000D7D3D">
        <w:t>lant tissues were collected into paper envelopes and oven dried at 90°C for five days. Dry mass measurements were performed as soon as the tissues were completely dry using an analytical balance (Mettl</w:t>
      </w:r>
      <w:r w:rsidR="00EF6ED2">
        <w:t>er AT261B Delta Range Balance).</w:t>
      </w:r>
      <w:r w:rsidR="00EF6ED2">
        <w:br w:type="page"/>
      </w:r>
    </w:p>
    <w:p w14:paraId="792E4AE9" w14:textId="4AEFA600" w:rsidR="000D7D3D" w:rsidRPr="000D7D3D" w:rsidRDefault="000D7D3D" w:rsidP="00635993">
      <w:pPr>
        <w:pStyle w:val="Heading2"/>
      </w:pPr>
      <w:bookmarkStart w:id="93" w:name="_Toc507603974"/>
      <w:bookmarkStart w:id="94" w:name="_Toc507604241"/>
      <w:bookmarkStart w:id="95" w:name="_Toc519016958"/>
      <w:bookmarkStart w:id="96" w:name="_Toc520837856"/>
      <w:r w:rsidRPr="000D7D3D">
        <w:lastRenderedPageBreak/>
        <w:t>2.2.4 Determination of fungal and plant Pi content</w:t>
      </w:r>
      <w:bookmarkEnd w:id="93"/>
      <w:bookmarkEnd w:id="94"/>
      <w:bookmarkEnd w:id="95"/>
      <w:bookmarkEnd w:id="96"/>
    </w:p>
    <w:p w14:paraId="7FFCBC95" w14:textId="40B93451" w:rsidR="000D7D3D" w:rsidRPr="000D7D3D" w:rsidRDefault="000D7D3D" w:rsidP="003F7054">
      <w:r w:rsidRPr="000D7D3D">
        <w:t xml:space="preserve">Plant (needle/root) and fungal hyphae Pi content were measured using the Phosphate Assay Kit (Colorimetric) Ab65622 according to the manufacturer’s instructions (Abcam). The assay utilises a proprietary formulation of malachite green and ammonium molybdate that forms a chromogenic complex with </w:t>
      </w:r>
      <w:r w:rsidR="00C742EE">
        <w:t xml:space="preserve">Pi </w:t>
      </w:r>
      <w:r w:rsidRPr="000D7D3D">
        <w:t xml:space="preserve">ions, leading to an intense absorption band around 650 nm. </w:t>
      </w:r>
      <w:r w:rsidR="00C742EE">
        <w:t>The kit</w:t>
      </w:r>
      <w:r w:rsidR="00C742EE" w:rsidRPr="00C742EE">
        <w:t xml:space="preserve"> detect</w:t>
      </w:r>
      <w:r w:rsidR="00C742EE">
        <w:t>s</w:t>
      </w:r>
      <w:r w:rsidR="00C742EE" w:rsidRPr="00C742EE">
        <w:t xml:space="preserve"> all </w:t>
      </w:r>
      <w:r w:rsidR="00C742EE">
        <w:t xml:space="preserve">types of Pi, such as </w:t>
      </w:r>
      <w:r w:rsidR="00C742EE" w:rsidRPr="000D7D3D">
        <w:rPr>
          <w:rFonts w:cs="Arial"/>
        </w:rPr>
        <w:t>PO</w:t>
      </w:r>
      <w:r w:rsidR="00C742EE" w:rsidRPr="000D7D3D">
        <w:rPr>
          <w:rFonts w:cs="Arial"/>
          <w:vertAlign w:val="subscript"/>
        </w:rPr>
        <w:t>4</w:t>
      </w:r>
      <w:r w:rsidR="00C742EE" w:rsidRPr="000D7D3D">
        <w:rPr>
          <w:rFonts w:cs="Arial"/>
          <w:vertAlign w:val="superscript"/>
        </w:rPr>
        <w:t>3−</w:t>
      </w:r>
      <w:r w:rsidR="00C742EE" w:rsidRPr="000D7D3D">
        <w:rPr>
          <w:rFonts w:cs="Arial"/>
        </w:rPr>
        <w:t>, HPO</w:t>
      </w:r>
      <w:r w:rsidR="00C742EE" w:rsidRPr="000D7D3D">
        <w:rPr>
          <w:rFonts w:cs="Arial"/>
          <w:vertAlign w:val="subscript"/>
        </w:rPr>
        <w:t>4</w:t>
      </w:r>
      <w:r w:rsidR="00C742EE" w:rsidRPr="000D7D3D">
        <w:rPr>
          <w:rFonts w:cs="Arial"/>
          <w:vertAlign w:val="superscript"/>
        </w:rPr>
        <w:t>2−</w:t>
      </w:r>
      <w:r w:rsidR="00C742EE" w:rsidRPr="000D7D3D">
        <w:rPr>
          <w:rFonts w:cs="Arial"/>
        </w:rPr>
        <w:t xml:space="preserve"> and H</w:t>
      </w:r>
      <w:r w:rsidR="00C742EE" w:rsidRPr="000D7D3D">
        <w:rPr>
          <w:rFonts w:cs="Arial"/>
          <w:vertAlign w:val="subscript"/>
        </w:rPr>
        <w:t>2</w:t>
      </w:r>
      <w:r w:rsidR="00C742EE" w:rsidRPr="000D7D3D">
        <w:rPr>
          <w:rFonts w:cs="Arial"/>
        </w:rPr>
        <w:t>PO</w:t>
      </w:r>
      <w:r w:rsidR="00C742EE" w:rsidRPr="000D7D3D">
        <w:rPr>
          <w:rFonts w:cs="Arial"/>
          <w:vertAlign w:val="subscript"/>
        </w:rPr>
        <w:t>4</w:t>
      </w:r>
      <w:r w:rsidR="00C742EE" w:rsidRPr="000D7D3D">
        <w:rPr>
          <w:rFonts w:cs="Arial"/>
          <w:vertAlign w:val="superscript"/>
        </w:rPr>
        <w:t>−</w:t>
      </w:r>
      <w:r w:rsidR="00C742EE">
        <w:t xml:space="preserve">. </w:t>
      </w:r>
      <w:r w:rsidR="00547905">
        <w:t>For each sample, the Pi content</w:t>
      </w:r>
      <w:r w:rsidR="00F64E27">
        <w:t xml:space="preserve"> (nmol) is referenced to a standard curve and normalised to the sample volume (</w:t>
      </w:r>
      <w:r w:rsidR="00F64E27">
        <w:rPr>
          <w:lang w:val="el-GR"/>
        </w:rPr>
        <w:t>μ</w:t>
      </w:r>
      <w:r w:rsidR="00F64E27">
        <w:t>l), giving the Pi concentration (nmol/</w:t>
      </w:r>
      <w:r w:rsidR="00F64E27">
        <w:rPr>
          <w:lang w:val="el-GR"/>
        </w:rPr>
        <w:t>μ</w:t>
      </w:r>
      <w:r w:rsidR="00F64E27">
        <w:t>l or mM)</w:t>
      </w:r>
      <w:r w:rsidR="00467585">
        <w:t>.</w:t>
      </w:r>
      <w:r w:rsidR="00467585" w:rsidRPr="000D7D3D">
        <w:t xml:space="preserve"> </w:t>
      </w:r>
      <w:r w:rsidRPr="000D7D3D">
        <w:t xml:space="preserve">Data reflect the average </w:t>
      </w:r>
      <w:r w:rsidR="00F64E27">
        <w:t>Pi</w:t>
      </w:r>
      <w:r w:rsidR="00F64E27" w:rsidRPr="000D7D3D">
        <w:t xml:space="preserve"> </w:t>
      </w:r>
      <w:r w:rsidRPr="000D7D3D">
        <w:t>content (</w:t>
      </w:r>
      <w:r w:rsidRPr="000D7D3D">
        <w:rPr>
          <w:rFonts w:cs="Arial"/>
        </w:rPr>
        <w:t>mM)</w:t>
      </w:r>
      <w:r w:rsidRPr="000D7D3D">
        <w:t xml:space="preserve"> of three biological replicates</w:t>
      </w:r>
      <w:r w:rsidR="00F64E27">
        <w:t>,</w:t>
      </w:r>
      <w:r w:rsidRPr="000D7D3D">
        <w:t xml:space="preserve"> unless otherwise noted.</w:t>
      </w:r>
    </w:p>
    <w:p w14:paraId="1DDBAEB8" w14:textId="77777777" w:rsidR="000D7D3D" w:rsidRPr="000D7D3D" w:rsidRDefault="000D7D3D" w:rsidP="007F746A"/>
    <w:p w14:paraId="0FCA95CC" w14:textId="0D34940A" w:rsidR="000D7D3D" w:rsidRPr="000D7D3D" w:rsidRDefault="000D7D3D" w:rsidP="00635993">
      <w:pPr>
        <w:pStyle w:val="Heading2"/>
        <w:rPr>
          <w:i/>
        </w:rPr>
      </w:pPr>
      <w:bookmarkStart w:id="97" w:name="_Toc507603975"/>
      <w:bookmarkStart w:id="98" w:name="_Toc507604242"/>
      <w:bookmarkStart w:id="99" w:name="_Toc519016959"/>
      <w:bookmarkStart w:id="100" w:name="_Toc520837857"/>
      <w:r w:rsidRPr="000D7D3D">
        <w:t xml:space="preserve">2.2.5 Database search and bioinformatic analysis of </w:t>
      </w:r>
      <w:r w:rsidRPr="000D7D3D">
        <w:rPr>
          <w:i/>
        </w:rPr>
        <w:t>PiPTs</w:t>
      </w:r>
      <w:bookmarkEnd w:id="97"/>
      <w:bookmarkEnd w:id="98"/>
      <w:bookmarkEnd w:id="99"/>
      <w:bookmarkEnd w:id="100"/>
    </w:p>
    <w:p w14:paraId="69E17B7D" w14:textId="29DB503C" w:rsidR="000D7D3D" w:rsidRPr="000D7D3D" w:rsidRDefault="000D7D3D" w:rsidP="003F7054">
      <w:r w:rsidRPr="000D7D3D">
        <w:t xml:space="preserve">A search was performed on the MycoCosm database </w:t>
      </w:r>
      <w:r w:rsidRPr="000D7D3D">
        <w:fldChar w:fldCharType="begin" w:fldLock="1"/>
      </w:r>
      <w:r w:rsidR="00EE33AB">
        <w:instrText>ADDIN CSL_CITATION {"citationItems":[{"id":"ITEM-1","itemData":{"DOI":"10.1093/nar/gkt1183","ISBN":"1362-4962 (Electronic)\\n0305-1048 (Linking)","ISSN":"03051048","PMID":"24297253","abstract":"MycoCosm is a fungal genomics portal (http://jgi.doe.gov/fungi), developed by the US Department of Energy Joint Genome Institute to support integration, analysis and dissemination of fungal genome sequences and other 'omics' data by providing interactive web-based tools. MycoCosm also promotes and facilitates user community participation through the nomination of new species of fungi for sequencing, and the annotation and analysis of resulting data. By efficiently filling gaps in the Fungal Tree of Life, MycoCosm will help address important problems associated with energy and the environment, taking advantage of growing fungal genomics resources.","author":[{"dropping-particle":"V.","family":"Grigoriev","given":"Igor","non-dropping-particle":"","parse-names":false,"suffix":""},{"dropping-particle":"","family":"Nikitin","given":"Roman","non-dropping-particle":"","parse-names":false,"suffix":""},{"dropping-particle":"","family":"Haridas","given":"Sajeet","non-dropping-particle":"","parse-names":false,"suffix":""},{"dropping-particle":"","family":"Kuo","given":"Alan","non-dropping-particle":"","parse-names":false,"suffix":""},{"dropping-particle":"","family":"Ohm","given":"Robin","non-dropping-particle":"","parse-names":false,"suffix":""},{"dropping-particle":"","family":"Otillar","given":"Robert","non-dropping-particle":"","parse-names":false,"suffix":""},{"dropping-particle":"","family":"Riley","given":"Robert","non-dropping-particle":"","parse-names":false,"suffix":""},{"dropping-particle":"","family":"Salamov","given":"Asaf","non-dropping-particle":"","parse-names":false,"suffix":""},{"dropping-particle":"","family":"Zhao","given":"Xueling","non-dropping-particle":"","parse-names":false,"suffix":""},{"dropping-particle":"","family":"Korzeniewski","given":"Frank","non-dropping-particle":"","parse-names":false,"suffix":""},{"dropping-particle":"","family":"Smirnova","given":"Tatyana","non-dropping-particle":"","parse-names":false,"suffix":""},{"dropping-particle":"","family":"Nordberg","given":"Henrik","non-dropping-particle":"","parse-names":false,"suffix":""},{"dropping-particle":"","family":"Dubchak","given":"Inna","non-dropping-particle":"","parse-names":false,"suffix":""},{"dropping-particle":"","family":"Shabalov","given":"Igor","non-dropping-particle":"","parse-names":false,"suffix":""}],"container-title":"Nucleic Acids Research","id":"ITEM-1","issue":"December 2013","issued":{"date-parts":[["2014"]]},"page":"699-704","title":"MycoCosm portal: Gearing up for 1000 fungal genomes","type":"article-journal","volume":"42"},"uris":["http://www.mendeley.com/documents/?uuid=eee40767-9a6f-492f-9569-bb26ff80c11c"]}],"mendeley":{"formattedCitation":"(Grigoriev et al., 2014)","plainTextFormattedCitation":"(Grigoriev et al., 2014)","previouslyFormattedCitation":"(Grigoriev et al., 2014)"},"properties":{"noteIndex":0},"schema":"https://github.com/citation-style-language/schema/raw/master/csl-citation.json"}</w:instrText>
      </w:r>
      <w:r w:rsidRPr="000D7D3D">
        <w:fldChar w:fldCharType="separate"/>
      </w:r>
      <w:r w:rsidRPr="000D7D3D">
        <w:rPr>
          <w:noProof/>
        </w:rPr>
        <w:t>(Grigoriev et al., 2014)</w:t>
      </w:r>
      <w:r w:rsidRPr="000D7D3D">
        <w:fldChar w:fldCharType="end"/>
      </w:r>
      <w:r w:rsidRPr="000D7D3D">
        <w:t xml:space="preserve"> accessible via the JGI portal </w:t>
      </w:r>
      <w:r w:rsidRPr="000D7D3D">
        <w:fldChar w:fldCharType="begin" w:fldLock="1"/>
      </w:r>
      <w:r w:rsidR="00EE33AB">
        <w:instrText>ADDIN CSL_CITATION {"citationItems":[{"id":"ITEM-1","itemData":{"DOI":"10.1093/nar/gkt1069","ISBN":"1362-4962","ISSN":"03051048","PMID":"22110030","abstract":"The Department of Energy (DOE) Joint Genome Institute (JGI) is a national user facility with massive-scale DNA sequencing and analysis capabilities dedicated to advancing genomics for bioenergy and environmental applications. Beyond generating tens of trillions of DNA bases annually, the Institute develops and maintains data management systems and specialized analytical capabilities to manage and interpret complex genomic data sets, and to enable an expanding community of users around the world to analyze these data in different contexts over the web. The JGI Genome Portal (http://genome.jgi.doe.gov) provides a unified access point to all JGI genomic databases and analytical tools. A user can find all DOE JGI sequencing projects and their status, search for and download assemblies and annotations of sequenced genomes, and interactively explore those genomes and compare them with other sequenced microbes, fungi, plants or metagenomes using specialized systems tailored to each particular class of organisms. We describe here the general organization of the Genome Portal and the most recent addition, MycoCosm (http://jgi.doe.gov/fungi), a new integrated fungal genomics resource.","author":[{"dropping-particle":"","family":"Nordberg","given":"Henrik","non-dropping-particle":"","parse-names":false,"suffix":""},{"dropping-particle":"","family":"Cantor","given":"Michael","non-dropping-particle":"","parse-names":false,"suffix":""},{"dropping-particle":"","family":"Dusheyko","given":"Serge","non-dropping-particle":"","parse-names":false,"suffix":""},{"dropping-particle":"","family":"Hua","given":"Susan","non-dropping-particle":"","parse-names":false,"suffix":""},{"dropping-particle":"","family":"Poliakov","given":"Alexander","non-dropping-particle":"","parse-names":false,"suffix":""},{"dropping-particle":"","family":"Shabalov","given":"Igor","non-dropping-particle":"","parse-names":false,"suffix":""},{"dropping-particle":"","family":"Smirnova","given":"Tatyana","non-dropping-particle":"","parse-names":false,"suffix":""},{"dropping-particle":"V.","family":"Grigoriev","given":"Igor","non-dropping-particle":"","parse-names":false,"suffix":""},{"dropping-particle":"","family":"Dubchak","given":"Inna","non-dropping-particle":"","parse-names":false,"suffix":""}],"container-title":"Nucleic Acids Research","id":"ITEM-1","issue":"November 2013","issued":{"date-parts":[["2014"]]},"page":"26-31","title":"The genome portal of the Department of Energy Joint Genome Institute: 2014 updates","type":"article-journal","volume":"42"},"uris":["http://www.mendeley.com/documents/?uuid=b21f0d97-1a2b-4cf5-ba5d-15ca56906cc5"]},{"id":"ITEM-2","itemData":{"ISSN":"0305-1048","abstract":"The Department of Energy (DOE) Joint Genome Institute (JGI) is a national user facility with massive-scale DNA sequencing and analysis capabilities dedicated to advancing genomics for bioenergy and environmental applications. Beyond generating tens of trillions of DNA bases annually, the Institute develops and maintains data management systems and specialized analytical capabilities to manage and interpret complex genomic data sets, and to enable an expanding community of users around the world to analyze these data in different contexts over the web. The JGI Genome Portal (http://genome.jgi.doe.gov) provides a unified access point to all JGI genomic databases and analytical tools. A user can find all DOE JGI sequencing projects and their status, search for and download assemblies and annotations of sequenced genomes, and interactively explore those genomes and compare them with other sequenced microbes, fungi, plants or metagenomes using specialized systems tailored to each particular class of organisms. We describe here the general organization of the Genome Portal and the most recent addition, MycoCosm (http://jgi.doe.gov/fungi), a new integrated fungal genomics resource.","author":[{"dropping-particle":"V","family":"Grigoriev","given":"Igor","non-dropping-particle":"","parse-names":false,"suffix":""},{"dropping-particle":"","family":"Nordberg","given":"Henrik","non-dropping-particle":"","parse-names":false,"suffix":""},{"dropping-particle":"","family":"Shabalov","given":"Igor","non-dropping-particle":"","parse-names":false,"suffix":""},{"dropping-particle":"","family":"Aerts","given":"Andrea","non-dropping-particle":"","parse-names":false,"suffix":""},{"dropping-particle":"","family":"Cantor","given":"Mike","non-dropping-particle":"","parse-names":false,"suffix":""},{"dropping-particle":"","family":"Goodstein","given":"David","non-dropping-particle":"","parse-names":false,"suffix":""},{"dropping-particle":"","family":"Kuo","given":"Alan","non-dropping-particle":"","parse-names":false,"suffix":""},{"dropping-particle":"","family":"Minovitsky","given":"Simon","non-dropping-particle":"","parse-names":false,"suffix":""},{"dropping-particle":"","family":"Nikitin","given":"Roman","non-dropping-particle":"","parse-names":false,"suffix":""},{"dropping-particle":"","family":"Ohm","given":"Robin A","non-dropping-particle":"","parse-names":false,"suffix":""},{"dropping-particle":"","family":"Otillar","given":"Robert","non-dropping-particle":"","parse-names":false,"suffix":""},{"dropping-particle":"","family":"Poliakov","given":"Alex","non-dropping-particle":"","parse-names":false,"suffix":""},{"dropping-particle":"","family":"Ratnere","given":"Igor","non-dropping-particle":"","parse-names":false,"suffix":""},{"dropping-particle":"","family":"Riley","given":"Robert","non-dropping-particle":"","parse-names":false,"suffix":""},{"dropping-particle":"","family":"Smirnova","given":"Tatyana","non-dropping-particle":"","parse-names":false,"suffix":""},{"dropping-particle":"","family":"Rokhsar","given":"Daniel","non-dropping-particle":"","parse-names":false,"suffix":""},{"dropping-particle":"","family":"Dubchak","given":"Inna","non-dropping-particle":"","parse-names":false,"suffix":""}],"container-title":"Nucleic Acids Research","id":"ITEM-2","issue":"D1","issued":{"date-parts":[["2012","1","1"]]},"note":"10.1093/nar/gkr947","page":"D26-D32","title":"The Genome Portal of the Department of Energy Joint Genome Institute","type":"article-journal","volume":"40"},"uris":["http://www.mendeley.com/documents/?uuid=84ae87bb-9746-4372-b76e-1c36657fa2c3"]}],"mendeley":{"formattedCitation":"(Nordberg et al., 2014; Grigoriev et al., 2012)","plainTextFormattedCitation":"(Nordberg et al., 2014; Grigoriev et al., 2012)","previouslyFormattedCitation":"(Nordberg et al., 2014; Grigoriev et al., 2012)"},"properties":{"noteIndex":0},"schema":"https://github.com/citation-style-language/schema/raw/master/csl-citation.json"}</w:instrText>
      </w:r>
      <w:r w:rsidRPr="000D7D3D">
        <w:fldChar w:fldCharType="separate"/>
      </w:r>
      <w:r w:rsidRPr="000D7D3D">
        <w:rPr>
          <w:noProof/>
        </w:rPr>
        <w:t>(Nordberg et al., 2014; Grigoriev et al., 2012)</w:t>
      </w:r>
      <w:r w:rsidRPr="000D7D3D">
        <w:fldChar w:fldCharType="end"/>
      </w:r>
      <w:r w:rsidR="001B185C">
        <w:t xml:space="preserve"> for</w:t>
      </w:r>
      <w:r w:rsidRPr="000D7D3D">
        <w:t xml:space="preserve"> Pi transporter gene</w:t>
      </w:r>
      <w:r w:rsidR="00F77278">
        <w:t>s</w:t>
      </w:r>
      <w:r w:rsidRPr="000D7D3D">
        <w:t xml:space="preserve"> with the EuKaryotic Orthologous Groups (KOG) tool </w:t>
      </w:r>
      <w:r w:rsidRPr="000D7D3D">
        <w:fldChar w:fldCharType="begin" w:fldLock="1"/>
      </w:r>
      <w:r w:rsidR="00EE33AB">
        <w:instrText>ADDIN CSL_CITATION {"citationItems":[{"id":"ITEM-1","itemData":{"DOI":"10.1186/gb-2004-5-2-r7","ISBN":"1465-6914 (Electronic)\\r1465-6906 (Linking)","ISSN":"1474-760X","PMID":"14759257","abstract":"BACKGROUND: Sequencing the genomes of multiple, taxonomically diverse eukaryotes enables in-depth comparative-genomic analysis which is expected to help in reconstructing ancestral eukaryotic genomes and major events in eukaryotic evolution and in making functional predictions for currently uncharacterized conserved genes.\\n\\nRESULTS: We examined functional and evolutionary patterns in the recently constructed set of 5,873 clusters of predicted orthologs (eukaryotic orthologous groups or KOGs) from seven eukaryotic genomes: Caenorhabditis elegans, Drosophila melanogaster, Homo sapiens, Arabidopsis thaliana, Saccharomyces cerevisiae, Schizosaccharomyces pombe and Encephalitozoon cuniculi. Conservation of KOGs through the phyletic range of eukaryotes strongly correlates with their functions and with the effect of gene knockout on the organism's viability. The approximately 40% of KOGs that are represented in six or seven species are enriched in proteins responsible for housekeeping functions, particularly translation and RNA processing. These conserved KOGs are often essential for survival and might approximate the minimal set of essential eukaryotic genes. The 131 single-member, pan-eukaryotic KOGs we identified were examined in detail. For around 20 that remained uncharacterized, functions were predicted by in-depth sequence analysis and examination of genomic context. Nearly all these proteins are subunits of known or predicted multiprotein complexes, in agreement with the balance hypothesis of evolution of gene copy number. Other KOGs show a variety of phyletic patterns, which points to major contributions of lineage-specific gene loss and the 'invention' of genes new to eukaryotic evolution. Examination of the sets of KOGs lost in individual lineages reveals co-elimination of functionally connected genes. Parsimonious scenarios of eukaryotic genome evolution and gene sets for ancestral eukaryotic forms were reconstructed. The gene set of the last common ancestor of the crown group consists of 3,413 KOGs and largely includes proteins involved in genome replication and expression, and central metabolism. Only 44% of the KOGs, mostly from the reconstructed gene set of the last common ancestor of the crown group, have detectable homologs in prokaryotes; the remainder apparently evolved via duplication with divergence and invention of new genes.\\n\\nCONCLUSIONS: The KOG analysis reveals a conserved core of largely essential eukaryotic genes as well as majo…","author":[{"dropping-particle":"V","family":"Koonin","given":"Eugene","non-dropping-particle":"","parse-names":false,"suffix":""},{"dropping-particle":"","family":"Fedorova","given":"Natalie D","non-dropping-particle":"","parse-names":false,"suffix":""},{"dropping-particle":"","family":"Jackson","given":"John D","non-dropping-particle":"","parse-names":false,"suffix":""},{"dropping-particle":"","family":"Jacobs","given":"Aviva R","non-dropping-particle":"","parse-names":false,"suffix":""},{"dropping-particle":"","family":"Krylov","given":"Dmitri M","non-dropping-particle":"","parse-names":false,"suffix":""},{"dropping-particle":"","family":"Makarova","given":"Kira S","non-dropping-particle":"","parse-names":false,"suffix":""},{"dropping-particle":"","family":"Mazumder","given":"Raja","non-dropping-particle":"","parse-names":false,"suffix":""},{"dropping-particle":"","family":"Mekhedov","given":"Sergei L","non-dropping-particle":"","parse-names":false,"suffix":""},{"dropping-particle":"","family":"Nikolskaya","given":"Anastasia N","non-dropping-particle":"","parse-names":false,"suffix":""},{"dropping-particle":"","family":"Rao","given":"B Sridhar","non-dropping-particle":"","parse-names":false,"suffix":""},{"dropping-particle":"","family":"Rogozin","given":"Igor B","non-dropping-particle":"","parse-names":false,"suffix":""},{"dropping-particle":"","family":"Smirnov","given":"Sergei","non-dropping-particle":"","parse-names":false,"suffix":""},{"dropping-particle":"V","family":"Sorokin","given":"Alexander","non-dropping-particle":"","parse-names":false,"suffix":""},{"dropping-particle":"V","family":"Sverdlov","given":"Alexander","non-dropping-particle":"","parse-names":false,"suffix":""},{"dropping-particle":"","family":"Vasudevan","given":"Sona","non-dropping-particle":"","parse-names":false,"suffix":""},{"dropping-particle":"","family":"Wolf","given":"Yuri I","non-dropping-particle":"","parse-names":false,"suffix":""},{"dropping-particle":"","family":"Yin","given":"Jodie J","non-dropping-particle":"","parse-names":false,"suffix":""},{"dropping-particle":"","family":"Natale","given":"Darren a","non-dropping-particle":"","parse-names":false,"suffix":""}],"container-title":"Genome biology","id":"ITEM-1","issue":"2","issued":{"date-parts":[["2004"]]},"page":"R7","title":"A comprehensive evolutionary classification of proteins encoded in complete eukaryotic genomes.","type":"article-journal","volume":"5"},"uris":["http://www.mendeley.com/documents/?uuid=05dbc7a3-ce89-49ee-9879-e5d95b31fb3e"]}],"mendeley":{"formattedCitation":"(Koonin et al., 2004)","plainTextFormattedCitation":"(Koonin et al., 2004)","previouslyFormattedCitation":"(Koonin et al., 2004)"},"properties":{"noteIndex":0},"schema":"https://github.com/citation-style-language/schema/raw/master/csl-citation.json"}</w:instrText>
      </w:r>
      <w:r w:rsidRPr="000D7D3D">
        <w:fldChar w:fldCharType="separate"/>
      </w:r>
      <w:r w:rsidRPr="000D7D3D">
        <w:rPr>
          <w:noProof/>
        </w:rPr>
        <w:t>(Koonin et al., 2004)</w:t>
      </w:r>
      <w:r w:rsidRPr="000D7D3D">
        <w:fldChar w:fldCharType="end"/>
      </w:r>
      <w:r w:rsidRPr="000D7D3D">
        <w:t xml:space="preserve">, resulting in the identification of seven putative </w:t>
      </w:r>
      <w:r w:rsidRPr="000D7D3D">
        <w:rPr>
          <w:i/>
        </w:rPr>
        <w:t>PiPTs</w:t>
      </w:r>
      <w:r w:rsidR="007877EB">
        <w:rPr>
          <w:i/>
        </w:rPr>
        <w:t xml:space="preserve"> </w:t>
      </w:r>
      <w:r w:rsidR="007877EB" w:rsidRPr="007877EB">
        <w:t>(</w:t>
      </w:r>
      <w:r w:rsidR="007877EB" w:rsidRPr="000D7D3D">
        <w:rPr>
          <w:i/>
        </w:rPr>
        <w:t>PiPT1-7</w:t>
      </w:r>
      <w:r w:rsidR="007877EB" w:rsidRPr="000D7D3D">
        <w:t>)</w:t>
      </w:r>
      <w:r w:rsidRPr="000D7D3D">
        <w:t xml:space="preserve">. The genomic sequences of the </w:t>
      </w:r>
      <w:r w:rsidRPr="000D7D3D">
        <w:rPr>
          <w:i/>
        </w:rPr>
        <w:t>PiPTs</w:t>
      </w:r>
      <w:r w:rsidRPr="000D7D3D">
        <w:t xml:space="preserve"> were retrieved from the MycoCosm database and are listed in the Appendix (Supplementary Data 1). The putative amino acid sequences for all the PiPTs were retrieved according to their nucleotide transcript sequence listed on MycoCosm with the ExPASy translate tool </w:t>
      </w:r>
      <w:r w:rsidRPr="000D7D3D">
        <w:fldChar w:fldCharType="begin" w:fldLock="1"/>
      </w:r>
      <w:r w:rsidR="00EE33AB">
        <w:instrText>ADDIN CSL_CITATION {"citationItems":[{"id":"ITEM-1","itemData":{"DOI":"10.1093/nar/gks400","ISBN":"1362-4962","ISSN":"03051048","PMID":"22661580","abstract":"ExPASy (http://www.expasy.org) has worldwide reputation as one of the main bioinformatics resources for proteomics. It has now evolved, becoming an extensible and integrative portal accessing many scientific resources, databases and software tools in different areas of life sciences. Scientists can henceforth access seamlessly a wide range of resources in many different domains, such as proteomics, genomics, phylogeny/evolution, systems biology, population genetics, transcriptomics, etc. The individual resources (databases, web-based and downloadable software tools) are hosted in a 'decentralized' way by different groups of the SIB Swiss Institute of Bioinformatics and partner institutions. Specifically, a single web portal provides a common entry point to a wide range of resources developed and operated by different SIB groups and external institutions. The portal features a search function across 'selected' resources. Additionally, the availability and usage of resources are monitored. The portal is aimed for both expert users and people who are not familiar with a specific domain in life sciences. The new web interface provides, in particular, visual guidance for newcomers to ExPASy.","author":[{"dropping-particle":"","family":"Artimo","given":"Panu","non-dropping-particle":"","parse-names":false,"suffix":""},{"dropping-particle":"","family":"Jonnalagedda","given":"Manohar","non-dropping-particle":"","parse-names":false,"suffix":""},{"dropping-particle":"","family":"Arnold","given":"Konstantin","non-dropping-particle":"","parse-names":false,"suffix":""},{"dropping-particle":"","family":"Baratin","given":"Delphine","non-dropping-particle":"","parse-names":false,"suffix":""},{"dropping-particle":"","family":"Csardi","given":"Gabor","non-dropping-particle":"","parse-names":false,"suffix":""},{"dropping-particle":"","family":"Castro","given":"Edouard","non-dropping-particle":"De","parse-names":false,"suffix":""},{"dropping-particle":"","family":"Duvaud","given":"Séverine","non-dropping-particle":"","parse-names":false,"suffix":""},{"dropping-particle":"","family":"Flegel","given":"Volker","non-dropping-particle":"","parse-names":false,"suffix":""},{"dropping-particle":"","family":"Fortier","given":"Arnaud","non-dropping-particle":"","parse-names":false,"suffix":""},{"dropping-particle":"","family":"Gasteiger","given":"Elisabeth","non-dropping-particle":"","parse-names":false,"suffix":""},{"dropping-particle":"","family":"Grosdidier","given":"Aurélien","non-dropping-particle":"","parse-names":false,"suffix":""},{"dropping-particle":"","family":"Hernandez","given":"Céline","non-dropping-particle":"","parse-names":false,"suffix":""},{"dropping-particle":"","family":"Ioannidis","given":"Vassilios","non-dropping-particle":"","parse-names":false,"suffix":""},{"dropping-particle":"","family":"Kuznetsov","given":"Dmitry","non-dropping-particle":"","parse-names":false,"suffix":""},{"dropping-particle":"","family":"Liechti","given":"Robin","non-dropping-particle":"","parse-names":false,"suffix":""},{"dropping-particle":"","family":"Moretti","given":"Sébastien","non-dropping-particle":"","parse-names":false,"suffix":""},{"dropping-particle":"","family":"Mostaguir","given":"Khaled","non-dropping-particle":"","parse-names":false,"suffix":""},{"dropping-particle":"","family":"Redaschi","given":"Nicole","non-dropping-particle":"","parse-names":false,"suffix":""},{"dropping-particle":"","family":"Rossier","given":"Grégoire","non-dropping-particle":"","parse-names":false,"suffix":""},{"dropping-particle":"","family":"Xenarios","given":"Ioannis","non-dropping-particle":"","parse-names":false,"suffix":""},{"dropping-particle":"","family":"Stockinger","given":"Heinz","non-dropping-particle":"","parse-names":false,"suffix":""}],"container-title":"Nucleic Acids Research","id":"ITEM-1","issue":"May","issued":{"date-parts":[["2012"]]},"page":"597-603","title":"ExPASy: SIB bioinformatics resource portal","type":"article-journal","volume":"40"},"uris":["http://www.mendeley.com/documents/?uuid=f2177573-b99d-4187-8720-1584613475ff"]}],"mendeley":{"formattedCitation":"(Artimo et al., 2012)","plainTextFormattedCitation":"(Artimo et al., 2012)","previouslyFormattedCitation":"(Artimo et al., 2012)"},"properties":{"noteIndex":0},"schema":"https://github.com/citation-style-language/schema/raw/master/csl-citation.json"}</w:instrText>
      </w:r>
      <w:r w:rsidRPr="000D7D3D">
        <w:fldChar w:fldCharType="separate"/>
      </w:r>
      <w:r w:rsidRPr="000D7D3D">
        <w:rPr>
          <w:noProof/>
        </w:rPr>
        <w:t>(Artimo et al., 2012)</w:t>
      </w:r>
      <w:r w:rsidRPr="000D7D3D">
        <w:fldChar w:fldCharType="end"/>
      </w:r>
      <w:r w:rsidRPr="000D7D3D">
        <w:t xml:space="preserve"> and are </w:t>
      </w:r>
      <w:r w:rsidR="00BB3CB7">
        <w:t>shown</w:t>
      </w:r>
      <w:r w:rsidRPr="000D7D3D">
        <w:t xml:space="preserve"> in the Appendix (Supplementary Data 2). Table 4 (Appendix) summarizes various characteristics of the </w:t>
      </w:r>
      <w:r w:rsidRPr="000D7D3D">
        <w:rPr>
          <w:i/>
        </w:rPr>
        <w:t xml:space="preserve">PiPTs </w:t>
      </w:r>
      <w:r w:rsidRPr="000D7D3D">
        <w:t xml:space="preserve">and their corresponding proteins, </w:t>
      </w:r>
      <w:r w:rsidR="00F77278">
        <w:t>such as</w:t>
      </w:r>
      <w:r w:rsidRPr="000D7D3D">
        <w:t xml:space="preserve"> the number of exons for each </w:t>
      </w:r>
      <w:r w:rsidRPr="000D7D3D">
        <w:rPr>
          <w:i/>
        </w:rPr>
        <w:t xml:space="preserve">PiPT, </w:t>
      </w:r>
      <w:r w:rsidRPr="000D7D3D">
        <w:t>extracted from the MycoCosm website, the theoretical protein isoelectric point (pI) and molecular weight (Mw)</w:t>
      </w:r>
      <w:r w:rsidR="00230174">
        <w:t>,</w:t>
      </w:r>
      <w:r w:rsidRPr="000D7D3D">
        <w:t xml:space="preserve"> calculated according t</w:t>
      </w:r>
      <w:r w:rsidR="00230174">
        <w:t>o the ExPASy compute pI/Mw tool,</w:t>
      </w:r>
      <w:r w:rsidRPr="000D7D3D">
        <w:t xml:space="preserve"> </w:t>
      </w:r>
      <w:r w:rsidR="00230174">
        <w:t xml:space="preserve">and their subcellular localization, </w:t>
      </w:r>
      <w:r w:rsidRPr="000D7D3D">
        <w:t xml:space="preserve">predicted by the WoLF PSORT server </w:t>
      </w:r>
      <w:r w:rsidRPr="000D7D3D">
        <w:fldChar w:fldCharType="begin" w:fldLock="1"/>
      </w:r>
      <w:r w:rsidR="00EE33AB">
        <w:instrText>ADDIN CSL_CITATION {"citationItems":[{"id":"ITEM-1","itemData":{"DOI":"10.1093/nar/gkm259","ISBN":"1362-4962 (Electronic) 0305-1048 (Linking)","ISSN":"03051048","PMID":"17517783","abstract":"WoLF PSORT is an extension of the PSORT II program for protein subcellular location prediction. WoLF PSORT converts protein amino acid sequences into numerical localization features; based on sorting signals, amino acid composition and functional motifs such as DNA-binding motifs. After conversion, a simple k-nearest neighbor classifier is used for prediction. Using html, the evidence for each prediction is shown in two ways: (i) a list of proteins of known localization with the most similar localization features to the query, and (ii) tables with detailed information about individual localization features. For convenience, sequence alignments of the query to similar proteins and links to UniProt and Gene Ontology are provided. Taken together, this information allows a user to understand the evidence (or lack thereof) behind the predictions made for particular proteins. WoLF PSORT is available at wolfpsort.org.","author":[{"dropping-particle":"","family":"Horton","given":"Paul","non-dropping-particle":"","parse-names":false,"suffix":""},{"dropping-particle":"","family":"Park","given":"Keun Joon","non-dropping-particle":"","parse-names":false,"suffix":""},{"dropping-particle":"","family":"Obayashi","given":"Takeshi","non-dropping-particle":"","parse-names":false,"suffix":""},{"dropping-particle":"","family":"Fujita","given":"Naoya","non-dropping-particle":"","parse-names":false,"suffix":""},{"dropping-particle":"","family":"Harada","given":"Hajime","non-dropping-particle":"","parse-names":false,"suffix":""},{"dropping-particle":"","family":"Adams-Collier","given":"C. J.","non-dropping-particle":"","parse-names":false,"suffix":""},{"dropping-particle":"","family":"Nakai","given":"Kenta","non-dropping-particle":"","parse-names":false,"suffix":""}],"container-title":"Nucleic Acids Research","id":"ITEM-1","issue":"17","issued":{"date-parts":[["2007"]]},"page":"585-587","title":"WoLF PSORT: Protein localization predictor","type":"article-journal","volume":"35"},"uris":["http://www.mendeley.com/documents/?uuid=8ba0a70f-d34c-4fbd-8a03-cd2f3cdce813"]}],"mendeley":{"formattedCitation":"(Horton et al., 2007)","plainTextFormattedCitation":"(Horton et al., 2007)","previouslyFormattedCitation":"(Horton et al., 2007)"},"properties":{"noteIndex":0},"schema":"https://github.com/citation-style-language/schema/raw/master/csl-citation.json"}</w:instrText>
      </w:r>
      <w:r w:rsidRPr="000D7D3D">
        <w:fldChar w:fldCharType="separate"/>
      </w:r>
      <w:r w:rsidRPr="000D7D3D">
        <w:rPr>
          <w:noProof/>
        </w:rPr>
        <w:t>(Horton et al., 2007)</w:t>
      </w:r>
      <w:r w:rsidRPr="000D7D3D">
        <w:fldChar w:fldCharType="end"/>
      </w:r>
      <w:r w:rsidRPr="000D7D3D">
        <w:t>.</w:t>
      </w:r>
    </w:p>
    <w:p w14:paraId="0A4B5616" w14:textId="77777777" w:rsidR="000D7D3D" w:rsidRPr="000D7D3D" w:rsidRDefault="000D7D3D" w:rsidP="003F7054"/>
    <w:p w14:paraId="07323E25" w14:textId="151E5CC6" w:rsidR="000D7D3D" w:rsidRPr="000D7D3D" w:rsidRDefault="000D7D3D" w:rsidP="00635993">
      <w:pPr>
        <w:pStyle w:val="Heading2"/>
      </w:pPr>
      <w:bookmarkStart w:id="101" w:name="_Toc507603976"/>
      <w:bookmarkStart w:id="102" w:name="_Toc507604243"/>
      <w:bookmarkStart w:id="103" w:name="_Toc519016960"/>
      <w:bookmarkStart w:id="104" w:name="_Toc520837858"/>
      <w:r w:rsidRPr="000D7D3D">
        <w:t>2.2.6 Phylogenetic analysis of PiPTs</w:t>
      </w:r>
      <w:bookmarkEnd w:id="101"/>
      <w:bookmarkEnd w:id="102"/>
      <w:bookmarkEnd w:id="103"/>
      <w:bookmarkEnd w:id="104"/>
    </w:p>
    <w:p w14:paraId="2D86D51A" w14:textId="0F587169" w:rsidR="000D7D3D" w:rsidRPr="000D7D3D" w:rsidRDefault="000D7D3D" w:rsidP="003F7054">
      <w:r w:rsidRPr="000D7D3D">
        <w:t xml:space="preserve">The phylogenetic analysis was carried out based on the Neighbour-Joining method using MEGA 7 (Figure 2.7) </w:t>
      </w:r>
      <w:r w:rsidRPr="000D7D3D">
        <w:fldChar w:fldCharType="begin" w:fldLock="1"/>
      </w:r>
      <w:r w:rsidR="00EE33AB">
        <w:instrText>ADDIN CSL_CITATION {"citationItems":[{"id":"ITEM-1","itemData":{"DOI":"citeulike-article-id:93683","ISBN":"0737-4038","ISSN":"07374038","PMID":"3447015","author":[{"dropping-particle":"","family":"Saitou, M. and Nei","given":"N.","non-dropping-particle":"","parse-names":false,"suffix":""}],"container-title":"Molecular Biology and Evolution","id":"ITEM-1","issue":"4","issued":{"date-parts":[["1987"]]},"page":"406-425","title":"The Neighbor-joining Method: A New Method for Reconstructing Phylogenetic Trees’","type":"article-journal","volume":"4"},"uris":["http://www.mendeley.com/documents/?uuid=a66cea3d-9392-4fad-9ef0-c0b2972b218f"]},{"id":"ITEM-2","itemData":{"DOI":"10.1209/epl/i1998-00224-x","ISBN":"0295-5075","ISSN":"02955075","PMID":"6453","abstract":"In this paper, Zuckerkandl and Pauling set out show that phylogenies can be reconstructed by comparing the sequences of homologus hemoglobin and myoglobin chains in a diverse array of species. They find these molecules so interesting because, unlike cytochrome c, globins appear to have very few invariant amino acids. The paper begins, however, with an effort to rebut their critics from two major scientific communities: organismal evolutionists on one hand (especially G.G. Simpson see Simpson 1964), who argue that evolution takes place at the level of the whole organism; and \"pure\" biochemists on the other, who see no value in reconstructing phylogenies at all. A major portion of this article is devoted to theorizing about what makes a peptide site variant or invariant. They also take up the issue of whether it is possible to express evolutionary transformations at the molecular level simply as a function of time. They conclude that, \"So far, the refutations of the time function e.g. Mayr and Simpson's arguments that evolution is too complicated and historically contingent have been weaker than its formulations.\" As such, they concur with Margoliash and Smith that the use of numbers of differences between polypeptide chains in order to determine evolutionary relationships is valid. In applying this method to their globin data, they find that there seems to be a constant rate of evolution in most non-functional polypeptide regions. This leads the to the conclusion that \"there may thus exist a molecular evolutionary clock","author":[{"dropping-particle":"","family":"Zuckerkandl","given":"Emile","non-dropping-particle":"","parse-names":false,"suffix":""},{"dropping-particle":"","family":"Pauling","given":"L","non-dropping-particle":"","parse-names":false,"suffix":""}],"container-title":"Evolving Genes and Proteins","id":"ITEM-2","issued":{"date-parts":[["1965"]]},"page":"97-166","title":"Evolutionary divergence and convergence in proteins","type":"article-journal"},"uris":["http://www.mendeley.com/documents/?uuid=61851f0f-3ffa-4793-b536-b4b980afb733"]},{"id":"ITEM-3","itemData":{"DOI":"10.1093/molbev/msw054","abstract":"We present the latest version of the Molecular Evolutionary Genetics Analysis (MEGA) software, which contains many sophisticated methods and tools for phylogenomics and phylomedicine. In this major upgrade, MEGA has been optimized for use on 64-bit computing systems for analyzing bigger datasets. Researchers can now explore and analyze tens of thousands of sequences in MEGA. The new version also provides an advanced wizard for building timetrees and includes a new functionality to automatically predict gene duplication events in gene family trees. The 64-bit MEGA is made available in two interfaces: graphical and command line. The graphical user interface (GUI) is a native Microsoft Windows application that can also be used on Mac OSX. The command line MEGA is available as native applications for Windows, Linux, and Mac OSX. They are intended for use in high-throughput and scripted analysis. Both versions are available from www.megasoftware.net free of charge.","author":[{"dropping-particle":"","family":"Kumar","given":"Sudhir","non-dropping-particle":"","parse-names":false,"suffix":""},{"dropping-particle":"","family":"Stecher","given":"Glen","non-dropping-particle":"","parse-names":false,"suffix":""},{"dropping-particle":"","family":"Tamura","given":"Koichiro","non-dropping-particle":"","parse-names":false,"suffix":""}],"container-title":"Molecular Biology and Evolution","id":"ITEM-3","issued":{"date-parts":[["2016","3","22"]]},"note":"10.1093/molbev/msw054","page":"1870-1874","title":"MEGA7: Molecular Evolutionary Genetics Analysis version 7.0 for bigger datasets","type":"article-journal","volume":"33"},"uris":["http://www.mendeley.com/documents/?uuid=1cf25e3d-1a60-4ef1-ace2-55983ffd7726"]}],"mendeley":{"formattedCitation":"(Saitou, M. and Nei, 1987; Zuckerkandl and Pauling, 1965; Kumar et al., 2016)","plainTextFormattedCitation":"(Saitou, M. and Nei, 1987; Zuckerkandl and Pauling, 1965; Kumar et al., 2016)","previouslyFormattedCitation":"(Saitou, M. and Nei, 1987; Zuckerkandl and Pauling, 1965; Kumar et al., 2016)"},"properties":{"noteIndex":0},"schema":"https://github.com/citation-style-language/schema/raw/master/csl-citation.json"}</w:instrText>
      </w:r>
      <w:r w:rsidRPr="000D7D3D">
        <w:fldChar w:fldCharType="separate"/>
      </w:r>
      <w:r w:rsidRPr="000D7D3D">
        <w:rPr>
          <w:noProof/>
        </w:rPr>
        <w:t xml:space="preserve">(Saitou, M. and Nei, 1987; Zuckerkandl and Pauling, 1965; Kumar </w:t>
      </w:r>
      <w:r w:rsidRPr="000D7D3D">
        <w:rPr>
          <w:noProof/>
        </w:rPr>
        <w:lastRenderedPageBreak/>
        <w:t>et al., 2016)</w:t>
      </w:r>
      <w:r w:rsidRPr="000D7D3D">
        <w:fldChar w:fldCharType="end"/>
      </w:r>
      <w:r w:rsidRPr="000D7D3D">
        <w:t>. The evolutionary relationship of PiPTs was inferred using the maximum likelihood method based on the Whelan and Goldman model</w:t>
      </w:r>
      <w:r w:rsidR="00CA6D1D">
        <w:t xml:space="preserve"> </w:t>
      </w:r>
      <w:r w:rsidR="00CA6D1D">
        <w:fldChar w:fldCharType="begin" w:fldLock="1"/>
      </w:r>
      <w:r w:rsidR="00EE33AB">
        <w:instrText>ADDIN CSL_CITATION {"citationItems":[{"id":"ITEM-1","itemData":{"DOI":"10.1093/oxfordjournals.molbev.a003851","ISBN":"0737-4038 (Print)\\r0737-4038 (Linking)","ISSN":"0737-4038","PMID":"11319253","abstract":"Phylogenetic inference from amino acid sequence data uses mainly empirical models of amino acid replacement and is therefore dependent on those models. Two of the more widely used models, the Dayhoff and JTT models, are estimated using similar methods that can utilize large numbers of sequences from many unrelated protein families but are somewhat unsatisfactory because they rely on assumptions that may lead to systematic error and discard a large amount of the information within the sequences. The alternative method of maximum-likelihood estimation may utilize the information in the sequence data more efficiently and suffers from no systematic error, but it has previously been applicable to relatively few sequences related by a single phylogenetic tree. Here, we combine the best attributes of these two methods using an approximate maximum-likelihood method. We implemented this approach to estimate a new model of amino acid replacement from a database of globular protein sequences comprising 3,905 amino acid sequences split into 182 protein families. While the new model has an overall structure similar to those of other commonly used models, there are significant differences. The new model outperforms the Dayhoff and JTT models with respect to maximum-likelihood values for a large majority of the protein families in our database. This suggests that it provides a better overall fit to the evolutionary process in globular proteins and may lead to more accurate phylogenetic tree estimates. Potentially, this matrix, and the methods used to generate it, may also be useful in other areas of research, such as biological sequence database searching, sequence alignment, and protein structure prediction, for which an accurate description of amino acid replacement is required.","author":[{"dropping-particle":"","family":"Whelan","given":"Simon","non-dropping-particle":"","parse-names":false,"suffix":""},{"dropping-particle":"","family":"Goldman","given":"Nick","non-dropping-particle":"","parse-names":false,"suffix":""}],"container-title":"Molecular Biology and Evolution","id":"ITEM-1","issued":{"date-parts":[["2001"]]},"page":"691-699","title":"A General Empirical Model of Protein Evolution Derived from Multiple Protein Families Using a Maximum-Likelihood Approach","type":"article-journal","volume":"18"},"uris":["http://www.mendeley.com/documents/?uuid=f87800b1-e56a-4bfd-aefd-4e4e779bb189"]}],"mendeley":{"formattedCitation":"(Whelan and Goldman, 2001)","plainTextFormattedCitation":"(Whelan and Goldman, 2001)","previouslyFormattedCitation":"(Whelan and Goldman, 2001)"},"properties":{"noteIndex":0},"schema":"https://github.com/citation-style-language/schema/raw/master/csl-citation.json"}</w:instrText>
      </w:r>
      <w:r w:rsidR="00CA6D1D">
        <w:fldChar w:fldCharType="separate"/>
      </w:r>
      <w:r w:rsidR="00CA6D1D" w:rsidRPr="00CA6D1D">
        <w:rPr>
          <w:noProof/>
        </w:rPr>
        <w:t>(Whelan and Goldman, 2001)</w:t>
      </w:r>
      <w:r w:rsidR="00CA6D1D">
        <w:fldChar w:fldCharType="end"/>
      </w:r>
      <w:r w:rsidRPr="000D7D3D">
        <w:t xml:space="preserve">. The proportion of replicate trees in which the associated taxa clustered together in the bootstrap test (1000 replicates) are shown next to the branches in Figure 2.7 in Section 2.3.6 </w:t>
      </w:r>
      <w:r w:rsidR="00CA6D1D">
        <w:fldChar w:fldCharType="begin" w:fldLock="1"/>
      </w:r>
      <w:r w:rsidR="00EE33AB">
        <w:instrText>ADDIN CSL_CITATION {"citationItems":[{"id":"ITEM-1","itemData":{"abstract":"sistematica","author":[{"dropping-particle":"","family":"Felsenstein","given":"Joseph","non-dropping-particle":"","parse-names":false,"suffix":""}],"container-title":"Evolution","id":"ITEM-1","issue":"4","issued":{"date-parts":[["1985"]]},"page":"783-791","title":"Confidence Limits on Phylogenies : An Approach Using the Bootstrap","type":"article-journal","volume":"39"},"uris":["http://www.mendeley.com/documents/?uuid=9f4c0e79-81bc-41f8-b4ca-1d2c18dde02d"]}],"mendeley":{"formattedCitation":"(Felsenstein, 1985)","plainTextFormattedCitation":"(Felsenstein, 1985)","previouslyFormattedCitation":"(Felsenstein, 1985)"},"properties":{"noteIndex":0},"schema":"https://github.com/citation-style-language/schema/raw/master/csl-citation.json"}</w:instrText>
      </w:r>
      <w:r w:rsidR="00CA6D1D">
        <w:fldChar w:fldCharType="separate"/>
      </w:r>
      <w:r w:rsidR="00CA6D1D" w:rsidRPr="00CA6D1D">
        <w:rPr>
          <w:noProof/>
        </w:rPr>
        <w:t>(Felsenstein, 1985)</w:t>
      </w:r>
      <w:r w:rsidR="00CA6D1D">
        <w:fldChar w:fldCharType="end"/>
      </w:r>
      <w:r w:rsidRPr="000D7D3D">
        <w:t>. Branches corresponding to partitions reproduced in less than 50% of the bootstrap replicates are collapsed. Initial tree(s) for the heuristic search were obtained automatically by applying Neighbour-Join</w:t>
      </w:r>
      <w:r w:rsidR="00CA6D1D">
        <w:t>ing</w:t>
      </w:r>
      <w:r w:rsidRPr="000D7D3D">
        <w:t xml:space="preserve"> and BioNJ algorithms to a matrix of pairwise distances estimated using a JTT model and then selecting the topology with superior log-likelihood value. The tree is drawn to scale with branch lengths measured in the number of substitutions per site.</w:t>
      </w:r>
    </w:p>
    <w:p w14:paraId="28AA211C" w14:textId="77777777" w:rsidR="000D7D3D" w:rsidRPr="000D7D3D" w:rsidRDefault="000D7D3D" w:rsidP="007F746A"/>
    <w:p w14:paraId="21C500C5" w14:textId="1FCD6834" w:rsidR="000D7D3D" w:rsidRPr="000D7D3D" w:rsidRDefault="000D7D3D" w:rsidP="00635993">
      <w:pPr>
        <w:pStyle w:val="Heading2"/>
      </w:pPr>
      <w:bookmarkStart w:id="105" w:name="_Toc507603977"/>
      <w:bookmarkStart w:id="106" w:name="_Toc507604244"/>
      <w:bookmarkStart w:id="107" w:name="_Toc519016961"/>
      <w:bookmarkStart w:id="108" w:name="_Toc520837859"/>
      <w:r w:rsidRPr="000D7D3D">
        <w:t xml:space="preserve">2.2.7 RNA extraction and </w:t>
      </w:r>
      <w:r w:rsidR="000064E4">
        <w:t>qRT-PCR</w:t>
      </w:r>
      <w:bookmarkEnd w:id="105"/>
      <w:bookmarkEnd w:id="106"/>
      <w:bookmarkEnd w:id="107"/>
      <w:bookmarkEnd w:id="108"/>
    </w:p>
    <w:p w14:paraId="47890437" w14:textId="018001CD" w:rsidR="000D7D3D" w:rsidRPr="000D7D3D" w:rsidRDefault="000D7D3D" w:rsidP="00EF6ED2">
      <w:r w:rsidRPr="000D7D3D">
        <w:t xml:space="preserve">Total fungal RNA was extracted with the E.Z.N.A. </w:t>
      </w:r>
      <w:r w:rsidRPr="000D7D3D">
        <w:rPr>
          <w:vertAlign w:val="superscript"/>
        </w:rPr>
        <w:t>®</w:t>
      </w:r>
      <w:r w:rsidRPr="000D7D3D">
        <w:t xml:space="preserve"> Fungal RNA Kit according to the manufacturer’s protocol. For qRT-PCR analysis, 500 ng of total RNA was used for cDNA first-strand synthesis (SuperScript® III First-Strand Synthesis SuperMix). For qRT-PCR reactions, the Rotor-Gene SYBR Green PCR Kit (Qiagen) together with gene-specific primers were employed in conjunction with a Rotor-Gene Q Real-Time PCR Cycler (Qiagen) according to the manufacturer’s instructions. Gene-specific primers which were used in qRT-PCR reactions are shown in Table 5 (Appendix). The reaction conditions (two-step with</w:t>
      </w:r>
      <w:r w:rsidR="00205702">
        <w:t xml:space="preserve"> a</w:t>
      </w:r>
      <w:r w:rsidRPr="000D7D3D">
        <w:t xml:space="preserve"> melt curve) were 95</w:t>
      </w:r>
      <w:r w:rsidRPr="000D7D3D">
        <w:rPr>
          <w:rFonts w:eastAsia="AdvPSSym"/>
        </w:rPr>
        <w:t>°</w:t>
      </w:r>
      <w:r w:rsidRPr="000D7D3D">
        <w:t>C for 10 min, 35 cycles of 95</w:t>
      </w:r>
      <w:r w:rsidRPr="000D7D3D">
        <w:rPr>
          <w:rFonts w:eastAsia="AdvPSSym"/>
        </w:rPr>
        <w:t>°</w:t>
      </w:r>
      <w:r w:rsidRPr="000D7D3D">
        <w:t>C for 10 sec and 60</w:t>
      </w:r>
      <w:r w:rsidRPr="000D7D3D">
        <w:rPr>
          <w:rFonts w:eastAsia="AdvPSSym"/>
        </w:rPr>
        <w:t>°</w:t>
      </w:r>
      <w:r w:rsidR="00205702">
        <w:t>C for 55 sec. H</w:t>
      </w:r>
      <w:r w:rsidRPr="000D7D3D">
        <w:t>igh-resolution melting analysis was carried out to detect primer dimers or other non-specific amplification products. Relative gene expression was quantified based on a modified Livak’s ΔΔ</w:t>
      </w:r>
      <w:r w:rsidRPr="000D7D3D">
        <w:rPr>
          <w:vertAlign w:val="superscript"/>
        </w:rPr>
        <w:t>CT</w:t>
      </w:r>
      <w:r w:rsidRPr="000D7D3D">
        <w:t xml:space="preserve"> method </w:t>
      </w:r>
      <w:r w:rsidRPr="000D7D3D">
        <w:fldChar w:fldCharType="begin" w:fldLock="1"/>
      </w:r>
      <w:r w:rsidR="00EE33AB">
        <w:instrText>ADDIN CSL_CITATION {"citationItems":[{"id":"ITEM-1","itemData":{"DOI":"10.1006/meth.2001.1262","ISBN":"10462023 (ISSN)","ISSN":"1046-2023","PMID":"11846609","abstract":"The two most commonly used methods to analyze data from real-time, quantitative PCR experiments are absolute quantification and relative quantification. Absolute quantification determines the input copy number, usually by relating the PCR signal to a standard curve. Relative quantification relates the PCR signal of the target transcript in a treatment group to that of another sample such as an untreated control. The 2-ÄÄCT method is a convenient way to analyze the relative changes in gene expression from real-time quantitative PCR experiments. The purpose of this report is to present the derivation, assumptions, and applications of the 2-ÄÄCT method. In addition, we present the derivation and applications of two variations of the 2-ÄÄCT method that may be useful in the analysis of real-time, quantitative PCR data.","author":[{"dropping-particle":"","family":"Livak","given":"K J","non-dropping-particle":"","parse-names":false,"suffix":""},{"dropping-particle":"","family":"Schmittgen","given":"T D","non-dropping-particle":"","parse-names":false,"suffix":""}],"container-title":"Methods","id":"ITEM-1","issued":{"date-parts":[["2001"]]},"page":"402-408","title":"Analysis of relative gene expression data using real-time quantitative PCR and the 2-ΔΔCT method.","type":"article-journal","volume":"25"},"uris":["http://www.mendeley.com/documents/?uuid=cc008f39-152f-49e7-89c2-050e4f65ee55"]}],"mendeley":{"formattedCitation":"(Livak and Schmittgen, 2001)","plainTextFormattedCitation":"(Livak and Schmittgen, 2001)","previouslyFormattedCitation":"(Livak and Schmittgen, 2001)"},"properties":{"noteIndex":0},"schema":"https://github.com/citation-style-language/schema/raw/master/csl-citation.json"}</w:instrText>
      </w:r>
      <w:r w:rsidRPr="000D7D3D">
        <w:fldChar w:fldCharType="separate"/>
      </w:r>
      <w:r w:rsidRPr="000D7D3D">
        <w:rPr>
          <w:noProof/>
        </w:rPr>
        <w:t>(Livak and Schmittgen, 2001)</w:t>
      </w:r>
      <w:r w:rsidRPr="000D7D3D">
        <w:fldChar w:fldCharType="end"/>
      </w:r>
      <w:r w:rsidRPr="000D7D3D">
        <w:t xml:space="preserve"> with correction for reaction efficiency of each sample </w:t>
      </w:r>
      <w:r w:rsidRPr="000D7D3D">
        <w:fldChar w:fldCharType="begin" w:fldLock="1"/>
      </w:r>
      <w:r w:rsidR="00EE33AB">
        <w:instrText>ADDIN CSL_CITATION {"citationItems":[{"id":"ITEM-1","itemData":{"author":[{"dropping-particle":"","family":"Pfaffl","given":"Michael W","non-dropping-particle":"","parse-names":false,"suffix":""}],"container-title":"Nucleic Acids Research","id":"ITEM-1","issue":"9","issued":{"date-parts":[["2001"]]},"page":"16-21","title":"A new mathematical model for relative quantification in real-time RT–PCR","type":"article-journal","volume":"29"},"uris":["http://www.mendeley.com/documents/?uuid=99bf4957-90ed-4afa-a10b-94c8fac4d343"]}],"mendeley":{"formattedCitation":"(Pfaffl, 2001)","plainTextFormattedCitation":"(Pfaffl, 2001)","previouslyFormattedCitation":"(Pfaffl, 2001)"},"properties":{"noteIndex":0},"schema":"https://github.com/citation-style-language/schema/raw/master/csl-citation.json"}</w:instrText>
      </w:r>
      <w:r w:rsidRPr="000D7D3D">
        <w:fldChar w:fldCharType="separate"/>
      </w:r>
      <w:r w:rsidRPr="000D7D3D">
        <w:rPr>
          <w:noProof/>
        </w:rPr>
        <w:t>(Pfaffl, 2001)</w:t>
      </w:r>
      <w:r w:rsidRPr="000D7D3D">
        <w:fldChar w:fldCharType="end"/>
      </w:r>
      <w:r w:rsidRPr="000D7D3D">
        <w:t xml:space="preserve">. Relative gene expression was normalised against the average expression values of the housekeeping genes, </w:t>
      </w:r>
      <w:r w:rsidRPr="000D7D3D">
        <w:rPr>
          <w:i/>
        </w:rPr>
        <w:t xml:space="preserve">UBIQUITIN </w:t>
      </w:r>
      <w:r w:rsidRPr="000D7D3D">
        <w:t>and</w:t>
      </w:r>
      <w:r w:rsidRPr="000D7D3D">
        <w:rPr>
          <w:i/>
        </w:rPr>
        <w:t xml:space="preserve"> GAPDH</w:t>
      </w:r>
      <w:r w:rsidRPr="000D7D3D">
        <w:t xml:space="preserve">. For each qRT-PCR reaction, three biological replicates were analysed per </w:t>
      </w:r>
      <w:r w:rsidR="00EF6ED2">
        <w:t>condition per Pi concentration.</w:t>
      </w:r>
      <w:r w:rsidR="00EF6ED2">
        <w:br w:type="page"/>
      </w:r>
    </w:p>
    <w:p w14:paraId="14BF4A5B" w14:textId="5A9587B8" w:rsidR="000D7D3D" w:rsidRPr="000D7D3D" w:rsidRDefault="000D7D3D" w:rsidP="00635993">
      <w:pPr>
        <w:pStyle w:val="Heading2"/>
      </w:pPr>
      <w:bookmarkStart w:id="109" w:name="_Toc507603978"/>
      <w:bookmarkStart w:id="110" w:name="_Toc507604245"/>
      <w:bookmarkStart w:id="111" w:name="_Toc519016962"/>
      <w:bookmarkStart w:id="112" w:name="_Toc520837860"/>
      <w:r w:rsidRPr="000D7D3D">
        <w:lastRenderedPageBreak/>
        <w:t>2.2.8 Statistical analyses</w:t>
      </w:r>
      <w:bookmarkEnd w:id="109"/>
      <w:bookmarkEnd w:id="110"/>
      <w:bookmarkEnd w:id="111"/>
      <w:bookmarkEnd w:id="112"/>
    </w:p>
    <w:p w14:paraId="09945490" w14:textId="77777777" w:rsidR="000D7D3D" w:rsidRPr="000D7D3D" w:rsidRDefault="000D7D3D" w:rsidP="003F7054">
      <w:r w:rsidRPr="000D7D3D">
        <w:t xml:space="preserve">Statistically significant differences in hyphal/plant dry mass, Pi content or relative </w:t>
      </w:r>
      <w:r w:rsidRPr="00FF12AA">
        <w:rPr>
          <w:i/>
        </w:rPr>
        <w:t>mRNA</w:t>
      </w:r>
      <w:r w:rsidRPr="000D7D3D">
        <w:t xml:space="preserve"> expression between/at different Pi concentrations were assessed by one-way analysis of variance (ANOVA) followed by Tukey’s post-hoc analysis for multiple comparisons (</w:t>
      </w:r>
      <w:r w:rsidRPr="000D7D3D">
        <w:rPr>
          <w:i/>
        </w:rPr>
        <w:t>α</w:t>
      </w:r>
      <w:r w:rsidRPr="000D7D3D">
        <w:t>=0.05). Statistically significant differences in pairwise comparisons at each Pi concentration were assessed with the Student’s t-test (</w:t>
      </w:r>
      <w:r w:rsidRPr="000D7D3D">
        <w:rPr>
          <w:i/>
        </w:rPr>
        <w:t>α</w:t>
      </w:r>
      <w:r w:rsidRPr="000D7D3D">
        <w:t>=0.05).</w:t>
      </w:r>
    </w:p>
    <w:p w14:paraId="1A7CC113" w14:textId="77777777" w:rsidR="000D7D3D" w:rsidRPr="000D7D3D" w:rsidRDefault="000D7D3D" w:rsidP="007F746A"/>
    <w:p w14:paraId="3F07C88C" w14:textId="48B159A0" w:rsidR="000D7D3D" w:rsidRPr="000D7D3D" w:rsidRDefault="000D7D3D" w:rsidP="00635993">
      <w:pPr>
        <w:pStyle w:val="Heading2"/>
      </w:pPr>
      <w:bookmarkStart w:id="113" w:name="_Toc507603979"/>
      <w:bookmarkStart w:id="114" w:name="_Toc507604246"/>
      <w:bookmarkStart w:id="115" w:name="_Toc519016963"/>
      <w:bookmarkStart w:id="116" w:name="_Toc520837861"/>
      <w:r w:rsidRPr="000D7D3D">
        <w:t>2.2.9 Microscopy and imaging</w:t>
      </w:r>
      <w:bookmarkEnd w:id="113"/>
      <w:bookmarkEnd w:id="114"/>
      <w:bookmarkEnd w:id="115"/>
      <w:bookmarkEnd w:id="116"/>
    </w:p>
    <w:p w14:paraId="71B0398C" w14:textId="26D1D5FD" w:rsidR="000D7D3D" w:rsidRPr="000D7D3D" w:rsidRDefault="000D7D3D" w:rsidP="007F746A">
      <w:r w:rsidRPr="000D7D3D">
        <w:t>Microscopy images were taken with a Leica stereoscope using the SPOT advanced software. Standard images were recorded with a Canon EOS500</w:t>
      </w:r>
      <w:r w:rsidR="00BB3CB7">
        <w:t xml:space="preserve"> camera in automatic mode.</w:t>
      </w:r>
      <w:r w:rsidRPr="000D7D3D">
        <w:br w:type="page"/>
      </w:r>
    </w:p>
    <w:p w14:paraId="109CA6D9" w14:textId="31743D07" w:rsidR="000D7D3D" w:rsidRPr="000D7D3D" w:rsidRDefault="000D7D3D" w:rsidP="00635993">
      <w:pPr>
        <w:pStyle w:val="Heading1"/>
      </w:pPr>
      <w:bookmarkStart w:id="117" w:name="_Toc507603980"/>
      <w:bookmarkStart w:id="118" w:name="_Toc507604247"/>
      <w:bookmarkStart w:id="119" w:name="_Toc519016964"/>
      <w:bookmarkStart w:id="120" w:name="_Toc520837862"/>
      <w:r w:rsidRPr="000D7D3D">
        <w:lastRenderedPageBreak/>
        <w:t>2.3 Results</w:t>
      </w:r>
      <w:bookmarkEnd w:id="117"/>
      <w:bookmarkEnd w:id="118"/>
      <w:bookmarkEnd w:id="119"/>
      <w:bookmarkEnd w:id="120"/>
    </w:p>
    <w:p w14:paraId="64B99764" w14:textId="77777777" w:rsidR="000D7D3D" w:rsidRPr="000D7D3D" w:rsidRDefault="000D7D3D" w:rsidP="003F7054"/>
    <w:p w14:paraId="3EF1B8E3" w14:textId="6CC17019" w:rsidR="000D7D3D" w:rsidRPr="000D7D3D" w:rsidRDefault="000D7D3D" w:rsidP="00635993">
      <w:pPr>
        <w:pStyle w:val="Heading2"/>
      </w:pPr>
      <w:bookmarkStart w:id="121" w:name="_Toc507603981"/>
      <w:bookmarkStart w:id="122" w:name="_Toc507604248"/>
      <w:bookmarkStart w:id="123" w:name="_Toc519016965"/>
      <w:bookmarkStart w:id="124" w:name="_Toc520837863"/>
      <w:r w:rsidRPr="000D7D3D">
        <w:t xml:space="preserve">2.3.1 Growth and morphology responses of </w:t>
      </w:r>
      <w:r w:rsidRPr="000D7D3D">
        <w:rPr>
          <w:i/>
        </w:rPr>
        <w:t>P. involutus</w:t>
      </w:r>
      <w:r w:rsidRPr="000D7D3D">
        <w:t xml:space="preserve"> </w:t>
      </w:r>
      <w:r w:rsidR="009409EE">
        <w:t>to varying Pi on</w:t>
      </w:r>
      <w:r w:rsidRPr="000D7D3D">
        <w:t xml:space="preserve"> B-MMN </w:t>
      </w:r>
      <w:r w:rsidR="009409EE">
        <w:t>media</w:t>
      </w:r>
      <w:bookmarkEnd w:id="121"/>
      <w:bookmarkEnd w:id="122"/>
      <w:bookmarkEnd w:id="123"/>
      <w:bookmarkEnd w:id="124"/>
    </w:p>
    <w:p w14:paraId="5A4EA2F9" w14:textId="4723EC0C" w:rsidR="000D7D3D" w:rsidRPr="000D7D3D" w:rsidRDefault="000D7D3D" w:rsidP="003F7054">
      <w:r w:rsidRPr="000D7D3D">
        <w:t>To study the growth behaviour</w:t>
      </w:r>
      <w:r w:rsidRPr="000D7D3D">
        <w:rPr>
          <w:i/>
        </w:rPr>
        <w:t xml:space="preserve"> </w:t>
      </w:r>
      <w:r w:rsidRPr="000D7D3D">
        <w:t xml:space="preserve">of </w:t>
      </w:r>
      <w:r w:rsidRPr="000D7D3D">
        <w:rPr>
          <w:i/>
        </w:rPr>
        <w:t>P. involutus</w:t>
      </w:r>
      <w:r w:rsidRPr="000D7D3D">
        <w:t xml:space="preserve"> </w:t>
      </w:r>
      <w:r w:rsidR="004C003C">
        <w:t xml:space="preserve">in response to </w:t>
      </w:r>
      <w:r w:rsidRPr="000D7D3D">
        <w:t xml:space="preserve">varying </w:t>
      </w:r>
      <w:r w:rsidR="004C003C">
        <w:t xml:space="preserve">Pi concentrations, </w:t>
      </w:r>
      <w:r w:rsidRPr="000D7D3D">
        <w:t xml:space="preserve">B-MMN solid media were inoculated with </w:t>
      </w:r>
      <w:r w:rsidRPr="000D7D3D">
        <w:rPr>
          <w:i/>
        </w:rPr>
        <w:t>P. involutus 13</w:t>
      </w:r>
      <w:r w:rsidRPr="000D7D3D">
        <w:t>, which was grow</w:t>
      </w:r>
      <w:r w:rsidR="004C003C">
        <w:t>n</w:t>
      </w:r>
      <w:r w:rsidRPr="000D7D3D">
        <w:t xml:space="preserve"> either on FS MMN or 10% </w:t>
      </w:r>
      <w:r w:rsidR="004C003C">
        <w:t xml:space="preserve">strength </w:t>
      </w:r>
      <w:r w:rsidRPr="000D7D3D">
        <w:t>MMN media (</w:t>
      </w:r>
      <w:r w:rsidR="00623E59" w:rsidRPr="000D7D3D">
        <w:t>Appendix</w:t>
      </w:r>
      <w:r w:rsidR="00623E59">
        <w:t>, Table 1</w:t>
      </w:r>
      <w:r w:rsidRPr="000D7D3D">
        <w:t xml:space="preserve">). However, </w:t>
      </w:r>
      <w:r w:rsidR="00A957DD">
        <w:t xml:space="preserve">growth on </w:t>
      </w:r>
      <w:r w:rsidRPr="000D7D3D">
        <w:t xml:space="preserve">the B-MMN media was not </w:t>
      </w:r>
      <w:r w:rsidR="00A957DD">
        <w:t xml:space="preserve">reproducible </w:t>
      </w:r>
      <w:r w:rsidRPr="000D7D3D">
        <w:t xml:space="preserve">for each Pi concentration </w:t>
      </w:r>
      <w:r w:rsidR="00A957DD">
        <w:t xml:space="preserve">for either </w:t>
      </w:r>
      <w:r w:rsidR="001253A2">
        <w:t xml:space="preserve">strength of </w:t>
      </w:r>
      <w:r w:rsidR="00A957DD">
        <w:t xml:space="preserve">starting inoculum </w:t>
      </w:r>
      <w:r w:rsidRPr="000D7D3D">
        <w:t xml:space="preserve">(Figure 2.1), and for this reason, </w:t>
      </w:r>
      <w:r w:rsidR="00A957DD">
        <w:t xml:space="preserve">a </w:t>
      </w:r>
      <w:r w:rsidRPr="000D7D3D">
        <w:t>growth analysis based on dry mass was not performed.</w:t>
      </w:r>
    </w:p>
    <w:p w14:paraId="15CF0160" w14:textId="48237468" w:rsidR="000D7D3D" w:rsidRPr="000D7D3D" w:rsidRDefault="000D7D3D" w:rsidP="007F746A">
      <w:pPr>
        <w:ind w:firstLine="720"/>
      </w:pPr>
      <w:r w:rsidRPr="000D7D3D">
        <w:t>Moreover, the morphology of th</w:t>
      </w:r>
      <w:r w:rsidR="001253A2">
        <w:t>e fungal hyphae</w:t>
      </w:r>
      <w:r w:rsidR="005638BD">
        <w:t xml:space="preserve"> was not uniform</w:t>
      </w:r>
      <w:r w:rsidRPr="000D7D3D">
        <w:t xml:space="preserve"> among the three replicates and between the two </w:t>
      </w:r>
      <w:r w:rsidR="0055241F">
        <w:t xml:space="preserve">strengths of </w:t>
      </w:r>
      <w:r w:rsidRPr="000D7D3D">
        <w:t>fungal inocul</w:t>
      </w:r>
      <w:r w:rsidR="00E96F65">
        <w:t>a</w:t>
      </w:r>
      <w:r w:rsidRPr="000D7D3D">
        <w:t xml:space="preserve">. In particular, at 5,560 μM Pi, the mycelium of </w:t>
      </w:r>
      <w:r w:rsidRPr="000D7D3D">
        <w:rPr>
          <w:i/>
        </w:rPr>
        <w:t>P. involutus 13</w:t>
      </w:r>
      <w:r w:rsidRPr="000D7D3D">
        <w:t>, originat</w:t>
      </w:r>
      <w:r w:rsidR="00E96F65">
        <w:t>ing</w:t>
      </w:r>
      <w:r w:rsidRPr="000D7D3D">
        <w:t xml:space="preserve"> from the FS MMN media, exhibited an almost smooth texture with a pale orange and beige colour along with a diffuse border, whereas mycel</w:t>
      </w:r>
      <w:r w:rsidR="00E96F65">
        <w:t>ia</w:t>
      </w:r>
      <w:r w:rsidRPr="000D7D3D">
        <w:t xml:space="preserve"> originating from the 10% </w:t>
      </w:r>
      <w:r w:rsidR="00E96F65">
        <w:t xml:space="preserve">strength </w:t>
      </w:r>
      <w:r w:rsidR="001751B3">
        <w:t xml:space="preserve">MMN </w:t>
      </w:r>
      <w:r w:rsidRPr="000D7D3D">
        <w:t>media featured a dark orange and beige colour with the exception of one replicate having only a beige colour with a clear border</w:t>
      </w:r>
      <w:r w:rsidR="00BB3CB7">
        <w:t xml:space="preserve"> (Figure 2.1)</w:t>
      </w:r>
      <w:r w:rsidR="00501EDD">
        <w:t>.</w:t>
      </w:r>
    </w:p>
    <w:p w14:paraId="41748E53" w14:textId="01D267DF" w:rsidR="000D7D3D" w:rsidRPr="000D7D3D" w:rsidRDefault="000D7D3D" w:rsidP="00FB36B8">
      <w:pPr>
        <w:ind w:firstLine="720"/>
      </w:pPr>
      <w:r w:rsidRPr="000D7D3D">
        <w:t xml:space="preserve">At 556 μM Pi, the mycelium of </w:t>
      </w:r>
      <w:r w:rsidRPr="000D7D3D">
        <w:rPr>
          <w:i/>
        </w:rPr>
        <w:t>P. involutus 13</w:t>
      </w:r>
      <w:r w:rsidRPr="000D7D3D">
        <w:t xml:space="preserve"> originat</w:t>
      </w:r>
      <w:r w:rsidR="00B322A6">
        <w:t>ing</w:t>
      </w:r>
      <w:r w:rsidR="00623E59">
        <w:t xml:space="preserve"> from the FS MMN </w:t>
      </w:r>
      <w:r w:rsidRPr="000D7D3D">
        <w:t xml:space="preserve">media exhibited an almost rough texture with a white colour and diffuse border while coloration of the media was evident, whereas the mycelium of </w:t>
      </w:r>
      <w:r w:rsidRPr="000D7D3D">
        <w:rPr>
          <w:i/>
        </w:rPr>
        <w:t>P. involutus 13</w:t>
      </w:r>
      <w:r w:rsidRPr="000D7D3D">
        <w:t xml:space="preserve"> </w:t>
      </w:r>
      <w:r w:rsidR="00B322A6">
        <w:t xml:space="preserve">originating </w:t>
      </w:r>
      <w:r w:rsidRPr="000D7D3D">
        <w:t xml:space="preserve">from the 10% </w:t>
      </w:r>
      <w:r w:rsidR="00B322A6">
        <w:t xml:space="preserve">strength </w:t>
      </w:r>
      <w:r w:rsidRPr="000D7D3D">
        <w:t xml:space="preserve">MMN media had a smooth texture with </w:t>
      </w:r>
      <w:r w:rsidR="0055241F">
        <w:t>a light beige</w:t>
      </w:r>
      <w:r w:rsidRPr="000D7D3D">
        <w:t xml:space="preserve"> colour and diffuse border</w:t>
      </w:r>
      <w:r w:rsidR="00BB3CB7">
        <w:t xml:space="preserve"> (Figure 2.1)</w:t>
      </w:r>
      <w:r w:rsidRPr="000D7D3D">
        <w:t>.</w:t>
      </w:r>
    </w:p>
    <w:p w14:paraId="4DA380EE" w14:textId="6903384A" w:rsidR="001237A5" w:rsidRDefault="000D7D3D" w:rsidP="007C3C15">
      <w:pPr>
        <w:ind w:firstLine="720"/>
      </w:pPr>
      <w:r w:rsidRPr="000D7D3D">
        <w:t xml:space="preserve">At 55.6 μM Pi, the mycelium of </w:t>
      </w:r>
      <w:r w:rsidRPr="000D7D3D">
        <w:rPr>
          <w:i/>
        </w:rPr>
        <w:t>P. involutus 13</w:t>
      </w:r>
      <w:r w:rsidRPr="000D7D3D">
        <w:t xml:space="preserve"> </w:t>
      </w:r>
      <w:r w:rsidR="00B322A6">
        <w:t xml:space="preserve">originating </w:t>
      </w:r>
      <w:r w:rsidRPr="000D7D3D">
        <w:t>from the FS MMN media proliferated in two out of three replicates, with each exhibiting different morphology</w:t>
      </w:r>
      <w:r w:rsidR="0055241F">
        <w:t xml:space="preserve">. </w:t>
      </w:r>
      <w:r w:rsidRPr="000D7D3D">
        <w:t xml:space="preserve">In one replicate, </w:t>
      </w:r>
      <w:r w:rsidRPr="000D7D3D">
        <w:rPr>
          <w:i/>
        </w:rPr>
        <w:t>P. involutus</w:t>
      </w:r>
      <w:r w:rsidRPr="000D7D3D">
        <w:t xml:space="preserve"> </w:t>
      </w:r>
      <w:r w:rsidRPr="000D7D3D">
        <w:rPr>
          <w:i/>
        </w:rPr>
        <w:t xml:space="preserve">13 </w:t>
      </w:r>
      <w:r w:rsidRPr="000D7D3D">
        <w:t xml:space="preserve">mycelia had a rough texture with a white and yellowish colour and clear border while the other replicate exhibited a smooth texture with </w:t>
      </w:r>
      <w:r w:rsidR="0055241F">
        <w:t>light beige</w:t>
      </w:r>
      <w:r w:rsidRPr="000D7D3D">
        <w:t xml:space="preserve"> colour and diffuse border</w:t>
      </w:r>
      <w:r w:rsidR="00BB3CB7">
        <w:t xml:space="preserve"> (Figure 2.1)</w:t>
      </w:r>
      <w:r w:rsidRPr="000D7D3D">
        <w:t xml:space="preserve">. The mycelium of </w:t>
      </w:r>
      <w:r w:rsidRPr="000D7D3D">
        <w:rPr>
          <w:i/>
        </w:rPr>
        <w:t>P. involutus 13</w:t>
      </w:r>
      <w:r w:rsidRPr="000D7D3D">
        <w:t xml:space="preserve"> originating from the 10% </w:t>
      </w:r>
      <w:r w:rsidR="00B322A6">
        <w:t xml:space="preserve">strength </w:t>
      </w:r>
      <w:r w:rsidRPr="000D7D3D">
        <w:t xml:space="preserve">MMN media had similarly proliferated in two out of three replicates </w:t>
      </w:r>
      <w:r w:rsidRPr="000D7D3D">
        <w:lastRenderedPageBreak/>
        <w:t>with a smooth texture mycelium, white and yellowish colour for one replicate and beige colour for the other and with a diffuse border for both replicates</w:t>
      </w:r>
      <w:r w:rsidR="003A2E17">
        <w:t xml:space="preserve"> (Figure 2.1)</w:t>
      </w:r>
      <w:r w:rsidRPr="000D7D3D">
        <w:t>.</w:t>
      </w:r>
    </w:p>
    <w:p w14:paraId="2F84E6D0" w14:textId="35E73DBD" w:rsidR="000D7D3D" w:rsidRPr="000D7D3D" w:rsidRDefault="000D7D3D" w:rsidP="007C3C15">
      <w:pPr>
        <w:ind w:firstLine="720"/>
      </w:pPr>
      <w:r w:rsidRPr="000D7D3D">
        <w:t xml:space="preserve">At 5.56 μM Pi, the mycelium of </w:t>
      </w:r>
      <w:r w:rsidRPr="000D7D3D">
        <w:rPr>
          <w:i/>
        </w:rPr>
        <w:t>P. involutus</w:t>
      </w:r>
      <w:r w:rsidRPr="000D7D3D">
        <w:t xml:space="preserve"> </w:t>
      </w:r>
      <w:r w:rsidRPr="000D7D3D">
        <w:rPr>
          <w:i/>
        </w:rPr>
        <w:t xml:space="preserve">13 </w:t>
      </w:r>
      <w:r w:rsidRPr="000D7D3D">
        <w:t xml:space="preserve">exhibited morphology </w:t>
      </w:r>
      <w:r w:rsidR="00E71C3D">
        <w:t>similar</w:t>
      </w:r>
      <w:r w:rsidR="00E71C3D" w:rsidRPr="000D7D3D">
        <w:t xml:space="preserve"> </w:t>
      </w:r>
      <w:r w:rsidRPr="000D7D3D">
        <w:t>to that at 55.6 μM Pi</w:t>
      </w:r>
      <w:r w:rsidR="001237A5">
        <w:t xml:space="preserve">, for mycelia originating from both strengths of MMN media </w:t>
      </w:r>
      <w:r w:rsidR="003A2E17">
        <w:t>(Figure 2.1)</w:t>
      </w:r>
      <w:r w:rsidR="005638BD">
        <w:t>.</w:t>
      </w:r>
    </w:p>
    <w:p w14:paraId="0610955C" w14:textId="520FBF25" w:rsidR="000D7D3D" w:rsidRPr="000D7D3D" w:rsidRDefault="000D7D3D" w:rsidP="00EF6ED2">
      <w:pPr>
        <w:ind w:firstLine="720"/>
      </w:pPr>
      <w:r w:rsidRPr="000D7D3D">
        <w:t>Last</w:t>
      </w:r>
      <w:r w:rsidR="004B095E">
        <w:t>ly,</w:t>
      </w:r>
      <w:r w:rsidRPr="000D7D3D">
        <w:t xml:space="preserve"> at 0.23 μM Pi, the mycelium of </w:t>
      </w:r>
      <w:r w:rsidRPr="000D7D3D">
        <w:rPr>
          <w:i/>
        </w:rPr>
        <w:t>P. involutus</w:t>
      </w:r>
      <w:r w:rsidRPr="000D7D3D">
        <w:t xml:space="preserve"> </w:t>
      </w:r>
      <w:r w:rsidRPr="000D7D3D">
        <w:rPr>
          <w:i/>
        </w:rPr>
        <w:t xml:space="preserve">13 </w:t>
      </w:r>
      <w:r w:rsidR="00E30C0E" w:rsidRPr="00635993">
        <w:t>originating</w:t>
      </w:r>
      <w:r w:rsidR="00E30C0E">
        <w:rPr>
          <w:i/>
        </w:rPr>
        <w:t xml:space="preserve"> </w:t>
      </w:r>
      <w:r w:rsidRPr="000D7D3D">
        <w:t>from the FS MMN media proliferated in two out of three replicates and exhibited mycelium with a rough texture as well as a white and yellowish colour with clear borders</w:t>
      </w:r>
      <w:r w:rsidR="003A2E17">
        <w:t xml:space="preserve"> (Figure 2.1)</w:t>
      </w:r>
      <w:r w:rsidRPr="000D7D3D">
        <w:t xml:space="preserve">. The mycelium of </w:t>
      </w:r>
      <w:r w:rsidRPr="000D7D3D">
        <w:rPr>
          <w:i/>
        </w:rPr>
        <w:t>P. involutus 13</w:t>
      </w:r>
      <w:r w:rsidRPr="000D7D3D">
        <w:t xml:space="preserve"> that originated from the 10% </w:t>
      </w:r>
      <w:r w:rsidR="00E30C0E">
        <w:t xml:space="preserve">strength </w:t>
      </w:r>
      <w:r w:rsidRPr="000D7D3D">
        <w:t>MMN media similarly proliferated in two out of three replicates and had a smooth texture with white and yellowish colouring and a diffuse border</w:t>
      </w:r>
      <w:r w:rsidR="003A2E17">
        <w:t xml:space="preserve"> (Figure 2.1)</w:t>
      </w:r>
      <w:r w:rsidR="00EF6ED2">
        <w:t>.</w:t>
      </w:r>
      <w:r w:rsidRPr="000D7D3D">
        <w:br w:type="page"/>
      </w:r>
    </w:p>
    <w:p w14:paraId="453E8E03" w14:textId="77777777" w:rsidR="000D7D3D" w:rsidRPr="000D7D3D" w:rsidRDefault="000D7D3D" w:rsidP="007C3C15">
      <w:r w:rsidRPr="000D7D3D">
        <w:rPr>
          <w:noProof/>
          <w:lang w:eastAsia="en-GB"/>
        </w:rPr>
        <w:lastRenderedPageBreak/>
        <w:drawing>
          <wp:inline distT="0" distB="0" distL="0" distR="0" wp14:anchorId="5C503F2A" wp14:editId="0D940E65">
            <wp:extent cx="5943600" cy="48183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1_new+++.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818380"/>
                    </a:xfrm>
                    <a:prstGeom prst="rect">
                      <a:avLst/>
                    </a:prstGeom>
                  </pic:spPr>
                </pic:pic>
              </a:graphicData>
            </a:graphic>
          </wp:inline>
        </w:drawing>
      </w:r>
    </w:p>
    <w:p w14:paraId="0BDAEDA6" w14:textId="3BCBE754" w:rsidR="000D7D3D" w:rsidRPr="00B46FB7" w:rsidRDefault="000D7D3D" w:rsidP="00635993">
      <w:pPr>
        <w:pStyle w:val="Subtitle"/>
        <w:pBdr>
          <w:top w:val="single" w:sz="4" w:space="1" w:color="auto"/>
        </w:pBdr>
      </w:pPr>
      <w:r w:rsidRPr="000D7D3D">
        <w:t xml:space="preserve">Figure 2.1 </w:t>
      </w:r>
      <w:r w:rsidRPr="00635993">
        <w:rPr>
          <w:b w:val="0"/>
        </w:rPr>
        <w:t xml:space="preserve">Morphology of </w:t>
      </w:r>
      <w:r w:rsidRPr="00635993">
        <w:rPr>
          <w:b w:val="0"/>
          <w:i/>
        </w:rPr>
        <w:t>P. involutus</w:t>
      </w:r>
      <w:r w:rsidRPr="00635993">
        <w:rPr>
          <w:b w:val="0"/>
        </w:rPr>
        <w:t xml:space="preserve"> </w:t>
      </w:r>
      <w:r w:rsidRPr="00635993">
        <w:rPr>
          <w:b w:val="0"/>
          <w:i/>
        </w:rPr>
        <w:t>13</w:t>
      </w:r>
      <w:r w:rsidRPr="00635993">
        <w:rPr>
          <w:b w:val="0"/>
        </w:rPr>
        <w:t xml:space="preserve"> from the B-MMN Pi-varying fungal experiment. Inoculum of </w:t>
      </w:r>
      <w:r w:rsidRPr="00635993">
        <w:rPr>
          <w:b w:val="0"/>
          <w:i/>
        </w:rPr>
        <w:t>P. involutus</w:t>
      </w:r>
      <w:r w:rsidRPr="00635993">
        <w:rPr>
          <w:b w:val="0"/>
        </w:rPr>
        <w:t xml:space="preserve"> </w:t>
      </w:r>
      <w:r w:rsidRPr="00635993">
        <w:rPr>
          <w:b w:val="0"/>
          <w:i/>
        </w:rPr>
        <w:t>13</w:t>
      </w:r>
      <w:r w:rsidRPr="00635993">
        <w:rPr>
          <w:b w:val="0"/>
        </w:rPr>
        <w:t xml:space="preserve"> that origi</w:t>
      </w:r>
      <w:r w:rsidR="00B323DA">
        <w:rPr>
          <w:b w:val="0"/>
        </w:rPr>
        <w:t>nated from either FS MMN or</w:t>
      </w:r>
      <w:r w:rsidRPr="00635993">
        <w:rPr>
          <w:b w:val="0"/>
        </w:rPr>
        <w:t xml:space="preserve"> 10% </w:t>
      </w:r>
      <w:r w:rsidR="005638BD">
        <w:rPr>
          <w:b w:val="0"/>
        </w:rPr>
        <w:t xml:space="preserve">strength </w:t>
      </w:r>
      <w:r w:rsidRPr="00635993">
        <w:rPr>
          <w:b w:val="0"/>
        </w:rPr>
        <w:t xml:space="preserve">MMN fungal culture media was placed in replicates of three at each concentration of the B-MMN Pi-varying media. The Pi concentration ranged from 5,560 μM down to 0.23 μM. </w:t>
      </w:r>
      <w:r w:rsidR="005638BD">
        <w:rPr>
          <w:b w:val="0"/>
        </w:rPr>
        <w:t>Mycelial g</w:t>
      </w:r>
      <w:r w:rsidRPr="00635993">
        <w:rPr>
          <w:b w:val="0"/>
        </w:rPr>
        <w:t>rowth took place over 90 days.</w:t>
      </w:r>
    </w:p>
    <w:p w14:paraId="68DBA3A3" w14:textId="77777777" w:rsidR="000D7D3D" w:rsidRPr="000D7D3D" w:rsidRDefault="000D7D3D" w:rsidP="00635993">
      <w:r w:rsidRPr="000D7D3D">
        <w:br w:type="page"/>
      </w:r>
    </w:p>
    <w:p w14:paraId="4D21961B" w14:textId="32A5666A" w:rsidR="000D7D3D" w:rsidRPr="000D7D3D" w:rsidRDefault="000D7D3D" w:rsidP="00635993">
      <w:pPr>
        <w:pStyle w:val="Heading2"/>
      </w:pPr>
      <w:bookmarkStart w:id="125" w:name="_Toc507603982"/>
      <w:bookmarkStart w:id="126" w:name="_Toc507604249"/>
      <w:bookmarkStart w:id="127" w:name="_Toc519016966"/>
      <w:bookmarkStart w:id="128" w:name="_Toc520837864"/>
      <w:r w:rsidRPr="000D7D3D">
        <w:lastRenderedPageBreak/>
        <w:t xml:space="preserve">2.3.2 Growth and morphology responses of </w:t>
      </w:r>
      <w:r w:rsidRPr="000D7D3D">
        <w:rPr>
          <w:i/>
        </w:rPr>
        <w:t xml:space="preserve">P. involutus </w:t>
      </w:r>
      <w:r w:rsidR="007B75B4">
        <w:t>to varying Pi on</w:t>
      </w:r>
      <w:r w:rsidRPr="000D7D3D">
        <w:t xml:space="preserve"> M-MMN</w:t>
      </w:r>
      <w:r w:rsidR="007B75B4">
        <w:t xml:space="preserve"> media</w:t>
      </w:r>
      <w:bookmarkEnd w:id="125"/>
      <w:bookmarkEnd w:id="126"/>
      <w:bookmarkEnd w:id="127"/>
      <w:bookmarkEnd w:id="128"/>
    </w:p>
    <w:p w14:paraId="1C88673F" w14:textId="7904DE08" w:rsidR="000D7D3D" w:rsidRPr="000D7D3D" w:rsidRDefault="001E330B" w:rsidP="003F7054">
      <w:r>
        <w:t xml:space="preserve">Because growth was not reproducible on B-MMN medium, growth of </w:t>
      </w:r>
      <w:r w:rsidR="000D7D3D" w:rsidRPr="000D7D3D">
        <w:rPr>
          <w:i/>
        </w:rPr>
        <w:t xml:space="preserve">P. involutus 13 </w:t>
      </w:r>
      <w:r w:rsidR="000D7D3D" w:rsidRPr="000D7D3D">
        <w:t xml:space="preserve">on M-MMN </w:t>
      </w:r>
      <w:r w:rsidR="00E71C3D">
        <w:t xml:space="preserve">media </w:t>
      </w:r>
      <w:r>
        <w:t xml:space="preserve">with </w:t>
      </w:r>
      <w:r w:rsidR="000D7D3D" w:rsidRPr="000D7D3D">
        <w:t xml:space="preserve">varying </w:t>
      </w:r>
      <w:r>
        <w:t>Pi was examined.</w:t>
      </w:r>
      <w:r w:rsidR="00085790">
        <w:t xml:space="preserve"> </w:t>
      </w:r>
      <w:r w:rsidR="00085790" w:rsidRPr="0018719D">
        <w:rPr>
          <w:i/>
        </w:rPr>
        <w:t>P. involutus</w:t>
      </w:r>
      <w:r w:rsidR="00085790">
        <w:rPr>
          <w:i/>
        </w:rPr>
        <w:t xml:space="preserve"> 13</w:t>
      </w:r>
      <w:r w:rsidR="00085790" w:rsidRPr="000D7D3D">
        <w:t xml:space="preserve"> inocul</w:t>
      </w:r>
      <w:r w:rsidR="00085790">
        <w:t>um originating</w:t>
      </w:r>
      <w:r w:rsidR="00085790" w:rsidRPr="000D7D3D">
        <w:t xml:space="preserve"> from FS MMN or 10%</w:t>
      </w:r>
      <w:r w:rsidR="00085790">
        <w:t xml:space="preserve"> strength MMN media </w:t>
      </w:r>
      <w:r w:rsidR="00085790" w:rsidRPr="000D7D3D">
        <w:t>was used to inoculate three replicates of each Pi concentration</w:t>
      </w:r>
      <w:r w:rsidR="00085790">
        <w:t xml:space="preserve"> of the </w:t>
      </w:r>
      <w:r w:rsidR="00085790" w:rsidRPr="000D7D3D">
        <w:t xml:space="preserve">M-MMN </w:t>
      </w:r>
      <w:r w:rsidR="00085790">
        <w:t xml:space="preserve">media. The purpose for using both strengths of </w:t>
      </w:r>
      <w:r w:rsidR="00085790" w:rsidRPr="0018719D">
        <w:rPr>
          <w:i/>
        </w:rPr>
        <w:t>P. involutus</w:t>
      </w:r>
      <w:r w:rsidR="00085790" w:rsidRPr="000D7D3D">
        <w:t xml:space="preserve"> inocul</w:t>
      </w:r>
      <w:r w:rsidR="00085790">
        <w:t xml:space="preserve">a is to test the impact of inoculum Pi on the mycelial growth in the </w:t>
      </w:r>
      <w:r w:rsidR="00085790" w:rsidRPr="000D7D3D">
        <w:t>M-MMN</w:t>
      </w:r>
      <w:r w:rsidR="00085790">
        <w:t xml:space="preserve"> media. </w:t>
      </w:r>
      <w:r>
        <w:t xml:space="preserve">The growth and morphology of both </w:t>
      </w:r>
      <w:r w:rsidR="000D7D3D" w:rsidRPr="000D7D3D">
        <w:rPr>
          <w:i/>
        </w:rPr>
        <w:t>P. involutus 13</w:t>
      </w:r>
      <w:r w:rsidR="000D7D3D" w:rsidRPr="000D7D3D">
        <w:t xml:space="preserve"> </w:t>
      </w:r>
      <w:r>
        <w:t xml:space="preserve">inocula was consistent for </w:t>
      </w:r>
      <w:r w:rsidR="000D7D3D" w:rsidRPr="000D7D3D">
        <w:t xml:space="preserve">all three biological replicates for each Pi concentration </w:t>
      </w:r>
      <w:r>
        <w:t>(</w:t>
      </w:r>
      <w:r w:rsidR="000D7D3D" w:rsidRPr="000D7D3D">
        <w:t>Figure 2.2</w:t>
      </w:r>
      <w:r>
        <w:t>)</w:t>
      </w:r>
      <w:r w:rsidR="000D7D3D" w:rsidRPr="000D7D3D">
        <w:t>.</w:t>
      </w:r>
    </w:p>
    <w:p w14:paraId="37EDA2C5" w14:textId="5292AC61" w:rsidR="000D7D3D" w:rsidRPr="000D7D3D" w:rsidRDefault="000D7D3D" w:rsidP="007F746A">
      <w:pPr>
        <w:ind w:firstLine="720"/>
      </w:pPr>
      <w:r w:rsidRPr="000D7D3D">
        <w:t>In particular, at the two highest Pi concentrations of 3,670 and 367 μM</w:t>
      </w:r>
      <w:r w:rsidRPr="000D7D3D">
        <w:rPr>
          <w:i/>
        </w:rPr>
        <w:t>, P. involutus 13</w:t>
      </w:r>
      <w:r w:rsidRPr="000D7D3D">
        <w:t xml:space="preserve"> mycelium exhibited a smooth texture with a yellowish colour and clear borders for both strengths of inoculum. At the two intermediate Pi concentrations of 36.7 and 18.37 μM, </w:t>
      </w:r>
      <w:r w:rsidRPr="000D7D3D">
        <w:rPr>
          <w:i/>
        </w:rPr>
        <w:t>P. involutus 13</w:t>
      </w:r>
      <w:r w:rsidRPr="000D7D3D">
        <w:t xml:space="preserve"> mycelia had the same morphology as </w:t>
      </w:r>
      <w:r w:rsidR="00E71C3D">
        <w:t>above</w:t>
      </w:r>
      <w:r w:rsidRPr="000D7D3D">
        <w:t xml:space="preserve"> but with diffuse borders</w:t>
      </w:r>
      <w:r w:rsidR="00501EDD">
        <w:t xml:space="preserve">. </w:t>
      </w:r>
      <w:r w:rsidRPr="000D7D3D">
        <w:t xml:space="preserve">Similarly, the morphology of the </w:t>
      </w:r>
      <w:r w:rsidRPr="000D7D3D">
        <w:rPr>
          <w:i/>
        </w:rPr>
        <w:t>P. involutus 13</w:t>
      </w:r>
      <w:r w:rsidRPr="000D7D3D">
        <w:t xml:space="preserve"> mycelia had the same characteristics for the low Pi concentrations of 3.67 to 0.15 μM.</w:t>
      </w:r>
    </w:p>
    <w:p w14:paraId="7AD1E792" w14:textId="39DF7271" w:rsidR="000D7D3D" w:rsidRPr="000D7D3D" w:rsidRDefault="000D7D3D" w:rsidP="00EF6ED2">
      <w:pPr>
        <w:ind w:firstLine="720"/>
      </w:pPr>
      <w:r w:rsidRPr="000D7D3D">
        <w:t xml:space="preserve">The effect of varying concentrations of Pi on </w:t>
      </w:r>
      <w:r w:rsidRPr="000D7D3D">
        <w:rPr>
          <w:i/>
        </w:rPr>
        <w:t>P. involutus 13</w:t>
      </w:r>
      <w:r w:rsidRPr="000D7D3D">
        <w:t xml:space="preserve"> growth was assessed by measuring fungal dry mass after 72 days of growth in MMN media supplied with 0.15 μM, 0.37 μM, 1.84 μM, 3.67 μM, 18.35 μM, 36.7 μM, 367 μM or 3,670 μM of Pi. Fungal inoculum originating from MMN media at 10% strength showed a </w:t>
      </w:r>
      <w:r w:rsidR="00261F0B">
        <w:t xml:space="preserve">statistically </w:t>
      </w:r>
      <w:r w:rsidRPr="000D7D3D">
        <w:t>significant (</w:t>
      </w:r>
      <w:r w:rsidRPr="000D7D3D">
        <w:rPr>
          <w:i/>
        </w:rPr>
        <w:t>p</w:t>
      </w:r>
      <w:r w:rsidRPr="000D7D3D">
        <w:t xml:space="preserve"> = 0.045) and stronger correlation (R</w:t>
      </w:r>
      <w:r w:rsidRPr="000D7D3D">
        <w:rPr>
          <w:vertAlign w:val="superscript"/>
        </w:rPr>
        <w:t>2</w:t>
      </w:r>
      <w:r w:rsidRPr="000D7D3D">
        <w:t xml:space="preserve"> = 0.51) than that of FS (R</w:t>
      </w:r>
      <w:r w:rsidRPr="000D7D3D">
        <w:rPr>
          <w:vertAlign w:val="superscript"/>
        </w:rPr>
        <w:t>2</w:t>
      </w:r>
      <w:r w:rsidRPr="000D7D3D">
        <w:t xml:space="preserve"> = 0.36, </w:t>
      </w:r>
      <w:r w:rsidRPr="000D7D3D">
        <w:rPr>
          <w:i/>
        </w:rPr>
        <w:t>p</w:t>
      </w:r>
      <w:r w:rsidRPr="000D7D3D">
        <w:t xml:space="preserve"> = 0.114) between the concentrations of Pi varying M-MMN media and fungal dry mass (Figure 2.3). For this reason, all successive experiments were carried out with fungal inoculum originating from 10% </w:t>
      </w:r>
      <w:r w:rsidR="00BF3AE7">
        <w:t xml:space="preserve">strength </w:t>
      </w:r>
      <w:r w:rsidRPr="000D7D3D">
        <w:t xml:space="preserve">MMN </w:t>
      </w:r>
      <w:r w:rsidR="00BF3AE7">
        <w:t>media</w:t>
      </w:r>
      <w:r w:rsidR="00EF6ED2">
        <w:t>.</w:t>
      </w:r>
      <w:r w:rsidRPr="000D7D3D">
        <w:br w:type="page"/>
      </w:r>
    </w:p>
    <w:p w14:paraId="61ADD4EE" w14:textId="2B6C4B9E" w:rsidR="000D7D3D" w:rsidRPr="000D7D3D" w:rsidRDefault="008C0317" w:rsidP="007C3C15">
      <w:r>
        <w:rPr>
          <w:noProof/>
          <w:lang w:eastAsia="en-GB"/>
        </w:rPr>
        <w:lastRenderedPageBreak/>
        <w:drawing>
          <wp:inline distT="0" distB="0" distL="0" distR="0" wp14:anchorId="749DAAD0" wp14:editId="1B3E5727">
            <wp:extent cx="5479685" cy="6696222"/>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2.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1368" cy="6698279"/>
                    </a:xfrm>
                    <a:prstGeom prst="rect">
                      <a:avLst/>
                    </a:prstGeom>
                  </pic:spPr>
                </pic:pic>
              </a:graphicData>
            </a:graphic>
          </wp:inline>
        </w:drawing>
      </w:r>
    </w:p>
    <w:p w14:paraId="323D2C9E" w14:textId="286E542B" w:rsidR="00467F64" w:rsidRDefault="000D7D3D" w:rsidP="00635993">
      <w:pPr>
        <w:pStyle w:val="Subtitle"/>
        <w:pBdr>
          <w:top w:val="single" w:sz="4" w:space="1" w:color="auto"/>
        </w:pBdr>
        <w:rPr>
          <w:b w:val="0"/>
        </w:rPr>
      </w:pPr>
      <w:r w:rsidRPr="000D7D3D">
        <w:t xml:space="preserve">Figure 2.2 </w:t>
      </w:r>
      <w:r w:rsidRPr="00635993">
        <w:rPr>
          <w:b w:val="0"/>
        </w:rPr>
        <w:t xml:space="preserve">Morphology of </w:t>
      </w:r>
      <w:r w:rsidRPr="00635993">
        <w:rPr>
          <w:b w:val="0"/>
          <w:i/>
        </w:rPr>
        <w:t>P. involutus 13</w:t>
      </w:r>
      <w:r w:rsidRPr="00635993">
        <w:rPr>
          <w:b w:val="0"/>
        </w:rPr>
        <w:t xml:space="preserve"> hyphae growing on M-MMN media. Inoculum of </w:t>
      </w:r>
      <w:r w:rsidRPr="00635993">
        <w:rPr>
          <w:b w:val="0"/>
          <w:i/>
        </w:rPr>
        <w:t>P. involutus 13</w:t>
      </w:r>
      <w:r w:rsidRPr="00635993">
        <w:rPr>
          <w:b w:val="0"/>
        </w:rPr>
        <w:t xml:space="preserve"> that originated from FS MMN or 10% MMN was placed in replicates of three at each concentration of the M-MMN Pi-varying media ranging from 3,670 μM to 0.1</w:t>
      </w:r>
      <w:r w:rsidR="00E71C3D" w:rsidRPr="00635993">
        <w:rPr>
          <w:b w:val="0"/>
        </w:rPr>
        <w:t>5</w:t>
      </w:r>
      <w:r w:rsidRPr="00635993">
        <w:rPr>
          <w:b w:val="0"/>
        </w:rPr>
        <w:t xml:space="preserve"> μM of Pi. </w:t>
      </w:r>
      <w:r w:rsidR="008C0317">
        <w:rPr>
          <w:b w:val="0"/>
        </w:rPr>
        <w:t>Mycelial g</w:t>
      </w:r>
      <w:r w:rsidRPr="00635993">
        <w:rPr>
          <w:b w:val="0"/>
        </w:rPr>
        <w:t>rowth took place over 72 days.</w:t>
      </w:r>
    </w:p>
    <w:p w14:paraId="64CEA944" w14:textId="6FE58629" w:rsidR="000D7D3D" w:rsidRPr="00B46FB7" w:rsidRDefault="000D7D3D" w:rsidP="00635993">
      <w:pPr>
        <w:pStyle w:val="Subtitle"/>
        <w:pBdr>
          <w:top w:val="single" w:sz="4" w:space="1" w:color="auto"/>
        </w:pBdr>
      </w:pPr>
      <w:r w:rsidRPr="000D7D3D">
        <w:br w:type="page"/>
      </w:r>
    </w:p>
    <w:p w14:paraId="67408ABD" w14:textId="77777777" w:rsidR="000D7D3D" w:rsidRPr="000D7D3D" w:rsidRDefault="000D7D3D">
      <w:r w:rsidRPr="000D7D3D">
        <w:rPr>
          <w:noProof/>
          <w:lang w:eastAsia="en-GB"/>
        </w:rPr>
        <w:lastRenderedPageBreak/>
        <w:drawing>
          <wp:inline distT="0" distB="0" distL="0" distR="0" wp14:anchorId="2E0A3D1F" wp14:editId="59D7A51A">
            <wp:extent cx="5943600" cy="29800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23940" name="Fig 3 Dry mass Pax 13 Muller_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2980055"/>
                    </a:xfrm>
                    <a:prstGeom prst="rect">
                      <a:avLst/>
                    </a:prstGeom>
                  </pic:spPr>
                </pic:pic>
              </a:graphicData>
            </a:graphic>
          </wp:inline>
        </w:drawing>
      </w:r>
    </w:p>
    <w:p w14:paraId="32176A39" w14:textId="3361D4D5" w:rsidR="000D7D3D" w:rsidRPr="00833ACB" w:rsidRDefault="000D7D3D" w:rsidP="00635993">
      <w:pPr>
        <w:pStyle w:val="Subtitle"/>
        <w:pBdr>
          <w:top w:val="single" w:sz="4" w:space="1" w:color="auto"/>
        </w:pBdr>
      </w:pPr>
      <w:r w:rsidRPr="000D7D3D">
        <w:t xml:space="preserve">Figure 2.3 </w:t>
      </w:r>
      <w:r w:rsidRPr="00635993">
        <w:rPr>
          <w:b w:val="0"/>
        </w:rPr>
        <w:t xml:space="preserve">Fungal dry mass of </w:t>
      </w:r>
      <w:r w:rsidRPr="00635993">
        <w:rPr>
          <w:b w:val="0"/>
          <w:i/>
        </w:rPr>
        <w:t>P. involutus 13</w:t>
      </w:r>
      <w:r w:rsidRPr="00635993">
        <w:rPr>
          <w:b w:val="0"/>
        </w:rPr>
        <w:t xml:space="preserve"> obtained during growth on M-MMN Pi-varying media for 72 days.</w:t>
      </w:r>
      <w:r w:rsidRPr="000D7D3D">
        <w:t xml:space="preserve"> </w:t>
      </w:r>
      <w:r w:rsidRPr="00635993">
        <w:rPr>
          <w:b w:val="0"/>
        </w:rPr>
        <w:t xml:space="preserve">Error bars represent standard error of the mean of three biological replicates. </w:t>
      </w:r>
      <w:r w:rsidRPr="00635993">
        <w:rPr>
          <w:b w:val="0"/>
          <w:i/>
        </w:rPr>
        <w:t>p:</w:t>
      </w:r>
      <w:r w:rsidRPr="00635993">
        <w:rPr>
          <w:b w:val="0"/>
        </w:rPr>
        <w:t xml:space="preserve"> </w:t>
      </w:r>
      <w:r w:rsidRPr="00635993">
        <w:rPr>
          <w:b w:val="0"/>
          <w:i/>
        </w:rPr>
        <w:t>p</w:t>
      </w:r>
      <w:r w:rsidRPr="00635993">
        <w:rPr>
          <w:b w:val="0"/>
        </w:rPr>
        <w:t xml:space="preserve">-value of regression between Pi concentration and </w:t>
      </w:r>
      <w:r w:rsidRPr="00635993">
        <w:rPr>
          <w:b w:val="0"/>
          <w:i/>
        </w:rPr>
        <w:t xml:space="preserve">P. involutus </w:t>
      </w:r>
      <w:r w:rsidRPr="00635993">
        <w:rPr>
          <w:b w:val="0"/>
        </w:rPr>
        <w:t>dry mass; R</w:t>
      </w:r>
      <w:r w:rsidRPr="00635993">
        <w:rPr>
          <w:b w:val="0"/>
          <w:vertAlign w:val="superscript"/>
        </w:rPr>
        <w:t>2</w:t>
      </w:r>
      <w:r w:rsidRPr="00635993">
        <w:rPr>
          <w:b w:val="0"/>
        </w:rPr>
        <w:t xml:space="preserve">: coefficient of determination between Pi concentration and </w:t>
      </w:r>
      <w:r w:rsidRPr="00635993">
        <w:rPr>
          <w:b w:val="0"/>
          <w:i/>
        </w:rPr>
        <w:t xml:space="preserve">P. involutus </w:t>
      </w:r>
      <w:r w:rsidRPr="00635993">
        <w:rPr>
          <w:b w:val="0"/>
        </w:rPr>
        <w:t>dry mass.</w:t>
      </w:r>
    </w:p>
    <w:p w14:paraId="4752E652" w14:textId="77777777" w:rsidR="000D7D3D" w:rsidRPr="000D7D3D" w:rsidRDefault="000D7D3D">
      <w:r w:rsidRPr="000D7D3D">
        <w:br w:type="page"/>
      </w:r>
    </w:p>
    <w:p w14:paraId="525ABAEB" w14:textId="2607E570" w:rsidR="000D7D3D" w:rsidRPr="000D7D3D" w:rsidRDefault="000D7D3D" w:rsidP="00635993">
      <w:pPr>
        <w:pStyle w:val="Heading2"/>
      </w:pPr>
      <w:bookmarkStart w:id="129" w:name="_Toc507603983"/>
      <w:bookmarkStart w:id="130" w:name="_Toc507604250"/>
      <w:bookmarkStart w:id="131" w:name="_Toc519016967"/>
      <w:bookmarkStart w:id="132" w:name="_Toc520837865"/>
      <w:r w:rsidRPr="000D7D3D">
        <w:lastRenderedPageBreak/>
        <w:t xml:space="preserve">2.3.3 Growth and morphology responses of two additional strains of </w:t>
      </w:r>
      <w:r w:rsidRPr="000D7D3D">
        <w:rPr>
          <w:i/>
        </w:rPr>
        <w:t>P. involutus</w:t>
      </w:r>
      <w:r w:rsidRPr="000D7D3D">
        <w:t xml:space="preserve"> </w:t>
      </w:r>
      <w:r w:rsidR="00D4743E">
        <w:t xml:space="preserve">on </w:t>
      </w:r>
      <w:r w:rsidRPr="000D7D3D">
        <w:t xml:space="preserve">M-MMN </w:t>
      </w:r>
      <w:r w:rsidR="00D4743E">
        <w:t xml:space="preserve">medium with </w:t>
      </w:r>
      <w:r w:rsidRPr="000D7D3D">
        <w:t xml:space="preserve">varying </w:t>
      </w:r>
      <w:r w:rsidR="00D4743E" w:rsidRPr="000D7D3D">
        <w:t>Pi</w:t>
      </w:r>
      <w:bookmarkEnd w:id="129"/>
      <w:bookmarkEnd w:id="130"/>
      <w:bookmarkEnd w:id="131"/>
      <w:bookmarkEnd w:id="132"/>
      <w:r w:rsidR="00D4743E" w:rsidRPr="000D7D3D">
        <w:t xml:space="preserve"> </w:t>
      </w:r>
    </w:p>
    <w:p w14:paraId="7DC1AF1F" w14:textId="0C980923" w:rsidR="000D7D3D" w:rsidRPr="000D7D3D" w:rsidRDefault="000D7D3D" w:rsidP="00635993">
      <w:r w:rsidRPr="000D7D3D">
        <w:t xml:space="preserve">The growth and morphology of two additional strains of </w:t>
      </w:r>
      <w:r w:rsidRPr="000D7D3D">
        <w:rPr>
          <w:i/>
        </w:rPr>
        <w:t xml:space="preserve">P. involutus </w:t>
      </w:r>
      <w:r w:rsidRPr="000D7D3D">
        <w:t>were examined on M-MMN media</w:t>
      </w:r>
      <w:r w:rsidR="00D4743E">
        <w:t xml:space="preserve"> with varying Pi</w:t>
      </w:r>
      <w:r w:rsidR="00310E2B">
        <w:t xml:space="preserve"> concentrations</w:t>
      </w:r>
      <w:r w:rsidRPr="000D7D3D">
        <w:t xml:space="preserve">. In Figure 2.4, the mycelial colonies and hyphal morphology for </w:t>
      </w:r>
      <w:r w:rsidRPr="000D7D3D">
        <w:rPr>
          <w:i/>
        </w:rPr>
        <w:t xml:space="preserve">P. involutus ATCC 200175 </w:t>
      </w:r>
      <w:r w:rsidRPr="000D7D3D">
        <w:t xml:space="preserve">and </w:t>
      </w:r>
      <w:r w:rsidRPr="000D7D3D">
        <w:rPr>
          <w:i/>
        </w:rPr>
        <w:t xml:space="preserve">P. involutus DJR1 </w:t>
      </w:r>
      <w:r w:rsidRPr="000D7D3D">
        <w:t xml:space="preserve">are </w:t>
      </w:r>
      <w:r w:rsidR="0055241F">
        <w:t>shown</w:t>
      </w:r>
      <w:r w:rsidRPr="000D7D3D">
        <w:t xml:space="preserve"> at each Pi concentration.</w:t>
      </w:r>
    </w:p>
    <w:p w14:paraId="0A682BBB" w14:textId="16089794" w:rsidR="000D7D3D" w:rsidRPr="000D7D3D" w:rsidRDefault="000D7D3D" w:rsidP="003F7054">
      <w:pPr>
        <w:ind w:firstLine="720"/>
      </w:pPr>
      <w:r w:rsidRPr="000D7D3D">
        <w:t>In particular,</w:t>
      </w:r>
      <w:r w:rsidRPr="000D7D3D">
        <w:rPr>
          <w:i/>
        </w:rPr>
        <w:t xml:space="preserve"> </w:t>
      </w:r>
      <w:r w:rsidRPr="000D7D3D">
        <w:t>the</w:t>
      </w:r>
      <w:r w:rsidRPr="000D7D3D">
        <w:rPr>
          <w:i/>
        </w:rPr>
        <w:t xml:space="preserve"> </w:t>
      </w:r>
      <w:r w:rsidRPr="000D7D3D">
        <w:t>mycelium</w:t>
      </w:r>
      <w:r w:rsidRPr="000D7D3D">
        <w:rPr>
          <w:i/>
        </w:rPr>
        <w:t xml:space="preserve"> </w:t>
      </w:r>
      <w:r w:rsidRPr="000D7D3D">
        <w:t xml:space="preserve">of </w:t>
      </w:r>
      <w:r w:rsidRPr="000D7D3D">
        <w:rPr>
          <w:i/>
        </w:rPr>
        <w:t>P. involutus ATCC 200175</w:t>
      </w:r>
      <w:r w:rsidRPr="000D7D3D">
        <w:t xml:space="preserve">, at the two highest Pi concentrations of 3,670 and 367 μM, exhibited an almost smooth texture with a yellowish and light brown colour with diffuse borders and dense hyphae. At the intermediate Pi concentration of 36.7 μM, </w:t>
      </w:r>
      <w:r w:rsidRPr="000D7D3D">
        <w:rPr>
          <w:i/>
        </w:rPr>
        <w:t>P. involutus ATCC 200175</w:t>
      </w:r>
      <w:r w:rsidRPr="000D7D3D">
        <w:t xml:space="preserve"> mycelium had the same morphology as </w:t>
      </w:r>
      <w:r w:rsidR="006844A1">
        <w:t xml:space="preserve">above </w:t>
      </w:r>
      <w:r w:rsidRPr="000D7D3D">
        <w:t xml:space="preserve">but with a smooth texture and less dense hyphae. Similarly, the morphology of the </w:t>
      </w:r>
      <w:r w:rsidRPr="000D7D3D">
        <w:rPr>
          <w:i/>
        </w:rPr>
        <w:t>P. involutus ATCC 200175</w:t>
      </w:r>
      <w:r w:rsidRPr="000D7D3D">
        <w:t xml:space="preserve"> mycelium featured the same characteristics as described for the low Pi concentrations ranging from 3.67 to 0.15 μM and even less dense hyphae than with the previous Pi concentrations.</w:t>
      </w:r>
    </w:p>
    <w:p w14:paraId="596254F6" w14:textId="68364663" w:rsidR="000D7D3D" w:rsidRPr="000D7D3D" w:rsidRDefault="000D7D3D" w:rsidP="007F746A">
      <w:pPr>
        <w:ind w:firstLine="720"/>
      </w:pPr>
      <w:r w:rsidRPr="000D7D3D">
        <w:t>The</w:t>
      </w:r>
      <w:r w:rsidRPr="000D7D3D">
        <w:rPr>
          <w:i/>
        </w:rPr>
        <w:t xml:space="preserve"> </w:t>
      </w:r>
      <w:r w:rsidRPr="000D7D3D">
        <w:t>mycelium</w:t>
      </w:r>
      <w:r w:rsidRPr="000D7D3D">
        <w:rPr>
          <w:i/>
        </w:rPr>
        <w:t xml:space="preserve"> </w:t>
      </w:r>
      <w:r w:rsidRPr="000D7D3D">
        <w:t xml:space="preserve">of </w:t>
      </w:r>
      <w:r w:rsidRPr="000D7D3D">
        <w:rPr>
          <w:i/>
        </w:rPr>
        <w:t>P. involutus DJR1</w:t>
      </w:r>
      <w:r w:rsidRPr="000D7D3D">
        <w:t xml:space="preserve">, at the two highest Pi concentrations of 3,670 and 367 μM, exhibited a smooth texture with a yellowish, light brown and red colour as well as diffuse borders and dense hyphae also in addition to the formation of </w:t>
      </w:r>
      <w:r w:rsidRPr="000D7D3D">
        <w:rPr>
          <w:rFonts w:cs="Arial"/>
        </w:rPr>
        <w:t xml:space="preserve">sclerotia, </w:t>
      </w:r>
      <w:r w:rsidRPr="000D7D3D">
        <w:rPr>
          <w:rFonts w:cs="Arial"/>
          <w:spacing w:val="-3"/>
          <w:shd w:val="clear" w:color="auto" w:fill="FFFFFF"/>
        </w:rPr>
        <w:t>a vegetative resting body of a fungus composed of a compact mass of hyphae</w:t>
      </w:r>
      <w:r w:rsidRPr="000D7D3D">
        <w:t xml:space="preserve">. At the intermediate Pi concentration of 36.7 μM, </w:t>
      </w:r>
      <w:r w:rsidRPr="000D7D3D">
        <w:rPr>
          <w:i/>
        </w:rPr>
        <w:t>P. involutus DJR1</w:t>
      </w:r>
      <w:r w:rsidRPr="000D7D3D">
        <w:t xml:space="preserve"> mycelium showed the same morphology as </w:t>
      </w:r>
      <w:r w:rsidR="006844A1">
        <w:t xml:space="preserve">above </w:t>
      </w:r>
      <w:r w:rsidRPr="000D7D3D">
        <w:t>but with less dense hyphae and without any sclerotia formation. Last</w:t>
      </w:r>
      <w:r w:rsidR="00C827ED">
        <w:t>ly</w:t>
      </w:r>
      <w:r w:rsidRPr="000D7D3D">
        <w:t xml:space="preserve">, at the low Pi concentrations ranging from 3.67 to 0.15 μM, the morphology of the </w:t>
      </w:r>
      <w:r w:rsidRPr="000D7D3D">
        <w:rPr>
          <w:i/>
        </w:rPr>
        <w:t>P. involutus DJR1</w:t>
      </w:r>
      <w:r w:rsidRPr="000D7D3D">
        <w:t xml:space="preserve"> mycelium was similar to what has already been mentioned but without any red colour and with even less dense hyphae.</w:t>
      </w:r>
    </w:p>
    <w:p w14:paraId="52017558" w14:textId="33ADC4DB" w:rsidR="000D7D3D" w:rsidRPr="000D7D3D" w:rsidRDefault="000D7D3D" w:rsidP="002B13CF">
      <w:pPr>
        <w:ind w:firstLine="720"/>
      </w:pPr>
      <w:r w:rsidRPr="000D7D3D">
        <w:t xml:space="preserve">Measurements of the dry mass for both strains were obtained after 60 days of growth in the Pi-varying M-MMN media (Figure 2.5). </w:t>
      </w:r>
      <w:r w:rsidR="006844A1">
        <w:t>S</w:t>
      </w:r>
      <w:r w:rsidRPr="000D7D3D">
        <w:t xml:space="preserve">tatistical analysis of each </w:t>
      </w:r>
      <w:r w:rsidRPr="000D7D3D">
        <w:rPr>
          <w:i/>
        </w:rPr>
        <w:t>P. involutus</w:t>
      </w:r>
      <w:r w:rsidRPr="000D7D3D">
        <w:t xml:space="preserve"> strain showed that both strains exhibited a similar response to increasing concentrations of Pi. However, direct comparison of fungal dry mass between the two strains confirmed that </w:t>
      </w:r>
      <w:r w:rsidR="00A262BA" w:rsidRPr="000D7D3D">
        <w:rPr>
          <w:i/>
        </w:rPr>
        <w:t>P. involutus</w:t>
      </w:r>
      <w:r w:rsidR="00A262BA" w:rsidRPr="000D7D3D">
        <w:t xml:space="preserve"> </w:t>
      </w:r>
      <w:r w:rsidRPr="00A262BA">
        <w:rPr>
          <w:i/>
        </w:rPr>
        <w:t>DJR</w:t>
      </w:r>
      <w:r w:rsidR="00A262BA">
        <w:rPr>
          <w:i/>
        </w:rPr>
        <w:t>1</w:t>
      </w:r>
      <w:r w:rsidRPr="000D7D3D">
        <w:t xml:space="preserve"> had a </w:t>
      </w:r>
      <w:r w:rsidR="00261F0B">
        <w:t>statistically significant</w:t>
      </w:r>
      <w:r w:rsidRPr="000D7D3D">
        <w:t xml:space="preserve"> larger dry mass at most Pi co</w:t>
      </w:r>
      <w:r w:rsidR="00FF12AA">
        <w:t>ncentrations</w:t>
      </w:r>
      <w:r w:rsidRPr="000D7D3D">
        <w:t>, which is indicative of increased growth rate.</w:t>
      </w:r>
      <w:r w:rsidRPr="000D7D3D">
        <w:br w:type="page"/>
      </w:r>
    </w:p>
    <w:p w14:paraId="1CFF9453" w14:textId="77777777" w:rsidR="000D7D3D" w:rsidRPr="000D7D3D" w:rsidRDefault="000D7D3D" w:rsidP="00FB36B8">
      <w:r w:rsidRPr="000D7D3D">
        <w:rPr>
          <w:noProof/>
          <w:lang w:eastAsia="en-GB"/>
        </w:rPr>
        <w:lastRenderedPageBreak/>
        <w:drawing>
          <wp:inline distT="0" distB="0" distL="0" distR="0" wp14:anchorId="40E5C44A" wp14:editId="49A82FA9">
            <wp:extent cx="5593977" cy="6705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2.4++.png"/>
                    <pic:cNvPicPr/>
                  </pic:nvPicPr>
                  <pic:blipFill>
                    <a:blip r:embed="rId16">
                      <a:extLst>
                        <a:ext uri="{28A0092B-C50C-407E-A947-70E740481C1C}">
                          <a14:useLocalDpi xmlns:a14="http://schemas.microsoft.com/office/drawing/2010/main" val="0"/>
                        </a:ext>
                      </a:extLst>
                    </a:blip>
                    <a:stretch>
                      <a:fillRect/>
                    </a:stretch>
                  </pic:blipFill>
                  <pic:spPr>
                    <a:xfrm>
                      <a:off x="0" y="0"/>
                      <a:ext cx="5605309" cy="6719183"/>
                    </a:xfrm>
                    <a:prstGeom prst="rect">
                      <a:avLst/>
                    </a:prstGeom>
                  </pic:spPr>
                </pic:pic>
              </a:graphicData>
            </a:graphic>
          </wp:inline>
        </w:drawing>
      </w:r>
    </w:p>
    <w:p w14:paraId="526C56A8" w14:textId="130A9302" w:rsidR="00467F64" w:rsidRDefault="000D7D3D" w:rsidP="00635993">
      <w:pPr>
        <w:pStyle w:val="Subtitle"/>
        <w:pBdr>
          <w:top w:val="single" w:sz="4" w:space="1" w:color="auto"/>
        </w:pBdr>
        <w:rPr>
          <w:b w:val="0"/>
        </w:rPr>
      </w:pPr>
      <w:r w:rsidRPr="000D7D3D">
        <w:t xml:space="preserve">Figure 2.4 </w:t>
      </w:r>
      <w:r w:rsidRPr="00635993">
        <w:rPr>
          <w:b w:val="0"/>
        </w:rPr>
        <w:t xml:space="preserve">Morphology of </w:t>
      </w:r>
      <w:r w:rsidRPr="00635993">
        <w:rPr>
          <w:b w:val="0"/>
          <w:i/>
        </w:rPr>
        <w:t>P. involutus ATCC 200175 and</w:t>
      </w:r>
      <w:r w:rsidRPr="00635993">
        <w:rPr>
          <w:b w:val="0"/>
        </w:rPr>
        <w:t xml:space="preserve"> </w:t>
      </w:r>
      <w:r w:rsidRPr="00635993">
        <w:rPr>
          <w:b w:val="0"/>
          <w:i/>
        </w:rPr>
        <w:t xml:space="preserve">P. involutus DJR1 </w:t>
      </w:r>
      <w:r w:rsidRPr="00635993">
        <w:rPr>
          <w:b w:val="0"/>
        </w:rPr>
        <w:t xml:space="preserve">hyphae growing on Pi-varying M-MMN media. Pi concentrations ranged from 3,670 μM to 0.15 μM. </w:t>
      </w:r>
      <w:r w:rsidR="00310E2B">
        <w:rPr>
          <w:b w:val="0"/>
        </w:rPr>
        <w:t>Mycelial g</w:t>
      </w:r>
      <w:r w:rsidRPr="00635993">
        <w:rPr>
          <w:b w:val="0"/>
        </w:rPr>
        <w:t>rowth took</w:t>
      </w:r>
      <w:r w:rsidR="00310E2B">
        <w:rPr>
          <w:b w:val="0"/>
        </w:rPr>
        <w:t xml:space="preserve"> place over 60 days. Scale bars-</w:t>
      </w:r>
      <w:r w:rsidRPr="00635993">
        <w:rPr>
          <w:b w:val="0"/>
        </w:rPr>
        <w:t>1 mm.</w:t>
      </w:r>
    </w:p>
    <w:p w14:paraId="13EA0873" w14:textId="21454446" w:rsidR="000D7D3D" w:rsidRPr="000D7D3D" w:rsidRDefault="000D7D3D" w:rsidP="00635993">
      <w:pPr>
        <w:pStyle w:val="Subtitle"/>
        <w:pBdr>
          <w:top w:val="single" w:sz="4" w:space="1" w:color="auto"/>
        </w:pBdr>
      </w:pPr>
      <w:r w:rsidRPr="000D7D3D">
        <w:br w:type="page"/>
      </w:r>
    </w:p>
    <w:p w14:paraId="1452E485" w14:textId="77777777" w:rsidR="000D7D3D" w:rsidRPr="000D7D3D" w:rsidRDefault="000D7D3D">
      <w:r w:rsidRPr="000D7D3D">
        <w:rPr>
          <w:noProof/>
          <w:lang w:eastAsia="en-GB"/>
        </w:rPr>
        <w:lastRenderedPageBreak/>
        <w:drawing>
          <wp:inline distT="0" distB="0" distL="0" distR="0" wp14:anchorId="54394BFF" wp14:editId="35255B2A">
            <wp:extent cx="5943600" cy="28009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06176" name="Fig 2.5_new.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800985"/>
                    </a:xfrm>
                    <a:prstGeom prst="rect">
                      <a:avLst/>
                    </a:prstGeom>
                  </pic:spPr>
                </pic:pic>
              </a:graphicData>
            </a:graphic>
          </wp:inline>
        </w:drawing>
      </w:r>
    </w:p>
    <w:p w14:paraId="79F39934" w14:textId="77777777" w:rsidR="009F3FEF" w:rsidRDefault="000D7D3D" w:rsidP="00635993">
      <w:pPr>
        <w:pStyle w:val="Subtitle"/>
        <w:pBdr>
          <w:top w:val="single" w:sz="4" w:space="1" w:color="auto"/>
        </w:pBdr>
        <w:rPr>
          <w:b w:val="0"/>
        </w:rPr>
      </w:pPr>
      <w:r w:rsidRPr="000D7D3D">
        <w:t xml:space="preserve">Figure 2.5. </w:t>
      </w:r>
      <w:r w:rsidR="00310E2B">
        <w:rPr>
          <w:b w:val="0"/>
        </w:rPr>
        <w:t>Fungal dry mass of</w:t>
      </w:r>
      <w:r w:rsidRPr="00635993">
        <w:rPr>
          <w:b w:val="0"/>
        </w:rPr>
        <w:t xml:space="preserve"> </w:t>
      </w:r>
      <w:r w:rsidRPr="00635993">
        <w:rPr>
          <w:b w:val="0"/>
          <w:i/>
        </w:rPr>
        <w:t>P. involutus ATCC 200175</w:t>
      </w:r>
      <w:r w:rsidR="00310E2B">
        <w:rPr>
          <w:b w:val="0"/>
        </w:rPr>
        <w:t xml:space="preserve"> and </w:t>
      </w:r>
      <w:r w:rsidRPr="00635993">
        <w:rPr>
          <w:b w:val="0"/>
          <w:i/>
        </w:rPr>
        <w:t xml:space="preserve">P. involutus DJR1 </w:t>
      </w:r>
      <w:r w:rsidRPr="00635993">
        <w:rPr>
          <w:b w:val="0"/>
        </w:rPr>
        <w:t xml:space="preserve">obtained during growth on M-MMN Pi-varying media for 60 days. Statistically significant differences in fungal dry mass at different Pi concentrations for each </w:t>
      </w:r>
      <w:r w:rsidRPr="00635993">
        <w:rPr>
          <w:b w:val="0"/>
          <w:i/>
        </w:rPr>
        <w:t>P. involutus</w:t>
      </w:r>
      <w:r w:rsidRPr="00635993">
        <w:rPr>
          <w:b w:val="0"/>
        </w:rPr>
        <w:t xml:space="preserve"> strain were assessed independently by one-way ANOVA followed by Tukey’s post-hoc for multiple comparisons (letters, </w:t>
      </w:r>
      <w:r w:rsidRPr="00635993">
        <w:rPr>
          <w:b w:val="0"/>
          <w:i/>
        </w:rPr>
        <w:t>α</w:t>
      </w:r>
      <w:r w:rsidRPr="00635993">
        <w:rPr>
          <w:b w:val="0"/>
        </w:rPr>
        <w:t xml:space="preserve">=0.05). Statistically significant differences in fungal dry mass between </w:t>
      </w:r>
      <w:r w:rsidRPr="00635993">
        <w:rPr>
          <w:b w:val="0"/>
          <w:i/>
        </w:rPr>
        <w:t>P. involutus</w:t>
      </w:r>
      <w:r w:rsidRPr="00635993">
        <w:rPr>
          <w:b w:val="0"/>
        </w:rPr>
        <w:t xml:space="preserve"> strains at each Pi concentration (asterisks) were assessed by Student’s t-test in pairwise comparisons (</w:t>
      </w:r>
      <w:r w:rsidRPr="00635993">
        <w:rPr>
          <w:b w:val="0"/>
          <w:i/>
        </w:rPr>
        <w:t>α</w:t>
      </w:r>
      <w:r w:rsidRPr="00635993">
        <w:rPr>
          <w:b w:val="0"/>
        </w:rPr>
        <w:t>=0.05).</w:t>
      </w:r>
    </w:p>
    <w:p w14:paraId="10F8C28F" w14:textId="11494798" w:rsidR="000D7D3D" w:rsidRPr="000D7D3D" w:rsidRDefault="000D7D3D" w:rsidP="00635993">
      <w:pPr>
        <w:pStyle w:val="Subtitle"/>
        <w:pBdr>
          <w:top w:val="single" w:sz="4" w:space="1" w:color="auto"/>
        </w:pBdr>
      </w:pPr>
      <w:r w:rsidRPr="000D7D3D">
        <w:br w:type="page"/>
      </w:r>
    </w:p>
    <w:p w14:paraId="324CABC3" w14:textId="762C63C5" w:rsidR="000D7D3D" w:rsidRPr="000D7D3D" w:rsidRDefault="000D7D3D" w:rsidP="00635993">
      <w:pPr>
        <w:pStyle w:val="Heading2"/>
      </w:pPr>
      <w:bookmarkStart w:id="133" w:name="_Toc507603984"/>
      <w:bookmarkStart w:id="134" w:name="_Toc507604251"/>
      <w:bookmarkStart w:id="135" w:name="_Toc519016968"/>
      <w:bookmarkStart w:id="136" w:name="_Toc520837866"/>
      <w:r w:rsidRPr="000D7D3D">
        <w:lastRenderedPageBreak/>
        <w:t xml:space="preserve">2.3.4 Pi content of </w:t>
      </w:r>
      <w:r w:rsidRPr="000D7D3D">
        <w:rPr>
          <w:i/>
        </w:rPr>
        <w:t>P. involutus</w:t>
      </w:r>
      <w:r w:rsidRPr="000D7D3D">
        <w:t xml:space="preserve"> fungal hyphae </w:t>
      </w:r>
      <w:r w:rsidR="002B2323">
        <w:t xml:space="preserve">grown on </w:t>
      </w:r>
      <w:r w:rsidRPr="000D7D3D">
        <w:t xml:space="preserve">M-MMN </w:t>
      </w:r>
      <w:r w:rsidR="002B2323">
        <w:t xml:space="preserve">media with varying </w:t>
      </w:r>
      <w:r w:rsidRPr="000D7D3D">
        <w:t>Pi</w:t>
      </w:r>
      <w:bookmarkEnd w:id="133"/>
      <w:bookmarkEnd w:id="134"/>
      <w:bookmarkEnd w:id="135"/>
      <w:bookmarkEnd w:id="136"/>
    </w:p>
    <w:p w14:paraId="42661A14" w14:textId="41E10CAF" w:rsidR="000D7D3D" w:rsidRPr="000D7D3D" w:rsidRDefault="000D7D3D" w:rsidP="003F7054">
      <w:r w:rsidRPr="000D7D3D">
        <w:t xml:space="preserve">M-MMN Pi-varying media </w:t>
      </w:r>
      <w:r w:rsidR="00E76E9B">
        <w:t xml:space="preserve">was selected </w:t>
      </w:r>
      <w:r w:rsidRPr="000D7D3D">
        <w:t xml:space="preserve">as the most appropriate </w:t>
      </w:r>
      <w:r w:rsidR="00E76E9B">
        <w:t xml:space="preserve">system </w:t>
      </w:r>
      <w:r w:rsidRPr="000D7D3D">
        <w:t>to use for Pi-related studies</w:t>
      </w:r>
      <w:r w:rsidR="00E76E9B">
        <w:t>.</w:t>
      </w:r>
      <w:r w:rsidRPr="000D7D3D">
        <w:t xml:space="preserve"> </w:t>
      </w:r>
      <w:r w:rsidR="00E76E9B">
        <w:t xml:space="preserve">The </w:t>
      </w:r>
      <w:r w:rsidRPr="000D7D3D">
        <w:rPr>
          <w:i/>
        </w:rPr>
        <w:t>P. involutus ATCC 200175</w:t>
      </w:r>
      <w:r w:rsidRPr="000D7D3D">
        <w:t xml:space="preserve"> strain </w:t>
      </w:r>
      <w:r w:rsidR="00E76E9B">
        <w:t xml:space="preserve">was chosen as its </w:t>
      </w:r>
      <w:r w:rsidRPr="000D7D3D">
        <w:t>genom</w:t>
      </w:r>
      <w:r w:rsidR="00102FEE">
        <w:t>e has been</w:t>
      </w:r>
      <w:r w:rsidRPr="000D7D3D">
        <w:t xml:space="preserve"> sequenc</w:t>
      </w:r>
      <w:r w:rsidR="00102FEE">
        <w:t>ed</w:t>
      </w:r>
      <w:r w:rsidRPr="000D7D3D">
        <w:t xml:space="preserve"> </w:t>
      </w:r>
      <w:r w:rsidRPr="000D7D3D">
        <w:fldChar w:fldCharType="begin" w:fldLock="1"/>
      </w:r>
      <w:r w:rsidR="00EE33AB">
        <w:instrText>ADDIN CSL_CITATION {"citationItems":[{"id":"ITEM-1","itemData":{"ISSN":"1087-1845","PMID":"12135579","abstract":"The basidiomycete Paxillus involutus is forming ectomycorrhizal symbiosis with a broad range of forest trees. Reassociation kinetics on P. involutus nuclear DNA indicated a haploid genome size of 23 Mb including 11% of repetitive DNA. A similar genome size (20 Mb) was estimated by genomic reconstruction analysis using three single copy genes. To assess the gene density in the P. involutus genome, a cosmid containing a 33-kb fragment of genomic DNA was sequenced and used to identify putative open reading frames (ORFs). Twelve potential ORFs were predicted, eight displayed significant sequence similarities to known proteins found in other organisms and notably, several homologues to the Podospora anserina vegetative incompatibility protein (HetE1) were found. By extrapolation, we estimate the total number of genes in the P. involutus haploid genome to approximately 7700.","author":[{"dropping-particle":"","family":"Quéré","given":"Antoine","non-dropping-particle":"Le","parse-names":false,"suffix":""},{"dropping-particle":"","family":"Johansson","given":"Tomas","non-dropping-particle":"","parse-names":false,"suffix":""},{"dropping-particle":"","family":"Tunlid","given":"Anders","non-dropping-particle":"","parse-names":false,"suffix":""}],"container-title":"Fungal genetics and biology : FG &amp; B","id":"ITEM-1","issue":"3","issued":{"date-parts":[["2002","8"]]},"page":"234-41","title":"Size and complexity of the nuclear genome of the ectomycorrhizal fungus Paxillus involutus.","type":"article-journal","volume":"36"},"uris":["http://www.mendeley.com/documents/?uuid=a314b606-44d5-40fa-896c-4a9b1f8a0742"]}],"mendeley":{"formattedCitation":"(Le Quéré et al., 2002)","plainTextFormattedCitation":"(Le Quéré et al., 2002)","previouslyFormattedCitation":"(Le Quéré et al., 2002)"},"properties":{"noteIndex":0},"schema":"https://github.com/citation-style-language/schema/raw/master/csl-citation.json"}</w:instrText>
      </w:r>
      <w:r w:rsidRPr="000D7D3D">
        <w:fldChar w:fldCharType="separate"/>
      </w:r>
      <w:r w:rsidRPr="000D7D3D">
        <w:rPr>
          <w:noProof/>
        </w:rPr>
        <w:t>(Le Quéré et al., 2002)</w:t>
      </w:r>
      <w:r w:rsidRPr="000D7D3D">
        <w:fldChar w:fldCharType="end"/>
      </w:r>
      <w:r w:rsidRPr="000D7D3D">
        <w:t>.</w:t>
      </w:r>
    </w:p>
    <w:p w14:paraId="62033A9E" w14:textId="03BE802B" w:rsidR="000D7D3D" w:rsidRPr="00FF12AA" w:rsidRDefault="000D7D3D" w:rsidP="007F746A">
      <w:pPr>
        <w:ind w:firstLine="720"/>
      </w:pPr>
      <w:r w:rsidRPr="000D7D3D">
        <w:t xml:space="preserve">The Pi content was measured within the hyphae of </w:t>
      </w:r>
      <w:r w:rsidRPr="000D7D3D">
        <w:rPr>
          <w:i/>
        </w:rPr>
        <w:t xml:space="preserve">P. involutus ATCC 200175 </w:t>
      </w:r>
      <w:r w:rsidRPr="000D7D3D">
        <w:t xml:space="preserve">for both the NS and S conditions (Figure 2.6B). </w:t>
      </w:r>
      <w:r w:rsidR="00102FEE">
        <w:t>S</w:t>
      </w:r>
      <w:r w:rsidRPr="000D7D3D">
        <w:t>tatistical analysis demonstrated that the Pi content of fungal hyphae under NS conditions increased in response to rising Pi concentrations of the M-MMN</w:t>
      </w:r>
      <w:r w:rsidRPr="000D7D3D">
        <w:rPr>
          <w:vertAlign w:val="subscript"/>
        </w:rPr>
        <w:t>NS</w:t>
      </w:r>
      <w:r w:rsidRPr="000D7D3D">
        <w:t xml:space="preserve"> Pi-varying media, while there was no change in hyphal Pi content growing on the M-MMN</w:t>
      </w:r>
      <w:r w:rsidRPr="000D7D3D">
        <w:rPr>
          <w:vertAlign w:val="subscript"/>
        </w:rPr>
        <w:t>S</w:t>
      </w:r>
      <w:r w:rsidRPr="000D7D3D">
        <w:t xml:space="preserve"> Pi-varying media. Additionally, there were no statistically significant differences in the hyphal Pi content between the NS and S conditions for a</w:t>
      </w:r>
      <w:r w:rsidR="00FF12AA">
        <w:t>ll the Pi concentrations tested</w:t>
      </w:r>
      <w:r w:rsidR="00FF12AA" w:rsidRPr="00FF12AA">
        <w:t>.</w:t>
      </w:r>
    </w:p>
    <w:p w14:paraId="30ECB8EF" w14:textId="4E69CE7C" w:rsidR="000D7D3D" w:rsidRPr="000D7D3D" w:rsidRDefault="00102FEE" w:rsidP="00FB36B8">
      <w:pPr>
        <w:ind w:firstLine="720"/>
      </w:pPr>
      <w:r w:rsidRPr="00957508">
        <w:rPr>
          <w:i/>
        </w:rPr>
        <w:t>P</w:t>
      </w:r>
      <w:r w:rsidR="00A44814" w:rsidRPr="00957508">
        <w:rPr>
          <w:i/>
        </w:rPr>
        <w:t>. sylvestris</w:t>
      </w:r>
      <w:r w:rsidR="00A44814">
        <w:t xml:space="preserve"> </w:t>
      </w:r>
      <w:r w:rsidR="00957508">
        <w:t>needle</w:t>
      </w:r>
      <w:r w:rsidR="000D7D3D" w:rsidRPr="000D7D3D">
        <w:t xml:space="preserve"> and root Pi content were also assessed during growth on M-MMN</w:t>
      </w:r>
      <w:r w:rsidR="000D7D3D" w:rsidRPr="000D7D3D">
        <w:rPr>
          <w:vertAlign w:val="subscript"/>
        </w:rPr>
        <w:t>S</w:t>
      </w:r>
      <w:r w:rsidR="000D7D3D" w:rsidRPr="000D7D3D">
        <w:t xml:space="preserve"> Pi-varying media (Figure 2.6C). </w:t>
      </w:r>
      <w:r w:rsidR="00957508">
        <w:t>Needle</w:t>
      </w:r>
      <w:r w:rsidR="000D7D3D" w:rsidRPr="000D7D3D">
        <w:t xml:space="preserve"> Pi content only rose at the highest Pi concentration of the M-MMN</w:t>
      </w:r>
      <w:r w:rsidR="000D7D3D" w:rsidRPr="000D7D3D">
        <w:rPr>
          <w:vertAlign w:val="subscript"/>
        </w:rPr>
        <w:t>S</w:t>
      </w:r>
      <w:r w:rsidR="000D7D3D" w:rsidRPr="000D7D3D">
        <w:t xml:space="preserve"> Pi-varying media, and there was not any </w:t>
      </w:r>
      <w:r w:rsidR="00261F0B">
        <w:t xml:space="preserve">statistically </w:t>
      </w:r>
      <w:r w:rsidR="000D7D3D" w:rsidRPr="000D7D3D">
        <w:t>significant change in root Pi content during growth on the M-MMN</w:t>
      </w:r>
      <w:r w:rsidR="000D7D3D" w:rsidRPr="000D7D3D">
        <w:rPr>
          <w:vertAlign w:val="subscript"/>
        </w:rPr>
        <w:t>S</w:t>
      </w:r>
      <w:r w:rsidR="00FF12AA">
        <w:t xml:space="preserve"> Pi-varying media. </w:t>
      </w:r>
      <w:r w:rsidR="000D7D3D" w:rsidRPr="000D7D3D">
        <w:t xml:space="preserve">Also, statistically significant differences in Pi content were </w:t>
      </w:r>
      <w:r w:rsidR="008F0F2B">
        <w:t>not</w:t>
      </w:r>
      <w:r w:rsidR="000D7D3D" w:rsidRPr="000D7D3D">
        <w:t xml:space="preserve"> observed between </w:t>
      </w:r>
      <w:r w:rsidR="00957508">
        <w:t>needle</w:t>
      </w:r>
      <w:r w:rsidR="000D7D3D" w:rsidRPr="000D7D3D">
        <w:t xml:space="preserve">s and roots at </w:t>
      </w:r>
      <w:r w:rsidR="008F0F2B">
        <w:t>any of the</w:t>
      </w:r>
      <w:r w:rsidR="000D7D3D" w:rsidRPr="000D7D3D">
        <w:t xml:space="preserve"> Pi concentration</w:t>
      </w:r>
      <w:r w:rsidR="008F0F2B">
        <w:t>s</w:t>
      </w:r>
      <w:r w:rsidR="000D7D3D" w:rsidRPr="000D7D3D">
        <w:t>.</w:t>
      </w:r>
    </w:p>
    <w:p w14:paraId="047F7422" w14:textId="5083E278" w:rsidR="000D7D3D" w:rsidRPr="000D7D3D" w:rsidRDefault="000D7D3D" w:rsidP="007C3C15">
      <w:pPr>
        <w:ind w:firstLine="720"/>
      </w:pPr>
      <w:r w:rsidRPr="000D7D3D">
        <w:t xml:space="preserve">Measurements </w:t>
      </w:r>
      <w:r w:rsidR="00957508">
        <w:t>of the dry mass of fungal hyphae</w:t>
      </w:r>
      <w:r w:rsidRPr="000D7D3D">
        <w:t xml:space="preserve"> during growth on the M-MMN</w:t>
      </w:r>
      <w:r w:rsidRPr="000D7D3D">
        <w:rPr>
          <w:vertAlign w:val="subscript"/>
        </w:rPr>
        <w:t>NS</w:t>
      </w:r>
      <w:r w:rsidRPr="000D7D3D">
        <w:t xml:space="preserve"> or MMN</w:t>
      </w:r>
      <w:r w:rsidRPr="000D7D3D">
        <w:rPr>
          <w:vertAlign w:val="subscript"/>
        </w:rPr>
        <w:t>S</w:t>
      </w:r>
      <w:r w:rsidRPr="000D7D3D">
        <w:t xml:space="preserve"> Pi-varying media were performed </w:t>
      </w:r>
      <w:r w:rsidR="00463AEE">
        <w:t>(</w:t>
      </w:r>
      <w:r w:rsidRPr="000D7D3D">
        <w:t>Figure 2.6D</w:t>
      </w:r>
      <w:r w:rsidR="00463AEE">
        <w:t>)</w:t>
      </w:r>
      <w:r w:rsidRPr="000D7D3D">
        <w:t xml:space="preserve">. Hyphal dry mass </w:t>
      </w:r>
      <w:r w:rsidR="00261F0B">
        <w:t>exhibited a statistically</w:t>
      </w:r>
      <w:r w:rsidR="00261F0B" w:rsidRPr="000D7D3D">
        <w:t xml:space="preserve"> significant</w:t>
      </w:r>
      <w:r w:rsidR="00261F0B">
        <w:t xml:space="preserve"> increase</w:t>
      </w:r>
      <w:r w:rsidRPr="000D7D3D">
        <w:t xml:space="preserve"> only during growth at the highest Pi concentration for both the M-MMN</w:t>
      </w:r>
      <w:r w:rsidRPr="000D7D3D">
        <w:rPr>
          <w:vertAlign w:val="subscript"/>
        </w:rPr>
        <w:t>NS</w:t>
      </w:r>
      <w:r w:rsidRPr="000D7D3D">
        <w:t xml:space="preserve"> and M-MMN</w:t>
      </w:r>
      <w:r w:rsidRPr="000D7D3D">
        <w:rPr>
          <w:vertAlign w:val="subscript"/>
        </w:rPr>
        <w:t>S</w:t>
      </w:r>
      <w:r w:rsidRPr="000D7D3D">
        <w:t xml:space="preserve"> Pi-varying media (</w:t>
      </w:r>
      <w:r w:rsidR="00EA3629" w:rsidRPr="000D7D3D">
        <w:t>Figure 2.6D</w:t>
      </w:r>
      <w:r w:rsidRPr="000D7D3D">
        <w:t xml:space="preserve">). </w:t>
      </w:r>
      <w:r w:rsidR="00102FEE">
        <w:t>S</w:t>
      </w:r>
      <w:r w:rsidRPr="000D7D3D">
        <w:t>tatistically significant differences in fungal dry mass growing on M-MMN</w:t>
      </w:r>
      <w:r w:rsidRPr="000D7D3D">
        <w:rPr>
          <w:vertAlign w:val="subscript"/>
        </w:rPr>
        <w:t>NS</w:t>
      </w:r>
      <w:r w:rsidRPr="000D7D3D">
        <w:t xml:space="preserve"> or M-MMN</w:t>
      </w:r>
      <w:r w:rsidRPr="000D7D3D">
        <w:rPr>
          <w:vertAlign w:val="subscript"/>
        </w:rPr>
        <w:t>S</w:t>
      </w:r>
      <w:r w:rsidRPr="000D7D3D">
        <w:t xml:space="preserve"> Pi-varying media were only observed at the lowest Pi concentration (</w:t>
      </w:r>
      <w:r w:rsidR="00EA3629" w:rsidRPr="000D7D3D">
        <w:t>Figure 2.6D</w:t>
      </w:r>
      <w:r w:rsidRPr="000D7D3D">
        <w:t>).</w:t>
      </w:r>
    </w:p>
    <w:p w14:paraId="3EE36790" w14:textId="4C3637C2" w:rsidR="000D7D3D" w:rsidRPr="000D7D3D" w:rsidRDefault="00102FEE" w:rsidP="00EF6ED2">
      <w:pPr>
        <w:ind w:firstLine="720"/>
      </w:pPr>
      <w:r>
        <w:t>D</w:t>
      </w:r>
      <w:r w:rsidR="000D7D3D" w:rsidRPr="000D7D3D">
        <w:t>ry mass measure</w:t>
      </w:r>
      <w:r w:rsidR="002322CB">
        <w:t>ments were carried out for seedling</w:t>
      </w:r>
      <w:r w:rsidR="000D7D3D" w:rsidRPr="000D7D3D">
        <w:t xml:space="preserve"> </w:t>
      </w:r>
      <w:r w:rsidR="00957508">
        <w:t>needle</w:t>
      </w:r>
      <w:r w:rsidR="000D7D3D" w:rsidRPr="000D7D3D">
        <w:t xml:space="preserve"> and root tissue growing on the M-MMN</w:t>
      </w:r>
      <w:r w:rsidR="000D7D3D" w:rsidRPr="000D7D3D">
        <w:rPr>
          <w:vertAlign w:val="subscript"/>
        </w:rPr>
        <w:t>S</w:t>
      </w:r>
      <w:r w:rsidR="000D7D3D" w:rsidRPr="000D7D3D">
        <w:t xml:space="preserve"> Pi-varying media (Figure 2.6E). No statistically significant differences were identified for the </w:t>
      </w:r>
      <w:r w:rsidR="00957508">
        <w:t>needle</w:t>
      </w:r>
      <w:r w:rsidR="000D7D3D" w:rsidRPr="000D7D3D">
        <w:t xml:space="preserve"> or root dry mass at any of the Pi concentrations or between </w:t>
      </w:r>
      <w:r w:rsidR="00957508">
        <w:t>needle</w:t>
      </w:r>
      <w:r w:rsidR="000D7D3D" w:rsidRPr="000D7D3D">
        <w:t xml:space="preserve"> and root</w:t>
      </w:r>
      <w:r w:rsidR="00FF12AA">
        <w:t xml:space="preserve"> tissue at any Pi concentration.</w:t>
      </w:r>
      <w:r w:rsidR="000D7D3D" w:rsidRPr="000D7D3D">
        <w:br w:type="page"/>
      </w:r>
    </w:p>
    <w:p w14:paraId="3508D196" w14:textId="6BDF3483" w:rsidR="000D7D3D" w:rsidRPr="000D7D3D" w:rsidRDefault="002322CB" w:rsidP="007C3C15">
      <w:r>
        <w:rPr>
          <w:noProof/>
          <w:lang w:eastAsia="en-GB"/>
        </w:rPr>
        <w:lastRenderedPageBreak/>
        <w:drawing>
          <wp:inline distT="0" distB="0" distL="0" distR="0" wp14:anchorId="6CEE78FA" wp14:editId="3233D1C5">
            <wp:extent cx="4964174" cy="765810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 2.6_NEW_++.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67197" cy="7662764"/>
                    </a:xfrm>
                    <a:prstGeom prst="rect">
                      <a:avLst/>
                    </a:prstGeom>
                  </pic:spPr>
                </pic:pic>
              </a:graphicData>
            </a:graphic>
          </wp:inline>
        </w:drawing>
      </w:r>
    </w:p>
    <w:p w14:paraId="2E5D2BE7" w14:textId="77777777" w:rsidR="000D7D3D" w:rsidRPr="000D7D3D" w:rsidRDefault="000D7D3D" w:rsidP="007C3C15">
      <w:r w:rsidRPr="000D7D3D">
        <w:br w:type="page"/>
      </w:r>
    </w:p>
    <w:p w14:paraId="476A108A" w14:textId="4CB1117D" w:rsidR="000D7D3D" w:rsidRPr="00B46FB7" w:rsidRDefault="000D7D3D" w:rsidP="00635993">
      <w:pPr>
        <w:pStyle w:val="Subtitle"/>
        <w:pBdr>
          <w:top w:val="single" w:sz="4" w:space="1" w:color="auto"/>
        </w:pBdr>
      </w:pPr>
      <w:r w:rsidRPr="000D7D3D">
        <w:lastRenderedPageBreak/>
        <w:t xml:space="preserve">Figure 2.6 </w:t>
      </w:r>
      <w:r w:rsidRPr="00635993">
        <w:rPr>
          <w:b w:val="0"/>
        </w:rPr>
        <w:t>Pi-varying experiment for three Pi concentrations, 0.15, 3.67 and 367 μM, of KH</w:t>
      </w:r>
      <w:r w:rsidRPr="00635993">
        <w:rPr>
          <w:b w:val="0"/>
          <w:vertAlign w:val="subscript"/>
        </w:rPr>
        <w:t>2</w:t>
      </w:r>
      <w:r w:rsidRPr="00635993">
        <w:rPr>
          <w:b w:val="0"/>
        </w:rPr>
        <w:t>PO</w:t>
      </w:r>
      <w:r w:rsidRPr="00635993">
        <w:rPr>
          <w:b w:val="0"/>
          <w:vertAlign w:val="subscript"/>
        </w:rPr>
        <w:t>4</w:t>
      </w:r>
      <w:r w:rsidRPr="00635993">
        <w:rPr>
          <w:b w:val="0"/>
        </w:rPr>
        <w:t xml:space="preserve">. 60 days of growth. </w:t>
      </w:r>
      <w:r w:rsidRPr="003F7054">
        <w:t>A.</w:t>
      </w:r>
      <w:r w:rsidR="002322CB">
        <w:rPr>
          <w:b w:val="0"/>
        </w:rPr>
        <w:t xml:space="preserve"> Examples of NS and S</w:t>
      </w:r>
      <w:r w:rsidRPr="00635993">
        <w:rPr>
          <w:b w:val="0"/>
        </w:rPr>
        <w:t xml:space="preserve"> experimental conditions. </w:t>
      </w:r>
      <w:r w:rsidRPr="003F7054">
        <w:t>B.</w:t>
      </w:r>
      <w:r w:rsidRPr="00635993">
        <w:rPr>
          <w:b w:val="0"/>
        </w:rPr>
        <w:t xml:space="preserve"> </w:t>
      </w:r>
      <w:r w:rsidR="00453EBB" w:rsidRPr="00635993">
        <w:rPr>
          <w:b w:val="0"/>
        </w:rPr>
        <w:t>P</w:t>
      </w:r>
      <w:r w:rsidR="00453EBB">
        <w:rPr>
          <w:b w:val="0"/>
        </w:rPr>
        <w:t>i</w:t>
      </w:r>
      <w:r w:rsidR="00453EBB" w:rsidRPr="00635993">
        <w:rPr>
          <w:b w:val="0"/>
        </w:rPr>
        <w:t xml:space="preserve"> </w:t>
      </w:r>
      <w:r w:rsidRPr="00635993">
        <w:rPr>
          <w:b w:val="0"/>
        </w:rPr>
        <w:t xml:space="preserve">content of fungal hyphae for both NS and S conditions. </w:t>
      </w:r>
      <w:r w:rsidRPr="003F7054">
        <w:t>C.</w:t>
      </w:r>
      <w:r w:rsidRPr="00635993">
        <w:rPr>
          <w:b w:val="0"/>
        </w:rPr>
        <w:t xml:space="preserve"> </w:t>
      </w:r>
      <w:r w:rsidR="00453EBB" w:rsidRPr="00635993">
        <w:rPr>
          <w:b w:val="0"/>
        </w:rPr>
        <w:t>P</w:t>
      </w:r>
      <w:r w:rsidR="00453EBB">
        <w:rPr>
          <w:b w:val="0"/>
        </w:rPr>
        <w:t>i</w:t>
      </w:r>
      <w:r w:rsidR="00453EBB" w:rsidRPr="00635993">
        <w:rPr>
          <w:b w:val="0"/>
        </w:rPr>
        <w:t xml:space="preserve"> </w:t>
      </w:r>
      <w:r w:rsidRPr="00635993">
        <w:rPr>
          <w:b w:val="0"/>
        </w:rPr>
        <w:t xml:space="preserve">content of </w:t>
      </w:r>
      <w:r w:rsidR="00163F38" w:rsidRPr="00163F38">
        <w:rPr>
          <w:b w:val="0"/>
          <w:i/>
        </w:rPr>
        <w:t>P. sylvestris</w:t>
      </w:r>
      <w:r w:rsidRPr="00635993">
        <w:rPr>
          <w:b w:val="0"/>
        </w:rPr>
        <w:t xml:space="preserve"> needles and roots under S conditions. </w:t>
      </w:r>
      <w:r w:rsidRPr="003F7054">
        <w:t>D.</w:t>
      </w:r>
      <w:r w:rsidRPr="00635993">
        <w:rPr>
          <w:b w:val="0"/>
        </w:rPr>
        <w:t xml:space="preserve"> Dry mass of </w:t>
      </w:r>
      <w:r w:rsidR="00163F38" w:rsidRPr="00163F38">
        <w:rPr>
          <w:b w:val="0"/>
          <w:i/>
        </w:rPr>
        <w:t>P. involutus ATCC 200175</w:t>
      </w:r>
      <w:r w:rsidRPr="00635993">
        <w:rPr>
          <w:b w:val="0"/>
        </w:rPr>
        <w:t xml:space="preserve"> hyphae for both NS and S conditions. </w:t>
      </w:r>
      <w:r w:rsidRPr="003F7054">
        <w:t>E.</w:t>
      </w:r>
      <w:r w:rsidRPr="00635993">
        <w:rPr>
          <w:b w:val="0"/>
        </w:rPr>
        <w:t xml:space="preserve"> Dry mass of </w:t>
      </w:r>
      <w:r w:rsidR="00163F38" w:rsidRPr="00163F38">
        <w:rPr>
          <w:b w:val="0"/>
          <w:i/>
        </w:rPr>
        <w:t>P. sylvestris</w:t>
      </w:r>
      <w:r w:rsidRPr="00635993">
        <w:rPr>
          <w:b w:val="0"/>
        </w:rPr>
        <w:t xml:space="preserve"> needles and roots under S conditions. S</w:t>
      </w:r>
      <w:r w:rsidR="008F0F2B">
        <w:rPr>
          <w:b w:val="0"/>
        </w:rPr>
        <w:t>tatistically s</w:t>
      </w:r>
      <w:r w:rsidRPr="00635993">
        <w:rPr>
          <w:b w:val="0"/>
        </w:rPr>
        <w:t xml:space="preserve">ignificant differences in Pi content (B and C) and dry mass (D and E) at different Pi concentrations were assessed by one-way ANOVA followed by Tukey’s post-hoc analysis for multiple comparisons </w:t>
      </w:r>
      <w:r w:rsidR="00531EF5">
        <w:rPr>
          <w:b w:val="0"/>
        </w:rPr>
        <w:t>among</w:t>
      </w:r>
      <w:r w:rsidRPr="00635993">
        <w:rPr>
          <w:b w:val="0"/>
        </w:rPr>
        <w:t xml:space="preserve"> Pi concentrations (letters, </w:t>
      </w:r>
      <w:r w:rsidRPr="00635993">
        <w:rPr>
          <w:b w:val="0"/>
          <w:i/>
        </w:rPr>
        <w:t>α</w:t>
      </w:r>
      <w:r w:rsidRPr="00635993">
        <w:rPr>
          <w:b w:val="0"/>
        </w:rPr>
        <w:t xml:space="preserve">=0.05). Statistically significant differences in Pi content or dry mass between </w:t>
      </w:r>
      <w:r w:rsidR="00163F38" w:rsidRPr="00163F38">
        <w:rPr>
          <w:b w:val="0"/>
          <w:i/>
        </w:rPr>
        <w:t>P. involutus ATCC 200175</w:t>
      </w:r>
      <w:r w:rsidRPr="00635993">
        <w:rPr>
          <w:b w:val="0"/>
        </w:rPr>
        <w:t xml:space="preserve"> hyphae </w:t>
      </w:r>
      <w:r w:rsidR="00531EF5">
        <w:rPr>
          <w:b w:val="0"/>
        </w:rPr>
        <w:t xml:space="preserve">or between </w:t>
      </w:r>
      <w:r w:rsidR="00531EF5" w:rsidRPr="00163F38">
        <w:rPr>
          <w:b w:val="0"/>
          <w:i/>
        </w:rPr>
        <w:t>P. sylvestris</w:t>
      </w:r>
      <w:r w:rsidR="00531EF5">
        <w:rPr>
          <w:b w:val="0"/>
        </w:rPr>
        <w:t xml:space="preserve"> needles and roots </w:t>
      </w:r>
      <w:r w:rsidR="00531EF5" w:rsidRPr="00635993">
        <w:rPr>
          <w:b w:val="0"/>
        </w:rPr>
        <w:t xml:space="preserve">grown </w:t>
      </w:r>
      <w:r w:rsidRPr="00635993">
        <w:rPr>
          <w:b w:val="0"/>
        </w:rPr>
        <w:t xml:space="preserve">under NS or S conditions were assessed in pairwise comparisons at each Pi concentration by Student’s t-test (asterisks, </w:t>
      </w:r>
      <w:r w:rsidRPr="00635993">
        <w:rPr>
          <w:b w:val="0"/>
          <w:i/>
        </w:rPr>
        <w:t>α</w:t>
      </w:r>
      <w:r w:rsidR="00531EF5">
        <w:rPr>
          <w:b w:val="0"/>
        </w:rPr>
        <w:t xml:space="preserve">=0.05). </w:t>
      </w:r>
      <w:r w:rsidRPr="00635993">
        <w:rPr>
          <w:b w:val="0"/>
        </w:rPr>
        <w:t>Error bars represent standard error of the mean of three biological replicates</w:t>
      </w:r>
      <w:r w:rsidR="002322CB">
        <w:rPr>
          <w:b w:val="0"/>
        </w:rPr>
        <w:t>,</w:t>
      </w:r>
      <w:r w:rsidRPr="00635993">
        <w:rPr>
          <w:b w:val="0"/>
        </w:rPr>
        <w:t xml:space="preserve"> except for the Pi content of</w:t>
      </w:r>
      <w:r w:rsidR="00163F38">
        <w:rPr>
          <w:b w:val="0"/>
        </w:rPr>
        <w:t xml:space="preserve"> </w:t>
      </w:r>
      <w:r w:rsidR="00163F38" w:rsidRPr="00163F38">
        <w:rPr>
          <w:b w:val="0"/>
          <w:i/>
        </w:rPr>
        <w:t>P. involutus ATCC 200175</w:t>
      </w:r>
      <w:r w:rsidRPr="00635993">
        <w:rPr>
          <w:b w:val="0"/>
        </w:rPr>
        <w:t xml:space="preserve"> hyphae under S conditions for which two biological replicates were utilised.</w:t>
      </w:r>
    </w:p>
    <w:p w14:paraId="4B094CE2" w14:textId="77777777" w:rsidR="000D7D3D" w:rsidRPr="000D7D3D" w:rsidRDefault="000D7D3D">
      <w:r w:rsidRPr="000D7D3D">
        <w:br w:type="page"/>
      </w:r>
    </w:p>
    <w:p w14:paraId="3ED75045" w14:textId="2D1F70E5" w:rsidR="000D7D3D" w:rsidRPr="000D7D3D" w:rsidRDefault="000D7D3D" w:rsidP="00635993">
      <w:pPr>
        <w:pStyle w:val="Heading2"/>
      </w:pPr>
      <w:bookmarkStart w:id="137" w:name="_Toc507603985"/>
      <w:bookmarkStart w:id="138" w:name="_Toc507604252"/>
      <w:bookmarkStart w:id="139" w:name="_Toc519016969"/>
      <w:bookmarkStart w:id="140" w:name="_Toc520837867"/>
      <w:r w:rsidRPr="000D7D3D">
        <w:lastRenderedPageBreak/>
        <w:t>2.3.5 Identification of putative</w:t>
      </w:r>
      <w:r w:rsidRPr="000D7D3D">
        <w:rPr>
          <w:i/>
        </w:rPr>
        <w:t xml:space="preserve"> P</w:t>
      </w:r>
      <w:r w:rsidR="00453EBB">
        <w:rPr>
          <w:i/>
        </w:rPr>
        <w:t>i</w:t>
      </w:r>
      <w:r w:rsidR="00381DF6">
        <w:rPr>
          <w:i/>
        </w:rPr>
        <w:t>P</w:t>
      </w:r>
      <w:r w:rsidRPr="000D7D3D">
        <w:rPr>
          <w:i/>
        </w:rPr>
        <w:t>Ts</w:t>
      </w:r>
      <w:bookmarkEnd w:id="137"/>
      <w:bookmarkEnd w:id="138"/>
      <w:bookmarkEnd w:id="139"/>
      <w:bookmarkEnd w:id="140"/>
    </w:p>
    <w:p w14:paraId="652F3C8F" w14:textId="3F7965D7" w:rsidR="000D7D3D" w:rsidRPr="000D7D3D" w:rsidRDefault="00102FEE" w:rsidP="003F7054">
      <w:r>
        <w:t>S</w:t>
      </w:r>
      <w:r w:rsidR="000D7D3D" w:rsidRPr="000D7D3D">
        <w:t xml:space="preserve">even putative </w:t>
      </w:r>
      <w:r w:rsidR="000D7D3D" w:rsidRPr="000D7D3D">
        <w:rPr>
          <w:i/>
        </w:rPr>
        <w:t>P</w:t>
      </w:r>
      <w:r w:rsidR="00453EBB">
        <w:rPr>
          <w:i/>
        </w:rPr>
        <w:t>i</w:t>
      </w:r>
      <w:r w:rsidR="00381DF6">
        <w:rPr>
          <w:i/>
        </w:rPr>
        <w:t>P</w:t>
      </w:r>
      <w:r w:rsidR="000D7D3D" w:rsidRPr="000D7D3D">
        <w:rPr>
          <w:i/>
        </w:rPr>
        <w:t>Ts</w:t>
      </w:r>
      <w:r w:rsidR="000D7D3D" w:rsidRPr="000D7D3D">
        <w:t xml:space="preserve"> were identified within the </w:t>
      </w:r>
      <w:r w:rsidR="000D7D3D" w:rsidRPr="000D7D3D">
        <w:rPr>
          <w:i/>
        </w:rPr>
        <w:t>P. involutus</w:t>
      </w:r>
      <w:r w:rsidR="000D7D3D" w:rsidRPr="000D7D3D">
        <w:t xml:space="preserve"> </w:t>
      </w:r>
      <w:r w:rsidR="00F20F5C" w:rsidRPr="00F20F5C">
        <w:rPr>
          <w:i/>
        </w:rPr>
        <w:t>ATCC 200175</w:t>
      </w:r>
      <w:r w:rsidR="00F20F5C">
        <w:t xml:space="preserve"> </w:t>
      </w:r>
      <w:r w:rsidR="000D7D3D" w:rsidRPr="000D7D3D">
        <w:t>genome (</w:t>
      </w:r>
      <w:r w:rsidR="00F65F0D" w:rsidRPr="000D7D3D">
        <w:t>Appendix</w:t>
      </w:r>
      <w:r w:rsidR="00F65F0D">
        <w:t>,</w:t>
      </w:r>
      <w:r w:rsidR="00F65F0D" w:rsidRPr="000D7D3D">
        <w:t xml:space="preserve"> </w:t>
      </w:r>
      <w:r w:rsidR="00F65F0D">
        <w:t>Table 4</w:t>
      </w:r>
      <w:r w:rsidR="000D7D3D" w:rsidRPr="000D7D3D">
        <w:t xml:space="preserve">) that encode </w:t>
      </w:r>
      <w:r w:rsidR="00F65F0D" w:rsidRPr="000D7D3D">
        <w:rPr>
          <w:i/>
        </w:rPr>
        <w:t>P. involutus</w:t>
      </w:r>
      <w:r w:rsidR="00F65F0D" w:rsidRPr="000D7D3D">
        <w:t xml:space="preserve"> </w:t>
      </w:r>
      <w:r w:rsidR="000D7D3D" w:rsidRPr="000D7D3D">
        <w:t>Pi transporter proteins (</w:t>
      </w:r>
      <w:r w:rsidR="000E2F63">
        <w:t>PiPTs). PiPT1-7 belongs to the major facilitator s</w:t>
      </w:r>
      <w:r w:rsidR="000D7D3D" w:rsidRPr="000D7D3D">
        <w:t xml:space="preserve">uperfamily (MFS) of transporters. The MFS family of transporters includes single-polypeptide secondary carriers capable of ion and small solute transport across cell membranes. MFS transporters </w:t>
      </w:r>
      <w:r>
        <w:t>general</w:t>
      </w:r>
      <w:r w:rsidR="000D7D3D" w:rsidRPr="000D7D3D">
        <w:t xml:space="preserve">ly depend on chemiosmotic gradients across cell membranes, and as such are described as secondary rather than primary transporters activated by ATP hydrolysis </w:t>
      </w:r>
      <w:r w:rsidR="000D7D3D" w:rsidRPr="000D7D3D">
        <w:fldChar w:fldCharType="begin" w:fldLock="1"/>
      </w:r>
      <w:r w:rsidR="00EE33AB">
        <w:instrText>ADDIN CSL_CITATION {"citationItems":[{"id":"ITEM-1","itemData":{"abstract":"The major facilitator superfamily (MFS) is one of the two largest families of membrane transporters found on Earth. It is present ubiquitously in bacteria, archaea, and eukarya and includes members that can function by solute uniport, solute/cation symport, solute/cation antiport and/or solute/solute antiport with inwardly and/or outwardly directed polarity. All homologous MFS protein sequences in the public databases as of January 1997 were identified on the basis of sequence similarity and shown to be homologous. Phylogenetic analyses revealed the occurrence of 17 distinct families within the MFS, each of which generally transports a single class of compounds. Compounds transported by MFS permeases include simple sugars, oligosaccharides, inositols, drugs, amino acids, nucleosides, organophosphate esters, Krebs cycle metabolites, and a large variety of organic and inorganic anions and cations. Protein members of some MFS families are found exclusively in bacteria or in eukaryotes, but others are found in bacteria, archaea, and eukaryotes. All permeases of the MFS possess either 12 or 14 putative or established transmembrane alpha-helical spanners, and evidence is presented substantiating the proposal that an internal tandem gene duplication event gave rise to a primordial MFS protein prior to divergence of the family members. All 17 families are shown to exhibit the common feature of a well-conserved motif present between transmembrane spanners 2 and 3. The analyses reported serve to characterize one of the largest and most diverse families of transport proteins found in living organisms.","author":[{"dropping-particle":"","family":"Pao","given":"Stephanie S","non-dropping-particle":"","parse-names":false,"suffix":""},{"dropping-particle":"","family":"Paulsen","given":"I A N T","non-dropping-particle":"","parse-names":false,"suffix":""},{"dropping-particle":"","family":"Saier","given":"Milton H","non-dropping-particle":"","parse-names":false,"suffix":""}],"container-title":"Microbiology and molecular biology reviews : MMBR","id":"ITEM-1","issue":"1","issued":{"date-parts":[["1998"]]},"page":"1-34","title":"Major facilitator superfamily.","type":"article-journal","volume":"62"},"uris":["http://www.mendeley.com/documents/?uuid=805e9dda-4920-412c-bc4b-42ebabd1ad83"]}],"mendeley":{"formattedCitation":"(Pao et al., 1998)","plainTextFormattedCitation":"(Pao et al., 1998)","previouslyFormattedCitation":"(Pao et al., 1998)"},"properties":{"noteIndex":0},"schema":"https://github.com/citation-style-language/schema/raw/master/csl-citation.json"}</w:instrText>
      </w:r>
      <w:r w:rsidR="000D7D3D" w:rsidRPr="000D7D3D">
        <w:fldChar w:fldCharType="separate"/>
      </w:r>
      <w:r w:rsidR="000D7D3D" w:rsidRPr="000D7D3D">
        <w:rPr>
          <w:noProof/>
        </w:rPr>
        <w:t>(Pao et al., 1998)</w:t>
      </w:r>
      <w:r w:rsidR="000D7D3D" w:rsidRPr="000D7D3D">
        <w:fldChar w:fldCharType="end"/>
      </w:r>
      <w:r w:rsidR="000D7D3D" w:rsidRPr="000D7D3D">
        <w:t>.</w:t>
      </w:r>
    </w:p>
    <w:p w14:paraId="60331D74" w14:textId="32EE49F2" w:rsidR="000D7D3D" w:rsidRPr="000D7D3D" w:rsidRDefault="000D7D3D" w:rsidP="007F746A">
      <w:pPr>
        <w:ind w:firstLine="720"/>
      </w:pPr>
      <w:r w:rsidRPr="000D7D3D">
        <w:t xml:space="preserve">Most importantly, external Pi uptake has been traditionally attributed to the MFS transporters </w:t>
      </w:r>
      <w:r w:rsidR="00F65F0D">
        <w:t xml:space="preserve">such as the </w:t>
      </w:r>
      <w:r w:rsidR="00F65F0D" w:rsidRPr="000D7D3D">
        <w:t>Pht1 family</w:t>
      </w:r>
      <w:r w:rsidR="00F65F0D">
        <w:t xml:space="preserve"> of plant</w:t>
      </w:r>
      <w:r w:rsidR="00F65F0D" w:rsidRPr="000D7D3D">
        <w:t xml:space="preserve"> </w:t>
      </w:r>
      <w:r w:rsidR="00F65F0D">
        <w:t>Pi transporters</w:t>
      </w:r>
      <w:r w:rsidRPr="000D7D3D">
        <w:t xml:space="preserve">. Plant Pht1 transporters have been identified with regards to their similarity with </w:t>
      </w:r>
      <w:r w:rsidR="00102FEE">
        <w:t xml:space="preserve">the </w:t>
      </w:r>
      <w:r w:rsidRPr="000D7D3D">
        <w:rPr>
          <w:i/>
        </w:rPr>
        <w:t>Saccharomyces cerevisiae</w:t>
      </w:r>
      <w:r w:rsidRPr="000D7D3D">
        <w:t xml:space="preserve"> high-affinity Pi transporter, ScPho84, which mediates external Pi uptake across the plasma membrane via H</w:t>
      </w:r>
      <w:r w:rsidRPr="000D7D3D">
        <w:rPr>
          <w:vertAlign w:val="superscript"/>
        </w:rPr>
        <w:t>+</w:t>
      </w:r>
      <w:r w:rsidRPr="000D7D3D">
        <w:t xml:space="preserve"> symport activity </w:t>
      </w:r>
      <w:r w:rsidRPr="000D7D3D">
        <w:fldChar w:fldCharType="begin" w:fldLock="1"/>
      </w:r>
      <w:r w:rsidR="00EE33AB">
        <w:instrText>ADDIN CSL_CITATION {"citationItems":[{"id":"ITEM-1","itemData":{"DOI":"10.1111/j.1469-8137.2012.04167.x","ISSN":"1469-8137","PMID":"22578268","abstract":"• The activation of high-affinity root transport systems is the best-conserved strategy employed by plants to cope with low inorganic phosphate (Pi) availability, a role traditionally assigned to Pi transporters of the Pht1 family, whose respective contributions to Pi acquisition remain unclear. • To characterize the Arabidopsis thaliana Pht1;9 transporter, we combined heterologous functional expression in yeast with expression/subcellular localization studies and reverse genetics approaches in planta. Double Pht1;9/Pht1;8 silencing lines were also generated to gain insight into the role of the closest Pht1;9 homolog. • Pht1;9 encodes a functional plasma membrane-localized transporter that mediates high-affinity Pi/H</w:instrText>
      </w:r>
      <w:r w:rsidR="00EE33AB">
        <w:rPr>
          <w:rFonts w:ascii="Cambria Math" w:hAnsi="Cambria Math" w:cs="Cambria Math"/>
        </w:rPr>
        <w:instrText>⁺</w:instrText>
      </w:r>
      <w:r w:rsidR="00EE33AB">
        <w:instrText xml:space="preserve"> symport activity in yeast and is highly induced in Pi-starved Arabidopsis roots. Null pht1;9 alleles exhibit exacerbated responses to prolonged Pi limitation and enhanced tolerance to arsenate exposure, whereas Pht1;9 overexpression induces the opposite phenotypes. Strikingly, Pht1;9/Pht1;8 silencing lines display more pronounced defects than the pht1;9 mutants. • Pi and arsenic plant content analyses confirmed a role of Pht1;9 in Pi acquisition during Pi starvation and arsenate uptake at the root-soil interface. Although not affecting plant internal Pi repartition, Pht1;9 activity influences the overall Arabidopsis Pi status. Finally, our results indicate that both the Pht1;9 and Pht1;8 transporters function in sustaining plant Pi supply on environmental Pi depletion.","author":[{"dropping-particle":"","family":"Remy","given":"E","non-dropping-particle":"","parse-names":false,"suffix":""},{"dropping-particle":"","family":"Cabrito","given":"T R","non-dropping-particle":"","parse-names":false,"suffix":""},{"dropping-particle":"","family":"Batista","given":"R a","non-dropping-particle":"","parse-names":false,"suffix":""},{"dropping-particle":"","family":"Teixeira","given":"M C","non-dropping-particle":"","parse-names":false,"suffix":""},{"dropping-particle":"","family":"Sá-Correia","given":"I","non-dropping-particle":"","parse-names":false,"suffix":""},{"dropping-particle":"","family":"Duque","given":"P","non-dropping-particle":"","parse-names":false,"suffix":""}],"container-title":"The New phytologist","id":"ITEM-1","issue":"2","issued":{"date-parts":[["2012","7"]]},"page":"356-71","title":"The Pht1;9 and Pht1;8 transporters mediate inorganic phosphate acquisition by the Arabidopsis thaliana root during phosphorus starvation.","type":"article-journal","volume":"195"},"uris":["http://www.mendeley.com/documents/?uuid=6202ebb6-3097-4934-b535-81dae7e5e367"]}],"mendeley":{"formattedCitation":"(Remy et al., 2012)","plainTextFormattedCitation":"(Remy et al., 2012)","previouslyFormattedCitation":"(Remy et al., 2012)"},"properties":{"noteIndex":0},"schema":"https://github.com/citation-style-language/schema/raw/master/csl-citation.json"}</w:instrText>
      </w:r>
      <w:r w:rsidRPr="000D7D3D">
        <w:fldChar w:fldCharType="separate"/>
      </w:r>
      <w:r w:rsidRPr="000D7D3D">
        <w:rPr>
          <w:noProof/>
        </w:rPr>
        <w:t>(Remy et al., 2012)</w:t>
      </w:r>
      <w:r w:rsidRPr="000D7D3D">
        <w:fldChar w:fldCharType="end"/>
      </w:r>
      <w:r w:rsidR="00F65F0D">
        <w:t>. Similarly, in EMF</w:t>
      </w:r>
      <w:r w:rsidRPr="000D7D3D">
        <w:t xml:space="preserve">, as in the case of </w:t>
      </w:r>
      <w:r w:rsidRPr="000D7D3D">
        <w:rPr>
          <w:i/>
        </w:rPr>
        <w:t>Hebeloma cylindrosporum</w:t>
      </w:r>
      <w:r w:rsidRPr="000D7D3D">
        <w:t>, high-affinity Pi transporters were identified and functionally characterised, demonstrating a high similarity to ScPho84 and exhibiting Pi: H</w:t>
      </w:r>
      <w:r w:rsidRPr="000D7D3D">
        <w:rPr>
          <w:vertAlign w:val="superscript"/>
        </w:rPr>
        <w:t>+</w:t>
      </w:r>
      <w:r w:rsidRPr="000D7D3D">
        <w:t xml:space="preserve"> symporter activity </w:t>
      </w:r>
      <w:r w:rsidRPr="000D7D3D">
        <w:fldChar w:fldCharType="begin" w:fldLock="1"/>
      </w:r>
      <w:r w:rsidR="00EE33AB">
        <w:instrText>ADDIN CSL_CITATION {"citationItems":[{"id":"ITEM-1","itemData":{"DOI":"10.1111/j.1365-313X.2008.03749.x","ISSN":"1365-313X","PMID":"19054369","abstract":"Ectomycorrhizal symbiosis markedly improves plant phosphate uptake, but the molecular mechanisms underlying this benefit are still poorly understood. We identified two ESTs in a cDNA library prepared from the ectomycorrhizal basidiomycete Hebeloma cylindrosporum with significant similarities to phosphate transporters from the endomycorrhizal fungus Glomus versiforme and from non-mycorrhizal fungi. The full-length cDNAs corresponding to these two ESTs complemented a yeast phosphate transport mutant (Deltapho84). Measurements of (33)P-phosphate influx into yeast expressing either cDNA demonstrated that the encoded proteins, named HcPT1 and HcPT2, were able to mediate Pi:H(+) symport with different affinities for Pi (K(m) values of 55 and 4 mum, respectively). Real-time RT-PCR showed that Pi starvation increased the levels of HcPT1 transcripts in H. cylindrosporum hyphae grown in pure culture. Transcript levels of HcPT2 were less dependent on Pi availability. The two transporters were expressed in H. cylindrosporum associated with its natural host plant, Pinus pinaster, grown under low or high P conditions. The presence of ectomycorrhizae increased net Pi uptake rates into intact Pinus pinaster roots at low or high soil P levels. The expression patterns of HcPT1 and HcPT2 indicate that the two fungal phosphate transporters may be involved in uptake of phosphate from the soil solution under the two soil P availability conditions used.","author":[{"dropping-particle":"","family":"Tatry","given":"Marie-Violaine","non-dropping-particle":"","parse-names":false,"suffix":""},{"dropping-particle":"","family":"Kassis","given":"Elie","non-dropping-particle":"El","parse-names":false,"suffix":""},{"dropping-particle":"","family":"Lambilliotte","given":"Raphaël","non-dropping-particle":"","parse-names":false,"suffix":""},{"dropping-particle":"","family":"Corratgé","given":"Claire","non-dropping-particle":"","parse-names":false,"suffix":""},{"dropping-particle":"","family":"Aarle","given":"Ingrid","non-dropping-particle":"van","parse-names":false,"suffix":""},{"dropping-particle":"","family":"Amenc","given":"Laurie K","non-dropping-particle":"","parse-names":false,"suffix":""},{"dropping-particle":"","family":"Alary","given":"Rémi","non-dropping-particle":"","parse-names":false,"suffix":""},{"dropping-particle":"","family":"Zimmermann","given":"Sabine","non-dropping-particle":"","parse-names":false,"suffix":""},{"dropping-particle":"","family":"Sentenac","given":"Hervé","non-dropping-particle":"","parse-names":false,"suffix":""},{"dropping-particle":"","family":"Plassard","given":"Claude","non-dropping-particle":"","parse-names":false,"suffix":""}],"container-title":"The Plant journal : for cell and molecular biology","id":"ITEM-1","issue":"6","issued":{"date-parts":[["2009","3"]]},"page":"1092-102","title":"Two differentially regulated phosphate transporters from the symbiotic fungus Hebeloma cylindrosporum and phosphorus acquisition by ectomycorrhizal Pinus pinaster.","type":"article-journal","volume":"57"},"uris":["http://www.mendeley.com/documents/?uuid=334233a2-c949-4def-90cb-cb4c687b90e2"]}],"mendeley":{"formattedCitation":"(Tatry et al., 2009)","plainTextFormattedCitation":"(Tatry et al., 2009)","previouslyFormattedCitation":"(Tatry et al., 2009)"},"properties":{"noteIndex":0},"schema":"https://github.com/citation-style-language/schema/raw/master/csl-citation.json"}</w:instrText>
      </w:r>
      <w:r w:rsidRPr="000D7D3D">
        <w:fldChar w:fldCharType="separate"/>
      </w:r>
      <w:r w:rsidRPr="000D7D3D">
        <w:rPr>
          <w:noProof/>
        </w:rPr>
        <w:t>(Tatry et al., 2009)</w:t>
      </w:r>
      <w:r w:rsidRPr="000D7D3D">
        <w:fldChar w:fldCharType="end"/>
      </w:r>
      <w:r w:rsidR="00F65F0D">
        <w:t>.</w:t>
      </w:r>
    </w:p>
    <w:p w14:paraId="23FDCD60" w14:textId="77777777" w:rsidR="000D7D3D" w:rsidRPr="000D7D3D" w:rsidRDefault="000D7D3D" w:rsidP="00FB36B8"/>
    <w:p w14:paraId="5ABC945F" w14:textId="40BAAD3C" w:rsidR="000D7D3D" w:rsidRPr="000D7D3D" w:rsidRDefault="000D7D3D" w:rsidP="00635993">
      <w:pPr>
        <w:pStyle w:val="Heading2"/>
        <w:rPr>
          <w:i/>
        </w:rPr>
      </w:pPr>
      <w:bookmarkStart w:id="141" w:name="_Toc507603986"/>
      <w:bookmarkStart w:id="142" w:name="_Toc507604253"/>
      <w:bookmarkStart w:id="143" w:name="_Toc519016970"/>
      <w:bookmarkStart w:id="144" w:name="_Toc520837868"/>
      <w:r w:rsidRPr="000D7D3D">
        <w:t>2.3.6 Phylogenetic analysis of</w:t>
      </w:r>
      <w:r w:rsidRPr="000D7D3D">
        <w:rPr>
          <w:i/>
        </w:rPr>
        <w:t xml:space="preserve"> </w:t>
      </w:r>
      <w:r w:rsidRPr="000D7D3D">
        <w:t>PiPTs</w:t>
      </w:r>
      <w:bookmarkEnd w:id="141"/>
      <w:bookmarkEnd w:id="142"/>
      <w:bookmarkEnd w:id="143"/>
      <w:bookmarkEnd w:id="144"/>
    </w:p>
    <w:p w14:paraId="0F94D8B5" w14:textId="67E15DBD" w:rsidR="000D7D3D" w:rsidRPr="000D7D3D" w:rsidRDefault="000D7D3D" w:rsidP="003F7054">
      <w:r w:rsidRPr="000D7D3D">
        <w:t>A p</w:t>
      </w:r>
      <w:r w:rsidR="002B2323">
        <w:t>hyl</w:t>
      </w:r>
      <w:r w:rsidRPr="000D7D3D">
        <w:t>ogenetic tree of the seven putative PiPTs was constructed, shown in Figure 2.7, together with previously characterized high-affinity P</w:t>
      </w:r>
      <w:r w:rsidR="000B402A">
        <w:t>i transporters</w:t>
      </w:r>
      <w:r w:rsidRPr="000D7D3D">
        <w:t xml:space="preserve"> of </w:t>
      </w:r>
      <w:r w:rsidRPr="000D7D3D">
        <w:rPr>
          <w:i/>
        </w:rPr>
        <w:t>Glomus intraradices</w:t>
      </w:r>
      <w:r w:rsidRPr="000D7D3D">
        <w:t xml:space="preserve"> (GiPT) </w:t>
      </w:r>
      <w:r w:rsidRPr="000D7D3D">
        <w:fldChar w:fldCharType="begin" w:fldLock="1"/>
      </w:r>
      <w:r w:rsidR="00EE33AB">
        <w:instrText>ADDIN CSL_CITATION {"citationItems":[{"id":"ITEM-1","itemData":{"DOI":"10.1094/MPMI.2001.14.10.1140","ISBN":"5802235810","ISSN":"0894-0282","PMID":"11605953","abstract":"The majority of vascular flowering plants are able to form symbiotic associations with arbuscular mycorrhizal fungi. These symbioses, termed arbuscular mycorrhizas, are mutually beneficial, and the fungus delivers phosphate to the plant while receiving carbon. In these symbioses, phosphate uptake by the arbuscular mycorrhizal fungus is the first step in the process of phosphate transport to the plant. Previously, we cloned a phosphate transporter gene involved in this process. Here, we analyze the expression and regulation of a phosphate transporter gene (GiPT) in the extra-radical mycelium of the arbuscular mycorrhizal fungus Glomus intraradices during mycorrhizal association with carrot or Medicago truncatula roots. These analyses reveal that GiPT expression is regulated in response to phosphate concentrations in the environment surrounding the extra-radical hyphae and modulated by the overall phosphate status of the mycorrhiza. Phosphate concentrations, typical of those found in the soil solution, result in expression of GiPT. These data imply that G. intraradices can perceive phosphate levels in the external environment but also suggest the presence of an internal phosphate sensing mechanism.","author":[{"dropping-particle":"","family":"Maldonado-Mendoza","given":"I E","non-dropping-particle":"","parse-names":false,"suffix":""},{"dropping-particle":"","family":"Dewbre","given":"G R","non-dropping-particle":"","parse-names":false,"suffix":""},{"dropping-particle":"","family":"Harrison","given":"M J","non-dropping-particle":"","parse-names":false,"suffix":""}],"container-title":"Molecular plant-microbe interactions : MPMI","id":"ITEM-1","issue":"10","issued":{"date-parts":[["2001","10"]]},"page":"1140-8","title":"A phosphate transporter gene from the extra-radical mycelium of an arbuscular mycorrhizal fungus Glomus intraradices is regulated in response to phosphate in the environment.","type":"article-journal","volume":"14"},"uris":["http://www.mendeley.com/documents/?uuid=0bef42a5-58d9-42fe-893e-eb0e6db9c99d"]}],"mendeley":{"formattedCitation":"(Maldonado-Mendoza et al., 2001)","plainTextFormattedCitation":"(Maldonado-Mendoza et al., 2001)","previouslyFormattedCitation":"(Maldonado-Mendoza et al., 2001)"},"properties":{"noteIndex":0},"schema":"https://github.com/citation-style-language/schema/raw/master/csl-citation.json"}</w:instrText>
      </w:r>
      <w:r w:rsidRPr="000D7D3D">
        <w:fldChar w:fldCharType="separate"/>
      </w:r>
      <w:r w:rsidRPr="000D7D3D">
        <w:rPr>
          <w:noProof/>
        </w:rPr>
        <w:t>(Maldonado-Mendoza et al., 2001)</w:t>
      </w:r>
      <w:r w:rsidRPr="000D7D3D">
        <w:fldChar w:fldCharType="end"/>
      </w:r>
      <w:r w:rsidRPr="000D7D3D">
        <w:t xml:space="preserve">, </w:t>
      </w:r>
      <w:r w:rsidRPr="000D7D3D">
        <w:rPr>
          <w:i/>
        </w:rPr>
        <w:t>Glomus versiforme</w:t>
      </w:r>
      <w:r w:rsidRPr="000D7D3D">
        <w:t xml:space="preserve"> (GvPT) </w:t>
      </w:r>
      <w:r w:rsidRPr="000D7D3D">
        <w:fldChar w:fldCharType="begin" w:fldLock="1"/>
      </w:r>
      <w:r w:rsidR="00EE33AB">
        <w:instrText>ADDIN CSL_CITATION {"citationItems":[{"id":"ITEM-1","itemData":{"author":[{"dropping-particle":"","family":"Harrison","given":"Maria J","non-dropping-particle":"","parse-names":false,"suffix":""},{"dropping-particle":"","family":"Buuren","given":"Marianne L","non-dropping-particle":"van","parse-names":false,"suffix":""}],"container-title":"Nature","id":"ITEM-1","issued":{"date-parts":[["1995"]]},"page":"626-629","title":"A phosphate transporter from the mycorrhizal fungus Glomus versiforme","type":"article-journal","volume":"378"},"uris":["http://www.mendeley.com/documents/?uuid=190d963a-46ab-4717-b59a-73dac50a6797"]}],"mendeley":{"formattedCitation":"(Harrison and van Buuren, 1995)","plainTextFormattedCitation":"(Harrison and van Buuren, 1995)","previouslyFormattedCitation":"(Harrison and van Buuren, 1995)"},"properties":{"noteIndex":0},"schema":"https://github.com/citation-style-language/schema/raw/master/csl-citation.json"}</w:instrText>
      </w:r>
      <w:r w:rsidRPr="000D7D3D">
        <w:fldChar w:fldCharType="separate"/>
      </w:r>
      <w:r w:rsidRPr="000D7D3D">
        <w:rPr>
          <w:noProof/>
        </w:rPr>
        <w:t>(Harrison and van Buuren, 1995)</w:t>
      </w:r>
      <w:r w:rsidRPr="000D7D3D">
        <w:fldChar w:fldCharType="end"/>
      </w:r>
      <w:r w:rsidRPr="000D7D3D">
        <w:t xml:space="preserve">, </w:t>
      </w:r>
      <w:r w:rsidRPr="000D7D3D">
        <w:rPr>
          <w:i/>
        </w:rPr>
        <w:t xml:space="preserve">S. cerevisiae </w:t>
      </w:r>
      <w:r w:rsidRPr="0053086F">
        <w:t>(</w:t>
      </w:r>
      <w:r w:rsidRPr="000D7D3D">
        <w:t xml:space="preserve">ScPHO84) </w:t>
      </w:r>
      <w:r w:rsidRPr="000D7D3D">
        <w:fldChar w:fldCharType="begin" w:fldLock="1"/>
      </w:r>
      <w:r w:rsidR="00EE33AB">
        <w:instrText>ADDIN CSL_CITATION {"citationItems":[{"id":"ITEM-1","itemData":{"DOI":"10.1128/MCB.11.6.3229.Updated","author":[{"dropping-particle":"","family":"Bun-ya","given":"Masanori","non-dropping-particle":"","parse-names":false,"suffix":""},{"dropping-particle":"","family":"Nishimura","given":"Mamoru","non-dropping-particle":"","parse-names":false,"suffix":""},{"dropping-particle":"","family":"Harashima","given":"Satoshi","non-dropping-particle":"","parse-names":false,"suffix":""},{"dropping-particle":"","family":"Oshima","given":"Yasuji","non-dropping-particle":"","parse-names":false,"suffix":""}],"id":"ITEM-1","issue":"6","issued":{"date-parts":[["1991"]]},"page":"3229-3238","title":"The PH084 Gene of Saccharomyces cerevisiae Encodes an Inorganic Phosphate Transporter","type":"article-journal","volume":"11"},"uris":["http://www.mendeley.com/documents/?uuid=2231cb03-1325-4b28-bb18-a2e4681da0c8"]}],"mendeley":{"formattedCitation":"(Bun-ya et al., 1991)","plainTextFormattedCitation":"(Bun-ya et al., 1991)","previouslyFormattedCitation":"(Bun-ya et al., 1991)"},"properties":{"noteIndex":0},"schema":"https://github.com/citation-style-language/schema/raw/master/csl-citation.json"}</w:instrText>
      </w:r>
      <w:r w:rsidRPr="000D7D3D">
        <w:fldChar w:fldCharType="separate"/>
      </w:r>
      <w:r w:rsidRPr="000D7D3D">
        <w:rPr>
          <w:noProof/>
        </w:rPr>
        <w:t>(Bun-ya et al., 1991)</w:t>
      </w:r>
      <w:r w:rsidRPr="000D7D3D">
        <w:fldChar w:fldCharType="end"/>
      </w:r>
      <w:r w:rsidRPr="000D7D3D">
        <w:t xml:space="preserve">, </w:t>
      </w:r>
      <w:r w:rsidRPr="000D7D3D">
        <w:rPr>
          <w:i/>
        </w:rPr>
        <w:t>Hebeloma cylindrosporum</w:t>
      </w:r>
      <w:r w:rsidRPr="000D7D3D">
        <w:t xml:space="preserve"> (HcPT1 &amp; HcPT2) </w:t>
      </w:r>
      <w:r w:rsidRPr="000D7D3D">
        <w:fldChar w:fldCharType="begin" w:fldLock="1"/>
      </w:r>
      <w:r w:rsidR="00EE33AB">
        <w:instrText>ADDIN CSL_CITATION {"citationItems":[{"id":"ITEM-1","itemData":{"DOI":"10.1111/j.1365-313X.2008.03749.x","ISSN":"1365-313X","PMID":"19054369","abstract":"Ectomycorrhizal symbiosis markedly improves plant phosphate uptake, but the molecular mechanisms underlying this benefit are still poorly understood. We identified two ESTs in a cDNA library prepared from the ectomycorrhizal basidiomycete Hebeloma cylindrosporum with significant similarities to phosphate transporters from the endomycorrhizal fungus Glomus versiforme and from non-mycorrhizal fungi. The full-length cDNAs corresponding to these two ESTs complemented a yeast phosphate transport mutant (Deltapho84). Measurements of (33)P-phosphate influx into yeast expressing either cDNA demonstrated that the encoded proteins, named HcPT1 and HcPT2, were able to mediate Pi:H(+) symport with different affinities for Pi (K(m) values of 55 and 4 mum, respectively). Real-time RT-PCR showed that Pi starvation increased the levels of HcPT1 transcripts in H. cylindrosporum hyphae grown in pure culture. Transcript levels of HcPT2 were less dependent on Pi availability. The two transporters were expressed in H. cylindrosporum associated with its natural host plant, Pinus pinaster, grown under low or high P conditions. The presence of ectomycorrhizae increased net Pi uptake rates into intact Pinus pinaster roots at low or high soil P levels. The expression patterns of HcPT1 and HcPT2 indicate that the two fungal phosphate transporters may be involved in uptake of phosphate from the soil solution under the two soil P availability conditions used.","author":[{"dropping-particle":"","family":"Tatry","given":"Marie-Violaine","non-dropping-particle":"","parse-names":false,"suffix":""},{"dropping-particle":"","family":"Kassis","given":"Elie","non-dropping-particle":"El","parse-names":false,"suffix":""},{"dropping-particle":"","family":"Lambilliotte","given":"Raphaël","non-dropping-particle":"","parse-names":false,"suffix":""},{"dropping-particle":"","family":"Corratgé","given":"Claire","non-dropping-particle":"","parse-names":false,"suffix":""},{"dropping-particle":"","family":"Aarle","given":"Ingrid","non-dropping-particle":"van","parse-names":false,"suffix":""},{"dropping-particle":"","family":"Amenc","given":"Laurie K","non-dropping-particle":"","parse-names":false,"suffix":""},{"dropping-particle":"","family":"Alary","given":"Rémi","non-dropping-particle":"","parse-names":false,"suffix":""},{"dropping-particle":"","family":"Zimmermann","given":"Sabine","non-dropping-particle":"","parse-names":false,"suffix":""},{"dropping-particle":"","family":"Sentenac","given":"Hervé","non-dropping-particle":"","parse-names":false,"suffix":""},{"dropping-particle":"","family":"Plassard","given":"Claude","non-dropping-particle":"","parse-names":false,"suffix":""}],"container-title":"The Plant journal : for cell and molecular biology","id":"ITEM-1","issue":"6","issued":{"date-parts":[["2009","3"]]},"page":"1092-102","title":"Two differentially regulated phosphate transporters from the symbiotic fungus Hebeloma cylindrosporum and phosphorus acquisition by ectomycorrhizal Pinus pinaster.","type":"article-journal","volume":"57"},"uris":["http://www.mendeley.com/documents/?uuid=334233a2-c949-4def-90cb-cb4c687b90e2"]}],"mendeley":{"formattedCitation":"(Tatry et al., 2009)","plainTextFormattedCitation":"(Tatry et al., 2009)","previouslyFormattedCitation":"(Tatry et al., 2009)"},"properties":{"noteIndex":0},"schema":"https://github.com/citation-style-language/schema/raw/master/csl-citation.json"}</w:instrText>
      </w:r>
      <w:r w:rsidRPr="000D7D3D">
        <w:fldChar w:fldCharType="separate"/>
      </w:r>
      <w:r w:rsidRPr="000D7D3D">
        <w:rPr>
          <w:noProof/>
        </w:rPr>
        <w:t>(Tatry et al., 2009)</w:t>
      </w:r>
      <w:r w:rsidRPr="000D7D3D">
        <w:fldChar w:fldCharType="end"/>
      </w:r>
      <w:r w:rsidRPr="000D7D3D">
        <w:t xml:space="preserve"> and the low affinity P</w:t>
      </w:r>
      <w:r w:rsidR="000B402A">
        <w:t>i transporter</w:t>
      </w:r>
      <w:r w:rsidRPr="000D7D3D">
        <w:t xml:space="preserve"> of </w:t>
      </w:r>
      <w:r w:rsidRPr="000D7D3D">
        <w:rPr>
          <w:i/>
        </w:rPr>
        <w:t>S. cerevisiae</w:t>
      </w:r>
      <w:r w:rsidRPr="000D7D3D">
        <w:t xml:space="preserve">, PHO87 </w:t>
      </w:r>
      <w:r w:rsidRPr="000D7D3D">
        <w:fldChar w:fldCharType="begin" w:fldLock="1"/>
      </w:r>
      <w:r w:rsidR="00EE33AB">
        <w:instrText>ADDIN CSL_CITATION {"citationItems":[{"id":"ITEM-1","itemData":{"DOI":"10.1074/jbc.M405398200","ISBN":"0021-9258 (Print)\\r0021-9258 (Linking)","ISSN":"00219258","PMID":"15194704","abstract":"Phosphate is an essential nutrient that must be taken up from the growth medium through specific transporters. In Saccharomyces cerevisiae, both high and low affinity orthophosphate carriers allow this micro-organism to cope with environmental variations. Intriguingly, in this study we found a tight correlation between selenite resistance and expression of the high affinity orthophosphate carrier Pho84p. Our work further revealed that mutations in the low affinity orthophosphate carrier genes (PHO87, PHO90, and PHO91) cause deregulation of phosphate-repressed genes. Strikingly, the deregulation due to pho87Delta, pho90Delta, or pho91Delta mutations was neither correlated to impaired orthophosphate uptake capacity nor to a decrease of the intracellular orthophosphate or polyphosphate pools, as shown by (31)P NMR spectroscopy. Thus, our data clearly establish that the low affinity orthophosphate carriers affect phosphate regulation independently of intracellular orthophosphate concentration through a new signaling pathway that was found to strictly require the cyclin-dependent kinase inhibitor Pho81p. We propose that phosphate-regulated gene expression is under the control of two different regulatory signals as follows: the sensing of internal orthophosphate by a yet unidentified protein and the sensing of external orthophosphate by low affinity orthophosphate transporters; the former would be required to maintain phosphate homeostasis, and the latter would keep the cell informed on the medium phosphate richness.","author":[{"dropping-particle":"","family":"Pinsont","given":"Benoît","non-dropping-particle":"","parse-names":false,"suffix":""},{"dropping-particle":"","family":"Merle","given":"Michel","non-dropping-particle":"","parse-names":false,"suffix":""},{"dropping-particle":"","family":"Franconi","given":"Jean Michel","non-dropping-particle":"","parse-names":false,"suffix":""},{"dropping-particle":"","family":"Daignan-Fornier","given":"Bertrand","non-dropping-particle":"","parse-names":false,"suffix":""}],"container-title":"Journal of Biological Chemistry","id":"ITEM-1","issue":"34","issued":{"date-parts":[["2004"]]},"page":"35273-35280","title":"Low affinity orthophosphate carriers regulate PHO gene expression independently of internal orthophosphate concentration in Saccharomyces cerevisiae","type":"article-journal","volume":"279"},"uris":["http://www.mendeley.com/documents/?uuid=8466ea7a-ecd2-4f9d-8626-b5aab9947574"]},{"id":"ITEM-2","itemData":{"DOI":"10.1038/embor.2009.105","ISBN":"1469-221x","ISSN":"1469-3178","PMID":"19590579","abstract":"Yeast has two phosphate-uptake systems that complement each other: the high-affinity transporters (Pho84 and Pho89) are active under phosphate starvation, whereas Pho87 and Pho90 are low-affinity transporters that function when phosphate is abundant. Here, we report new regulatory functions of the amino-terminal SPX domain of Pho87 and Pho90. By studying truncated versions of Pho87 and Pho90, we show that the SPX domain limits the phosphate-uptake velocity, suppresses phosphate efflux and affects the regulation of the phosphate signal transduction pathway. Furthermore, split-ubiquitin assays and co-immunoprecipitation suggest that the SPX domain of both Pho90 and Pho87 interacts physically with the regulatory protein Spl2. This work suggests that the SPX domain inhibits low-affinity phosphate transport through a physical interaction with Spl2.","author":[{"dropping-particle":"","family":"Hürlimann","given":"Hans Caspar","non-dropping-particle":"","parse-names":false,"suffix":""},{"dropping-particle":"","family":"Pinson","given":"Benoît","non-dropping-particle":"","parse-names":false,"suffix":""},{"dropping-particle":"","family":"Stadler-Waibel","given":"Martha","non-dropping-particle":"","parse-names":false,"suffix":""},{"dropping-particle":"","family":"Zeeman","given":"Samuel C","non-dropping-particle":"","parse-names":false,"suffix":""},{"dropping-particle":"","family":"Freimoser","given":"Florian M","non-dropping-particle":"","parse-names":false,"suffix":""}],"container-title":"EMBO reports","id":"ITEM-2","issue":"9","issued":{"date-parts":[["2009"]]},"page":"1003-8","title":"The SPX domain of the yeast low-affinity phosphate transporter Pho90 regulates transport activity.","type":"article-journal","volume":"10"},"uris":["http://www.mendeley.com/documents/?uuid=7069fae6-f2db-4eaa-8101-966b7779bb67"]}],"mendeley":{"formattedCitation":"(Pinsont et al., 2004; Hürlimann et al., 2009)","plainTextFormattedCitation":"(Pinsont et al., 2004; Hürlimann et al., 2009)","previouslyFormattedCitation":"(Pinsont et al., 2004; Hürlimann et al., 2009)"},"properties":{"noteIndex":0},"schema":"https://github.com/citation-style-language/schema/raw/master/csl-citation.json"}</w:instrText>
      </w:r>
      <w:r w:rsidRPr="000D7D3D">
        <w:fldChar w:fldCharType="separate"/>
      </w:r>
      <w:r w:rsidRPr="000D7D3D">
        <w:rPr>
          <w:noProof/>
        </w:rPr>
        <w:t>(Pinsont et al., 2004; Hürlimann et al., 2009)</w:t>
      </w:r>
      <w:r w:rsidRPr="000D7D3D">
        <w:fldChar w:fldCharType="end"/>
      </w:r>
      <w:r w:rsidR="000B402A">
        <w:t>.</w:t>
      </w:r>
    </w:p>
    <w:p w14:paraId="5C4A4336" w14:textId="7E8AC819" w:rsidR="000D7D3D" w:rsidRPr="000D7D3D" w:rsidRDefault="000D7D3D" w:rsidP="007F746A">
      <w:pPr>
        <w:ind w:firstLine="720"/>
      </w:pPr>
      <w:r w:rsidRPr="000D7D3D">
        <w:t>According to the phylogenetic analysis, PiPT1 clusters together with the high-affinity</w:t>
      </w:r>
      <w:r w:rsidR="004F13F3">
        <w:t xml:space="preserve"> Pi transporters</w:t>
      </w:r>
      <w:r w:rsidRPr="000D7D3D">
        <w:t xml:space="preserve"> HcPT1 and ScPHO84. Meanwhile, PiPT2, PiPT4 and PiPT6 were grouped with the high-affinity P</w:t>
      </w:r>
      <w:r w:rsidR="004F13F3">
        <w:t>i transporter</w:t>
      </w:r>
      <w:r w:rsidRPr="000D7D3D">
        <w:t xml:space="preserve"> HcPT2. In contrast, PiPT3, PiPT5 and PiPT7 did not cluster with any known high-affinity </w:t>
      </w:r>
      <w:r w:rsidR="004F13F3" w:rsidRPr="000D7D3D">
        <w:t>P</w:t>
      </w:r>
      <w:r w:rsidR="004F13F3">
        <w:t>i transporter</w:t>
      </w:r>
      <w:r w:rsidRPr="000D7D3D">
        <w:t xml:space="preserve"> used in the phylogenetic analysis, and also neither with the low-affinity </w:t>
      </w:r>
      <w:r w:rsidR="004F13F3" w:rsidRPr="000D7D3D">
        <w:t>P</w:t>
      </w:r>
      <w:r w:rsidR="004F13F3">
        <w:t>i transporter</w:t>
      </w:r>
      <w:r w:rsidRPr="000D7D3D">
        <w:t xml:space="preserve"> ScPHO87.</w:t>
      </w:r>
    </w:p>
    <w:p w14:paraId="280155F2" w14:textId="77777777" w:rsidR="000D7D3D" w:rsidRPr="000D7D3D" w:rsidRDefault="000D7D3D" w:rsidP="007F746A"/>
    <w:p w14:paraId="564AEAE5" w14:textId="77777777" w:rsidR="000D7D3D" w:rsidRPr="000D7D3D" w:rsidRDefault="000D7D3D" w:rsidP="00B046D9">
      <w:r w:rsidRPr="000D7D3D">
        <w:rPr>
          <w:noProof/>
          <w:lang w:eastAsia="en-GB"/>
        </w:rPr>
        <w:drawing>
          <wp:inline distT="0" distB="0" distL="0" distR="0" wp14:anchorId="420DF8B1" wp14:editId="09E29061">
            <wp:extent cx="5905500" cy="444237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19413" name="Pi transpoters better phylo tree PNG.png"/>
                    <pic:cNvPicPr/>
                  </pic:nvPicPr>
                  <pic:blipFill>
                    <a:blip r:embed="rId19">
                      <a:extLst>
                        <a:ext uri="{28A0092B-C50C-407E-A947-70E740481C1C}">
                          <a14:useLocalDpi xmlns:a14="http://schemas.microsoft.com/office/drawing/2010/main" val="0"/>
                        </a:ext>
                      </a:extLst>
                    </a:blip>
                    <a:stretch>
                      <a:fillRect/>
                    </a:stretch>
                  </pic:blipFill>
                  <pic:spPr>
                    <a:xfrm>
                      <a:off x="0" y="0"/>
                      <a:ext cx="5915582" cy="4449962"/>
                    </a:xfrm>
                    <a:prstGeom prst="rect">
                      <a:avLst/>
                    </a:prstGeom>
                  </pic:spPr>
                </pic:pic>
              </a:graphicData>
            </a:graphic>
          </wp:inline>
        </w:drawing>
      </w:r>
    </w:p>
    <w:p w14:paraId="15D77F01" w14:textId="77777777" w:rsidR="00EF6ED2" w:rsidRDefault="000D7D3D" w:rsidP="00635993">
      <w:pPr>
        <w:pStyle w:val="Subtitle"/>
        <w:pBdr>
          <w:top w:val="single" w:sz="4" w:space="1" w:color="auto"/>
        </w:pBdr>
        <w:rPr>
          <w:lang w:eastAsia="en-GB"/>
        </w:rPr>
      </w:pPr>
      <w:r w:rsidRPr="000D7D3D">
        <w:t xml:space="preserve">Figure 2.7 </w:t>
      </w:r>
      <w:r w:rsidRPr="00635993">
        <w:rPr>
          <w:b w:val="0"/>
          <w:lang w:eastAsia="en-GB"/>
        </w:rPr>
        <w:t>The ev</w:t>
      </w:r>
      <w:r w:rsidR="00976979">
        <w:rPr>
          <w:b w:val="0"/>
          <w:lang w:eastAsia="en-GB"/>
        </w:rPr>
        <w:t>olutionary relationship of PiPTs</w:t>
      </w:r>
      <w:r w:rsidRPr="00635993">
        <w:rPr>
          <w:b w:val="0"/>
          <w:lang w:eastAsia="en-GB"/>
        </w:rPr>
        <w:t xml:space="preserve"> was inferred using the maximum likelihood method based on the Whelan and Goldman model </w:t>
      </w:r>
      <w:r w:rsidRPr="00635993">
        <w:rPr>
          <w:b w:val="0"/>
          <w:lang w:eastAsia="en-GB"/>
        </w:rPr>
        <w:fldChar w:fldCharType="begin" w:fldLock="1"/>
      </w:r>
      <w:r w:rsidR="00EE33AB">
        <w:rPr>
          <w:b w:val="0"/>
          <w:lang w:eastAsia="en-GB"/>
        </w:rPr>
        <w:instrText>ADDIN CSL_CITATION {"citationItems":[{"id":"ITEM-1","itemData":{"DOI":"10.1093/oxfordjournals.molbev.a003851","ISBN":"0737-4038 (Print)\\r0737-4038 (Linking)","ISSN":"0737-4038","PMID":"11319253","abstract":"Phylogenetic inference from amino acid sequence data uses mainly empirical models of amino acid replacement and is therefore dependent on those models. Two of the more widely used models, the Dayhoff and JTT models, are estimated using similar methods that can utilize large numbers of sequences from many unrelated protein families but are somewhat unsatisfactory because they rely on assumptions that may lead to systematic error and discard a large amount of the information within the sequences. The alternative method of maximum-likelihood estimation may utilize the information in the sequence data more efficiently and suffers from no systematic error, but it has previously been applicable to relatively few sequences related by a single phylogenetic tree. Here, we combine the best attributes of these two methods using an approximate maximum-likelihood method. We implemented this approach to estimate a new model of amino acid replacement from a database of globular protein sequences comprising 3,905 amino acid sequences split into 182 protein families. While the new model has an overall structure similar to those of other commonly used models, there are significant differences. The new model outperforms the Dayhoff and JTT models with respect to maximum-likelihood values for a large majority of the protein families in our database. This suggests that it provides a better overall fit to the evolutionary process in globular proteins and may lead to more accurate phylogenetic tree estimates. Potentially, this matrix, and the methods used to generate it, may also be useful in other areas of research, such as biological sequence database searching, sequence alignment, and protein structure prediction, for which an accurate description of amino acid replacement is required.","author":[{"dropping-particle":"","family":"Whelan","given":"Simon","non-dropping-particle":"","parse-names":false,"suffix":""},{"dropping-particle":"","family":"Goldman","given":"Nick","non-dropping-particle":"","parse-names":false,"suffix":""}],"container-title":"Molecular Biology and Evolution","id":"ITEM-1","issued":{"date-parts":[["2001"]]},"page":"691-699","title":"A General Empirical Model of Protein Evolution Derived from Multiple Protein Families Using a Maximum-Likelihood Approach","type":"article-journal","volume":"18"},"uris":["http://www.mendeley.com/documents/?uuid=f87800b1-e56a-4bfd-aefd-4e4e779bb189"]}],"mendeley":{"formattedCitation":"(Whelan and Goldman, 2001)","plainTextFormattedCitation":"(Whelan and Goldman, 2001)","previouslyFormattedCitation":"(Whelan and Goldman, 2001)"},"properties":{"noteIndex":0},"schema":"https://github.com/citation-style-language/schema/raw/master/csl-citation.json"}</w:instrText>
      </w:r>
      <w:r w:rsidRPr="00635993">
        <w:rPr>
          <w:b w:val="0"/>
          <w:lang w:eastAsia="en-GB"/>
        </w:rPr>
        <w:fldChar w:fldCharType="separate"/>
      </w:r>
      <w:r w:rsidRPr="00635993">
        <w:rPr>
          <w:b w:val="0"/>
          <w:noProof/>
          <w:lang w:eastAsia="en-GB"/>
        </w:rPr>
        <w:t>(Whelan and Goldman, 2001)</w:t>
      </w:r>
      <w:r w:rsidRPr="00635993">
        <w:rPr>
          <w:b w:val="0"/>
          <w:lang w:eastAsia="en-GB"/>
        </w:rPr>
        <w:fldChar w:fldCharType="end"/>
      </w:r>
      <w:r w:rsidRPr="00635993">
        <w:rPr>
          <w:b w:val="0"/>
          <w:lang w:eastAsia="en-GB"/>
        </w:rPr>
        <w:t xml:space="preserve">. The proportion of replicate trees in which the associated taxa clustered together in the bootstrap test are shown next to the branches </w:t>
      </w:r>
      <w:r w:rsidRPr="00635993">
        <w:rPr>
          <w:b w:val="0"/>
          <w:lang w:eastAsia="en-GB"/>
        </w:rPr>
        <w:fldChar w:fldCharType="begin" w:fldLock="1"/>
      </w:r>
      <w:r w:rsidR="00EE33AB">
        <w:rPr>
          <w:b w:val="0"/>
          <w:lang w:eastAsia="en-GB"/>
        </w:rPr>
        <w:instrText>ADDIN CSL_CITATION {"citationItems":[{"id":"ITEM-1","itemData":{"abstract":"sistematica","author":[{"dropping-particle":"","family":"Felsenstein","given":"Joseph","non-dropping-particle":"","parse-names":false,"suffix":""}],"container-title":"Evolution","id":"ITEM-1","issue":"4","issued":{"date-parts":[["1985"]]},"page":"783-791","title":"Confidence Limits on Phylogenies : An Approach Using the Bootstrap","type":"article-journal","volume":"39"},"uris":["http://www.mendeley.com/documents/?uuid=9f4c0e79-81bc-41f8-b4ca-1d2c18dde02d"]}],"mendeley":{"formattedCitation":"(Felsenstein, 1985)","plainTextFormattedCitation":"(Felsenstein, 1985)","previouslyFormattedCitation":"(Felsenstein, 1985)"},"properties":{"noteIndex":0},"schema":"https://github.com/citation-style-language/schema/raw/master/csl-citation.json"}</w:instrText>
      </w:r>
      <w:r w:rsidRPr="00635993">
        <w:rPr>
          <w:b w:val="0"/>
          <w:lang w:eastAsia="en-GB"/>
        </w:rPr>
        <w:fldChar w:fldCharType="separate"/>
      </w:r>
      <w:r w:rsidRPr="00635993">
        <w:rPr>
          <w:b w:val="0"/>
          <w:noProof/>
          <w:lang w:eastAsia="en-GB"/>
        </w:rPr>
        <w:t>(Felsenstein, 1985)</w:t>
      </w:r>
      <w:r w:rsidRPr="00635993">
        <w:rPr>
          <w:b w:val="0"/>
          <w:lang w:eastAsia="en-GB"/>
        </w:rPr>
        <w:fldChar w:fldCharType="end"/>
      </w:r>
      <w:r w:rsidRPr="00635993">
        <w:rPr>
          <w:b w:val="0"/>
          <w:lang w:eastAsia="en-GB"/>
        </w:rPr>
        <w:t xml:space="preserve">. Evolutionary analyses were conducted in MEGA7 </w:t>
      </w:r>
      <w:r w:rsidRPr="00635993">
        <w:rPr>
          <w:b w:val="0"/>
          <w:lang w:eastAsia="en-GB"/>
        </w:rPr>
        <w:fldChar w:fldCharType="begin" w:fldLock="1"/>
      </w:r>
      <w:r w:rsidR="00EE33AB">
        <w:rPr>
          <w:b w:val="0"/>
          <w:lang w:eastAsia="en-GB"/>
        </w:rPr>
        <w:instrText>ADDIN CSL_CITATION {"citationItems":[{"id":"ITEM-1","itemData":{"DOI":"10.1093/molbev/msw054","abstract":"We present the latest version of the Molecular Evolutionary Genetics Analysis (MEGA) software, which contains many sophisticated methods and tools for phylogenomics and phylomedicine. In this major upgrade, MEGA has been optimized for use on 64-bit computing systems for analyzing bigger datasets. Researchers can now explore and analyze tens of thousands of sequences in MEGA. The new version also provides an advanced wizard for building timetrees and includes a new functionality to automatically predict gene duplication events in gene family trees. The 64-bit MEGA is made available in two interfaces: graphical and command line. The graphical user interface (GUI) is a native Microsoft Windows application that can also be used on Mac OSX. The command line MEGA is available as native applications for Windows, Linux, and Mac OSX. They are intended for use in high-throughput and scripted analysis. Both versions are available from www.megasoftware.net free of charge.","author":[{"dropping-particle":"","family":"Kumar","given":"Sudhir","non-dropping-particle":"","parse-names":false,"suffix":""},{"dropping-particle":"","family":"Stecher","given":"Glen","non-dropping-particle":"","parse-names":false,"suffix":""},{"dropping-particle":"","family":"Tamura","given":"Koichiro","non-dropping-particle":"","parse-names":false,"suffix":""}],"container-title":"Molecular Biology and Evolution","id":"ITEM-1","issued":{"date-parts":[["2016","3","22"]]},"note":"10.1093/molbev/msw054","page":"1870-1874","title":"MEGA7: Molecular Evolutionary Genetics Analysis version 7.0 for bigger datasets","type":"article-journal","volume":"33"},"uris":["http://www.mendeley.com/documents/?uuid=1cf25e3d-1a60-4ef1-ace2-55983ffd7726"]}],"mendeley":{"formattedCitation":"(Kumar et al., 2016)","plainTextFormattedCitation":"(Kumar et al., 2016)","previouslyFormattedCitation":"(Kumar et al., 2016)"},"properties":{"noteIndex":0},"schema":"https://github.com/citation-style-language/schema/raw/master/csl-citation.json"}</w:instrText>
      </w:r>
      <w:r w:rsidRPr="00635993">
        <w:rPr>
          <w:b w:val="0"/>
          <w:lang w:eastAsia="en-GB"/>
        </w:rPr>
        <w:fldChar w:fldCharType="separate"/>
      </w:r>
      <w:r w:rsidRPr="00635993">
        <w:rPr>
          <w:b w:val="0"/>
          <w:noProof/>
          <w:lang w:eastAsia="en-GB"/>
        </w:rPr>
        <w:t>(Kumar et al., 2016)</w:t>
      </w:r>
      <w:r w:rsidRPr="00635993">
        <w:rPr>
          <w:b w:val="0"/>
          <w:lang w:eastAsia="en-GB"/>
        </w:rPr>
        <w:fldChar w:fldCharType="end"/>
      </w:r>
      <w:r w:rsidRPr="00EF6ED2">
        <w:rPr>
          <w:b w:val="0"/>
          <w:lang w:eastAsia="en-GB"/>
        </w:rPr>
        <w:t>.</w:t>
      </w:r>
    </w:p>
    <w:p w14:paraId="24E67263" w14:textId="07300A8E" w:rsidR="000D7D3D" w:rsidRPr="000D7D3D" w:rsidRDefault="000D7D3D" w:rsidP="00635993">
      <w:pPr>
        <w:pStyle w:val="Subtitle"/>
        <w:pBdr>
          <w:top w:val="single" w:sz="4" w:space="1" w:color="auto"/>
        </w:pBdr>
        <w:rPr>
          <w:lang w:eastAsia="en-GB"/>
        </w:rPr>
      </w:pPr>
      <w:r w:rsidRPr="000D7D3D">
        <w:rPr>
          <w:lang w:eastAsia="en-GB"/>
        </w:rPr>
        <w:br w:type="page"/>
      </w:r>
    </w:p>
    <w:p w14:paraId="37BEF7A3" w14:textId="78C1C703" w:rsidR="000D7D3D" w:rsidRPr="000D7D3D" w:rsidRDefault="000D7D3D" w:rsidP="00635993">
      <w:pPr>
        <w:pStyle w:val="Heading2"/>
      </w:pPr>
      <w:bookmarkStart w:id="145" w:name="_Toc507603987"/>
      <w:bookmarkStart w:id="146" w:name="_Toc507604254"/>
      <w:bookmarkStart w:id="147" w:name="_Toc519016971"/>
      <w:bookmarkStart w:id="148" w:name="_Toc520837869"/>
      <w:r w:rsidRPr="000D7D3D">
        <w:lastRenderedPageBreak/>
        <w:t xml:space="preserve">2.3.7 Gene expression analysis of </w:t>
      </w:r>
      <w:r w:rsidRPr="000D7D3D">
        <w:rPr>
          <w:i/>
        </w:rPr>
        <w:t>PiPTs</w:t>
      </w:r>
      <w:r w:rsidRPr="000D7D3D">
        <w:t xml:space="preserve"> in response to Pi availability during </w:t>
      </w:r>
      <w:r w:rsidRPr="006E639E">
        <w:rPr>
          <w:i/>
        </w:rPr>
        <w:t>P. involutus</w:t>
      </w:r>
      <w:r w:rsidRPr="000D7D3D">
        <w:t xml:space="preserve"> growth under the NS and S conditions</w:t>
      </w:r>
      <w:bookmarkEnd w:id="145"/>
      <w:bookmarkEnd w:id="146"/>
      <w:bookmarkEnd w:id="147"/>
      <w:bookmarkEnd w:id="148"/>
    </w:p>
    <w:p w14:paraId="342F007B" w14:textId="177082DB" w:rsidR="000D7D3D" w:rsidRPr="000D7D3D" w:rsidRDefault="000D7D3D" w:rsidP="003F7054">
      <w:r w:rsidRPr="000D7D3D">
        <w:t xml:space="preserve">The transcriptional response of the </w:t>
      </w:r>
      <w:r w:rsidRPr="000D7D3D">
        <w:rPr>
          <w:i/>
        </w:rPr>
        <w:t>PiPT</w:t>
      </w:r>
      <w:r w:rsidR="006E639E" w:rsidRPr="006E639E">
        <w:rPr>
          <w:i/>
        </w:rPr>
        <w:t>s</w:t>
      </w:r>
      <w:r w:rsidRPr="000D7D3D">
        <w:t xml:space="preserve"> to Pi availability was investigated using qRT-PCR. Initially, relative gene expression of the </w:t>
      </w:r>
      <w:r w:rsidRPr="000D7D3D">
        <w:rPr>
          <w:i/>
        </w:rPr>
        <w:t>PiPTs</w:t>
      </w:r>
      <w:r w:rsidRPr="000D7D3D">
        <w:t xml:space="preserve"> was quantified at each of the six Pi concentrations during </w:t>
      </w:r>
      <w:r w:rsidRPr="000D7D3D">
        <w:rPr>
          <w:i/>
        </w:rPr>
        <w:t>P. involutus</w:t>
      </w:r>
      <w:r w:rsidRPr="000D7D3D">
        <w:t xml:space="preserve"> </w:t>
      </w:r>
      <w:r w:rsidR="00F20F5C" w:rsidRPr="00F20F5C">
        <w:rPr>
          <w:i/>
        </w:rPr>
        <w:t>ATCC 200175</w:t>
      </w:r>
      <w:r w:rsidR="00F20F5C">
        <w:t xml:space="preserve"> </w:t>
      </w:r>
      <w:r w:rsidRPr="000D7D3D">
        <w:t xml:space="preserve">hyphal growth </w:t>
      </w:r>
      <w:r w:rsidR="006E639E">
        <w:t>in</w:t>
      </w:r>
      <w:r w:rsidRPr="000D7D3D">
        <w:t xml:space="preserve"> M-MMN</w:t>
      </w:r>
      <w:r w:rsidRPr="000D7D3D">
        <w:rPr>
          <w:vertAlign w:val="subscript"/>
        </w:rPr>
        <w:t>NS</w:t>
      </w:r>
      <w:r w:rsidRPr="006E639E">
        <w:t xml:space="preserve"> </w:t>
      </w:r>
      <w:r w:rsidRPr="000D7D3D">
        <w:t xml:space="preserve">(Figure 2.8). Relative gene expression profiles for the majority of the putative </w:t>
      </w:r>
      <w:r w:rsidRPr="000D7D3D">
        <w:rPr>
          <w:i/>
        </w:rPr>
        <w:t>PiPT</w:t>
      </w:r>
      <w:r w:rsidR="006E639E">
        <w:rPr>
          <w:i/>
        </w:rPr>
        <w:t>s</w:t>
      </w:r>
      <w:r w:rsidRPr="000D7D3D">
        <w:t xml:space="preserve"> indicated these genes were responsive to Pi-varying concentrations. In particular, </w:t>
      </w:r>
      <w:r w:rsidRPr="000D7D3D">
        <w:rPr>
          <w:i/>
        </w:rPr>
        <w:t>PiPT1</w:t>
      </w:r>
      <w:r w:rsidRPr="000D7D3D">
        <w:t xml:space="preserve">, </w:t>
      </w:r>
      <w:r w:rsidRPr="000D7D3D">
        <w:rPr>
          <w:i/>
        </w:rPr>
        <w:t>PiPT2</w:t>
      </w:r>
      <w:r w:rsidRPr="000D7D3D">
        <w:t xml:space="preserve">, </w:t>
      </w:r>
      <w:r w:rsidRPr="000D7D3D">
        <w:rPr>
          <w:i/>
        </w:rPr>
        <w:t>PiPT4</w:t>
      </w:r>
      <w:r w:rsidRPr="000D7D3D">
        <w:t xml:space="preserve"> and </w:t>
      </w:r>
      <w:r w:rsidRPr="000D7D3D">
        <w:rPr>
          <w:i/>
        </w:rPr>
        <w:t>PiPT7</w:t>
      </w:r>
      <w:r w:rsidRPr="000D7D3D">
        <w:t xml:space="preserve"> gene transcription was mainly induced when Pi availability was low and suppressed when Pi availa</w:t>
      </w:r>
      <w:r w:rsidR="008D13F4">
        <w:t>bility was high</w:t>
      </w:r>
      <w:r w:rsidR="003F0103">
        <w:t xml:space="preserve"> </w:t>
      </w:r>
      <w:r w:rsidR="003F0103" w:rsidRPr="000D7D3D">
        <w:t>(Figure 2.8)</w:t>
      </w:r>
      <w:r w:rsidRPr="000D7D3D">
        <w:t xml:space="preserve">. Meanwhile, the </w:t>
      </w:r>
      <w:r w:rsidRPr="000D7D3D">
        <w:rPr>
          <w:i/>
        </w:rPr>
        <w:t>PiPT3</w:t>
      </w:r>
      <w:r w:rsidRPr="000D7D3D">
        <w:t xml:space="preserve"> and </w:t>
      </w:r>
      <w:r w:rsidRPr="000D7D3D">
        <w:rPr>
          <w:i/>
        </w:rPr>
        <w:t>PiPT6</w:t>
      </w:r>
      <w:r w:rsidRPr="000D7D3D">
        <w:t xml:space="preserve"> gene transcripts had a less clear but still apparent response to Pi-varyi</w:t>
      </w:r>
      <w:r w:rsidR="008D13F4">
        <w:t>ng concentrations</w:t>
      </w:r>
      <w:r w:rsidR="003F0103">
        <w:t xml:space="preserve"> </w:t>
      </w:r>
      <w:r w:rsidR="003F0103" w:rsidRPr="000D7D3D">
        <w:t>(Figure 2.8)</w:t>
      </w:r>
      <w:r w:rsidRPr="000D7D3D">
        <w:t xml:space="preserve">. In contrast, </w:t>
      </w:r>
      <w:r w:rsidRPr="000D7D3D">
        <w:rPr>
          <w:i/>
        </w:rPr>
        <w:t>PiPT5</w:t>
      </w:r>
      <w:r w:rsidRPr="000D7D3D">
        <w:t xml:space="preserve"> gene transcription remained unchanged to Pi</w:t>
      </w:r>
      <w:r w:rsidR="008D13F4">
        <w:t xml:space="preserve"> availability</w:t>
      </w:r>
      <w:r w:rsidR="003F0103">
        <w:t xml:space="preserve"> </w:t>
      </w:r>
      <w:r w:rsidR="003F0103" w:rsidRPr="000D7D3D">
        <w:t>(Figure 2.8)</w:t>
      </w:r>
      <w:r w:rsidR="006E639E">
        <w:t>.</w:t>
      </w:r>
    </w:p>
    <w:p w14:paraId="0A32477A" w14:textId="07A2B03C" w:rsidR="000D7D3D" w:rsidRPr="000D7D3D" w:rsidRDefault="000D7D3D" w:rsidP="007F746A">
      <w:pPr>
        <w:ind w:firstLine="720"/>
      </w:pPr>
      <w:r w:rsidRPr="000D7D3D">
        <w:t>According to the data derive</w:t>
      </w:r>
      <w:r w:rsidR="00C876C4">
        <w:t>d from the qRT-PCR experiment on</w:t>
      </w:r>
      <w:r w:rsidRPr="000D7D3D">
        <w:t xml:space="preserve"> </w:t>
      </w:r>
      <w:r w:rsidRPr="000D7D3D">
        <w:rPr>
          <w:i/>
        </w:rPr>
        <w:t>P. involutus</w:t>
      </w:r>
      <w:r w:rsidR="00F20F5C" w:rsidRPr="00F20F5C">
        <w:rPr>
          <w:i/>
        </w:rPr>
        <w:t xml:space="preserve"> ATCC 200175</w:t>
      </w:r>
      <w:r w:rsidR="00C876C4">
        <w:t xml:space="preserve"> hypha growing on</w:t>
      </w:r>
      <w:r w:rsidRPr="000D7D3D">
        <w:t xml:space="preserve"> M-MMN</w:t>
      </w:r>
      <w:r w:rsidRPr="000D7D3D">
        <w:rPr>
          <w:vertAlign w:val="subscript"/>
        </w:rPr>
        <w:t>NS</w:t>
      </w:r>
      <w:r w:rsidRPr="000D7D3D">
        <w:t xml:space="preserve"> Pi-varying media, the majority of the </w:t>
      </w:r>
      <w:r w:rsidRPr="000D7D3D">
        <w:rPr>
          <w:i/>
        </w:rPr>
        <w:t xml:space="preserve">PiPTs </w:t>
      </w:r>
      <w:r w:rsidRPr="000D7D3D">
        <w:t>were differentially expressed at concentrations of 0.15 μM and 367 μM KH</w:t>
      </w:r>
      <w:r w:rsidRPr="000D7D3D">
        <w:rPr>
          <w:vertAlign w:val="subscript"/>
        </w:rPr>
        <w:t>2</w:t>
      </w:r>
      <w:r w:rsidRPr="000D7D3D">
        <w:t>PO</w:t>
      </w:r>
      <w:r w:rsidRPr="000D7D3D">
        <w:rPr>
          <w:vertAlign w:val="subscript"/>
        </w:rPr>
        <w:t>4</w:t>
      </w:r>
      <w:r w:rsidR="003F0103" w:rsidRPr="003F0103">
        <w:t xml:space="preserve"> </w:t>
      </w:r>
      <w:r w:rsidR="003F0103" w:rsidRPr="000D7D3D">
        <w:t>(Figure 2.8)</w:t>
      </w:r>
      <w:r w:rsidRPr="000D7D3D">
        <w:t xml:space="preserve">. Specifically, most of the </w:t>
      </w:r>
      <w:r w:rsidRPr="000D7D3D">
        <w:rPr>
          <w:i/>
        </w:rPr>
        <w:t xml:space="preserve">PiPT </w:t>
      </w:r>
      <w:r w:rsidRPr="000D7D3D">
        <w:t>genes</w:t>
      </w:r>
      <w:r w:rsidRPr="000D7D3D">
        <w:rPr>
          <w:i/>
        </w:rPr>
        <w:t xml:space="preserve"> </w:t>
      </w:r>
      <w:r w:rsidRPr="000D7D3D">
        <w:t>were upregulated at 0.15 μM KH</w:t>
      </w:r>
      <w:r w:rsidRPr="000D7D3D">
        <w:rPr>
          <w:vertAlign w:val="subscript"/>
        </w:rPr>
        <w:t>2</w:t>
      </w:r>
      <w:r w:rsidRPr="000D7D3D">
        <w:t>PO</w:t>
      </w:r>
      <w:r w:rsidRPr="000D7D3D">
        <w:rPr>
          <w:vertAlign w:val="subscript"/>
        </w:rPr>
        <w:t xml:space="preserve">4 </w:t>
      </w:r>
      <w:r w:rsidRPr="000D7D3D">
        <w:t>and downregulated at 367 μM KH</w:t>
      </w:r>
      <w:r w:rsidRPr="000D7D3D">
        <w:rPr>
          <w:vertAlign w:val="subscript"/>
        </w:rPr>
        <w:t>2</w:t>
      </w:r>
      <w:r w:rsidRPr="000D7D3D">
        <w:t>PO</w:t>
      </w:r>
      <w:r w:rsidRPr="000D7D3D">
        <w:rPr>
          <w:vertAlign w:val="subscript"/>
        </w:rPr>
        <w:t>4</w:t>
      </w:r>
      <w:r w:rsidR="003F0103" w:rsidRPr="003F0103">
        <w:t xml:space="preserve"> </w:t>
      </w:r>
      <w:r w:rsidR="003F0103" w:rsidRPr="000D7D3D">
        <w:t>(Figure 2.8)</w:t>
      </w:r>
      <w:r w:rsidRPr="000D7D3D">
        <w:t xml:space="preserve">. Hence, the expression of </w:t>
      </w:r>
      <w:r w:rsidRPr="000D7D3D">
        <w:rPr>
          <w:i/>
        </w:rPr>
        <w:t>PiPTs</w:t>
      </w:r>
      <w:r w:rsidRPr="000D7D3D">
        <w:t xml:space="preserve"> genes in the M-MMN</w:t>
      </w:r>
      <w:r w:rsidRPr="000D7D3D">
        <w:rPr>
          <w:vertAlign w:val="subscript"/>
        </w:rPr>
        <w:t>S</w:t>
      </w:r>
      <w:r w:rsidRPr="000D7D3D">
        <w:t xml:space="preserve"> Pi-varying media was analysed for three selected concentrations, 0.15 μM and 367 μM KH</w:t>
      </w:r>
      <w:r w:rsidRPr="000D7D3D">
        <w:rPr>
          <w:vertAlign w:val="subscript"/>
        </w:rPr>
        <w:t>2</w:t>
      </w:r>
      <w:r w:rsidRPr="000D7D3D">
        <w:t>PO</w:t>
      </w:r>
      <w:r w:rsidRPr="000D7D3D">
        <w:rPr>
          <w:vertAlign w:val="subscript"/>
        </w:rPr>
        <w:t>4</w:t>
      </w:r>
      <w:r w:rsidRPr="000D7D3D">
        <w:t xml:space="preserve">, where most of the </w:t>
      </w:r>
      <w:r w:rsidRPr="000D7D3D">
        <w:rPr>
          <w:i/>
        </w:rPr>
        <w:t xml:space="preserve">PiPTs </w:t>
      </w:r>
      <w:r w:rsidRPr="000D7D3D">
        <w:t>transcripts were found to be differentially expressed</w:t>
      </w:r>
      <w:r w:rsidR="00355DF0">
        <w:t>,</w:t>
      </w:r>
      <w:r w:rsidRPr="000D7D3D">
        <w:t xml:space="preserve"> and for one additional concentration of 3.67 μM KH</w:t>
      </w:r>
      <w:r w:rsidRPr="000D7D3D">
        <w:rPr>
          <w:vertAlign w:val="subscript"/>
        </w:rPr>
        <w:t>2</w:t>
      </w:r>
      <w:r w:rsidRPr="000D7D3D">
        <w:t>PO</w:t>
      </w:r>
      <w:r w:rsidRPr="000D7D3D">
        <w:rPr>
          <w:vertAlign w:val="subscript"/>
        </w:rPr>
        <w:t>4</w:t>
      </w:r>
      <w:r w:rsidR="003F0103" w:rsidRPr="003F0103">
        <w:t xml:space="preserve"> </w:t>
      </w:r>
      <w:r w:rsidR="003F0103">
        <w:t>(Figure 2.9</w:t>
      </w:r>
      <w:r w:rsidR="003F0103" w:rsidRPr="000D7D3D">
        <w:t>)</w:t>
      </w:r>
      <w:r w:rsidR="00A144DF">
        <w:t>.</w:t>
      </w:r>
    </w:p>
    <w:p w14:paraId="28FAA19E" w14:textId="38399ED1" w:rsidR="000D7D3D" w:rsidRPr="000D7D3D" w:rsidRDefault="000D7D3D" w:rsidP="00635993">
      <w:pPr>
        <w:ind w:firstLine="720"/>
      </w:pPr>
      <w:r w:rsidRPr="000D7D3D">
        <w:t xml:space="preserve">Specifically, qRT-PCR analysis of </w:t>
      </w:r>
      <w:r w:rsidRPr="000D7D3D">
        <w:rPr>
          <w:i/>
        </w:rPr>
        <w:t>P. involutus</w:t>
      </w:r>
      <w:r w:rsidRPr="000D7D3D">
        <w:t xml:space="preserve"> </w:t>
      </w:r>
      <w:r w:rsidR="00F20F5C" w:rsidRPr="00F20F5C">
        <w:rPr>
          <w:i/>
        </w:rPr>
        <w:t>ATCC 200175</w:t>
      </w:r>
      <w:r w:rsidR="00F20F5C">
        <w:rPr>
          <w:i/>
        </w:rPr>
        <w:t xml:space="preserve"> </w:t>
      </w:r>
      <w:r w:rsidRPr="000D7D3D">
        <w:t>hypha growing in the M-MMN</w:t>
      </w:r>
      <w:r w:rsidRPr="000D7D3D">
        <w:rPr>
          <w:vertAlign w:val="subscript"/>
        </w:rPr>
        <w:t>S</w:t>
      </w:r>
      <w:r w:rsidRPr="000D7D3D">
        <w:t xml:space="preserve"> Pi-varying media showed that </w:t>
      </w:r>
      <w:r w:rsidRPr="000D7D3D">
        <w:rPr>
          <w:i/>
        </w:rPr>
        <w:t>PiPT1</w:t>
      </w:r>
      <w:r w:rsidRPr="000D7D3D">
        <w:t xml:space="preserve">, </w:t>
      </w:r>
      <w:r w:rsidRPr="000D7D3D">
        <w:rPr>
          <w:i/>
        </w:rPr>
        <w:t>PiPT2</w:t>
      </w:r>
      <w:r w:rsidRPr="000D7D3D">
        <w:t xml:space="preserve"> and </w:t>
      </w:r>
      <w:r w:rsidRPr="000D7D3D">
        <w:rPr>
          <w:i/>
        </w:rPr>
        <w:t>PiPT7</w:t>
      </w:r>
      <w:r w:rsidRPr="000D7D3D">
        <w:t xml:space="preserve"> genes were induced when Pi availability was low at 0.15 μM KH</w:t>
      </w:r>
      <w:r w:rsidRPr="000D7D3D">
        <w:rPr>
          <w:vertAlign w:val="subscript"/>
        </w:rPr>
        <w:t>2</w:t>
      </w:r>
      <w:r w:rsidRPr="000D7D3D">
        <w:t>PO</w:t>
      </w:r>
      <w:r w:rsidRPr="000D7D3D">
        <w:rPr>
          <w:vertAlign w:val="subscript"/>
        </w:rPr>
        <w:t xml:space="preserve">4 </w:t>
      </w:r>
      <w:r w:rsidRPr="000D7D3D">
        <w:t>and suppressed when Pi availability was high at 367 μM of KH</w:t>
      </w:r>
      <w:r w:rsidRPr="000D7D3D">
        <w:rPr>
          <w:vertAlign w:val="subscript"/>
        </w:rPr>
        <w:t>2</w:t>
      </w:r>
      <w:r w:rsidRPr="000D7D3D">
        <w:t>PO</w:t>
      </w:r>
      <w:r w:rsidRPr="000D7D3D">
        <w:rPr>
          <w:vertAlign w:val="subscript"/>
        </w:rPr>
        <w:t>4</w:t>
      </w:r>
      <w:r w:rsidR="0053086F" w:rsidRPr="0053086F">
        <w:t xml:space="preserve"> </w:t>
      </w:r>
      <w:r w:rsidR="0053086F">
        <w:t>(Figure 2.9)</w:t>
      </w:r>
      <w:r w:rsidRPr="000D7D3D">
        <w:t xml:space="preserve">. Meanwhile, </w:t>
      </w:r>
      <w:r w:rsidRPr="000D7D3D">
        <w:rPr>
          <w:i/>
        </w:rPr>
        <w:t>PiPT3</w:t>
      </w:r>
      <w:r w:rsidRPr="000D7D3D">
        <w:t xml:space="preserve">, </w:t>
      </w:r>
      <w:r w:rsidRPr="000D7D3D">
        <w:rPr>
          <w:i/>
        </w:rPr>
        <w:t>PiPT4</w:t>
      </w:r>
      <w:r w:rsidRPr="000D7D3D">
        <w:t xml:space="preserve">, </w:t>
      </w:r>
      <w:r w:rsidRPr="000D7D3D">
        <w:rPr>
          <w:i/>
        </w:rPr>
        <w:t>PiPT5</w:t>
      </w:r>
      <w:r w:rsidRPr="000D7D3D">
        <w:t xml:space="preserve"> and </w:t>
      </w:r>
      <w:r w:rsidRPr="000D7D3D">
        <w:rPr>
          <w:i/>
        </w:rPr>
        <w:t>PiPT6</w:t>
      </w:r>
      <w:r w:rsidRPr="000D7D3D">
        <w:t xml:space="preserve"> gene tra</w:t>
      </w:r>
      <w:r w:rsidR="00C876C4">
        <w:t>nscription remained unchanged at different</w:t>
      </w:r>
      <w:r w:rsidRPr="000D7D3D">
        <w:t xml:space="preserve"> Pi</w:t>
      </w:r>
      <w:r w:rsidR="00C876C4">
        <w:t xml:space="preserve"> availabilities</w:t>
      </w:r>
      <w:r w:rsidR="0053086F">
        <w:t xml:space="preserve"> (Figure 2.9)</w:t>
      </w:r>
      <w:r w:rsidRPr="000D7D3D">
        <w:t xml:space="preserve">. Besides, differences in </w:t>
      </w:r>
      <w:r w:rsidRPr="000D7D3D">
        <w:rPr>
          <w:i/>
        </w:rPr>
        <w:t>PiPTs</w:t>
      </w:r>
      <w:r w:rsidRPr="000D7D3D">
        <w:t xml:space="preserve"> relative gene expression between the NS and S experimental conditions were observed for </w:t>
      </w:r>
      <w:r w:rsidRPr="000D7D3D">
        <w:rPr>
          <w:i/>
        </w:rPr>
        <w:t xml:space="preserve">PiPT2 </w:t>
      </w:r>
      <w:r w:rsidR="000F3BD0">
        <w:t xml:space="preserve">at 3.67 </w:t>
      </w:r>
      <w:r w:rsidR="000F3BD0" w:rsidRPr="000D7D3D">
        <w:t>μM KH</w:t>
      </w:r>
      <w:r w:rsidR="000F3BD0" w:rsidRPr="000D7D3D">
        <w:rPr>
          <w:vertAlign w:val="subscript"/>
        </w:rPr>
        <w:t>2</w:t>
      </w:r>
      <w:r w:rsidR="000F3BD0" w:rsidRPr="000D7D3D">
        <w:t>PO</w:t>
      </w:r>
      <w:r w:rsidR="000F3BD0" w:rsidRPr="000D7D3D">
        <w:rPr>
          <w:vertAlign w:val="subscript"/>
        </w:rPr>
        <w:t>4</w:t>
      </w:r>
      <w:r w:rsidR="000F3BD0">
        <w:t>.</w:t>
      </w:r>
      <w:r w:rsidRPr="000D7D3D">
        <w:t xml:space="preserve">and </w:t>
      </w:r>
      <w:r w:rsidR="000F3BD0">
        <w:t xml:space="preserve">for </w:t>
      </w:r>
      <w:r w:rsidRPr="000D7D3D">
        <w:rPr>
          <w:i/>
        </w:rPr>
        <w:t xml:space="preserve">PiPT6 </w:t>
      </w:r>
      <w:r w:rsidRPr="000D7D3D">
        <w:t xml:space="preserve">at </w:t>
      </w:r>
      <w:r w:rsidR="000F3BD0">
        <w:t xml:space="preserve">both </w:t>
      </w:r>
      <w:r w:rsidRPr="000D7D3D">
        <w:t>0.15 μM and 3.67 μM KH</w:t>
      </w:r>
      <w:r w:rsidRPr="000D7D3D">
        <w:rPr>
          <w:vertAlign w:val="subscript"/>
        </w:rPr>
        <w:t>2</w:t>
      </w:r>
      <w:r w:rsidRPr="000D7D3D">
        <w:t>PO</w:t>
      </w:r>
      <w:r w:rsidRPr="000D7D3D">
        <w:rPr>
          <w:vertAlign w:val="subscript"/>
        </w:rPr>
        <w:t>4</w:t>
      </w:r>
      <w:r w:rsidR="003F0103" w:rsidRPr="003F0103">
        <w:t xml:space="preserve"> </w:t>
      </w:r>
      <w:r w:rsidR="003F0103">
        <w:t>(Figure 2.9)</w:t>
      </w:r>
      <w:r w:rsidR="008D13F4">
        <w:t>.</w:t>
      </w:r>
      <w:r w:rsidRPr="000D7D3D">
        <w:br w:type="page"/>
      </w:r>
    </w:p>
    <w:p w14:paraId="3216F361" w14:textId="14F8E9C3" w:rsidR="00E13746" w:rsidRDefault="00E26670" w:rsidP="003F7054">
      <w:r>
        <w:rPr>
          <w:noProof/>
          <w:lang w:eastAsia="en-GB"/>
        </w:rPr>
        <w:lastRenderedPageBreak/>
        <w:drawing>
          <wp:inline distT="0" distB="0" distL="0" distR="0" wp14:anchorId="7323391E" wp14:editId="442C839A">
            <wp:extent cx="4914900" cy="75497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2.8_new+++.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30452" cy="7573624"/>
                    </a:xfrm>
                    <a:prstGeom prst="rect">
                      <a:avLst/>
                    </a:prstGeom>
                  </pic:spPr>
                </pic:pic>
              </a:graphicData>
            </a:graphic>
          </wp:inline>
        </w:drawing>
      </w:r>
    </w:p>
    <w:p w14:paraId="3583A6EE" w14:textId="77777777" w:rsidR="000D7D3D" w:rsidRPr="00635993" w:rsidRDefault="00E13746" w:rsidP="003F7054">
      <w:pPr>
        <w:rPr>
          <w:rFonts w:asciiTheme="minorHAnsi" w:hAnsiTheme="minorHAnsi"/>
          <w:sz w:val="22"/>
        </w:rPr>
      </w:pPr>
      <w:r>
        <w:br w:type="page"/>
      </w:r>
    </w:p>
    <w:p w14:paraId="062C35F6" w14:textId="05FAD631" w:rsidR="00453EBB" w:rsidRDefault="000D7D3D" w:rsidP="00635993">
      <w:pPr>
        <w:pStyle w:val="Subtitle"/>
        <w:pBdr>
          <w:top w:val="single" w:sz="4" w:space="1" w:color="auto"/>
        </w:pBdr>
      </w:pPr>
      <w:r w:rsidRPr="000D7D3D">
        <w:lastRenderedPageBreak/>
        <w:t xml:space="preserve">Figure 2.8 </w:t>
      </w:r>
      <w:r w:rsidRPr="00635993">
        <w:rPr>
          <w:b w:val="0"/>
        </w:rPr>
        <w:t xml:space="preserve">Relative mRNA levels of the </w:t>
      </w:r>
      <w:r w:rsidR="00DA5A8B" w:rsidRPr="00635993">
        <w:rPr>
          <w:b w:val="0"/>
          <w:i/>
        </w:rPr>
        <w:t>Pi</w:t>
      </w:r>
      <w:r w:rsidRPr="00635993">
        <w:rPr>
          <w:b w:val="0"/>
          <w:i/>
        </w:rPr>
        <w:t>PT</w:t>
      </w:r>
      <w:r w:rsidRPr="00635993">
        <w:rPr>
          <w:b w:val="0"/>
        </w:rPr>
        <w:t xml:space="preserve"> genes expressed in the </w:t>
      </w:r>
      <w:r w:rsidR="00F20F5C" w:rsidRPr="00F20F5C">
        <w:rPr>
          <w:b w:val="0"/>
          <w:i/>
        </w:rPr>
        <w:t>P. involutus</w:t>
      </w:r>
      <w:r w:rsidR="00F20F5C" w:rsidRPr="00F20F5C">
        <w:rPr>
          <w:b w:val="0"/>
        </w:rPr>
        <w:t xml:space="preserve"> </w:t>
      </w:r>
      <w:r w:rsidR="00F20F5C" w:rsidRPr="00F20F5C">
        <w:rPr>
          <w:b w:val="0"/>
          <w:i/>
        </w:rPr>
        <w:t>ATCC 200175</w:t>
      </w:r>
      <w:r w:rsidR="00F20F5C">
        <w:rPr>
          <w:i/>
        </w:rPr>
        <w:t xml:space="preserve"> </w:t>
      </w:r>
      <w:r w:rsidRPr="00635993">
        <w:rPr>
          <w:b w:val="0"/>
        </w:rPr>
        <w:t xml:space="preserve">hyphae during growth on the M-MMN media for 60 days. Results are shown for 0.15 μM, 0.37 μM, 3.67 μM, 36.7 μM, 367 μM and 3,670 μM of Pi. For each </w:t>
      </w:r>
      <w:r w:rsidR="00DA5A8B" w:rsidRPr="00635993">
        <w:rPr>
          <w:b w:val="0"/>
          <w:i/>
        </w:rPr>
        <w:t>Pi</w:t>
      </w:r>
      <w:r w:rsidRPr="00635993">
        <w:rPr>
          <w:b w:val="0"/>
          <w:i/>
        </w:rPr>
        <w:t>PT</w:t>
      </w:r>
      <w:r w:rsidRPr="00635993">
        <w:rPr>
          <w:b w:val="0"/>
        </w:rPr>
        <w:t xml:space="preserve"> gene, statistically significant differences between relative mRNA expressions at different Pi concentrations were assessed by one-way ANOVA followed by Tukey’s post-hoc test for multiple comparisons (letters,</w:t>
      </w:r>
      <w:r w:rsidRPr="00635993">
        <w:rPr>
          <w:b w:val="0"/>
          <w:i/>
        </w:rPr>
        <w:t xml:space="preserve"> α</w:t>
      </w:r>
      <w:r w:rsidRPr="00635993">
        <w:rPr>
          <w:b w:val="0"/>
        </w:rPr>
        <w:t>=0.05).</w:t>
      </w:r>
    </w:p>
    <w:p w14:paraId="40247B2B" w14:textId="691ECF71" w:rsidR="000D7D3D" w:rsidRPr="000D7D3D" w:rsidRDefault="000D7D3D" w:rsidP="00635993">
      <w:pPr>
        <w:pStyle w:val="Subtitle"/>
      </w:pPr>
      <w:r w:rsidRPr="000D7D3D">
        <w:br w:type="page"/>
      </w:r>
    </w:p>
    <w:p w14:paraId="52960579" w14:textId="2C2CA4F3" w:rsidR="000D7D3D" w:rsidRDefault="00E26670" w:rsidP="003F7054">
      <w:r>
        <w:rPr>
          <w:noProof/>
          <w:lang w:eastAsia="en-GB"/>
        </w:rPr>
        <w:lastRenderedPageBreak/>
        <w:drawing>
          <wp:inline distT="0" distB="0" distL="0" distR="0" wp14:anchorId="668D3AE0" wp14:editId="6A5A8B86">
            <wp:extent cx="5372100" cy="74654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2.9_new++++.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80437" cy="7476996"/>
                    </a:xfrm>
                    <a:prstGeom prst="rect">
                      <a:avLst/>
                    </a:prstGeom>
                  </pic:spPr>
                </pic:pic>
              </a:graphicData>
            </a:graphic>
          </wp:inline>
        </w:drawing>
      </w:r>
    </w:p>
    <w:p w14:paraId="605CDF87" w14:textId="77777777" w:rsidR="00E13746" w:rsidRPr="000D7D3D" w:rsidRDefault="00E13746" w:rsidP="003F7054">
      <w:r>
        <w:br w:type="page"/>
      </w:r>
    </w:p>
    <w:p w14:paraId="5E092147" w14:textId="0DA09F0A" w:rsidR="00453EBB" w:rsidRDefault="000D7D3D" w:rsidP="00635993">
      <w:pPr>
        <w:pStyle w:val="Subtitle"/>
        <w:pBdr>
          <w:top w:val="single" w:sz="4" w:space="1" w:color="auto"/>
        </w:pBdr>
      </w:pPr>
      <w:r w:rsidRPr="000D7D3D">
        <w:lastRenderedPageBreak/>
        <w:t xml:space="preserve">Figure 2.9 </w:t>
      </w:r>
      <w:r w:rsidRPr="00635993">
        <w:rPr>
          <w:b w:val="0"/>
        </w:rPr>
        <w:t xml:space="preserve">Relative mRNA levels of the </w:t>
      </w:r>
      <w:r w:rsidRPr="00635993">
        <w:rPr>
          <w:b w:val="0"/>
          <w:i/>
        </w:rPr>
        <w:t>PiPTs</w:t>
      </w:r>
      <w:r w:rsidRPr="00635993">
        <w:rPr>
          <w:b w:val="0"/>
        </w:rPr>
        <w:t xml:space="preserve"> for the NS and S conditions with the </w:t>
      </w:r>
      <w:r w:rsidR="00F20F5C" w:rsidRPr="00F20F5C">
        <w:rPr>
          <w:b w:val="0"/>
          <w:i/>
        </w:rPr>
        <w:t>P. involutus</w:t>
      </w:r>
      <w:r w:rsidR="00F20F5C" w:rsidRPr="00F20F5C">
        <w:rPr>
          <w:b w:val="0"/>
        </w:rPr>
        <w:t xml:space="preserve"> </w:t>
      </w:r>
      <w:r w:rsidR="00F20F5C" w:rsidRPr="00F20F5C">
        <w:rPr>
          <w:b w:val="0"/>
          <w:i/>
        </w:rPr>
        <w:t>ATCC 200175</w:t>
      </w:r>
      <w:r w:rsidRPr="00635993">
        <w:rPr>
          <w:b w:val="0"/>
        </w:rPr>
        <w:t xml:space="preserve"> hyphae during growth on the M-MMN media for 60 days. Results are shown for 0.15 μM, 3.67 μM and 367 μM of KH</w:t>
      </w:r>
      <w:r w:rsidRPr="00635993">
        <w:rPr>
          <w:b w:val="0"/>
          <w:vertAlign w:val="subscript"/>
        </w:rPr>
        <w:t>2</w:t>
      </w:r>
      <w:r w:rsidRPr="00635993">
        <w:rPr>
          <w:b w:val="0"/>
        </w:rPr>
        <w:t>PO</w:t>
      </w:r>
      <w:r w:rsidRPr="00635993">
        <w:rPr>
          <w:b w:val="0"/>
          <w:vertAlign w:val="subscript"/>
        </w:rPr>
        <w:t>4</w:t>
      </w:r>
      <w:r w:rsidRPr="00635993">
        <w:rPr>
          <w:b w:val="0"/>
        </w:rPr>
        <w:t xml:space="preserve">. For each </w:t>
      </w:r>
      <w:r w:rsidRPr="00635993">
        <w:rPr>
          <w:b w:val="0"/>
          <w:i/>
        </w:rPr>
        <w:t>PiPT</w:t>
      </w:r>
      <w:r w:rsidRPr="00635993">
        <w:rPr>
          <w:b w:val="0"/>
        </w:rPr>
        <w:t xml:space="preserve"> gene, statistically significant differences between relative </w:t>
      </w:r>
      <w:r w:rsidRPr="00635993">
        <w:rPr>
          <w:b w:val="0"/>
          <w:i/>
        </w:rPr>
        <w:t>mRNA</w:t>
      </w:r>
      <w:r w:rsidRPr="00635993">
        <w:rPr>
          <w:b w:val="0"/>
        </w:rPr>
        <w:t xml:space="preserve"> expression levels at different Pi concentrations and varying NS (orange) and S (green) conditions were assessed by one-way ANOVA followed by Tukey’s post-hoc test for multiple comparisons (letters,</w:t>
      </w:r>
      <w:r w:rsidRPr="00635993">
        <w:rPr>
          <w:b w:val="0"/>
          <w:i/>
        </w:rPr>
        <w:t xml:space="preserve"> α</w:t>
      </w:r>
      <w:r w:rsidRPr="00635993">
        <w:rPr>
          <w:b w:val="0"/>
        </w:rPr>
        <w:t xml:space="preserve">=0.05). Asterisks represent statistically significant differences in relative mRNA expression between NS and S experimental designs at the indicated Pi concentrations as assessed by Student’s t-test for pairwise comparisons (asterisks, </w:t>
      </w:r>
      <w:r w:rsidRPr="00635993">
        <w:rPr>
          <w:b w:val="0"/>
          <w:i/>
        </w:rPr>
        <w:t>α</w:t>
      </w:r>
      <w:r w:rsidRPr="00635993">
        <w:rPr>
          <w:b w:val="0"/>
        </w:rPr>
        <w:t>=0.05).</w:t>
      </w:r>
    </w:p>
    <w:p w14:paraId="7ADB5DB5" w14:textId="1F4E8AF8" w:rsidR="000D7D3D" w:rsidRPr="000D7D3D" w:rsidRDefault="000D7D3D" w:rsidP="00635993">
      <w:pPr>
        <w:pStyle w:val="Subtitle"/>
      </w:pPr>
      <w:r w:rsidRPr="000D7D3D">
        <w:br w:type="page"/>
      </w:r>
    </w:p>
    <w:p w14:paraId="4CA6EE47" w14:textId="47FBF1B8" w:rsidR="000D7D3D" w:rsidRPr="000D7D3D" w:rsidRDefault="000D7D3D" w:rsidP="00635993">
      <w:pPr>
        <w:pStyle w:val="Heading1"/>
      </w:pPr>
      <w:bookmarkStart w:id="149" w:name="_Toc507603988"/>
      <w:bookmarkStart w:id="150" w:name="_Toc507604255"/>
      <w:bookmarkStart w:id="151" w:name="_Toc519016972"/>
      <w:bookmarkStart w:id="152" w:name="_Toc520837870"/>
      <w:r w:rsidRPr="000D7D3D">
        <w:lastRenderedPageBreak/>
        <w:t>2.4 Discussion</w:t>
      </w:r>
      <w:bookmarkEnd w:id="149"/>
      <w:bookmarkEnd w:id="150"/>
      <w:bookmarkEnd w:id="151"/>
      <w:bookmarkEnd w:id="152"/>
    </w:p>
    <w:p w14:paraId="3B0FE7A5" w14:textId="77777777" w:rsidR="000D7D3D" w:rsidRPr="000D7D3D" w:rsidRDefault="000D7D3D" w:rsidP="003F7054"/>
    <w:p w14:paraId="6C367437" w14:textId="0A51D15F" w:rsidR="000D7D3D" w:rsidRPr="000D7D3D" w:rsidRDefault="000D7D3D" w:rsidP="00635993">
      <w:pPr>
        <w:pStyle w:val="Heading2"/>
      </w:pPr>
      <w:bookmarkStart w:id="153" w:name="_Toc507603989"/>
      <w:bookmarkStart w:id="154" w:name="_Toc507604256"/>
      <w:bookmarkStart w:id="155" w:name="_Toc519016973"/>
      <w:bookmarkStart w:id="156" w:name="_Toc520837871"/>
      <w:r w:rsidRPr="000D7D3D">
        <w:t>2.4.1 Development of the Pi-varying media</w:t>
      </w:r>
      <w:bookmarkEnd w:id="153"/>
      <w:bookmarkEnd w:id="154"/>
      <w:bookmarkEnd w:id="155"/>
      <w:bookmarkEnd w:id="156"/>
    </w:p>
    <w:p w14:paraId="00154291" w14:textId="73FD4391" w:rsidR="000D7D3D" w:rsidRPr="000D7D3D" w:rsidRDefault="000D7D3D" w:rsidP="003F7054">
      <w:r w:rsidRPr="000D7D3D">
        <w:t xml:space="preserve">The development of an </w:t>
      </w:r>
      <w:r w:rsidR="00CE51CA">
        <w:t>optimal</w:t>
      </w:r>
      <w:r w:rsidR="00E8643C">
        <w:t xml:space="preserve"> Pi-varying medium was essential to study the </w:t>
      </w:r>
      <w:r w:rsidR="00E8643C" w:rsidRPr="000D7D3D">
        <w:t xml:space="preserve">effect </w:t>
      </w:r>
      <w:r w:rsidR="00E8643C">
        <w:t xml:space="preserve">of </w:t>
      </w:r>
      <w:r w:rsidRPr="000D7D3D">
        <w:t xml:space="preserve">Pi on various physiological aspects of </w:t>
      </w:r>
      <w:r w:rsidRPr="000D7D3D">
        <w:rPr>
          <w:i/>
        </w:rPr>
        <w:t>P. involutus</w:t>
      </w:r>
      <w:r w:rsidRPr="000D7D3D">
        <w:t xml:space="preserve"> fungal hyphae, such as growth response, Pi homeostasis and Pi-responsive gene transcription. The design of such </w:t>
      </w:r>
      <w:r w:rsidR="00E8643C">
        <w:t>a medium</w:t>
      </w:r>
      <w:r w:rsidRPr="000D7D3D">
        <w:t xml:space="preserve"> should comply with certain physiological characteristics, like optimal pH </w:t>
      </w:r>
      <w:r w:rsidR="004D3C25">
        <w:t xml:space="preserve">or Pi concentration, </w:t>
      </w:r>
      <w:r w:rsidRPr="000D7D3D">
        <w:t xml:space="preserve">where fungal growth and Pi uptake are combined. According to previous studies, </w:t>
      </w:r>
      <w:r w:rsidR="004D3C25" w:rsidRPr="000D7D3D">
        <w:t xml:space="preserve">optimal </w:t>
      </w:r>
      <w:r w:rsidRPr="000D7D3D">
        <w:t xml:space="preserve">pH </w:t>
      </w:r>
      <w:r w:rsidR="001A709C">
        <w:t xml:space="preserve">should </w:t>
      </w:r>
      <w:r w:rsidR="004D3C25">
        <w:t>rang</w:t>
      </w:r>
      <w:r w:rsidR="001A709C">
        <w:t>e</w:t>
      </w:r>
      <w:r w:rsidR="00E8643C">
        <w:t xml:space="preserve"> between 5.0 and </w:t>
      </w:r>
      <w:r w:rsidRPr="000D7D3D">
        <w:t xml:space="preserve">6.0 </w:t>
      </w:r>
      <w:r w:rsidRPr="000D7D3D">
        <w:fldChar w:fldCharType="begin" w:fldLock="1"/>
      </w:r>
      <w:r w:rsidR="00EE33AB">
        <w:instrText>ADDIN CSL_CITATION {"citationItems":[{"id":"ITEM-1","itemData":{"DOI":"10.3389/fpls.2013.00332","ISSN":"1664-462X","PMID":"23986772","abstract":"During the last decades the importance of the genus Populus increased because the poplar genome has been sequenced and molecular tools for basic research have become available. Poplar species occur in different habitats and harbor large genetic variation, which can be exploited for economic applications and for increasing our knowledge on the basic molecular mechanisms of the woody life style. Poplars are, therefore, employed to unravel the molecular mechanisms of wood formation, stress tolerance, tree nutrition and interaction with other organisms such as pathogens or mycorrhiza. The basis of these investigations is the reproducible production of homogeneous plant material. In this method paper we describe techniques and growth conditions for the in vitro propagation of different poplar species (Populus × canescens, P. trichocarpa, P. tremula, and P. euphratica) and ectomycorrhizal fungi (Laccaria bicolor, Paxillus involutus) as well as for their co-cultivation for ectomycorrhizal synthesis. Maintenance and plant preparation require different multiplication and rooting media. Growth systems to cultivate poplars under axenic conditions in agar and sand cultures with and without mycorrhizal fungi are described. Transfer of the plants from in vitro to in situ conditions is critical and hardening is important to prevent high mortality. Growth and vitality of the trees in vitro and outdoors with and without ectomycorrhizas are reported.","author":[{"dropping-particle":"","family":"Müller","given":"Anna","non-dropping-particle":"","parse-names":false,"suffix":""},{"dropping-particle":"","family":"Volmer","given":"Katharina","non-dropping-particle":"","parse-names":false,"suffix":""},{"dropping-particle":"","family":"Mishra-Knyrim","given":"Manika","non-dropping-particle":"","parse-names":false,"suffix":""},{"dropping-particle":"","family":"Polle","given":"Andrea","non-dropping-particle":"","parse-names":false,"suffix":""}],"container-title":"Frontiers in plant science","id":"ITEM-1","issue":"August","issued":{"date-parts":[["2013","1"]]},"page":"332","title":"Growing poplars for research with and without mycorrhizas.","type":"article-journal","volume":"4"},"uris":["http://www.mendeley.com/documents/?uuid=1116f2ac-3363-4f4a-bea5-cc9393fdaff1"]},{"id":"ITEM-2","itemData":{"author":[{"dropping-particle":"","family":"Brun","given":"Annick","non-dropping-particle":"","parse-names":false,"suffix":""},{"dropping-particle":"","family":"Chalot","given":"Michel","non-dropping-particle":"","parse-names":false,"suffix":""},{"dropping-particle":"","family":"Finlay","given":"Roger D","non-dropping-particle":"","parse-names":false,"suffix":""},{"dropping-particle":"","family":"Soderstrom","given":"B","non-dropping-particle":"","parse-names":false,"suffix":""}],"container-title":"New Phytologist","id":"ITEM-2","issued":{"date-parts":[["1995"]]},"page":"487-493","title":"Structure and function of the ectomycorrhizal association between Paxillus involutus ( Batsch ) Fr . and Betula pendula Roth .","type":"article-journal","volume":"129"},"uris":["http://www.mendeley.com/documents/?uuid=b77c0b95-e5e2-449e-a6f6-291595d111d7"]},{"id":"ITEM-3","itemData":{"DOI":"10.1007/BF00951459","ISSN":"1432-2048","abstract":"Phosphate uptake was studied by determining [32P]phosphate influx and by measurements of the electrical membrane potential in duckweed (Lemna gibba L.). Phosphate-induced membrane depolarization (ΔE m ) was controlled by the intracellular phosphate content, thus maximal ΔE m by 1 mM H2PO 4 - was up to 133 mV after 15d of phosphate starvation. The ΔE m was strongly dependent on the extracellular pH, with a sharp optimum at pH 5.7. It is suggested that phosphate uptake is energized by the electrochemical proton gradient, proceeding by a 2H+/H2PO 4 - contransport mechanism. This is supported also by the fusicoccin stimulation of phosphate influx. Kinetics of phosphate influx and of ΔE m , which represent mere plasmalemma transport, are best described by two Michaelis-Menten terms without any linear components.","author":[{"dropping-particle":"","family":"Ullrich-Eberius","given":"C I","non-dropping-particle":"","parse-names":false,"suffix":""},{"dropping-particle":"","family":"Novacky","given":"A","non-dropping-particle":"","parse-names":false,"suffix":""},{"dropping-particle":"","family":"Bel","given":"A J E","non-dropping-particle":"van","parse-names":false,"suffix":""}],"container-title":"Planta","id":"ITEM-3","issue":"1","issued":{"date-parts":[["1984","1"]]},"page":"46-52","title":"Phosphate uptake in Lemna gibba G1: energetics and kinetics","type":"article-journal","volume":"161"},"uris":["http://www.mendeley.com/documents/?uuid=e215a107-93db-4e12-b572-81d48037dcde"]}],"mendeley":{"formattedCitation":"(Müller et al., 2013; Brun et al., 1995; Ullrich-Eberius et al., 1984)","plainTextFormattedCitation":"(Müller et al., 2013; Brun et al., 1995; Ullrich-Eberius et al., 1984)","previouslyFormattedCitation":"(Müller et al., 2013; Brun et al., 1995; Ullrich-Eberius et al., 1984)"},"properties":{"noteIndex":0},"schema":"https://github.com/citation-style-language/schema/raw/master/csl-citation.json"}</w:instrText>
      </w:r>
      <w:r w:rsidRPr="000D7D3D">
        <w:fldChar w:fldCharType="separate"/>
      </w:r>
      <w:r w:rsidRPr="000D7D3D">
        <w:rPr>
          <w:noProof/>
        </w:rPr>
        <w:t>(Müller et al., 2013; Brun et al., 1995; Ullrich-Eberius et al., 1984)</w:t>
      </w:r>
      <w:r w:rsidRPr="000D7D3D">
        <w:fldChar w:fldCharType="end"/>
      </w:r>
      <w:r w:rsidRPr="000D7D3D">
        <w:t xml:space="preserve">. In addition, </w:t>
      </w:r>
      <w:r w:rsidR="004D3C25" w:rsidRPr="000D7D3D">
        <w:t xml:space="preserve">Pi </w:t>
      </w:r>
      <w:r w:rsidRPr="000D7D3D">
        <w:t xml:space="preserve">concentration </w:t>
      </w:r>
      <w:r w:rsidR="001A709C">
        <w:t xml:space="preserve">should </w:t>
      </w:r>
      <w:r w:rsidRPr="000D7D3D">
        <w:t xml:space="preserve">range </w:t>
      </w:r>
      <w:r w:rsidR="004D3C25">
        <w:t xml:space="preserve">from 0.1-10 </w:t>
      </w:r>
      <w:r w:rsidRPr="000D7D3D">
        <w:t>μM</w:t>
      </w:r>
      <w:r w:rsidR="004D3C25">
        <w:t xml:space="preserve">, as in poor soils where Pi concentration </w:t>
      </w:r>
      <w:r w:rsidR="001A709C">
        <w:t>rarely exceeds</w:t>
      </w:r>
      <w:r w:rsidRPr="000D7D3D">
        <w:t xml:space="preserve"> 10 μM, </w:t>
      </w:r>
      <w:r w:rsidR="004D3C25">
        <w:t>up to 40 μM Pi</w:t>
      </w:r>
      <w:r w:rsidR="001A709C">
        <w:t>, as</w:t>
      </w:r>
      <w:r w:rsidR="004D3C25">
        <w:t xml:space="preserve"> in case of </w:t>
      </w:r>
      <w:r w:rsidRPr="000D7D3D">
        <w:t xml:space="preserve">rich soils, </w:t>
      </w:r>
      <w:r w:rsidR="004D3C25">
        <w:t>or</w:t>
      </w:r>
      <w:r w:rsidR="004D3C25" w:rsidRPr="004D3C25">
        <w:t xml:space="preserve"> </w:t>
      </w:r>
      <w:r w:rsidR="004D3C25" w:rsidRPr="000D7D3D">
        <w:t>up to 5.5 mM of Pi</w:t>
      </w:r>
      <w:r w:rsidR="004D3C25">
        <w:t>, as in the case of l</w:t>
      </w:r>
      <w:r w:rsidRPr="000D7D3D">
        <w:t xml:space="preserve">aboratory </w:t>
      </w:r>
      <w:r w:rsidR="004D3C25" w:rsidRPr="000D7D3D">
        <w:t xml:space="preserve">fungal culture </w:t>
      </w:r>
      <w:r w:rsidR="004D3C25">
        <w:t>media</w:t>
      </w:r>
      <w:r w:rsidRPr="000D7D3D">
        <w:t xml:space="preserve">, which </w:t>
      </w:r>
      <w:r w:rsidR="004D3C25">
        <w:t xml:space="preserve">serve </w:t>
      </w:r>
      <w:r w:rsidR="001A709C">
        <w:t xml:space="preserve">as culture </w:t>
      </w:r>
      <w:r w:rsidRPr="000D7D3D">
        <w:t xml:space="preserve">maintenance </w:t>
      </w:r>
      <w:r w:rsidR="001A709C">
        <w:t xml:space="preserve">media </w:t>
      </w:r>
      <w:r w:rsidRPr="000D7D3D">
        <w:fldChar w:fldCharType="begin" w:fldLock="1"/>
      </w:r>
      <w:r w:rsidR="00EE33AB">
        <w:instrText>ADDIN CSL_CITATION {"citationItems":[{"id":"ITEM-1","itemData":{"author":[{"dropping-particle":"","family":"Bieleski","given":"R L","non-dropping-particle":"","parse-names":false,"suffix":""}],"container-title":"Annual Review of Plant Physiology","id":"ITEM-1","issued":{"date-parts":[["1973"]]},"page":"225-252","title":"Phosphate pools, phosphate transport, and phosphate availability","type":"article-journal","volume":"24"},"uris":["http://www.mendeley.com/documents/?uuid=f05a77d2-78e2-4356-912c-e5663e3eae17"]}],"mendeley":{"formattedCitation":"(Bieleski, 1973)","plainTextFormattedCitation":"(Bieleski, 1973)","previouslyFormattedCitation":"(Bieleski, 1973)"},"properties":{"noteIndex":0},"schema":"https://github.com/citation-style-language/schema/raw/master/csl-citation.json"}</w:instrText>
      </w:r>
      <w:r w:rsidRPr="000D7D3D">
        <w:fldChar w:fldCharType="separate"/>
      </w:r>
      <w:r w:rsidRPr="000D7D3D">
        <w:rPr>
          <w:noProof/>
        </w:rPr>
        <w:t>(Bieleski, 1973)</w:t>
      </w:r>
      <w:r w:rsidRPr="000D7D3D">
        <w:fldChar w:fldCharType="end"/>
      </w:r>
      <w:r w:rsidR="009825FE">
        <w:t>.</w:t>
      </w:r>
    </w:p>
    <w:p w14:paraId="4AA76D65" w14:textId="0983E381" w:rsidR="000D7D3D" w:rsidRPr="000D7D3D" w:rsidRDefault="000D7D3D" w:rsidP="007F746A">
      <w:pPr>
        <w:ind w:firstLine="720"/>
      </w:pPr>
      <w:r w:rsidRPr="000D7D3D">
        <w:t xml:space="preserve">The B-MMN media failed to provide homogeneous growth and fungal morphology of </w:t>
      </w:r>
      <w:r w:rsidRPr="000D7D3D">
        <w:rPr>
          <w:i/>
        </w:rPr>
        <w:t>P. involutus</w:t>
      </w:r>
      <w:r w:rsidRPr="000D7D3D">
        <w:t xml:space="preserve"> hyphae</w:t>
      </w:r>
      <w:r w:rsidR="00CB79C6">
        <w:t xml:space="preserve"> (Figure 2.1)</w:t>
      </w:r>
      <w:r w:rsidRPr="000D7D3D">
        <w:t xml:space="preserve">, possibly because the Pi range was generated by the successive depletion of </w:t>
      </w:r>
      <w:r w:rsidR="00C219D7">
        <w:t>(NH</w:t>
      </w:r>
      <w:r w:rsidR="00C219D7" w:rsidRPr="00635993">
        <w:rPr>
          <w:vertAlign w:val="subscript"/>
        </w:rPr>
        <w:t>4</w:t>
      </w:r>
      <w:r w:rsidR="00C219D7">
        <w:t>)</w:t>
      </w:r>
      <w:r w:rsidR="00C219D7" w:rsidRPr="00635993">
        <w:rPr>
          <w:vertAlign w:val="subscript"/>
        </w:rPr>
        <w:t>2</w:t>
      </w:r>
      <w:r w:rsidR="00C219D7">
        <w:t>H</w:t>
      </w:r>
      <w:r w:rsidRPr="00183F7A">
        <w:t>PO</w:t>
      </w:r>
      <w:r w:rsidRPr="000B00D3">
        <w:rPr>
          <w:vertAlign w:val="subscript"/>
        </w:rPr>
        <w:t>4</w:t>
      </w:r>
      <w:r w:rsidRPr="000D7D3D">
        <w:t xml:space="preserve">, </w:t>
      </w:r>
      <w:r w:rsidR="009A2387">
        <w:t xml:space="preserve">which </w:t>
      </w:r>
      <w:r w:rsidRPr="000D7D3D">
        <w:t>was a</w:t>
      </w:r>
      <w:r w:rsidR="00CB79C6">
        <w:t>ccompanied</w:t>
      </w:r>
      <w:r w:rsidRPr="000D7D3D">
        <w:t xml:space="preserve"> by the simultaneous </w:t>
      </w:r>
      <w:r w:rsidR="00045712">
        <w:t>addition</w:t>
      </w:r>
      <w:r w:rsidR="00045712" w:rsidRPr="000D7D3D">
        <w:t xml:space="preserve"> </w:t>
      </w:r>
      <w:r w:rsidRPr="000D7D3D">
        <w:t>of NH</w:t>
      </w:r>
      <w:r w:rsidRPr="000D7D3D">
        <w:rPr>
          <w:vertAlign w:val="subscript"/>
        </w:rPr>
        <w:t>4</w:t>
      </w:r>
      <w:r w:rsidRPr="000D7D3D">
        <w:rPr>
          <w:vertAlign w:val="superscript"/>
        </w:rPr>
        <w:t>+</w:t>
      </w:r>
      <w:r w:rsidRPr="000D7D3D">
        <w:t xml:space="preserve"> ions</w:t>
      </w:r>
      <w:r w:rsidR="00C219D7">
        <w:t xml:space="preserve"> as NH</w:t>
      </w:r>
      <w:r w:rsidR="00C219D7" w:rsidRPr="00635993">
        <w:rPr>
          <w:vertAlign w:val="subscript"/>
        </w:rPr>
        <w:t>4</w:t>
      </w:r>
      <w:r w:rsidR="00C219D7">
        <w:t>Cl</w:t>
      </w:r>
      <w:r w:rsidRPr="000D7D3D">
        <w:t xml:space="preserve"> (</w:t>
      </w:r>
      <w:r w:rsidR="00FB0E90" w:rsidRPr="000D7D3D">
        <w:t>Appendix</w:t>
      </w:r>
      <w:r w:rsidR="00FB0E90">
        <w:t>,</w:t>
      </w:r>
      <w:r w:rsidR="009A2387">
        <w:t xml:space="preserve"> </w:t>
      </w:r>
      <w:r w:rsidR="00FB0E90">
        <w:t>Table 2</w:t>
      </w:r>
      <w:r w:rsidRPr="000D7D3D">
        <w:t>). Hence, the increasing amount of NH</w:t>
      </w:r>
      <w:r w:rsidRPr="000D7D3D">
        <w:rPr>
          <w:vertAlign w:val="subscript"/>
        </w:rPr>
        <w:t>4</w:t>
      </w:r>
      <w:r w:rsidRPr="000D7D3D">
        <w:rPr>
          <w:vertAlign w:val="superscript"/>
        </w:rPr>
        <w:t>+</w:t>
      </w:r>
      <w:r w:rsidRPr="000D7D3D">
        <w:t xml:space="preserve"> ions </w:t>
      </w:r>
      <w:r w:rsidR="00CB79C6">
        <w:t>along with</w:t>
      </w:r>
      <w:r w:rsidR="00CB79C6" w:rsidRPr="000D7D3D">
        <w:t xml:space="preserve"> </w:t>
      </w:r>
      <w:r w:rsidRPr="000D7D3D">
        <w:t xml:space="preserve">the decreasing </w:t>
      </w:r>
      <w:r w:rsidR="00FE247C">
        <w:t xml:space="preserve">amount of </w:t>
      </w:r>
      <w:r w:rsidRPr="000D7D3D">
        <w:t>P</w:t>
      </w:r>
      <w:r w:rsidR="00045712">
        <w:t>O</w:t>
      </w:r>
      <w:r w:rsidR="00045712" w:rsidRPr="00635993">
        <w:rPr>
          <w:vertAlign w:val="subscript"/>
        </w:rPr>
        <w:t>4</w:t>
      </w:r>
      <w:r w:rsidR="00045712" w:rsidRPr="00635993">
        <w:rPr>
          <w:vertAlign w:val="superscript"/>
        </w:rPr>
        <w:t>3-</w:t>
      </w:r>
      <w:r w:rsidR="00045712" w:rsidRPr="0072095D">
        <w:t xml:space="preserve"> </w:t>
      </w:r>
      <w:r w:rsidR="00045712">
        <w:t xml:space="preserve">ions </w:t>
      </w:r>
      <w:r w:rsidR="009A2387">
        <w:t xml:space="preserve">could </w:t>
      </w:r>
      <w:r w:rsidR="00C219D7">
        <w:t xml:space="preserve">have </w:t>
      </w:r>
      <w:r w:rsidR="00CB79C6">
        <w:t>possibly</w:t>
      </w:r>
      <w:r w:rsidRPr="000D7D3D">
        <w:t xml:space="preserve"> </w:t>
      </w:r>
      <w:r w:rsidR="00CB79C6">
        <w:t>mask</w:t>
      </w:r>
      <w:r w:rsidR="00C219D7">
        <w:t>ed</w:t>
      </w:r>
      <w:r w:rsidRPr="000D7D3D">
        <w:t xml:space="preserve"> the effect </w:t>
      </w:r>
      <w:r w:rsidR="00C219D7">
        <w:t>of</w:t>
      </w:r>
      <w:r w:rsidR="00045712">
        <w:t xml:space="preserve"> decreasing </w:t>
      </w:r>
      <w:r w:rsidRPr="000D7D3D">
        <w:t>Pi</w:t>
      </w:r>
      <w:r w:rsidR="00FE247C">
        <w:t xml:space="preserve"> on the mycelial growth</w:t>
      </w:r>
      <w:r w:rsidRPr="000D7D3D">
        <w:t>.</w:t>
      </w:r>
    </w:p>
    <w:p w14:paraId="588BFC81" w14:textId="573A6EB0" w:rsidR="00045712" w:rsidRPr="000D7D3D" w:rsidRDefault="000D7D3D" w:rsidP="002B13CF">
      <w:pPr>
        <w:ind w:firstLine="720"/>
      </w:pPr>
      <w:r w:rsidRPr="000D7D3D">
        <w:t>In contrast,</w:t>
      </w:r>
      <w:r w:rsidR="002B2323">
        <w:t xml:space="preserve"> growth on</w:t>
      </w:r>
      <w:r w:rsidRPr="000D7D3D">
        <w:t xml:space="preserve"> M-MMN media was </w:t>
      </w:r>
      <w:r w:rsidR="003A17E6">
        <w:t>more consistent (Figure 2.2)</w:t>
      </w:r>
      <w:r w:rsidR="00FB0E90">
        <w:t xml:space="preserve">, </w:t>
      </w:r>
      <w:r w:rsidRPr="000D7D3D">
        <w:t>po</w:t>
      </w:r>
      <w:r w:rsidR="00FB0E90">
        <w:t>ssibly because the source of</w:t>
      </w:r>
      <w:r w:rsidRPr="000D7D3D">
        <w:t xml:space="preserve"> PO</w:t>
      </w:r>
      <w:r w:rsidRPr="000D7D3D">
        <w:rPr>
          <w:vertAlign w:val="subscript"/>
        </w:rPr>
        <w:t>4</w:t>
      </w:r>
      <w:r w:rsidRPr="000D7D3D">
        <w:rPr>
          <w:vertAlign w:val="superscript"/>
        </w:rPr>
        <w:t xml:space="preserve">- </w:t>
      </w:r>
      <w:r w:rsidRPr="000D7D3D">
        <w:t xml:space="preserve">ions was </w:t>
      </w:r>
      <w:r w:rsidR="002B2323">
        <w:t xml:space="preserve">solely </w:t>
      </w:r>
      <w:r w:rsidR="00E8643C">
        <w:t xml:space="preserve">as </w:t>
      </w:r>
      <w:r w:rsidRPr="000D7D3D">
        <w:rPr>
          <w:rFonts w:eastAsia="Times New Roman" w:cs="Arial"/>
          <w:lang w:eastAsia="en-GB"/>
        </w:rPr>
        <w:t>KH</w:t>
      </w:r>
      <w:r w:rsidRPr="000D7D3D">
        <w:rPr>
          <w:rFonts w:eastAsia="Times New Roman" w:cs="Arial"/>
          <w:vertAlign w:val="subscript"/>
          <w:lang w:eastAsia="en-GB"/>
        </w:rPr>
        <w:t>2</w:t>
      </w:r>
      <w:r w:rsidRPr="000D7D3D">
        <w:rPr>
          <w:rFonts w:eastAsia="Times New Roman" w:cs="Arial"/>
          <w:lang w:eastAsia="en-GB"/>
        </w:rPr>
        <w:t>PO</w:t>
      </w:r>
      <w:r w:rsidRPr="000D7D3D">
        <w:rPr>
          <w:rFonts w:eastAsia="Times New Roman" w:cs="Arial"/>
          <w:vertAlign w:val="subscript"/>
          <w:lang w:eastAsia="en-GB"/>
        </w:rPr>
        <w:t>4</w:t>
      </w:r>
      <w:r w:rsidR="00DA318B">
        <w:t xml:space="preserve"> </w:t>
      </w:r>
      <w:r w:rsidR="00B07BBE">
        <w:t>(</w:t>
      </w:r>
      <w:r w:rsidR="00DA318B">
        <w:t>Appendix, Table 3)</w:t>
      </w:r>
      <w:r w:rsidR="001B3AAF">
        <w:t xml:space="preserve">. In addition, </w:t>
      </w:r>
      <w:r w:rsidRPr="000D7D3D">
        <w:t xml:space="preserve">activated charcoal was used with the purpose of improving the growth of fungal hyphae as </w:t>
      </w:r>
      <w:r w:rsidRPr="000D7D3D">
        <w:rPr>
          <w:i/>
        </w:rPr>
        <w:t>P. involutus</w:t>
      </w:r>
      <w:r w:rsidRPr="000D7D3D">
        <w:t xml:space="preserve"> produces secondary metabolic products, such as pigments and phenolic compounds, which may potentially inhibit its growth</w:t>
      </w:r>
      <w:r w:rsidR="00FB0E90">
        <w:t xml:space="preserve"> </w:t>
      </w:r>
      <w:r w:rsidR="00FB0E90" w:rsidRPr="000D7D3D">
        <w:fldChar w:fldCharType="begin" w:fldLock="1"/>
      </w:r>
      <w:r w:rsidR="00EE33AB">
        <w:instrText>ADDIN CSL_CITATION {"citationItems":[{"id":"ITEM-1","itemData":{"DOI":"10.1007/s00572-003-0287-9","ISSN":"0940-6360","PMID":"14716537","abstract":"Ectomycorrhizal fungi can produce antifungal compounds in vitro as well as in symbiosis with the host plant that can reduce root diseases. The objective of this study was to isolate antifungal compounds from culture filtrate of Paxillus sp. 60/92, which can form mycorrhizas with Picea glehnii seedlings. Culture filtrate of Paxillus sp. 60/92 showed antifungal activity against Pythium vexans at pH 3-4 but not at pH 5-10, although sterile MMN-b liquid medium (pH 3-10) did not show antifungal activity. Upon separation of antifungal compounds in the culture filtrate, antifungal activity was detected in the organic acid and water-soluble phenolics fractions adjusted to pH 3. Although antifungal activity of individual fractions was lower than that of the culture filtrate, a mixture of these fractions showed antifungal activity similar to that of the culture filtrate. Furthermore, antifungal activity of oxalic acid, which is known to be produced by Paxillus involutus, was increased by mixing with the water-soluble phenolic fraction. Our findings indicate that Paxillus sp. 60/92 produces organic acids and water-soluble phenolics that together show antifungal activity at pH 3-4 against P. vexans.","author":[{"dropping-particle":"","family":"Yamaji","given":"Keiko","non-dropping-particle":"","parse-names":false,"suffix":""},{"dropping-particle":"","family":"Ishimoto","given":"Hiroshi","non-dropping-particle":"","parse-names":false,"suffix":""},{"dropping-particle":"","family":"Usui","given":"Noriyuki","non-dropping-particle":"","parse-names":false,"suffix":""},{"dropping-particle":"","family":"Mori","given":"Shigeta","non-dropping-particle":"","parse-names":false,"suffix":""}],"container-title":"Mycorrhiza","id":"ITEM-1","issue":"1","issued":{"date-parts":[["2005","1"]]},"page":"17-23","title":"Organic acids and water-soluble phenolics produced by Paxillus sp. 60/92 together show antifungal activity against Pythium vexans under acidic culture conditions.","type":"article-journal","volume":"15"},"uris":["http://www.mendeley.com/documents/?uuid=79fc8982-dbed-41d3-9ef1-65590e2ba510"]},{"id":"ITEM-2","itemData":{"DOI":"10.1016/j.chembiol.2015.08.016","ISBN":"1074-5521","ISSN":"10745521","PMID":"26496685","abstract":"The symbiotic fungus Paxillus involutus serves a critical role in maintaining forest ecosystems, which are carbon sinks of global importance. P. involutus produces involutin and other 2,5-diarylcyclopentenone pigments that presumably assist in the oxidative degradation of lignocellulose via Fenton chemistry. Their precise biosynthetic pathways, however, remain obscure. Using a combination of biochemical, genetic, and transcriptomic analyses, in addition to stable-isotope labeling with synthetic precursors, we show that atromentin is the key intermediate. Atromentin is made by tridomain synthetases of high similarity: InvA1, InvA2, and InvA5. An inactive atromentin synthetase, InvA3, gained activity after a domain swap that replaced its native thioesterase domain with that of InvA5. The found degree of multiplex biosynthetic capacity is unprecedented with fungi, and highlights the great importance of the metabolite for the producer.","author":[{"dropping-particle":"","family":"Braesel","given":"Jana","non-dropping-particle":"","parse-names":false,"suffix":""},{"dropping-particle":"","family":"Götze","given":"Sebastian","non-dropping-particle":"","parse-names":false,"suffix":""},{"dropping-particle":"","family":"Shah","given":"Firoz","non-dropping-particle":"","parse-names":false,"suffix":""},{"dropping-particle":"","family":"Heine","given":"Daniel","non-dropping-particle":"","parse-names":false,"suffix":""},{"dropping-particle":"","family":"Tauber","given":"James","non-dropping-particle":"","parse-names":false,"suffix":""},{"dropping-particle":"","family":"Hertweck","given":"Christian","non-dropping-particle":"","parse-names":false,"suffix":""},{"dropping-particle":"","family":"Tunlid","given":"Anders","non-dropping-particle":"","parse-names":false,"suffix":""},{"dropping-particle":"","family":"Stallforth","given":"Pierre","non-dropping-particle":"","parse-names":false,"suffix":""},{"dropping-particle":"","family":"Hoffmeister","given":"Dirk","non-dropping-particle":"","parse-names":false,"suffix":""}],"container-title":"Chemistry and Biology","id":"ITEM-2","issued":{"date-parts":[["2015"]]},"page":"1325-1334","title":"Three redundant synthetases secure redox-active pigment production in the basidiomycete paxillus involutus","type":"article-journal","volume":"22"},"uris":["http://www.mendeley.com/documents/?uuid=946b54f4-8f72-4fe3-bc75-fca40ecb0eb5"]}],"mendeley":{"formattedCitation":"(Yamaji et al., 2005; Braesel et al., 2015)","plainTextFormattedCitation":"(Yamaji et al., 2005; Braesel et al., 2015)","previouslyFormattedCitation":"(Yamaji et al., 2005; Braesel et al., 2015)"},"properties":{"noteIndex":0},"schema":"https://github.com/citation-style-language/schema/raw/master/csl-citation.json"}</w:instrText>
      </w:r>
      <w:r w:rsidR="00FB0E90" w:rsidRPr="000D7D3D">
        <w:fldChar w:fldCharType="separate"/>
      </w:r>
      <w:r w:rsidR="00FB0E90" w:rsidRPr="000D7D3D">
        <w:rPr>
          <w:noProof/>
        </w:rPr>
        <w:t>(Yamaji et al., 2005; Braesel et al., 2015)</w:t>
      </w:r>
      <w:r w:rsidR="00FB0E90" w:rsidRPr="000D7D3D">
        <w:fldChar w:fldCharType="end"/>
      </w:r>
      <w:r w:rsidRPr="000D7D3D">
        <w:t xml:space="preserve">. The use of activated charcoal in the media seemed to maintain </w:t>
      </w:r>
      <w:r w:rsidR="00355DF0">
        <w:t>better</w:t>
      </w:r>
      <w:r w:rsidR="00355DF0" w:rsidRPr="000D7D3D">
        <w:t xml:space="preserve"> </w:t>
      </w:r>
      <w:r w:rsidRPr="000D7D3D">
        <w:t>growth and morphological consistency of fungal hyphae</w:t>
      </w:r>
      <w:r w:rsidR="00355DF0">
        <w:t xml:space="preserve"> (Figure 2.2)</w:t>
      </w:r>
      <w:r w:rsidRPr="000D7D3D">
        <w:t>.</w:t>
      </w:r>
      <w:r w:rsidR="002B13CF">
        <w:br w:type="page"/>
      </w:r>
    </w:p>
    <w:p w14:paraId="29DED305" w14:textId="4D3F5019" w:rsidR="000D7D3D" w:rsidRPr="000D7D3D" w:rsidRDefault="000D7D3D" w:rsidP="00635993">
      <w:pPr>
        <w:pStyle w:val="Heading2"/>
      </w:pPr>
      <w:bookmarkStart w:id="157" w:name="_Toc507603990"/>
      <w:bookmarkStart w:id="158" w:name="_Toc507604257"/>
      <w:bookmarkStart w:id="159" w:name="_Toc519016974"/>
      <w:bookmarkStart w:id="160" w:name="_Toc520837872"/>
      <w:r w:rsidRPr="000D7D3D">
        <w:lastRenderedPageBreak/>
        <w:t xml:space="preserve">2.4.2 </w:t>
      </w:r>
      <w:r w:rsidRPr="000D7D3D">
        <w:rPr>
          <w:i/>
        </w:rPr>
        <w:t>P. involutus</w:t>
      </w:r>
      <w:r w:rsidRPr="000D7D3D">
        <w:t xml:space="preserve"> growth response on the Pi-varying media</w:t>
      </w:r>
      <w:bookmarkEnd w:id="157"/>
      <w:bookmarkEnd w:id="158"/>
      <w:bookmarkEnd w:id="159"/>
      <w:bookmarkEnd w:id="160"/>
    </w:p>
    <w:p w14:paraId="64523377" w14:textId="11870D9E" w:rsidR="000D7D3D" w:rsidRPr="000D7D3D" w:rsidRDefault="0066551B" w:rsidP="003F7054">
      <w:r>
        <w:t>T</w:t>
      </w:r>
      <w:r w:rsidR="000D7D3D" w:rsidRPr="000D7D3D">
        <w:t xml:space="preserve">he use of 10% strength </w:t>
      </w:r>
      <w:r>
        <w:t xml:space="preserve">MMN media for growing the </w:t>
      </w:r>
      <w:r w:rsidR="000D7D3D" w:rsidRPr="000D7D3D">
        <w:t>fungal inoculum, rather than FS, du</w:t>
      </w:r>
      <w:r w:rsidR="00DA318B">
        <w:t>ring the Pi-varying experiments</w:t>
      </w:r>
      <w:r w:rsidR="000D7D3D" w:rsidRPr="000D7D3D">
        <w:t xml:space="preserve"> was essential</w:t>
      </w:r>
      <w:r w:rsidR="00DA318B">
        <w:t>,</w:t>
      </w:r>
      <w:r w:rsidR="000D7D3D" w:rsidRPr="000D7D3D">
        <w:t xml:space="preserve"> as the growth of fungal hyphae </w:t>
      </w:r>
      <w:r w:rsidR="00F60BE8">
        <w:t xml:space="preserve">was much more responsive to </w:t>
      </w:r>
      <w:r w:rsidR="000D7D3D" w:rsidRPr="000D7D3D">
        <w:t>varying Pi</w:t>
      </w:r>
      <w:r w:rsidR="003A17E6">
        <w:t xml:space="preserve"> (Figure 2.3)</w:t>
      </w:r>
      <w:r w:rsidR="00B323DA">
        <w:t>. The former</w:t>
      </w:r>
      <w:r w:rsidR="000D7D3D" w:rsidRPr="000D7D3D">
        <w:t xml:space="preserve"> can be explained because </w:t>
      </w:r>
      <w:r w:rsidR="00F60BE8">
        <w:t xml:space="preserve">the </w:t>
      </w:r>
      <w:r w:rsidR="000D7D3D" w:rsidRPr="000D7D3D">
        <w:t>10%</w:t>
      </w:r>
      <w:r w:rsidR="00DA318B">
        <w:t xml:space="preserve"> streng</w:t>
      </w:r>
      <w:r w:rsidR="00355DF0">
        <w:t>t</w:t>
      </w:r>
      <w:r w:rsidR="00DA318B">
        <w:t>h</w:t>
      </w:r>
      <w:r w:rsidR="000D7D3D" w:rsidRPr="000D7D3D">
        <w:t xml:space="preserve"> fungal inoculum retain</w:t>
      </w:r>
      <w:r w:rsidR="00F60BE8">
        <w:t>ed</w:t>
      </w:r>
      <w:r w:rsidR="000D7D3D" w:rsidRPr="000D7D3D">
        <w:t xml:space="preserve"> </w:t>
      </w:r>
      <w:r w:rsidR="00F60BE8">
        <w:t xml:space="preserve">less residual </w:t>
      </w:r>
      <w:r w:rsidR="000D7D3D" w:rsidRPr="000D7D3D">
        <w:t>Pi than the FS inoculum</w:t>
      </w:r>
      <w:r w:rsidR="00DA318B">
        <w:t xml:space="preserve"> </w:t>
      </w:r>
      <w:r w:rsidR="000D7D3D" w:rsidRPr="000D7D3D">
        <w:t xml:space="preserve">and thus </w:t>
      </w:r>
      <w:r w:rsidR="00F60BE8">
        <w:t>mycelial growth was much more dependent on the supplied Pi</w:t>
      </w:r>
      <w:r w:rsidR="00DA318B">
        <w:t>,</w:t>
      </w:r>
      <w:r w:rsidR="000D7D3D" w:rsidRPr="000D7D3D">
        <w:t xml:space="preserve"> especially </w:t>
      </w:r>
      <w:r w:rsidR="00F60BE8">
        <w:t>at</w:t>
      </w:r>
      <w:r w:rsidR="000D7D3D" w:rsidRPr="000D7D3D">
        <w:t xml:space="preserve"> low </w:t>
      </w:r>
      <w:r w:rsidR="00F60BE8">
        <w:t>concentrations</w:t>
      </w:r>
      <w:r w:rsidR="000D7D3D" w:rsidRPr="000D7D3D">
        <w:t xml:space="preserve">. </w:t>
      </w:r>
    </w:p>
    <w:p w14:paraId="408D5577" w14:textId="0BD6AF0E" w:rsidR="000D7D3D" w:rsidRPr="000D7D3D" w:rsidRDefault="000D7D3D" w:rsidP="007F746A">
      <w:pPr>
        <w:ind w:firstLine="720"/>
      </w:pPr>
      <w:r w:rsidRPr="000D7D3D">
        <w:t xml:space="preserve">The three different </w:t>
      </w:r>
      <w:r w:rsidRPr="000D7D3D">
        <w:rPr>
          <w:i/>
        </w:rPr>
        <w:t>P. involutus</w:t>
      </w:r>
      <w:r w:rsidRPr="000D7D3D">
        <w:t xml:space="preserve"> strains studied showed different growth responses during the Pi-varying experiment. For instance, both </w:t>
      </w:r>
      <w:r w:rsidRPr="000D7D3D">
        <w:rPr>
          <w:i/>
        </w:rPr>
        <w:t>P. involutus 13</w:t>
      </w:r>
      <w:r w:rsidRPr="000D7D3D">
        <w:t xml:space="preserve"> and </w:t>
      </w:r>
      <w:r w:rsidRPr="000D7D3D">
        <w:rPr>
          <w:i/>
        </w:rPr>
        <w:t>P. involutus ATCC 200175</w:t>
      </w:r>
      <w:r w:rsidRPr="000D7D3D">
        <w:t xml:space="preserve"> had similar growth responses</w:t>
      </w:r>
      <w:r w:rsidR="003A17E6">
        <w:t xml:space="preserve"> (Figures 2.3 and 2.5)</w:t>
      </w:r>
      <w:r w:rsidRPr="000D7D3D">
        <w:t xml:space="preserve">, which could be explained by the fact that both strains are </w:t>
      </w:r>
      <w:r w:rsidR="00355DF0">
        <w:t>“</w:t>
      </w:r>
      <w:r w:rsidRPr="000D7D3D">
        <w:t>laboratory</w:t>
      </w:r>
      <w:r w:rsidR="00355DF0">
        <w:t>”</w:t>
      </w:r>
      <w:r w:rsidRPr="000D7D3D">
        <w:t xml:space="preserve"> strains, i.e. propagated in laboratories for several decades. Continuous propagation on agar media has been shown to induce transcriptional and morphological changes in wild strains of </w:t>
      </w:r>
      <w:r w:rsidRPr="000D7D3D">
        <w:rPr>
          <w:i/>
        </w:rPr>
        <w:t>S. cerevisiae</w:t>
      </w:r>
      <w:r w:rsidRPr="000D7D3D">
        <w:t xml:space="preserve">, which differed from laboratory ones </w:t>
      </w:r>
      <w:r w:rsidRPr="000D7D3D">
        <w:fldChar w:fldCharType="begin" w:fldLock="1"/>
      </w:r>
      <w:r w:rsidR="00EE33AB">
        <w:instrText>ADDIN CSL_CITATION {"citationItems":[{"id":"ITEM-1","itemData":{"DOI":"10.1046/j.1365-2958.2003.03332.x","ISBN":"1365-2958","ISSN":"0950382X","author":[{"dropping-particle":"","family":"Kuthan","given":"Martin","non-dropping-particle":"","parse-names":false,"suffix":""},{"dropping-particle":"","family":"Devaux","given":"Frederic","non-dropping-particle":"","parse-names":false,"suffix":""},{"dropping-particle":"","family":"Janderova","given":"Blanka","non-dropping-particle":"","parse-names":false,"suffix":""},{"dropping-particle":"","family":"Slaninova","given":"Iva","non-dropping-particle":"","parse-names":false,"suffix":""},{"dropping-particle":"","family":"Jacq","given":"Claude","non-dropping-particle":"","parse-names":false,"suffix":""},{"dropping-particle":"","family":"Palkova","given":"Zdena","non-dropping-particle":"","parse-names":false,"suffix":""}],"container-title":"Molecular Microbiology","id":"ITEM-1","issued":{"date-parts":[["2003"]]},"page":"745-754","title":"Domestication of wild Saccharomyces cerevisiae is accompanied by changes in gene expression and colony morphology","type":"article-journal","volume":"47"},"uris":["http://www.mendeley.com/documents/?uuid=ed13aecc-4d0f-4a63-a50d-9cd90a9f2123"]}],"mendeley":{"formattedCitation":"(Kuthan et al., 2003)","plainTextFormattedCitation":"(Kuthan et al., 2003)","previouslyFormattedCitation":"(Kuthan et al., 2003)"},"properties":{"noteIndex":0},"schema":"https://github.com/citation-style-language/schema/raw/master/csl-citation.json"}</w:instrText>
      </w:r>
      <w:r w:rsidRPr="000D7D3D">
        <w:fldChar w:fldCharType="separate"/>
      </w:r>
      <w:r w:rsidR="00E13746" w:rsidRPr="00E13746">
        <w:rPr>
          <w:noProof/>
        </w:rPr>
        <w:t>(Kuthan et al., 2003)</w:t>
      </w:r>
      <w:r w:rsidRPr="000D7D3D">
        <w:fldChar w:fldCharType="end"/>
      </w:r>
      <w:r w:rsidRPr="000D7D3D">
        <w:t xml:space="preserve">. Indeed, </w:t>
      </w:r>
      <w:r w:rsidRPr="000D7D3D">
        <w:rPr>
          <w:i/>
        </w:rPr>
        <w:t>P. involutus DJR1</w:t>
      </w:r>
      <w:r w:rsidRPr="000D7D3D">
        <w:t>, a strain recently isolated from the wild</w:t>
      </w:r>
      <w:r w:rsidR="00E8643C">
        <w:t xml:space="preserve"> (October 2015)</w:t>
      </w:r>
      <w:r w:rsidRPr="000D7D3D">
        <w:t>, showed different growth response by accumulat</w:t>
      </w:r>
      <w:r w:rsidR="00F60BE8">
        <w:t>ing</w:t>
      </w:r>
      <w:r w:rsidRPr="000D7D3D">
        <w:t xml:space="preserve"> more mass at each Pi </w:t>
      </w:r>
      <w:r w:rsidR="00B323DA">
        <w:t>concentration (Figure 2.5). The former</w:t>
      </w:r>
      <w:r w:rsidRPr="000D7D3D">
        <w:t xml:space="preserve"> was also reflected by the morphology of its hyphae, which were denser and also produced sclerotia at the highest </w:t>
      </w:r>
      <w:r w:rsidR="0072095D">
        <w:t>Pi concentrations (Figure 2.4).</w:t>
      </w:r>
    </w:p>
    <w:p w14:paraId="01020AB8" w14:textId="25D71B0F" w:rsidR="000D7D3D" w:rsidRPr="000D7D3D" w:rsidRDefault="000D7D3D" w:rsidP="007F746A"/>
    <w:p w14:paraId="744C9B31" w14:textId="66558124" w:rsidR="000D7D3D" w:rsidRPr="000D7D3D" w:rsidRDefault="000D7D3D" w:rsidP="00635993">
      <w:pPr>
        <w:pStyle w:val="Heading2"/>
      </w:pPr>
      <w:bookmarkStart w:id="161" w:name="_Toc507603991"/>
      <w:bookmarkStart w:id="162" w:name="_Toc507604258"/>
      <w:bookmarkStart w:id="163" w:name="_Toc519016975"/>
      <w:bookmarkStart w:id="164" w:name="_Toc520837873"/>
      <w:r w:rsidRPr="000D7D3D">
        <w:t xml:space="preserve">2.4.3 Effect of Pi-varying media on the </w:t>
      </w:r>
      <w:r w:rsidRPr="000D7D3D">
        <w:rPr>
          <w:i/>
        </w:rPr>
        <w:t>P. involutus</w:t>
      </w:r>
      <w:r w:rsidRPr="000D7D3D">
        <w:t xml:space="preserve"> hyphal and </w:t>
      </w:r>
      <w:r w:rsidR="006579C9" w:rsidRPr="006579C9">
        <w:rPr>
          <w:i/>
        </w:rPr>
        <w:t>P. sylvestris</w:t>
      </w:r>
      <w:r w:rsidRPr="000D7D3D">
        <w:t xml:space="preserve"> </w:t>
      </w:r>
      <w:r w:rsidR="0054124D">
        <w:t xml:space="preserve">seedling </w:t>
      </w:r>
      <w:r w:rsidRPr="000D7D3D">
        <w:t>Pi content</w:t>
      </w:r>
      <w:bookmarkEnd w:id="161"/>
      <w:bookmarkEnd w:id="162"/>
      <w:bookmarkEnd w:id="163"/>
      <w:bookmarkEnd w:id="164"/>
      <w:r w:rsidRPr="000D7D3D">
        <w:t xml:space="preserve"> </w:t>
      </w:r>
    </w:p>
    <w:p w14:paraId="39EA9EE9" w14:textId="28D5C727" w:rsidR="000D7D3D" w:rsidRPr="000D7D3D" w:rsidRDefault="000D7D3D" w:rsidP="003F7054">
      <w:r w:rsidRPr="000D7D3D">
        <w:rPr>
          <w:i/>
        </w:rPr>
        <w:t xml:space="preserve">P. involutus ATCC 200175 </w:t>
      </w:r>
      <w:r w:rsidRPr="000D7D3D">
        <w:t xml:space="preserve">was selected for further use </w:t>
      </w:r>
      <w:r w:rsidR="006579C9">
        <w:t>in</w:t>
      </w:r>
      <w:r w:rsidRPr="000D7D3D">
        <w:t xml:space="preserve"> the following Pi-varying experiments, primarily based on the fact that any genomic data generated by its use will be directly co</w:t>
      </w:r>
      <w:r w:rsidR="006579C9">
        <w:t>nnected to the available genomic</w:t>
      </w:r>
      <w:r w:rsidRPr="000D7D3D">
        <w:t xml:space="preserve"> database. According to the data acquired from the Pi content analysis, these suggested that the Pi content of the fungal hyphae under NS conditions </w:t>
      </w:r>
      <w:r w:rsidR="006579C9">
        <w:t>increased</w:t>
      </w:r>
      <w:r w:rsidRPr="000D7D3D">
        <w:t xml:space="preserve"> in response to the increasing Pi concentrations of the Pi-varying medi</w:t>
      </w:r>
      <w:r w:rsidR="006579C9">
        <w:t>a, while under the S conditions</w:t>
      </w:r>
      <w:r w:rsidRPr="000D7D3D">
        <w:t xml:space="preserve"> it remained unchanged</w:t>
      </w:r>
      <w:r w:rsidR="003A17E6">
        <w:t xml:space="preserve"> (Figure 2.6D)</w:t>
      </w:r>
      <w:r w:rsidRPr="000D7D3D">
        <w:t>. A possible explanation for this cou</w:t>
      </w:r>
      <w:r w:rsidR="006579C9">
        <w:t>ld be that for the S conditions,</w:t>
      </w:r>
      <w:r w:rsidRPr="000D7D3D">
        <w:t xml:space="preserve"> the fungal hyphae experienced a stage where it had been grown on 10% MMN media together with a pine </w:t>
      </w:r>
      <w:r w:rsidRPr="000D7D3D">
        <w:lastRenderedPageBreak/>
        <w:t xml:space="preserve">seedling, described as the mycorrhization synthesis stage. At this stage, the media is rich in Pi, as 10% MMN media contains 556 μM Pi. Thus, after mycorrhiza formation and its transfer to the final </w:t>
      </w:r>
      <w:r w:rsidR="00690984">
        <w:t>Pi-varying design, the hyphae are</w:t>
      </w:r>
      <w:r w:rsidRPr="000D7D3D">
        <w:t xml:space="preserve"> still rich in Pi, a fact which could make it unresponsive to the low Pi concentrations of the MMN</w:t>
      </w:r>
      <w:r w:rsidRPr="000D7D3D">
        <w:rPr>
          <w:vertAlign w:val="subscript"/>
        </w:rPr>
        <w:t xml:space="preserve">S </w:t>
      </w:r>
      <w:r w:rsidRPr="000D7D3D">
        <w:t xml:space="preserve">Pi-varying experiment. </w:t>
      </w:r>
    </w:p>
    <w:p w14:paraId="78DF3113" w14:textId="387986E8" w:rsidR="000D7D3D" w:rsidRPr="000D7D3D" w:rsidRDefault="000D7D3D" w:rsidP="007F746A">
      <w:pPr>
        <w:ind w:firstLine="720"/>
      </w:pPr>
      <w:r w:rsidRPr="000D7D3D">
        <w:t xml:space="preserve">Measurements of Pi content of the fungal hyphae after growth at the 10% MMN mycorrhization step were performed and could prove </w:t>
      </w:r>
      <w:r w:rsidR="006579C9">
        <w:t>the above</w:t>
      </w:r>
      <w:r w:rsidR="003A17E6">
        <w:t>,</w:t>
      </w:r>
      <w:r w:rsidRPr="000D7D3D">
        <w:t xml:space="preserve"> as the fungal hyphae </w:t>
      </w:r>
      <w:r w:rsidR="003A17E6">
        <w:t>contained</w:t>
      </w:r>
      <w:r w:rsidR="003A17E6" w:rsidRPr="000D7D3D">
        <w:t xml:space="preserve"> </w:t>
      </w:r>
      <w:r w:rsidRPr="000D7D3D">
        <w:t>a high amount of 8.66 mM Pi (</w:t>
      </w:r>
      <w:r w:rsidR="006579C9" w:rsidRPr="000D7D3D">
        <w:t>Appendix</w:t>
      </w:r>
      <w:r w:rsidR="006579C9">
        <w:t>,</w:t>
      </w:r>
      <w:r w:rsidR="006579C9" w:rsidRPr="000D7D3D">
        <w:t xml:space="preserve"> </w:t>
      </w:r>
      <w:r w:rsidR="006579C9">
        <w:t>Figure 1</w:t>
      </w:r>
      <w:r w:rsidRPr="000D7D3D">
        <w:t xml:space="preserve">). The same explanation can be given for the </w:t>
      </w:r>
      <w:r w:rsidR="006579C9">
        <w:t xml:space="preserve">profile of the Pi content of </w:t>
      </w:r>
      <w:r w:rsidR="006579C9" w:rsidRPr="006579C9">
        <w:rPr>
          <w:i/>
        </w:rPr>
        <w:t>P. sylvestris</w:t>
      </w:r>
      <w:r w:rsidRPr="000D7D3D">
        <w:t xml:space="preserve"> roots</w:t>
      </w:r>
      <w:r w:rsidR="00EA7B00">
        <w:t>,</w:t>
      </w:r>
      <w:r w:rsidR="006579C9">
        <w:t xml:space="preserve"> where the </w:t>
      </w:r>
      <w:r w:rsidRPr="000D7D3D">
        <w:t>Pi content after growth at the mycorrhization step was found to be 3.89 mM of Pi</w:t>
      </w:r>
      <w:r w:rsidR="003A17E6">
        <w:t xml:space="preserve"> </w:t>
      </w:r>
      <w:r w:rsidR="003A17E6" w:rsidRPr="000D7D3D">
        <w:t>(</w:t>
      </w:r>
      <w:r w:rsidR="006579C9" w:rsidRPr="000D7D3D">
        <w:t>Appendix</w:t>
      </w:r>
      <w:r w:rsidR="006579C9">
        <w:t>,</w:t>
      </w:r>
      <w:r w:rsidR="006579C9" w:rsidRPr="000D7D3D">
        <w:t xml:space="preserve"> </w:t>
      </w:r>
      <w:r w:rsidR="006579C9">
        <w:t>Figure 1</w:t>
      </w:r>
      <w:r w:rsidR="003A17E6" w:rsidRPr="000D7D3D">
        <w:t>)</w:t>
      </w:r>
      <w:r w:rsidR="001C756C">
        <w:t>. For this reason</w:t>
      </w:r>
      <w:r w:rsidRPr="000D7D3D">
        <w:t xml:space="preserve">, </w:t>
      </w:r>
      <w:r w:rsidR="00957508">
        <w:t>needle</w:t>
      </w:r>
      <w:r w:rsidRPr="000D7D3D">
        <w:t xml:space="preserve"> </w:t>
      </w:r>
      <w:r w:rsidR="001C756C">
        <w:t xml:space="preserve">Pi </w:t>
      </w:r>
      <w:r w:rsidRPr="000D7D3D">
        <w:t xml:space="preserve">content was </w:t>
      </w:r>
      <w:r w:rsidR="001C756C">
        <w:t>only affected at the highest Pi concentration</w:t>
      </w:r>
      <w:r w:rsidRPr="000D7D3D">
        <w:t xml:space="preserve"> of the MMN</w:t>
      </w:r>
      <w:r w:rsidRPr="000D7D3D">
        <w:rPr>
          <w:vertAlign w:val="subscript"/>
        </w:rPr>
        <w:t>S</w:t>
      </w:r>
      <w:r w:rsidRPr="001C756C">
        <w:t xml:space="preserve"> </w:t>
      </w:r>
      <w:r w:rsidRPr="000D7D3D">
        <w:t>Pi-varying media</w:t>
      </w:r>
      <w:r w:rsidR="00DE4752">
        <w:t xml:space="preserve"> (Figure 2.6C)</w:t>
      </w:r>
      <w:r w:rsidR="001C756C">
        <w:t xml:space="preserve">, since </w:t>
      </w:r>
      <w:r w:rsidRPr="000D7D3D">
        <w:t xml:space="preserve">only </w:t>
      </w:r>
      <w:r w:rsidR="001C756C" w:rsidRPr="000D7D3D">
        <w:t xml:space="preserve">at </w:t>
      </w:r>
      <w:r w:rsidRPr="000D7D3D">
        <w:t xml:space="preserve">that Pi concentration the Pi </w:t>
      </w:r>
      <w:r w:rsidR="00957508">
        <w:t xml:space="preserve">needle </w:t>
      </w:r>
      <w:r w:rsidR="0054124D">
        <w:t>content (9.55mM)</w:t>
      </w:r>
      <w:r w:rsidR="001C756C">
        <w:t xml:space="preserve"> </w:t>
      </w:r>
      <w:r w:rsidRPr="000D7D3D">
        <w:t>exceed</w:t>
      </w:r>
      <w:r w:rsidR="008C2AB7">
        <w:t>ed</w:t>
      </w:r>
      <w:r w:rsidRPr="000D7D3D">
        <w:t xml:space="preserve"> that detected for the </w:t>
      </w:r>
      <w:r w:rsidR="00957508">
        <w:t>needle</w:t>
      </w:r>
      <w:r w:rsidR="001C756C">
        <w:t>s</w:t>
      </w:r>
      <w:r w:rsidRPr="000D7D3D">
        <w:t xml:space="preserve"> growing during the </w:t>
      </w:r>
      <w:r w:rsidR="008C2AB7" w:rsidRPr="000D7D3D">
        <w:t xml:space="preserve">mycorrhization </w:t>
      </w:r>
      <w:r w:rsidRPr="000D7D3D">
        <w:t xml:space="preserve">synthesis stage </w:t>
      </w:r>
      <w:r w:rsidR="0054124D">
        <w:t>(</w:t>
      </w:r>
      <w:r w:rsidR="003D0721">
        <w:t>4.95mM</w:t>
      </w:r>
      <w:r w:rsidR="0054124D">
        <w:t>)</w:t>
      </w:r>
      <w:r w:rsidR="002719AF">
        <w:t xml:space="preserve"> </w:t>
      </w:r>
      <w:r w:rsidR="008C2AB7">
        <w:t>(Appendix, Figure 1).</w:t>
      </w:r>
    </w:p>
    <w:p w14:paraId="256A9D57" w14:textId="77777777" w:rsidR="000D7D3D" w:rsidRPr="000D7D3D" w:rsidRDefault="000D7D3D" w:rsidP="00FB36B8"/>
    <w:p w14:paraId="0622DAC4" w14:textId="6C6F4B9A" w:rsidR="000D7D3D" w:rsidRPr="000D7D3D" w:rsidRDefault="000D7D3D" w:rsidP="00635993">
      <w:pPr>
        <w:pStyle w:val="Heading2"/>
      </w:pPr>
      <w:bookmarkStart w:id="165" w:name="_Toc507603992"/>
      <w:bookmarkStart w:id="166" w:name="_Toc507604259"/>
      <w:bookmarkStart w:id="167" w:name="_Toc519016976"/>
      <w:bookmarkStart w:id="168" w:name="_Toc520837874"/>
      <w:r w:rsidRPr="000D7D3D">
        <w:t xml:space="preserve">2.4.4 Effect of Pi-varying media on </w:t>
      </w:r>
      <w:r w:rsidRPr="000D7D3D">
        <w:rPr>
          <w:i/>
        </w:rPr>
        <w:t>P. involutus</w:t>
      </w:r>
      <w:r w:rsidRPr="000D7D3D">
        <w:t xml:space="preserve"> hyphal and </w:t>
      </w:r>
      <w:r w:rsidR="0054124D" w:rsidRPr="006579C9">
        <w:rPr>
          <w:i/>
        </w:rPr>
        <w:t>P. sylvestris</w:t>
      </w:r>
      <w:r w:rsidRPr="000D7D3D">
        <w:t xml:space="preserve"> seedling dry mass</w:t>
      </w:r>
      <w:bookmarkEnd w:id="165"/>
      <w:bookmarkEnd w:id="166"/>
      <w:bookmarkEnd w:id="167"/>
      <w:bookmarkEnd w:id="168"/>
    </w:p>
    <w:p w14:paraId="022F419C" w14:textId="526785E8" w:rsidR="000D7D3D" w:rsidRPr="000D7D3D" w:rsidRDefault="00F60BE8" w:rsidP="003F7054">
      <w:r>
        <w:t>T</w:t>
      </w:r>
      <w:r w:rsidR="0054124D">
        <w:t>he dry mass measurements</w:t>
      </w:r>
      <w:r w:rsidR="000D7D3D" w:rsidRPr="000D7D3D">
        <w:t xml:space="preserve"> indicate that</w:t>
      </w:r>
      <w:r w:rsidR="0054124D">
        <w:t>,</w:t>
      </w:r>
      <w:r w:rsidR="000D7D3D" w:rsidRPr="000D7D3D">
        <w:t xml:space="preserve"> </w:t>
      </w:r>
      <w:r w:rsidR="0054124D">
        <w:t>in</w:t>
      </w:r>
      <w:r w:rsidR="000D7D3D" w:rsidRPr="000D7D3D">
        <w:t xml:space="preserve"> both NS and S experimental conditions, fungal hyphae dry mass rose at the highest Pi concentration of the Pi-varying experiment</w:t>
      </w:r>
      <w:r w:rsidR="00EA7B00">
        <w:t xml:space="preserve"> (Figure 2.6D)</w:t>
      </w:r>
      <w:r w:rsidR="000D7D3D" w:rsidRPr="000D7D3D">
        <w:t xml:space="preserve">. Also, the difference between the NS and S experimental conditions regarding the fungal dry mass was </w:t>
      </w:r>
      <w:r w:rsidR="004B384C">
        <w:t>statistically</w:t>
      </w:r>
      <w:r w:rsidR="004B384C" w:rsidRPr="000D7D3D">
        <w:t xml:space="preserve"> </w:t>
      </w:r>
      <w:r w:rsidR="000D7D3D" w:rsidRPr="000D7D3D">
        <w:t xml:space="preserve">significant, with </w:t>
      </w:r>
      <w:r w:rsidR="00E51983">
        <w:t xml:space="preserve">much </w:t>
      </w:r>
      <w:r w:rsidR="000D7D3D" w:rsidRPr="000D7D3D">
        <w:t>more dry mass accumulating at the lowest Pi concentration when the fungus was in symbiosis with a pine seedling</w:t>
      </w:r>
      <w:r w:rsidR="00EA7B00">
        <w:t xml:space="preserve"> (Figure 2.6D)</w:t>
      </w:r>
      <w:r w:rsidR="000D7D3D" w:rsidRPr="000D7D3D">
        <w:t>. However, this effect could also be caused by the different sizes of Petri di</w:t>
      </w:r>
      <w:r w:rsidR="00056F13">
        <w:t>shes used for the NS condition,</w:t>
      </w:r>
      <w:r w:rsidR="0054124D">
        <w:t xml:space="preserve"> w</w:t>
      </w:r>
      <w:r w:rsidR="00056F13">
        <w:t xml:space="preserve">hich </w:t>
      </w:r>
      <w:r w:rsidR="000D7D3D" w:rsidRPr="000D7D3D">
        <w:t>w</w:t>
      </w:r>
      <w:r w:rsidR="00056F13">
        <w:t>ere</w:t>
      </w:r>
      <w:r w:rsidR="000D7D3D" w:rsidRPr="000D7D3D">
        <w:t xml:space="preserve"> smaller than </w:t>
      </w:r>
      <w:r w:rsidR="00056F13">
        <w:t xml:space="preserve">those used in </w:t>
      </w:r>
      <w:r w:rsidR="000D7D3D" w:rsidRPr="000D7D3D">
        <w:t>the S condition</w:t>
      </w:r>
      <w:r w:rsidR="00056F13">
        <w:t>. Moreover, for the pine</w:t>
      </w:r>
      <w:r w:rsidR="000D7D3D" w:rsidRPr="000D7D3D">
        <w:t xml:space="preserve"> </w:t>
      </w:r>
      <w:r w:rsidR="00957508">
        <w:t>needle</w:t>
      </w:r>
      <w:r w:rsidR="00056F13">
        <w:t>s</w:t>
      </w:r>
      <w:r w:rsidR="000D7D3D" w:rsidRPr="000D7D3D">
        <w:t xml:space="preserve"> and roots, the dry mass that accumulated at each Pi concentration of the Pi-varying experiment did not </w:t>
      </w:r>
      <w:r w:rsidR="00056F13">
        <w:t>exhibit</w:t>
      </w:r>
      <w:r w:rsidR="000D7D3D" w:rsidRPr="000D7D3D">
        <w:t xml:space="preserve"> any differences</w:t>
      </w:r>
      <w:r w:rsidR="00EA7B00">
        <w:t xml:space="preserve"> (Figure 2.6E)</w:t>
      </w:r>
      <w:r w:rsidR="000D7D3D" w:rsidRPr="000D7D3D">
        <w:t xml:space="preserve">. </w:t>
      </w:r>
    </w:p>
    <w:p w14:paraId="69F4BE2F" w14:textId="4715E4E8" w:rsidR="000D7D3D" w:rsidRPr="000D7D3D" w:rsidRDefault="00325734" w:rsidP="003F7054">
      <w:pPr>
        <w:ind w:firstLine="720"/>
      </w:pPr>
      <w:r>
        <w:t>As</w:t>
      </w:r>
      <w:r w:rsidR="000D7D3D" w:rsidRPr="000D7D3D">
        <w:t xml:space="preserve"> the mycorrhization synthesis stage preceded the Pi-varying experiment for the S conditions</w:t>
      </w:r>
      <w:r>
        <w:t>, this</w:t>
      </w:r>
      <w:r w:rsidR="000D7D3D" w:rsidRPr="000D7D3D">
        <w:t xml:space="preserve"> may have </w:t>
      </w:r>
      <w:r>
        <w:t>affected</w:t>
      </w:r>
      <w:r w:rsidR="000D7D3D" w:rsidRPr="000D7D3D">
        <w:t xml:space="preserve"> </w:t>
      </w:r>
      <w:r>
        <w:t xml:space="preserve">the </w:t>
      </w:r>
      <w:r w:rsidR="000D7D3D" w:rsidRPr="000D7D3D">
        <w:t>response in plant dry mass. The seedlings were removed from th</w:t>
      </w:r>
      <w:r w:rsidR="00690984">
        <w:t>e 10% MMN mycorrhiz</w:t>
      </w:r>
      <w:r w:rsidR="000D7D3D" w:rsidRPr="000D7D3D">
        <w:t xml:space="preserve">ation synthesis plates and transferred to the final </w:t>
      </w:r>
      <w:r w:rsidR="000D7D3D" w:rsidRPr="000D7D3D">
        <w:lastRenderedPageBreak/>
        <w:t>M-MMN</w:t>
      </w:r>
      <w:r w:rsidR="000D7D3D" w:rsidRPr="000D7D3D">
        <w:rPr>
          <w:vertAlign w:val="subscript"/>
        </w:rPr>
        <w:t>S</w:t>
      </w:r>
      <w:r w:rsidR="000D7D3D" w:rsidRPr="000D7D3D">
        <w:t xml:space="preserve"> Pi-varying experiment. For this transfer to be possible, the majority of the roots were excised as most of the roots were growing within the agar source and not on the cellophane-covered surface of the 10% MMN media plates. Besides, as the seedlings were growing within the 10% MMN media, which are richer in Pi than the Pi-varying experiment, their </w:t>
      </w:r>
      <w:r w:rsidR="00957508">
        <w:t>needle</w:t>
      </w:r>
      <w:r w:rsidR="00056F13">
        <w:t>s</w:t>
      </w:r>
      <w:r w:rsidR="000D7D3D" w:rsidRPr="000D7D3D">
        <w:t xml:space="preserve"> </w:t>
      </w:r>
      <w:r w:rsidR="00690984">
        <w:t xml:space="preserve">had </w:t>
      </w:r>
      <w:r w:rsidR="000D7D3D" w:rsidRPr="000D7D3D">
        <w:t>already developed and thus the Pi concentration of the Pi-varying media did not affect dry mass accumulation. These findings, together with those in Section 2.4.3, str</w:t>
      </w:r>
      <w:r w:rsidR="00690984">
        <w:t>ongly suggest that the mycorrhiz</w:t>
      </w:r>
      <w:r w:rsidR="00253E3C">
        <w:t>ation synthesis stage</w:t>
      </w:r>
      <w:r w:rsidR="000D7D3D" w:rsidRPr="000D7D3D">
        <w:t xml:space="preserve"> should have been omitted and the seedlings together with the fungal inoculum should have been inoculated directly</w:t>
      </w:r>
      <w:r w:rsidR="00690984">
        <w:t xml:space="preserve"> on the final Pi-varying media.</w:t>
      </w:r>
    </w:p>
    <w:p w14:paraId="6D30F9F9" w14:textId="77777777" w:rsidR="000D7D3D" w:rsidRPr="000D7D3D" w:rsidRDefault="000D7D3D" w:rsidP="007F746A"/>
    <w:p w14:paraId="0AF2C1B1" w14:textId="16E462C3" w:rsidR="000D7D3D" w:rsidRPr="000D7D3D" w:rsidRDefault="000D7D3D" w:rsidP="00635993">
      <w:pPr>
        <w:pStyle w:val="Heading2"/>
      </w:pPr>
      <w:bookmarkStart w:id="169" w:name="_Toc507603993"/>
      <w:bookmarkStart w:id="170" w:name="_Toc507604260"/>
      <w:bookmarkStart w:id="171" w:name="_Toc519016977"/>
      <w:bookmarkStart w:id="172" w:name="_Toc520837875"/>
      <w:r w:rsidRPr="000D7D3D">
        <w:t xml:space="preserve">2.4.5 Phylogenetic analysis of putative </w:t>
      </w:r>
      <w:r w:rsidRPr="000D7D3D">
        <w:rPr>
          <w:i/>
        </w:rPr>
        <w:t>P. involutus</w:t>
      </w:r>
      <w:r w:rsidRPr="000D7D3D">
        <w:t xml:space="preserve"> PTs</w:t>
      </w:r>
      <w:bookmarkEnd w:id="169"/>
      <w:bookmarkEnd w:id="170"/>
      <w:bookmarkEnd w:id="171"/>
      <w:bookmarkEnd w:id="172"/>
    </w:p>
    <w:p w14:paraId="1DFD5D13" w14:textId="09445069" w:rsidR="000D7D3D" w:rsidRPr="000D7D3D" w:rsidRDefault="000D7D3D" w:rsidP="003F7054">
      <w:r w:rsidRPr="000D7D3D">
        <w:t xml:space="preserve">Phylogenetic analysis of the seven putative PTs of </w:t>
      </w:r>
      <w:r w:rsidRPr="000D7D3D">
        <w:rPr>
          <w:i/>
        </w:rPr>
        <w:t>P. involutus</w:t>
      </w:r>
      <w:r w:rsidRPr="000D7D3D">
        <w:t xml:space="preserve"> may be indicative with regards to their transporting substrate</w:t>
      </w:r>
      <w:r w:rsidR="00EA7B00">
        <w:t xml:space="preserve"> (Figure 2.7)</w:t>
      </w:r>
      <w:r w:rsidRPr="000D7D3D">
        <w:t>. According to this analy</w:t>
      </w:r>
      <w:r w:rsidR="00056F13">
        <w:t>sis, PiPT1 shares a great amino acid sequence identity with</w:t>
      </w:r>
      <w:r w:rsidRPr="000D7D3D">
        <w:t xml:space="preserve"> HcPT1, ScPHO84, GiPT and GvPT high-affinity </w:t>
      </w:r>
      <w:r w:rsidR="00056F13">
        <w:t>Pi transporter</w:t>
      </w:r>
      <w:r w:rsidRPr="000D7D3D">
        <w:t xml:space="preserve">s that have been described in </w:t>
      </w:r>
      <w:r w:rsidRPr="000D7D3D">
        <w:rPr>
          <w:i/>
        </w:rPr>
        <w:t>H. cylindrosporum</w:t>
      </w:r>
      <w:r w:rsidRPr="000D7D3D">
        <w:t>,</w:t>
      </w:r>
      <w:r w:rsidRPr="000D7D3D">
        <w:rPr>
          <w:i/>
        </w:rPr>
        <w:t xml:space="preserve"> S. cerevisiae</w:t>
      </w:r>
      <w:r w:rsidRPr="000D7D3D">
        <w:t xml:space="preserve">, </w:t>
      </w:r>
      <w:r w:rsidRPr="000D7D3D">
        <w:rPr>
          <w:i/>
        </w:rPr>
        <w:t>Glomus intraradices</w:t>
      </w:r>
      <w:r w:rsidRPr="000D7D3D">
        <w:t xml:space="preserve"> and </w:t>
      </w:r>
      <w:r w:rsidRPr="000D7D3D">
        <w:rPr>
          <w:i/>
        </w:rPr>
        <w:t>Glomus versiforme</w:t>
      </w:r>
      <w:r w:rsidRPr="000D7D3D">
        <w:t>, respectively</w:t>
      </w:r>
      <w:r w:rsidR="003A17E6">
        <w:t xml:space="preserve"> (Figure 2.7)</w:t>
      </w:r>
      <w:r w:rsidRPr="000D7D3D">
        <w:t>. In particular, PiPT1 shares the greatest similarity with HcPT1</w:t>
      </w:r>
      <w:r w:rsidR="00056F13">
        <w:t>,</w:t>
      </w:r>
      <w:r w:rsidRPr="000D7D3D">
        <w:t xml:space="preserve"> as both belong to </w:t>
      </w:r>
      <w:r w:rsidR="00056F13">
        <w:t>B</w:t>
      </w:r>
      <w:r w:rsidRPr="000D7D3D">
        <w:t>asidiomycetes and are both EMF fungal species, and less with ScPHO84</w:t>
      </w:r>
      <w:r w:rsidR="004429D6">
        <w:t>,</w:t>
      </w:r>
      <w:r w:rsidRPr="000D7D3D">
        <w:t xml:space="preserve"> which belongs to </w:t>
      </w:r>
      <w:r w:rsidR="004429D6">
        <w:t>A</w:t>
      </w:r>
      <w:r w:rsidRPr="000D7D3D">
        <w:t>scomycetes</w:t>
      </w:r>
      <w:r w:rsidR="003A17E6">
        <w:t xml:space="preserve"> (Figure 2.7)</w:t>
      </w:r>
      <w:r w:rsidRPr="000D7D3D">
        <w:t xml:space="preserve">. Similarly, the PiPT1 shares less amino acid similarity with GiPT and GvPT, which belong to </w:t>
      </w:r>
      <w:r w:rsidR="004429D6">
        <w:t>G</w:t>
      </w:r>
      <w:r w:rsidRPr="000D7D3D">
        <w:t>lomeromycetes</w:t>
      </w:r>
      <w:r w:rsidR="004429D6">
        <w:t xml:space="preserve"> and are AM</w:t>
      </w:r>
      <w:r w:rsidRPr="000D7D3D">
        <w:t>-forming fungal species</w:t>
      </w:r>
      <w:r w:rsidR="004429D6">
        <w:t xml:space="preserve"> (</w:t>
      </w:r>
      <w:r w:rsidR="003A17E6">
        <w:t>Figure 2.7)</w:t>
      </w:r>
      <w:r w:rsidRPr="000D7D3D">
        <w:t>.</w:t>
      </w:r>
    </w:p>
    <w:p w14:paraId="1BE8571B" w14:textId="6933458D" w:rsidR="000D7D3D" w:rsidRPr="000D7D3D" w:rsidRDefault="000D7D3D" w:rsidP="003F7054">
      <w:pPr>
        <w:ind w:firstLine="720"/>
      </w:pPr>
      <w:r w:rsidRPr="000D7D3D">
        <w:t xml:space="preserve">PiPT2, PiPT4 and PiPT6 are grouped with the high-affinity </w:t>
      </w:r>
      <w:r w:rsidR="001C1DA1">
        <w:t>Pi transporter</w:t>
      </w:r>
      <w:r w:rsidR="003A17E6">
        <w:t xml:space="preserve"> from </w:t>
      </w:r>
      <w:r w:rsidR="003A17E6" w:rsidRPr="000D7D3D">
        <w:rPr>
          <w:i/>
        </w:rPr>
        <w:t>H. cylindrosporum</w:t>
      </w:r>
      <w:r w:rsidRPr="000D7D3D">
        <w:t>, HcPT2</w:t>
      </w:r>
      <w:r w:rsidR="003A17E6">
        <w:t xml:space="preserve"> (Figure 2.7)</w:t>
      </w:r>
      <w:r w:rsidRPr="000D7D3D">
        <w:t xml:space="preserve">. According to the functional characterisation of HcPT1 and HcPT2 in </w:t>
      </w:r>
      <w:r w:rsidRPr="000D7D3D">
        <w:rPr>
          <w:i/>
        </w:rPr>
        <w:t>H. cylindrosporum</w:t>
      </w:r>
      <w:r w:rsidRPr="000D7D3D">
        <w:t xml:space="preserve">, these transporters are both high-affinity </w:t>
      </w:r>
      <w:r w:rsidR="001C1DA1">
        <w:t>Pi transporter</w:t>
      </w:r>
      <w:r w:rsidRPr="000D7D3D">
        <w:t>s but exhibit different Pi affinities</w:t>
      </w:r>
      <w:r w:rsidR="001C1DA1">
        <w:t>,</w:t>
      </w:r>
      <w:r w:rsidRPr="000D7D3D">
        <w:t xml:space="preserve"> with values of 4 μM and 54.5 μM K</w:t>
      </w:r>
      <w:r w:rsidRPr="001C1DA1">
        <w:rPr>
          <w:vertAlign w:val="subscript"/>
        </w:rPr>
        <w:t>m</w:t>
      </w:r>
      <w:r w:rsidRPr="000D7D3D">
        <w:t xml:space="preserve">, respectively </w:t>
      </w:r>
      <w:r w:rsidRPr="000D7D3D">
        <w:fldChar w:fldCharType="begin" w:fldLock="1"/>
      </w:r>
      <w:r w:rsidR="00EE33AB">
        <w:instrText>ADDIN CSL_CITATION {"citationItems":[{"id":"ITEM-1","itemData":{"DOI":"10.1111/j.1365-313X.2008.03749.x","ISSN":"1365-313X","PMID":"19054369","abstract":"Ectomycorrhizal symbiosis markedly improves plant phosphate uptake, but the molecular mechanisms underlying this benefit are still poorly understood. We identified two ESTs in a cDNA library prepared from the ectomycorrhizal basidiomycete Hebeloma cylindrosporum with significant similarities to phosphate transporters from the endomycorrhizal fungus Glomus versiforme and from non-mycorrhizal fungi. The full-length cDNAs corresponding to these two ESTs complemented a yeast phosphate transport mutant (Deltapho84). Measurements of (33)P-phosphate influx into yeast expressing either cDNA demonstrated that the encoded proteins, named HcPT1 and HcPT2, were able to mediate Pi:H(+) symport with different affinities for Pi (K(m) values of 55 and 4 mum, respectively). Real-time RT-PCR showed that Pi starvation increased the levels of HcPT1 transcripts in H. cylindrosporum hyphae grown in pure culture. Transcript levels of HcPT2 were less dependent on Pi availability. The two transporters were expressed in H. cylindrosporum associated with its natural host plant, Pinus pinaster, grown under low or high P conditions. The presence of ectomycorrhizae increased net Pi uptake rates into intact Pinus pinaster roots at low or high soil P levels. The expression patterns of HcPT1 and HcPT2 indicate that the two fungal phosphate transporters may be involved in uptake of phosphate from the soil solution under the two soil P availability conditions used.","author":[{"dropping-particle":"","family":"Tatry","given":"Marie-Violaine","non-dropping-particle":"","parse-names":false,"suffix":""},{"dropping-particle":"","family":"Kassis","given":"Elie","non-dropping-particle":"El","parse-names":false,"suffix":""},{"dropping-particle":"","family":"Lambilliotte","given":"Raphaël","non-dropping-particle":"","parse-names":false,"suffix":""},{"dropping-particle":"","family":"Corratgé","given":"Claire","non-dropping-particle":"","parse-names":false,"suffix":""},{"dropping-particle":"","family":"Aarle","given":"Ingrid","non-dropping-particle":"van","parse-names":false,"suffix":""},{"dropping-particle":"","family":"Amenc","given":"Laurie K","non-dropping-particle":"","parse-names":false,"suffix":""},{"dropping-particle":"","family":"Alary","given":"Rémi","non-dropping-particle":"","parse-names":false,"suffix":""},{"dropping-particle":"","family":"Zimmermann","given":"Sabine","non-dropping-particle":"","parse-names":false,"suffix":""},{"dropping-particle":"","family":"Sentenac","given":"Hervé","non-dropping-particle":"","parse-names":false,"suffix":""},{"dropping-particle":"","family":"Plassard","given":"Claude","non-dropping-particle":"","parse-names":false,"suffix":""}],"container-title":"The Plant journal : for cell and molecular biology","id":"ITEM-1","issue":"6","issued":{"date-parts":[["2009","3"]]},"page":"1092-102","title":"Two differentially regulated phosphate transporters from the symbiotic fungus Hebeloma cylindrosporum and phosphorus acquisition by ectomycorrhizal Pinus pinaster.","type":"article-journal","volume":"57"},"uris":["http://www.mendeley.com/documents/?uuid=334233a2-c949-4def-90cb-cb4c687b90e2"]}],"mendeley":{"formattedCitation":"(Tatry et al., 2009)","plainTextFormattedCitation":"(Tatry et al., 2009)","previouslyFormattedCitation":"(Tatry et al., 2009)"},"properties":{"noteIndex":0},"schema":"https://github.com/citation-style-language/schema/raw/master/csl-citation.json"}</w:instrText>
      </w:r>
      <w:r w:rsidRPr="000D7D3D">
        <w:fldChar w:fldCharType="separate"/>
      </w:r>
      <w:r w:rsidRPr="000D7D3D">
        <w:rPr>
          <w:noProof/>
        </w:rPr>
        <w:t>(Tatry et al., 2009)</w:t>
      </w:r>
      <w:r w:rsidRPr="000D7D3D">
        <w:fldChar w:fldCharType="end"/>
      </w:r>
      <w:r w:rsidRPr="000D7D3D">
        <w:t xml:space="preserve">. The grouping of PiPTs within separate groups </w:t>
      </w:r>
      <w:r w:rsidR="001C1DA1">
        <w:t>which</w:t>
      </w:r>
      <w:r w:rsidRPr="000D7D3D">
        <w:t xml:space="preserve"> also cluster </w:t>
      </w:r>
      <w:r w:rsidR="001C1DA1">
        <w:t xml:space="preserve">together with </w:t>
      </w:r>
      <w:r w:rsidRPr="000D7D3D">
        <w:t xml:space="preserve">HcPT1 and HcPT2 may indirectly </w:t>
      </w:r>
      <w:r w:rsidR="001C1DA1">
        <w:t>indicate variation in</w:t>
      </w:r>
      <w:r w:rsidRPr="000D7D3D">
        <w:t xml:space="preserve"> the</w:t>
      </w:r>
      <w:r w:rsidR="001C1DA1">
        <w:t xml:space="preserve"> Pi affinity</w:t>
      </w:r>
      <w:r w:rsidRPr="000D7D3D">
        <w:t xml:space="preserve"> of PiPTs, with PiPT1 having a high</w:t>
      </w:r>
      <w:r w:rsidR="001C1DA1">
        <w:t>er</w:t>
      </w:r>
      <w:r w:rsidRPr="000D7D3D">
        <w:t xml:space="preserve"> affinity to Pi wh</w:t>
      </w:r>
      <w:r w:rsidR="005D5899">
        <w:t xml:space="preserve">ile PiPT2, PiPT4 and PiPT6 having </w:t>
      </w:r>
      <w:r w:rsidRPr="000D7D3D">
        <w:t xml:space="preserve">lower affinities </w:t>
      </w:r>
      <w:r w:rsidR="005D5899">
        <w:t xml:space="preserve">to Pi </w:t>
      </w:r>
      <w:r w:rsidR="00EF6ED2">
        <w:t>than PiPT1.</w:t>
      </w:r>
    </w:p>
    <w:p w14:paraId="3B6258F0" w14:textId="73AA8C2F" w:rsidR="000D7D3D" w:rsidRPr="000D7D3D" w:rsidRDefault="000D7D3D" w:rsidP="007F746A">
      <w:pPr>
        <w:ind w:firstLine="720"/>
      </w:pPr>
      <w:r w:rsidRPr="000D7D3D">
        <w:lastRenderedPageBreak/>
        <w:t xml:space="preserve">The finding that PiPT3, PiPT5 and PiPT7 do not cluster with any known high-affinity </w:t>
      </w:r>
      <w:r w:rsidR="00470530">
        <w:t>Pi transporter</w:t>
      </w:r>
      <w:r w:rsidRPr="000D7D3D">
        <w:t xml:space="preserve">s but also neither with the low-affinity </w:t>
      </w:r>
      <w:r w:rsidR="00470530">
        <w:t>Pi transporter</w:t>
      </w:r>
      <w:r w:rsidRPr="000D7D3D">
        <w:t>, ScPHO87, may suggest that the substrate of these transporters may be other than Pi</w:t>
      </w:r>
      <w:r w:rsidR="003A17E6">
        <w:t xml:space="preserve"> (Figure 2.7)</w:t>
      </w:r>
      <w:r w:rsidRPr="000D7D3D">
        <w:t xml:space="preserve">. The putative amino acid sequences of PiPT3, PiPT5 and PiPT7 were used with the SmartBLAST online tool at the NCBI server </w:t>
      </w:r>
      <w:r w:rsidRPr="000D7D3D">
        <w:fldChar w:fldCharType="begin" w:fldLock="1"/>
      </w:r>
      <w:r w:rsidR="00EE33AB">
        <w:instrText>ADDIN CSL_CITATION {"citationItems":[{"id":"ITEM-1","itemData":{"DOI":"10.1093/nar/gkv1290","ISBN":"0305-1048","ISSN":"13624962","PMID":"10592169","abstract":"In addition to maintaining the GenBank(R) nucleic acid sequence database, the National Center for Biotechnology Information (NCBI) provides data analysis and retrieval and resources that operate on the data in GenBank and a variety of other biological data made available through NCBI's Web site. NCBI data retrieval resources include Entrez, PubMed, LocusLink and the Taxonomy Browser. Data analysis resources include BLAST, Electronic PCR, OrfFinder, RefSeq, UniGene, Database of Single Nucleotide Polymorphisms (dbSNP), Human Genome Sequencing pages, GeneMap'99, Davis Human-Mouse Homology Map, Cancer Chromosome Aberration Project (CCAP) pages, Entrez Genomes, Clusters of Orthologous Groups (COGs) database, Retroviral Genotyping Tools, Cancer Genome Anatomy Project (CGAP) pages, SAGEmap, Online Mendelian Inheritance in Man (OMIM) and the Molecular Modeling Database (MMDB). Augmenting many of the Web applications are custom implementations of the BLAST program optimized to search specialized data sets. All of the resources can be accessed through the NCBI home page at: http://www.ncbi.nlm.nih. gov","author":[{"dropping-particle":"","family":"Agarwala","given":"Richa","non-dropping-particle":"","parse-names":false,"suffix":""},{"dropping-particle":"","family":"Barrett","given":"Tanya","non-dropping-particle":"","parse-names":false,"suffix":""},{"dropping-particle":"","family":"Beck","given":"Jeff","non-dropping-particle":"","parse-names":false,"suffix":""},{"dropping-particle":"","family":"Benson","given":"Dennis A.","non-dropping-particle":"","parse-names":false,"suffix":""},{"dropping-particle":"","family":"Bollin","given":"Colleen","non-dropping-particle":"","parse-names":false,"suffix":""},{"dropping-particle":"","family":"Bolton","given":"Evan","non-dropping-particle":"","parse-names":false,"suffix":""},{"dropping-particle":"","family":"Bourexis","given":"Devon","non-dropping-particle":"","parse-names":false,"suffix":""},{"dropping-particle":"","family":"Brister","given":"J. Rodney","non-dropping-particle":"","parse-names":false,"suffix":""},{"dropping-particle":"","family":"Bryant","given":"Stephen H.","non-dropping-particle":"","parse-names":false,"suffix":""},{"dropping-particle":"","family":"Canese","given":"Kathi","non-dropping-particle":"","parse-names":false,"suffix":""},{"dropping-particle":"","family":"Charowhas","given":"Chad","non-dropping-particle":"","parse-names":false,"suffix":""},{"dropping-particle":"","family":"Clark","given":"Karen","non-dropping-particle":"","parse-names":false,"suffix":""},{"dropping-particle":"","family":"Dicuccio","given":"Michael","non-dropping-particle":"","parse-names":false,"suffix":""},{"dropping-particle":"","family":"Dondoshansky","given":"Ilya","non-dropping-particle":"","parse-names":false,"suffix":""},{"dropping-particle":"","family":"Federhen","given":"Scott","non-dropping-particle":"","parse-names":false,"suffix":""},{"dropping-particle":"","family":"Feolo","given":"Michael","non-dropping-particle":"","parse-names":false,"suffix":""},{"dropping-particle":"","family":"Funk","given":"Kathryn","non-dropping-particle":"","parse-names":false,"suffix":""},{"dropping-particle":"","family":"Geer","given":"Lewis Y.","non-dropping-particle":"","parse-names":false,"suffix":""},{"dropping-particle":"","family":"Gorelenkov","given":"Viatcheslav","non-dropping-particle":"","parse-names":false,"suffix":""},{"dropping-particle":"","family":"Hoeppner","given":"Marilu","non-dropping-particle":"","parse-names":false,"suffix":""},{"dropping-particle":"","family":"Holmes","given":"Brad","non-dropping-particle":"","parse-names":false,"suffix":""},{"dropping-particle":"","family":"Johnson","given":"Mark","non-dropping-particle":"","parse-names":false,"suffix":""},{"dropping-particle":"","family":"Khotomlianski","given":"Viatcheslav","non-dropping-particle":"","parse-names":false,"suffix":""},{"dropping-particle":"","family":"Kimchi","given":"Avi","non-dropping-particle":"","parse-names":false,"suffix":""},{"dropping-particle":"","family":"Kimelman","given":"Michael","non-dropping-particle":"","parse-names":false,"suffix":""},{"dropping-particle":"","family":"Kitts","given":"Paul","non-dropping-particle":"","parse-names":false,"suffix":""},{"dropping-particle":"","family":"Klimke","given":"William","non-dropping-particle":"","parse-names":false,"suffix":""},{"dropping-particle":"","family":"Krasnov","given":"Sergey","non-dropping-particle":"","parse-names":false,"suffix":""},{"dropping-particle":"","family":"Kuznetsov","given":"Anatoliy","non-dropping-particle":"","parse-names":false,"suffix":""},{"dropping-particle":"","family":"Landrum","given":"Melissa J.","non-dropping-particle":"","parse-names":false,"suffix":""},{"dropping-particle":"","family":"Landsman","given":"David","non-dropping-particle":"","parse-names":false,"suffix":""},{"dropping-particle":"","family":"Lee","given":"Jennifer M.","non-dropping-particle":"","parse-names":false,"suffix":""},{"dropping-particle":"","family":"Lipman","given":"David J.","non-dropping-particle":"","parse-names":false,"suffix":""},{"dropping-particle":"","family":"Lu","given":"Zhiyong","non-dropping-particle":"","parse-names":false,"suffix":""},{"dropping-particle":"","family":"Madden","given":"Thomas L.","non-dropping-particle":"","parse-names":false,"suffix":""},{"dropping-particle":"","family":"Madej","given":"Tom","non-dropping-particle":"","parse-names":false,"suffix":""},{"dropping-particle":"","family":"Marchler-Bauer","given":"Aron","non-dropping-particle":"","parse-names":false,"suffix":""},{"dropping-particle":"","family":"Karsch-Mizrachi","given":"Ilene","non-dropping-particle":"","parse-names":false,"suffix":""},{"dropping-particle":"","family":"Murphy","given":"Terence","non-dropping-particle":"","parse-names":false,"suffix":""},{"dropping-particle":"","family":"Orris","given":"Rebecca","non-dropping-particle":"","parse-names":false,"suffix":""},{"dropping-particle":"","family":"Ostell","given":"James","non-dropping-particle":"","parse-names":false,"suffix":""},{"dropping-particle":"","family":"O'sullivan","given":"Christopher","non-dropping-particle":"","parse-names":false,"suffix":""},{"dropping-particle":"","family":"Panchenko","given":"Anna","non-dropping-particle":"","parse-names":false,"suffix":""},{"dropping-particle":"","family":"Phan","given":"Lon","non-dropping-particle":"","parse-names":false,"suffix":""},{"dropping-particle":"","family":"Preuss","given":"Don","non-dropping-particle":"","parse-names":false,"suffix":""},{"dropping-particle":"","family":"Pruitt","given":"Kim D.","non-dropping-particle":"","parse-names":false,"suffix":""},{"dropping-particle":"","family":"Rodarmer","given":"Kurt","non-dropping-particle":"","parse-names":false,"suffix":""},{"dropping-particle":"","family":"Rubinstein","given":"Wendy","non-dropping-particle":"","parse-names":false,"suffix":""},{"dropping-particle":"","family":"Sayers","given":"Ericw","non-dropping-particle":"","parse-names":false,"suffix":""},{"dropping-particle":"","family":"Schneider","given":"Valerie","non-dropping-particle":"","parse-names":false,"suffix":""},{"dropping-particle":"","family":"Schuler","given":"Gregory D.","non-dropping-particle":"","parse-names":false,"suffix":""},{"dropping-particle":"","family":"Sherry","given":"Stephen T.","non-dropping-particle":"","parse-names":false,"suffix":""},{"dropping-particle":"","family":"Sirotkin","given":"Karl","non-dropping-particle":"","parse-names":false,"suffix":""},{"dropping-particle":"","family":"Siyan","given":"Karanjit","non-dropping-particle":"","parse-names":false,"suffix":""},{"dropping-particle":"","family":"Slotta","given":"Douglas","non-dropping-particle":"","parse-names":false,"suffix":""},{"dropping-particle":"","family":"Soboleva","given":"Alexandra","non-dropping-particle":"","parse-names":false,"suffix":""},{"dropping-particle":"","family":"Soussov","given":"Vladimir","non-dropping-particle":"","parse-names":false,"suffix":""},{"dropping-particle":"","family":"Starchenko","given":"Grigory","non-dropping-particle":"","parse-names":false,"suffix":""},{"dropping-particle":"","family":"Tatusova","given":"Tatiana A.","non-dropping-particle":"","parse-names":false,"suffix":""},{"dropping-particle":"","family":"Todorov","given":"Kamen","non-dropping-particle":"","parse-names":false,"suffix":""},{"dropping-particle":"","family":"Trawick","given":"Bart W.","non-dropping-particle":"","parse-names":false,"suffix":""},{"dropping-particle":"","family":"Vakatov","given":"Denis","non-dropping-particle":"","parse-names":false,"suffix":""},{"dropping-particle":"","family":"Wang","given":"Yanli","non-dropping-particle":"","parse-names":false,"suffix":""},{"dropping-particle":"","family":"Ward","given":"Minghong","non-dropping-particle":"","parse-names":false,"suffix":""},{"dropping-particle":"","family":"Wilbur","given":"W. John","non-dropping-particle":"","parse-names":false,"suffix":""},{"dropping-particle":"","family":"Yaschenko","given":"Eugene","non-dropping-particle":"","parse-names":false,"suffix":""},{"dropping-particle":"","family":"Zbicz","given":"Kerry","non-dropping-particle":"","parse-names":false,"suffix":""}],"container-title":"Nucleic Acids Research","id":"ITEM-1","issue":"D1","issued":{"date-parts":[["2016"]]},"page":"D7-D19","title":"Database resources of the National Center for Biotechnology Information","type":"article-journal","volume":"44"},"uris":["http://www.mendeley.com/documents/?uuid=63f0e420-66c3-4e46-814d-2d2eaeabc62f"]}],"mendeley":{"formattedCitation":"(Agarwala et al., 2016)","plainTextFormattedCitation":"(Agarwala et al., 2016)","previouslyFormattedCitation":"(Agarwala et al., 2016)"},"properties":{"noteIndex":0},"schema":"https://github.com/citation-style-language/schema/raw/master/csl-citation.json"}</w:instrText>
      </w:r>
      <w:r w:rsidRPr="000D7D3D">
        <w:fldChar w:fldCharType="separate"/>
      </w:r>
      <w:r w:rsidRPr="000D7D3D">
        <w:rPr>
          <w:noProof/>
        </w:rPr>
        <w:t>(Agarwala et al., 2016)</w:t>
      </w:r>
      <w:r w:rsidRPr="000D7D3D">
        <w:fldChar w:fldCharType="end"/>
      </w:r>
      <w:r w:rsidRPr="000D7D3D">
        <w:t xml:space="preserve">. According to the results obtained, PiPT3, PiPT5 and PiPT7 share 49%, 30% and 35% amino acid sequence identity with the glycerophosphodiester transporter, ScGIT1P, of </w:t>
      </w:r>
      <w:r w:rsidRPr="000D7D3D">
        <w:rPr>
          <w:i/>
        </w:rPr>
        <w:t>S. cerevisiae</w:t>
      </w:r>
      <w:r w:rsidR="00697E8A">
        <w:t>. The former</w:t>
      </w:r>
      <w:r w:rsidR="00470530">
        <w:t xml:space="preserve"> may</w:t>
      </w:r>
      <w:r w:rsidRPr="000D7D3D">
        <w:t xml:space="preserve"> </w:t>
      </w:r>
      <w:r w:rsidR="00697E8A">
        <w:t>suggest</w:t>
      </w:r>
      <w:r w:rsidR="00470530" w:rsidRPr="000D7D3D">
        <w:t xml:space="preserve"> </w:t>
      </w:r>
      <w:r w:rsidRPr="000D7D3D">
        <w:t xml:space="preserve">that PiPT3, PiPT5 and PiPT7 </w:t>
      </w:r>
      <w:r w:rsidR="00470530">
        <w:t>could</w:t>
      </w:r>
      <w:r w:rsidRPr="000D7D3D">
        <w:t xml:space="preserve"> similarly transport glycerophosphodiester</w:t>
      </w:r>
      <w:r w:rsidR="00470530">
        <w:t>,</w:t>
      </w:r>
      <w:r w:rsidRPr="000D7D3D">
        <w:t xml:space="preserve"> </w:t>
      </w:r>
      <w:r w:rsidR="00470530">
        <w:t xml:space="preserve">but </w:t>
      </w:r>
      <w:r w:rsidRPr="000D7D3D">
        <w:t>witho</w:t>
      </w:r>
      <w:r w:rsidR="00470530">
        <w:t>ut excluding the possibility that they</w:t>
      </w:r>
      <w:r w:rsidRPr="000D7D3D">
        <w:t xml:space="preserve"> mediate internal Pi t</w:t>
      </w:r>
      <w:r w:rsidR="00470530">
        <w:t>ransport rather than Pi uptake.</w:t>
      </w:r>
    </w:p>
    <w:p w14:paraId="46FAB685" w14:textId="0D24BE71" w:rsidR="000D7D3D" w:rsidRPr="000D7D3D" w:rsidRDefault="000D7D3D" w:rsidP="00FB36B8">
      <w:pPr>
        <w:ind w:firstLine="720"/>
      </w:pPr>
      <w:r w:rsidRPr="000D7D3D">
        <w:t xml:space="preserve">In particular, PiPT3 and PiPT7 exhibited 25% and 22% amino acid sequence similarity, respectively, with AtPht1;6 of </w:t>
      </w:r>
      <w:r w:rsidRPr="000D7D3D">
        <w:rPr>
          <w:i/>
        </w:rPr>
        <w:t>Arabidopsis thaliana</w:t>
      </w:r>
      <w:r w:rsidRPr="000D7D3D">
        <w:t xml:space="preserve">. AtPht1;6 belongs to the Pht1 family and is the only member which is not expressed in root tissues, and strictly in the flower parts </w:t>
      </w:r>
      <w:r w:rsidRPr="000D7D3D">
        <w:fldChar w:fldCharType="begin" w:fldLock="1"/>
      </w:r>
      <w:r w:rsidR="00EE33AB">
        <w:instrText>ADDIN CSL_CITATION {"citationItems":[{"id":"ITEM-1","itemData":{"DOI":"10.1046/j.1365-313X.2002.01356.x","ISBN":"0960-7412","ISSN":"1365-313X","PMID":"12164813","abstract":"The completion of the Arabidopsis thaliana genome has revealed that there are nine members of the Pht1 family of phosphate transporters in this species. As a step towards identifying the role of this gene family in phosphorus nutrition, we have isolated the promoter regions from each of these genes, and fused them to the reporter genes β-glucuronidase and/or green fluorescent protein. These chimeric genes have been introduced into A. thaliana, and reporter gene expression has been assayed in plants grown in soil containing high and low concentrations of inorganic phosphate (Pi). Four of these promoters were found to direct reporter gene expression in the root epidermis, and were induced under conditions of phosphate deprivation in a manner similar to previously characterised Pht1 genes. Other members of this family, however, showed expression in a range of shoot tissues and in pollen grains, which was confirmed by RT-PCR. We also provide evidence that the root epidermally expressed genes are expressed most strongly in trichoblasts, the primary sites for uptake of Pi. These results suggest that this gene family plays a wider role in phosphate uptake and remobilisation throughout the plant than was previously believed.","author":[{"dropping-particle":"","family":"Mudge","given":"Stephen R","non-dropping-particle":"","parse-names":false,"suffix":""},{"dropping-particle":"","family":"Rae","given":"Anne L","non-dropping-particle":"","parse-names":false,"suffix":""},{"dropping-particle":"","family":"Diatloff","given":"Eugene","non-dropping-particle":"","parse-names":false,"suffix":""},{"dropping-particle":"","family":"Smith","given":"Frank W","non-dropping-particle":"","parse-names":false,"suffix":""}],"container-title":"The Plant Journal","id":"ITEM-1","issue":"3","issued":{"date-parts":[["2002"]]},"page":"341-353","title":"Expression analysis suggests novel roles for members of the &lt;i&gt;Pht1&lt;/i&gt; family of phosphate transporters in &lt;i&gt;Arabidopsis&lt;/i&gt;","type":"article-journal","volume":"31"},"uris":["http://www.mendeley.com/documents/?uuid=75e47a9e-0ee6-4cae-9178-74d059806adf"]}],"mendeley":{"formattedCitation":"(Mudge et al., 2002)","plainTextFormattedCitation":"(Mudge et al., 2002)","previouslyFormattedCitation":"(Mudge et al., 2002)"},"properties":{"noteIndex":0},"schema":"https://github.com/citation-style-language/schema/raw/master/csl-citation.json"}</w:instrText>
      </w:r>
      <w:r w:rsidRPr="000D7D3D">
        <w:fldChar w:fldCharType="separate"/>
      </w:r>
      <w:r w:rsidRPr="000D7D3D">
        <w:rPr>
          <w:noProof/>
        </w:rPr>
        <w:t>(Mudge et al., 2002)</w:t>
      </w:r>
      <w:r w:rsidRPr="000D7D3D">
        <w:fldChar w:fldCharType="end"/>
      </w:r>
      <w:r w:rsidRPr="000D7D3D">
        <w:t xml:space="preserve">. PiPT5 shares 29% amino acid sequence similarity with AtPht1;5, which plays a critical role in internal Pi mobilisation from P-source sink organs as demanded by the total P status of the plant </w:t>
      </w:r>
      <w:r w:rsidRPr="000D7D3D">
        <w:fldChar w:fldCharType="begin" w:fldLock="1"/>
      </w:r>
      <w:r w:rsidR="00EE33AB">
        <w:instrText>ADDIN CSL_CITATION {"citationItems":[{"id":"ITEM-1","itemData":{"DOI":"10.1104/pp.111.174805","ISBN":"1532-2548 (Electronic)\\n0032-0889 (Linking)","ISSN":"0032-0889","PMID":"21628630","abstract":"Phosphorus (P) remobilization in plants is required for continuous growth and development. The Arabidopsis (Arabidopsis thaliana) inorganic phosphate (Pi) transporter Pht1;5 has been implicated in mobilizing stored Pi out of older leaves. In this study, we used a reverse genetics approach to study the role of Pht1;5 in Pi homeostasis. Under low-Pi conditions, Pht1;5 loss of function (pht1;5-1) resulted in reduced P allocation to shoots and elevated transcript levels for several Pi starvation-response genes. Under Pi-replete conditions, pht1;5-1 had higher shoot P content compared with the wild type but had reduced P content in roots. Constitutive overexpression of Pht1;5 had the opposite effect on P distribution: namely, lower P levels in shoots compared with the wild type but higher P content in roots. Pht1;5 overexpression also resulted in altered Pi remobilization, as evidenced by a greater than 2-fold increase in the accumulation of Pi in siliques, premature senescence, and an increase in transcript levels of genes involved in Pi scavenging. Furthermore, Pht1;5 overexpressors exhibited increased root hair formation and reduced primary root growth that could be rescued by the application of silver nitrate (ethylene perception inhibitor) or aminoethoxyvinylglycine (ethylene biosynthesis inhibitor), respectively. Together, these data indicate that Pht1;5 plays a critical role in mobilizing Pi from P source to sink organs in accordance with developmental cues and P status. The study also provides evidence for a link between Pi and ethylene signaling pathways.","author":[{"dropping-particle":"","family":"Nagarajan","given":"V. K.","non-dropping-particle":"","parse-names":false,"suffix":""},{"dropping-particle":"","family":"Jain","given":"A.","non-dropping-particle":"","parse-names":false,"suffix":""},{"dropping-particle":"","family":"Poling","given":"M. D.","non-dropping-particle":"","parse-names":false,"suffix":""},{"dropping-particle":"","family":"Lewis","given":"A. J.","non-dropping-particle":"","parse-names":false,"suffix":""},{"dropping-particle":"","family":"Raghothama","given":"K. G.","non-dropping-particle":"","parse-names":false,"suffix":""},{"dropping-particle":"","family":"Smith","given":"A. P.","non-dropping-particle":"","parse-names":false,"suffix":""}],"container-title":"Plant Physiology","id":"ITEM-1","issue":"3","issued":{"date-parts":[["2011"]]},"page":"1149-1163","title":"Arabidopsis Pht1;5 Mobilizes Phosphate between Source and Sink Organs and Influences the Interaction between Phosphate Homeostasis and Ethylene Signaling","type":"article-journal","volume":"156"},"uris":["http://www.mendeley.com/documents/?uuid=f6b5fb16-cae5-4ec6-ada1-07491bdc0694"]}],"mendeley":{"formattedCitation":"(Nagarajan et al., 2011)","plainTextFormattedCitation":"(Nagarajan et al., 2011)","previouslyFormattedCitation":"(Nagarajan et al., 2011)"},"properties":{"noteIndex":0},"schema":"https://github.com/citation-style-language/schema/raw/master/csl-citation.json"}</w:instrText>
      </w:r>
      <w:r w:rsidRPr="000D7D3D">
        <w:fldChar w:fldCharType="separate"/>
      </w:r>
      <w:r w:rsidRPr="000D7D3D">
        <w:rPr>
          <w:noProof/>
        </w:rPr>
        <w:t>(Nagarajan et al., 2011)</w:t>
      </w:r>
      <w:r w:rsidRPr="000D7D3D">
        <w:fldChar w:fldCharType="end"/>
      </w:r>
      <w:r w:rsidRPr="000D7D3D">
        <w:t>.</w:t>
      </w:r>
    </w:p>
    <w:p w14:paraId="3AFE4997" w14:textId="4835DACD" w:rsidR="000D7D3D" w:rsidRPr="000D7D3D" w:rsidRDefault="000D7D3D" w:rsidP="00635993"/>
    <w:p w14:paraId="706F6360" w14:textId="2F111031" w:rsidR="000D7D3D" w:rsidRPr="000D7D3D" w:rsidRDefault="000D7D3D" w:rsidP="00635993">
      <w:pPr>
        <w:pStyle w:val="Heading2"/>
      </w:pPr>
      <w:bookmarkStart w:id="173" w:name="_Toc507603994"/>
      <w:bookmarkStart w:id="174" w:name="_Toc507604261"/>
      <w:bookmarkStart w:id="175" w:name="_Toc519016978"/>
      <w:bookmarkStart w:id="176" w:name="_Toc520837876"/>
      <w:r w:rsidRPr="000D7D3D">
        <w:t xml:space="preserve">2.4.6 Gene transcriptional responses of </w:t>
      </w:r>
      <w:r w:rsidRPr="000D7D3D">
        <w:rPr>
          <w:i/>
        </w:rPr>
        <w:t xml:space="preserve">PiPTs </w:t>
      </w:r>
      <w:r w:rsidRPr="000D7D3D">
        <w:t>to Pi availability</w:t>
      </w:r>
      <w:bookmarkEnd w:id="173"/>
      <w:bookmarkEnd w:id="174"/>
      <w:bookmarkEnd w:id="175"/>
      <w:bookmarkEnd w:id="176"/>
      <w:r w:rsidRPr="000D7D3D">
        <w:t xml:space="preserve"> </w:t>
      </w:r>
    </w:p>
    <w:p w14:paraId="28A0A4AB" w14:textId="41B64671" w:rsidR="000D7D3D" w:rsidRPr="000D7D3D" w:rsidRDefault="000D7D3D" w:rsidP="003F7054">
      <w:r w:rsidRPr="000D7D3D">
        <w:t>In gene</w:t>
      </w:r>
      <w:r w:rsidR="00470530">
        <w:t xml:space="preserve">ral, </w:t>
      </w:r>
      <w:r w:rsidR="009B7C3B">
        <w:t>previous gene expression</w:t>
      </w:r>
      <w:r w:rsidRPr="000D7D3D">
        <w:t xml:space="preserve"> analyses indicated that high-affinity </w:t>
      </w:r>
      <w:r w:rsidR="009B7C3B">
        <w:t>Pi transporter genes</w:t>
      </w:r>
      <w:r w:rsidRPr="000D7D3D">
        <w:t xml:space="preserve"> are highly and reversibly induced by low Pi availability</w:t>
      </w:r>
      <w:r w:rsidR="009B7C3B">
        <w:t xml:space="preserve"> </w:t>
      </w:r>
      <w:r w:rsidR="00C1230A">
        <w:fldChar w:fldCharType="begin" w:fldLock="1"/>
      </w:r>
      <w:r w:rsidR="00EE33AB">
        <w:instrText>ADDIN CSL_CITATION {"citationItems":[{"id":"ITEM-1","itemData":{"DOI":"10.1111/j.1365-313X.2008.03749.x","ISSN":"1365-313X","PMID":"19054369","abstract":"Ectomycorrhizal symbiosis markedly improves plant phosphate uptake, but the molecular mechanisms underlying this benefit are still poorly understood. We identified two ESTs in a cDNA library prepared from the ectomycorrhizal basidiomycete Hebeloma cylindrosporum with significant similarities to phosphate transporters from the endomycorrhizal fungus Glomus versiforme and from non-mycorrhizal fungi. The full-length cDNAs corresponding to these two ESTs complemented a yeast phosphate transport mutant (Deltapho84). Measurements of (33)P-phosphate influx into yeast expressing either cDNA demonstrated that the encoded proteins, named HcPT1 and HcPT2, were able to mediate Pi:H(+) symport with different affinities for Pi (K(m) values of 55 and 4 mum, respectively). Real-time RT-PCR showed that Pi starvation increased the levels of HcPT1 transcripts in H. cylindrosporum hyphae grown in pure culture. Transcript levels of HcPT2 were less dependent on Pi availability. The two transporters were expressed in H. cylindrosporum associated with its natural host plant, Pinus pinaster, grown under low or high P conditions. The presence of ectomycorrhizae increased net Pi uptake rates into intact Pinus pinaster roots at low or high soil P levels. The expression patterns of HcPT1 and HcPT2 indicate that the two fungal phosphate transporters may be involved in uptake of phosphate from the soil solution under the two soil P availability conditions used.","author":[{"dropping-particle":"","family":"Tatry","given":"Marie-Violaine","non-dropping-particle":"","parse-names":false,"suffix":""},{"dropping-particle":"","family":"Kassis","given":"Elie","non-dropping-particle":"El","parse-names":false,"suffix":""},{"dropping-particle":"","family":"Lambilliotte","given":"Raphaël","non-dropping-particle":"","parse-names":false,"suffix":""},{"dropping-particle":"","family":"Corratgé","given":"Claire","non-dropping-particle":"","parse-names":false,"suffix":""},{"dropping-particle":"","family":"Aarle","given":"Ingrid","non-dropping-particle":"van","parse-names":false,"suffix":""},{"dropping-particle":"","family":"Amenc","given":"Laurie K","non-dropping-particle":"","parse-names":false,"suffix":""},{"dropping-particle":"","family":"Alary","given":"Rémi","non-dropping-particle":"","parse-names":false,"suffix":""},{"dropping-particle":"","family":"Zimmermann","given":"Sabine","non-dropping-particle":"","parse-names":false,"suffix":""},{"dropping-particle":"","family":"Sentenac","given":"Hervé","non-dropping-particle":"","parse-names":false,"suffix":""},{"dropping-particle":"","family":"Plassard","given":"Claude","non-dropping-particle":"","parse-names":false,"suffix":""}],"container-title":"The Plant journal : for cell and molecular biology","id":"ITEM-1","issue":"6","issued":{"date-parts":[["2009","3"]]},"page":"1092-102","title":"Two differentially regulated phosphate transporters from the symbiotic fungus Hebeloma cylindrosporum and phosphorus acquisition by ectomycorrhizal Pinus pinaster.","type":"article-journal","volume":"57"},"uris":["http://www.mendeley.com/documents/?uuid=334233a2-c949-4def-90cb-cb4c687b90e2"]},{"id":"ITEM-2","itemData":{"DOI":"10.1074/jbc.M110.111021","ISBN":"1083-351X (Electronic)\\r0021-9258 (Linking)","ISSN":"00219258","PMID":"20479005","abstract":"Because pure cultures and a stable transformation system are not available for arbuscular mycorrhizal fungi, the role of their phosphate transporters for the symbiotic interaction with the plant up till now could not be studied. Here we report the cloning and the functional analysis of a gene encoding a phosphate transporter (PiPT) from the root endophytic fungus Piriformospora indica, which can be grown axenically. The PiPT polypeptide belongs to the major facilitator superfamily. Homology modeling reveals that PiPT exhibits twelve transmembrane helices divided into two halves connected by a large hydrophilic loop in the middle. The function of the protein encoded by PiPT was confirmed by complementation of a yeast phosphate transporter mutant. The kinetic analysis of PiPT (K(m) 25 mum) reveals that it belongs to the high affinity phosphate transporter family (Pht1). Expression of PiPT was localized to the external hyphae of P. indica colonized with maize plant root, which suggests that external hyphae are the initial site of phosphate uptake from the soil. To understand the physiological role of PiPT, knockdown transformants of the gene were prepared using electroporation and RNA interference. Knockdown transformants transported a significantly lower amount of phosphate to the host plant than wild-type P. indica. Higher amounts of phosphate were found in plants colonized with wild-type P. indica than that of non-colonized and plants colonized with knockdown PiPT P. indica. These observations suggest that PiPT is actively involved in the phosphate transportation and, in turn, P. indica helps improve the nutritional status of the host plant.","author":[{"dropping-particle":"","family":"Yadav","given":"Vikas","non-dropping-particle":"","parse-names":false,"suffix":""},{"dropping-particle":"","family":"Kumar","given":"Manoj","non-dropping-particle":"","parse-names":false,"suffix":""},{"dropping-particle":"","family":"Deep","given":"Ak Kumar","non-dropping-particle":"","parse-names":false,"suffix":""},{"dropping-particle":"","family":"Kumar","given":"Hemant","non-dropping-particle":"","parse-names":false,"suffix":""},{"dropping-particle":"","family":"Sharma","given":"Ruby","non-dropping-particle":"","parse-names":false,"suffix":""},{"dropping-particle":"","family":"Tripathi","given":"Takshashila","non-dropping-particle":"","parse-names":false,"suffix":""},{"dropping-particle":"","family":"Tuteja","given":"Narendra","non-dropping-particle":"","parse-names":false,"suffix":""},{"dropping-particle":"","family":"Saxena","given":"Ajay Kumar","non-dropping-particle":"","parse-names":false,"suffix":""},{"dropping-particle":"","family":"Johri","given":"Atul Kumar","non-dropping-particle":"","parse-names":false,"suffix":""}],"container-title":"Journal of Biological Chemistry","id":"ITEM-2","issue":"34","issued":{"date-parts":[["2010"]]},"page":"26532-26544","title":"A phosphate transporter from the root endophytic fungus Piriformospora indica plays a role in phosphate transport to the host plant","type":"article-journal","volume":"285"},"uris":["http://www.mendeley.com/documents/?uuid=517a6671-4d0f-4a94-90c3-a9767338473e"]}],"mendeley":{"formattedCitation":"(Tatry et al., 2009; Yadav et al., 2010)","plainTextFormattedCitation":"(Tatry et al., 2009; Yadav et al., 2010)","previouslyFormattedCitation":"(Tatry et al., 2009; Yadav et al., 2010)"},"properties":{"noteIndex":0},"schema":"https://github.com/citation-style-language/schema/raw/master/csl-citation.json"}</w:instrText>
      </w:r>
      <w:r w:rsidR="00C1230A">
        <w:fldChar w:fldCharType="separate"/>
      </w:r>
      <w:r w:rsidR="00C1230A" w:rsidRPr="00C1230A">
        <w:rPr>
          <w:noProof/>
        </w:rPr>
        <w:t>(Tatry et al., 2009; Yadav et al., 2010)</w:t>
      </w:r>
      <w:r w:rsidR="00C1230A">
        <w:fldChar w:fldCharType="end"/>
      </w:r>
      <w:r w:rsidRPr="000D7D3D">
        <w:t xml:space="preserve">. In the present study, gene transcript analysis of </w:t>
      </w:r>
      <w:r w:rsidRPr="000D7D3D">
        <w:rPr>
          <w:i/>
        </w:rPr>
        <w:t>PiPT1</w:t>
      </w:r>
      <w:r w:rsidRPr="000D7D3D">
        <w:t xml:space="preserve">, </w:t>
      </w:r>
      <w:r w:rsidRPr="000D7D3D">
        <w:rPr>
          <w:i/>
        </w:rPr>
        <w:t>PiPT2</w:t>
      </w:r>
      <w:r w:rsidRPr="000D7D3D">
        <w:t xml:space="preserve">, </w:t>
      </w:r>
      <w:r w:rsidRPr="000D7D3D">
        <w:rPr>
          <w:i/>
        </w:rPr>
        <w:t>PiPT4</w:t>
      </w:r>
      <w:r w:rsidRPr="000D7D3D">
        <w:t xml:space="preserve"> and </w:t>
      </w:r>
      <w:r w:rsidRPr="000D7D3D">
        <w:rPr>
          <w:i/>
        </w:rPr>
        <w:t>PiPT7</w:t>
      </w:r>
      <w:r w:rsidRPr="000D7D3D">
        <w:t xml:space="preserve"> has shown this type of response for fungal hyphae growing under NS conditions, indicating that they function </w:t>
      </w:r>
      <w:r w:rsidR="00C1230A">
        <w:t>similar</w:t>
      </w:r>
      <w:r w:rsidR="00772C88">
        <w:t>ly</w:t>
      </w:r>
      <w:r w:rsidR="00C1230A">
        <w:t xml:space="preserve"> to</w:t>
      </w:r>
      <w:r w:rsidRPr="000D7D3D">
        <w:t xml:space="preserve"> high-affinity </w:t>
      </w:r>
      <w:r w:rsidR="00C1230A">
        <w:t>Pi transporter</w:t>
      </w:r>
      <w:r w:rsidRPr="000D7D3D">
        <w:t xml:space="preserve"> genes</w:t>
      </w:r>
      <w:r w:rsidR="00C1230A">
        <w:t xml:space="preserve"> (Figure 2.8)</w:t>
      </w:r>
      <w:r w:rsidRPr="000D7D3D">
        <w:t xml:space="preserve">. However, </w:t>
      </w:r>
      <w:r w:rsidRPr="000D7D3D">
        <w:rPr>
          <w:i/>
        </w:rPr>
        <w:t>PiPT4</w:t>
      </w:r>
      <w:r w:rsidRPr="000D7D3D">
        <w:t xml:space="preserve"> gene expression of fungal hyphae growing under S conditions does not exhibit the same profile as for the NS conditions</w:t>
      </w:r>
      <w:r w:rsidR="00EA7B00">
        <w:t xml:space="preserve"> (Figure 2.9)</w:t>
      </w:r>
      <w:r w:rsidR="00697E8A">
        <w:t>. The former is possible</w:t>
      </w:r>
      <w:r w:rsidRPr="000D7D3D">
        <w:t xml:space="preserve"> because of the reasons discussed in S</w:t>
      </w:r>
      <w:r w:rsidR="00772C88">
        <w:t>ections 2.4.3 and 2.4.4, i.e.,</w:t>
      </w:r>
      <w:r w:rsidRPr="000D7D3D">
        <w:t xml:space="preserve"> that this may be an effect of th</w:t>
      </w:r>
      <w:r w:rsidR="00690984">
        <w:t>e fungal growth at the mycorrhiz</w:t>
      </w:r>
      <w:r w:rsidRPr="000D7D3D">
        <w:t>ation synthesis stage</w:t>
      </w:r>
      <w:r w:rsidR="00F070CD">
        <w:t>,</w:t>
      </w:r>
      <w:r w:rsidRPr="000D7D3D">
        <w:t xml:space="preserve"> which is rich in Pi and thus </w:t>
      </w:r>
      <w:r w:rsidR="006B1737">
        <w:t xml:space="preserve">fungal hyphae </w:t>
      </w:r>
      <w:r w:rsidRPr="000D7D3D">
        <w:t>may still be rich in Pi after the seedling transfer in the M-MMM</w:t>
      </w:r>
      <w:r w:rsidRPr="000D7D3D">
        <w:rPr>
          <w:vertAlign w:val="subscript"/>
        </w:rPr>
        <w:t>S</w:t>
      </w:r>
      <w:r w:rsidRPr="000D7D3D">
        <w:t xml:space="preserve"> Pi-varying media. </w:t>
      </w:r>
      <w:r w:rsidR="004B384C">
        <w:t>T</w:t>
      </w:r>
      <w:r w:rsidRPr="000D7D3D">
        <w:t xml:space="preserve">ranscription profiles of </w:t>
      </w:r>
      <w:r w:rsidRPr="000D7D3D">
        <w:rPr>
          <w:i/>
        </w:rPr>
        <w:t>PiPT3</w:t>
      </w:r>
      <w:r w:rsidRPr="000D7D3D">
        <w:t xml:space="preserve">, </w:t>
      </w:r>
      <w:r w:rsidRPr="000D7D3D">
        <w:rPr>
          <w:i/>
        </w:rPr>
        <w:t>PiPT5</w:t>
      </w:r>
      <w:r w:rsidRPr="000D7D3D">
        <w:t xml:space="preserve"> and </w:t>
      </w:r>
      <w:r w:rsidRPr="000D7D3D">
        <w:rPr>
          <w:i/>
        </w:rPr>
        <w:t>PiPT6</w:t>
      </w:r>
      <w:r w:rsidRPr="000D7D3D">
        <w:t xml:space="preserve"> </w:t>
      </w:r>
      <w:r w:rsidR="004B384C">
        <w:t xml:space="preserve">did </w:t>
      </w:r>
      <w:r w:rsidRPr="000D7D3D">
        <w:t xml:space="preserve">not change at varying </w:t>
      </w:r>
      <w:r w:rsidRPr="000D7D3D">
        <w:lastRenderedPageBreak/>
        <w:t>concentrations of Pi</w:t>
      </w:r>
      <w:r w:rsidR="00EA7B00">
        <w:t xml:space="preserve"> (Figures 2.8 and 2.9)</w:t>
      </w:r>
      <w:r w:rsidRPr="000D7D3D">
        <w:t>, suggesting that they may not be</w:t>
      </w:r>
      <w:r w:rsidR="006B1737">
        <w:t xml:space="preserve"> high-affinity Pi transporters.</w:t>
      </w:r>
      <w:r w:rsidR="005831A9">
        <w:br w:type="page"/>
      </w:r>
    </w:p>
    <w:p w14:paraId="4E43868A" w14:textId="07D1C683" w:rsidR="000D7D3D" w:rsidRPr="000D7D3D" w:rsidRDefault="000D7D3D" w:rsidP="00635993">
      <w:pPr>
        <w:pStyle w:val="Heading1"/>
      </w:pPr>
      <w:bookmarkStart w:id="177" w:name="_Toc507603995"/>
      <w:bookmarkStart w:id="178" w:name="_Toc507604262"/>
      <w:bookmarkStart w:id="179" w:name="_Toc519016979"/>
      <w:bookmarkStart w:id="180" w:name="_Toc520837877"/>
      <w:r w:rsidRPr="000D7D3D">
        <w:lastRenderedPageBreak/>
        <w:t>2.5 Conclusions</w:t>
      </w:r>
      <w:bookmarkEnd w:id="177"/>
      <w:bookmarkEnd w:id="178"/>
      <w:bookmarkEnd w:id="179"/>
      <w:bookmarkEnd w:id="180"/>
    </w:p>
    <w:p w14:paraId="722ECC05" w14:textId="77777777" w:rsidR="00F5177D" w:rsidRDefault="000D7D3D" w:rsidP="003F7054">
      <w:r w:rsidRPr="000D7D3D">
        <w:t xml:space="preserve">The results presented in this chapter demonstrate the establishment of an optimised system for studying the growth of </w:t>
      </w:r>
      <w:r w:rsidRPr="000D7D3D">
        <w:rPr>
          <w:i/>
        </w:rPr>
        <w:t>P. involutus</w:t>
      </w:r>
      <w:r w:rsidR="00F070CD">
        <w:t xml:space="preserve"> and Pi transporter genes</w:t>
      </w:r>
      <w:r w:rsidRPr="000D7D3D">
        <w:t xml:space="preserve"> transcriptional response to varying concentrations of Pi. Analysis of fungal growth and Pi content showed that M-MMN media is most suited for obtaining a growth response of </w:t>
      </w:r>
      <w:r w:rsidRPr="000D7D3D">
        <w:rPr>
          <w:i/>
        </w:rPr>
        <w:t>P. involutus</w:t>
      </w:r>
      <w:r w:rsidRPr="000D7D3D">
        <w:t xml:space="preserve"> hyphae proportional to the amount of available Pi, while providing sufficient hyphal material for RNA extraction, even at the lowest Pi concentrations. </w:t>
      </w:r>
    </w:p>
    <w:p w14:paraId="5507DA4D" w14:textId="0907729C" w:rsidR="00020BF2" w:rsidRDefault="005E5FC1" w:rsidP="00F5177D">
      <w:pPr>
        <w:ind w:firstLine="720"/>
      </w:pPr>
      <w:r>
        <w:t>In respect to</w:t>
      </w:r>
      <w:r w:rsidR="00F5177D">
        <w:t xml:space="preserve"> the five initial hypotheses</w:t>
      </w:r>
      <w:r w:rsidR="008223D9">
        <w:t>,</w:t>
      </w:r>
      <w:r w:rsidR="00F5177D">
        <w:t xml:space="preserve"> the results confirm</w:t>
      </w:r>
      <w:r w:rsidR="009C7EBA">
        <w:t>ed</w:t>
      </w:r>
      <w:r w:rsidR="00F5177D">
        <w:t xml:space="preserve"> the first </w:t>
      </w:r>
      <w:r w:rsidR="008223D9">
        <w:t>one,</w:t>
      </w:r>
      <w:r w:rsidR="00F5177D">
        <w:t xml:space="preserve"> </w:t>
      </w:r>
      <w:r w:rsidR="008223D9">
        <w:t>since</w:t>
      </w:r>
      <w:r w:rsidR="00F5177D">
        <w:t xml:space="preserve"> FS</w:t>
      </w:r>
      <w:r w:rsidR="000D7D3D" w:rsidRPr="000D7D3D">
        <w:t xml:space="preserve"> </w:t>
      </w:r>
      <w:r w:rsidR="00F070CD">
        <w:t xml:space="preserve">MMN </w:t>
      </w:r>
      <w:r w:rsidR="00F5177D">
        <w:t>fungal inocula exhibited less responsive growth to varying Pi concentration, especially at low Pi</w:t>
      </w:r>
      <w:r w:rsidR="00EE796F">
        <w:t>,</w:t>
      </w:r>
      <w:r w:rsidR="008223D9">
        <w:t xml:space="preserve"> as</w:t>
      </w:r>
      <w:r w:rsidR="00F5177D">
        <w:t xml:space="preserve"> shown in Figure 2.3. </w:t>
      </w:r>
      <w:r w:rsidR="009C7EBA">
        <w:t>T</w:t>
      </w:r>
      <w:r w:rsidR="00F5177D">
        <w:t xml:space="preserve">he use of 10% strength MMN </w:t>
      </w:r>
      <w:r w:rsidR="00020BF2">
        <w:t>fungal inocula</w:t>
      </w:r>
      <w:r w:rsidR="000D7D3D" w:rsidRPr="000D7D3D">
        <w:t xml:space="preserve"> proved more appropriate to avoid </w:t>
      </w:r>
      <w:r w:rsidR="006B1737">
        <w:t xml:space="preserve">replication </w:t>
      </w:r>
      <w:r w:rsidR="005A2B60">
        <w:t>inconsistencies</w:t>
      </w:r>
      <w:r w:rsidR="000D7D3D" w:rsidRPr="000D7D3D">
        <w:t xml:space="preserve"> in </w:t>
      </w:r>
      <w:r w:rsidR="005A2B60">
        <w:t>response to varying Pi concentrations</w:t>
      </w:r>
      <w:r w:rsidR="000D7D3D" w:rsidRPr="000D7D3D">
        <w:t xml:space="preserve"> of the experimental system</w:t>
      </w:r>
      <w:r w:rsidR="006F5239">
        <w:t xml:space="preserve">. </w:t>
      </w:r>
    </w:p>
    <w:p w14:paraId="64E53AE9" w14:textId="4A9B19EB" w:rsidR="00F5177D" w:rsidRDefault="00600265" w:rsidP="00F5177D">
      <w:pPr>
        <w:ind w:firstLine="720"/>
      </w:pPr>
      <w:r>
        <w:t>T</w:t>
      </w:r>
      <w:r w:rsidR="00020BF2">
        <w:t xml:space="preserve">he second hypothesis </w:t>
      </w:r>
      <w:r>
        <w:t>was confirmed,</w:t>
      </w:r>
      <w:r w:rsidR="00020BF2">
        <w:t xml:space="preserve"> since all three different </w:t>
      </w:r>
      <w:r w:rsidR="00020BF2" w:rsidRPr="00020BF2">
        <w:rPr>
          <w:i/>
        </w:rPr>
        <w:t>P. involutus</w:t>
      </w:r>
      <w:r w:rsidR="00020BF2">
        <w:t xml:space="preserve"> strains studied showed different growth responses during the Pi-varying experiment</w:t>
      </w:r>
      <w:r>
        <w:t>,</w:t>
      </w:r>
      <w:r w:rsidR="00020BF2">
        <w:t xml:space="preserve"> as shown in Figures 2.3 and 2.5.</w:t>
      </w:r>
    </w:p>
    <w:p w14:paraId="2F4903C7" w14:textId="78DA1AF8" w:rsidR="006F5239" w:rsidRPr="006F5239" w:rsidRDefault="006F5239" w:rsidP="00F5177D">
      <w:pPr>
        <w:ind w:firstLine="720"/>
      </w:pPr>
      <w:r>
        <w:t xml:space="preserve">The third hypothesis was </w:t>
      </w:r>
      <w:r w:rsidR="00C73BF1">
        <w:t>verified</w:t>
      </w:r>
      <w:r>
        <w:t xml:space="preserve"> only for the hyphal Pi content</w:t>
      </w:r>
      <w:r w:rsidR="00600265">
        <w:t>,</w:t>
      </w:r>
      <w:r>
        <w:t xml:space="preserve"> which was increased in response to the increasing Pi concentration during the NS condition but not in symbiosis with </w:t>
      </w:r>
      <w:r w:rsidRPr="006F5239">
        <w:rPr>
          <w:i/>
        </w:rPr>
        <w:t xml:space="preserve">P. </w:t>
      </w:r>
      <w:r>
        <w:rPr>
          <w:i/>
        </w:rPr>
        <w:t>s</w:t>
      </w:r>
      <w:r w:rsidRPr="006F5239">
        <w:rPr>
          <w:i/>
        </w:rPr>
        <w:t>ylvestris</w:t>
      </w:r>
      <w:r>
        <w:t xml:space="preserve">, as shown in Figure 2.6B. In addition, this hypothesis was only </w:t>
      </w:r>
      <w:r w:rsidR="00633A7A">
        <w:t>valid</w:t>
      </w:r>
      <w:r>
        <w:t xml:space="preserve"> for the needle Pi content which also increased at the highest Pi concentration, but not for the root Pi content, as shown in Figure 2.6C. </w:t>
      </w:r>
    </w:p>
    <w:p w14:paraId="6C2651E9" w14:textId="08B946EE" w:rsidR="00DF027B" w:rsidRDefault="00F00084" w:rsidP="00DF027B">
      <w:pPr>
        <w:ind w:firstLine="720"/>
      </w:pPr>
      <w:r>
        <w:t>The fo</w:t>
      </w:r>
      <w:r w:rsidR="00697E8A">
        <w:t>u</w:t>
      </w:r>
      <w:r>
        <w:t xml:space="preserve">rth hypothesis was </w:t>
      </w:r>
      <w:r w:rsidR="00600265">
        <w:t>confirmed</w:t>
      </w:r>
      <w:r>
        <w:t xml:space="preserve"> </w:t>
      </w:r>
      <w:r w:rsidR="00DF027B">
        <w:t xml:space="preserve">only </w:t>
      </w:r>
      <w:r>
        <w:t>for the hyphal dry mass</w:t>
      </w:r>
      <w:r w:rsidR="00600265">
        <w:t>,</w:t>
      </w:r>
      <w:r>
        <w:t xml:space="preserve"> </w:t>
      </w:r>
      <w:r w:rsidR="00DF027B">
        <w:t xml:space="preserve">which rose at the highest Pi concentration as </w:t>
      </w:r>
      <w:r w:rsidR="00C73BF1">
        <w:t>shown in Figure 2.6D. T</w:t>
      </w:r>
      <w:r w:rsidR="00DF027B">
        <w:t>he seedlings dry mass for both needles and roots remained the same</w:t>
      </w:r>
      <w:r w:rsidR="00600265">
        <w:t>,</w:t>
      </w:r>
      <w:r w:rsidR="00DF027B">
        <w:t xml:space="preserve"> as shown in Figure 2.6E. </w:t>
      </w:r>
    </w:p>
    <w:p w14:paraId="0F8D3D8B" w14:textId="6F46707F" w:rsidR="000D7D3D" w:rsidRPr="000D7D3D" w:rsidRDefault="000D7D3D" w:rsidP="00DF027B">
      <w:pPr>
        <w:ind w:firstLine="720"/>
      </w:pPr>
      <w:r w:rsidRPr="000D7D3D">
        <w:t xml:space="preserve">Ultimately, </w:t>
      </w:r>
      <w:r w:rsidR="00DF027B">
        <w:t xml:space="preserve">the last hypothesis </w:t>
      </w:r>
      <w:r w:rsidR="00807590">
        <w:t>did</w:t>
      </w:r>
      <w:r w:rsidR="00DF027B">
        <w:t xml:space="preserve"> </w:t>
      </w:r>
      <w:r w:rsidR="00600265">
        <w:t>not confirm</w:t>
      </w:r>
      <w:r w:rsidR="00DF027B">
        <w:t xml:space="preserve"> for all the </w:t>
      </w:r>
      <w:r w:rsidR="00DF027B" w:rsidRPr="00DF027B">
        <w:rPr>
          <w:i/>
        </w:rPr>
        <w:t>PiPTs</w:t>
      </w:r>
      <w:r w:rsidR="00600265">
        <w:t>. Nonetheless,</w:t>
      </w:r>
      <w:r w:rsidR="00DF027B">
        <w:rPr>
          <w:i/>
        </w:rPr>
        <w:t xml:space="preserve"> </w:t>
      </w:r>
      <w:r w:rsidRPr="000D7D3D">
        <w:t xml:space="preserve">relative gene expression analysis led to the identification of </w:t>
      </w:r>
      <w:r w:rsidR="00F070CD">
        <w:t xml:space="preserve">at least </w:t>
      </w:r>
      <w:r w:rsidRPr="000D7D3D">
        <w:t xml:space="preserve">four high-affinity Pi transporters, namely </w:t>
      </w:r>
      <w:r w:rsidRPr="000D7D3D">
        <w:rPr>
          <w:i/>
        </w:rPr>
        <w:t>PiPT1</w:t>
      </w:r>
      <w:r w:rsidRPr="000D7D3D">
        <w:t xml:space="preserve">, </w:t>
      </w:r>
      <w:r w:rsidRPr="000D7D3D">
        <w:rPr>
          <w:i/>
        </w:rPr>
        <w:t>PiPT2</w:t>
      </w:r>
      <w:r w:rsidRPr="000D7D3D">
        <w:t xml:space="preserve">, </w:t>
      </w:r>
      <w:r w:rsidRPr="000D7D3D">
        <w:rPr>
          <w:i/>
        </w:rPr>
        <w:t>PiPT4</w:t>
      </w:r>
      <w:r w:rsidRPr="000D7D3D">
        <w:t xml:space="preserve"> and </w:t>
      </w:r>
      <w:r w:rsidRPr="000D7D3D">
        <w:rPr>
          <w:i/>
        </w:rPr>
        <w:t>PiPT7</w:t>
      </w:r>
      <w:r w:rsidRPr="000D7D3D">
        <w:t xml:space="preserve">, </w:t>
      </w:r>
      <w:r w:rsidR="00600265">
        <w:t>for</w:t>
      </w:r>
      <w:r w:rsidR="005A2B60">
        <w:t xml:space="preserve"> which</w:t>
      </w:r>
      <w:r w:rsidR="00600265">
        <w:t xml:space="preserve"> their</w:t>
      </w:r>
      <w:r w:rsidRPr="000D7D3D">
        <w:t xml:space="preserve"> expression varies in an inversely proport</w:t>
      </w:r>
      <w:r w:rsidR="00DF027B">
        <w:t>ional manner to Pi availability, as shown in Figures 2.8 and 2.9.</w:t>
      </w:r>
    </w:p>
    <w:p w14:paraId="701B8955" w14:textId="7ACDF06C" w:rsidR="000D7D3D" w:rsidRPr="000D7D3D" w:rsidRDefault="000D7D3D" w:rsidP="00205702">
      <w:pPr>
        <w:ind w:firstLine="720"/>
      </w:pPr>
      <w:r w:rsidRPr="000D7D3D">
        <w:lastRenderedPageBreak/>
        <w:t xml:space="preserve">The next step will be to use the established Pi-varying system for global transcriptomic analysis, in order to identify </w:t>
      </w:r>
      <w:r w:rsidRPr="000D7D3D">
        <w:rPr>
          <w:i/>
        </w:rPr>
        <w:t>P. involutus</w:t>
      </w:r>
      <w:r w:rsidRPr="000D7D3D">
        <w:t xml:space="preserve"> genes involved in response to low Pi availability</w:t>
      </w:r>
      <w:r w:rsidR="00F070CD">
        <w:t xml:space="preserve"> during EM symbiosis</w:t>
      </w:r>
      <w:r w:rsidRPr="000D7D3D">
        <w:t xml:space="preserve">. </w:t>
      </w:r>
      <w:r w:rsidR="008D66F7">
        <w:t>Data</w:t>
      </w:r>
      <w:r w:rsidRPr="000D7D3D">
        <w:t xml:space="preserve"> will be pres</w:t>
      </w:r>
      <w:r w:rsidR="00205702">
        <w:t>ented in the following chapter.</w:t>
      </w:r>
      <w:r w:rsidRPr="000D7D3D">
        <w:br w:type="page"/>
      </w:r>
    </w:p>
    <w:p w14:paraId="6B7075F1" w14:textId="21E8BDFA" w:rsidR="000D7D3D" w:rsidRPr="000D7D3D" w:rsidRDefault="000D7D3D" w:rsidP="00635993">
      <w:pPr>
        <w:pStyle w:val="Title"/>
      </w:pPr>
      <w:bookmarkStart w:id="181" w:name="_Toc507603996"/>
      <w:bookmarkStart w:id="182" w:name="_Toc507604263"/>
      <w:bookmarkStart w:id="183" w:name="_Toc519016980"/>
      <w:bookmarkStart w:id="184" w:name="_Toc520837878"/>
      <w:r w:rsidRPr="000D7D3D">
        <w:lastRenderedPageBreak/>
        <w:t xml:space="preserve">Chapter 3. </w:t>
      </w:r>
      <w:r w:rsidRPr="000D7D3D">
        <w:rPr>
          <w:i/>
        </w:rPr>
        <w:t>P</w:t>
      </w:r>
      <w:r w:rsidR="0004792A">
        <w:rPr>
          <w:i/>
        </w:rPr>
        <w:t>axillus</w:t>
      </w:r>
      <w:r w:rsidRPr="000D7D3D">
        <w:rPr>
          <w:i/>
        </w:rPr>
        <w:t xml:space="preserve"> involutus</w:t>
      </w:r>
      <w:r w:rsidRPr="000D7D3D">
        <w:t xml:space="preserve"> gene transcriptional responses driven by </w:t>
      </w:r>
      <w:r w:rsidR="001B655A">
        <w:t>phosphate</w:t>
      </w:r>
      <w:r w:rsidRPr="000D7D3D">
        <w:t xml:space="preserve"> availability and </w:t>
      </w:r>
      <w:r w:rsidR="001B655A">
        <w:t>ectomycorrhizal</w:t>
      </w:r>
      <w:r w:rsidRPr="000D7D3D">
        <w:t xml:space="preserve"> symbiosis</w:t>
      </w:r>
      <w:bookmarkEnd w:id="181"/>
      <w:bookmarkEnd w:id="182"/>
      <w:bookmarkEnd w:id="183"/>
      <w:bookmarkEnd w:id="184"/>
    </w:p>
    <w:p w14:paraId="54698653" w14:textId="77777777" w:rsidR="000D7D3D" w:rsidRPr="000D7D3D" w:rsidRDefault="000D7D3D" w:rsidP="003F7054"/>
    <w:p w14:paraId="6F530E05" w14:textId="44F47614" w:rsidR="000D7D3D" w:rsidRPr="000D7D3D" w:rsidRDefault="000D7D3D" w:rsidP="00635993">
      <w:pPr>
        <w:pStyle w:val="Heading1"/>
      </w:pPr>
      <w:bookmarkStart w:id="185" w:name="_Toc507603997"/>
      <w:bookmarkStart w:id="186" w:name="_Toc507604264"/>
      <w:bookmarkStart w:id="187" w:name="_Toc519016981"/>
      <w:bookmarkStart w:id="188" w:name="_Toc520837879"/>
      <w:r w:rsidRPr="000D7D3D">
        <w:t>3.1 Introduction</w:t>
      </w:r>
      <w:bookmarkEnd w:id="185"/>
      <w:bookmarkEnd w:id="186"/>
      <w:bookmarkEnd w:id="187"/>
      <w:bookmarkEnd w:id="188"/>
    </w:p>
    <w:p w14:paraId="206F6529" w14:textId="6E3FE2AB" w:rsidR="000D7D3D" w:rsidRPr="000D7D3D" w:rsidRDefault="000D7D3D" w:rsidP="007F746A">
      <w:r w:rsidRPr="000D7D3D">
        <w:t xml:space="preserve">Gene transcriptional responses towards </w:t>
      </w:r>
      <w:r w:rsidR="004135AD">
        <w:t xml:space="preserve">inorganic phosphorus </w:t>
      </w:r>
      <w:r w:rsidR="00F01C9F">
        <w:t>(</w:t>
      </w:r>
      <w:r w:rsidRPr="000D7D3D">
        <w:t>Pi</w:t>
      </w:r>
      <w:r w:rsidR="00F01C9F">
        <w:t>)</w:t>
      </w:r>
      <w:r w:rsidRPr="000D7D3D">
        <w:t xml:space="preserve"> availability have been extensively studied in eukaryotic organisms such as plants and fungi, with Arabidopsis and yeast being the most used model organisms. In particular, genetic studies in Arabidopsis</w:t>
      </w:r>
      <w:r w:rsidR="00202FC0">
        <w:t xml:space="preserve">, </w:t>
      </w:r>
      <w:r w:rsidR="00F25A71">
        <w:t>which has</w:t>
      </w:r>
      <w:r w:rsidR="00202FC0">
        <w:t xml:space="preserve"> a </w:t>
      </w:r>
      <w:r w:rsidR="00D57217">
        <w:t>small and well-</w:t>
      </w:r>
      <w:r w:rsidR="00202FC0" w:rsidRPr="000D7D3D">
        <w:t>characterised genome</w:t>
      </w:r>
      <w:r w:rsidR="00202FC0">
        <w:t>,</w:t>
      </w:r>
      <w:r w:rsidR="00202FC0" w:rsidRPr="000D7D3D">
        <w:t xml:space="preserve"> </w:t>
      </w:r>
      <w:r w:rsidRPr="000D7D3D">
        <w:t xml:space="preserve">can give insights into the </w:t>
      </w:r>
      <w:r w:rsidR="00F25A71">
        <w:t>molecular</w:t>
      </w:r>
      <w:r w:rsidR="00F25A71" w:rsidRPr="000D7D3D">
        <w:t xml:space="preserve"> </w:t>
      </w:r>
      <w:r w:rsidRPr="000D7D3D">
        <w:t xml:space="preserve">mechanisms involved in </w:t>
      </w:r>
      <w:r w:rsidR="00F25A71">
        <w:t xml:space="preserve">higher </w:t>
      </w:r>
      <w:r w:rsidRPr="000D7D3D">
        <w:t xml:space="preserve">plants with larger </w:t>
      </w:r>
      <w:r w:rsidR="00F25A71">
        <w:t xml:space="preserve">and more complex </w:t>
      </w:r>
      <w:r w:rsidRPr="000D7D3D">
        <w:t xml:space="preserve">genomes </w:t>
      </w:r>
      <w:r w:rsidRPr="000D7D3D">
        <w:fldChar w:fldCharType="begin" w:fldLock="1"/>
      </w:r>
      <w:r w:rsidR="00EE33AB">
        <w:instrText>ADDIN CSL_CITATION {"citationItems":[{"id":"ITEM-1","itemData":{"ISSN":"0028-0836","author":[{"dropping-particle":"","family":"The Arabidopsis Genome Initiative","given":"","non-dropping-particle":"","parse-names":false,"suffix":""}],"container-title":"Nature","id":"ITEM-1","issue":"6814","issued":{"date-parts":[["2000","12","14"]]},"note":"10.1038/35048692","page":"796-815","publisher":"Macmillian Magazines Ltd.","title":"Analysis of the genome sequence of the flowering plant Arabidopsis thaliana","type":"article-journal","volume":"408"},"uris":["http://www.mendeley.com/documents/?uuid=9f329c0b-5b62-4238-99f1-091310766318"]}],"mendeley":{"formattedCitation":"(The Arabidopsis Genome Initiative, 2000)","plainTextFormattedCitation":"(The Arabidopsis Genome Initiative, 2000)","previouslyFormattedCitation":"(The Arabidopsis Genome Initiative, 2000)"},"properties":{"noteIndex":0},"schema":"https://github.com/citation-style-language/schema/raw/master/csl-citation.json"}</w:instrText>
      </w:r>
      <w:r w:rsidRPr="000D7D3D">
        <w:fldChar w:fldCharType="separate"/>
      </w:r>
      <w:r w:rsidRPr="000D7D3D">
        <w:rPr>
          <w:noProof/>
        </w:rPr>
        <w:t>(The Arabidopsis Genome Initiative, 2000)</w:t>
      </w:r>
      <w:r w:rsidRPr="000D7D3D">
        <w:fldChar w:fldCharType="end"/>
      </w:r>
      <w:r w:rsidRPr="000D7D3D">
        <w:t xml:space="preserve">. Similarly, yeast has been a pioneering genetic </w:t>
      </w:r>
      <w:r w:rsidR="001909D7">
        <w:t xml:space="preserve">fungal </w:t>
      </w:r>
      <w:r w:rsidRPr="000D7D3D">
        <w:t xml:space="preserve">model organism for studying the gene regulation of fundamental eukaryotic biological processes for the last two decades since its genome has been sequenced </w:t>
      </w:r>
      <w:r w:rsidRPr="000D7D3D">
        <w:fldChar w:fldCharType="begin" w:fldLock="1"/>
      </w:r>
      <w:r w:rsidR="00EE33AB">
        <w:instrText>ADDIN CSL_CITATION {"citationItems":[{"id":"ITEM-1","itemData":{"abstract":"The genome of the yeast Saccharomyces cerevisiae has been completely sequenced through a worldwide collaboration. The sequence of 12,068 kilobases defines 5885 potential protein-encoding genes, approximately 140 genes specifying ribosomal RNA, 40 genes for small nuclear RNA molecules, and 275 transfer RNA genes. In addition, the complete sequence provides information about the higher order organization of yeast&amp;#039;s 16 chromosomes and allows some insight into their evolutionary history. The genome shows a considerable amount of apparent genetic redundancy, and one of the major problems to be tackled during the next stage of the yeast genome project is to elucidate the biological functions of all of these genes.","author":[{"dropping-particle":"","family":"Goffeau","given":"A","non-dropping-particle":"","parse-names":false,"suffix":""},{"dropping-particle":"","family":"Barrell","given":"B G","non-dropping-particle":"","parse-names":false,"suffix":""},{"dropping-particle":"","family":"Bussey","given":"H","non-dropping-particle":"","parse-names":false,"suffix":""},{"dropping-particle":"","family":"Davis","given":"R W","non-dropping-particle":"","parse-names":false,"suffix":""},{"dropping-particle":"","family":"Dujon","given":"B","non-dropping-particle":"","parse-names":false,"suffix":""},{"dropping-particle":"","family":"Feldmann","given":"H","non-dropping-particle":"","parse-names":false,"suffix":""},{"dropping-particle":"","family":"Galibert","given":"F","non-dropping-particle":"","parse-names":false,"suffix":""},{"dropping-particle":"","family":"Hoheisel","given":"J D","non-dropping-particle":"","parse-names":false,"suffix":""},{"dropping-particle":"","family":"Jacq","given":"C","non-dropping-particle":"","parse-names":false,"suffix":""},{"dropping-particle":"","family":"Johnston","given":"M","non-dropping-particle":"","parse-names":false,"suffix":""},{"dropping-particle":"","family":"Louis","given":"E J","non-dropping-particle":"","parse-names":false,"suffix":""},{"dropping-particle":"","family":"Mewes","given":"H W","non-dropping-particle":"","parse-names":false,"suffix":""},{"dropping-particle":"","family":"Murakami","given":"Y","non-dropping-particle":"","parse-names":false,"suffix":""},{"dropping-particle":"","family":"Philippsen","given":"P","non-dropping-particle":"","parse-names":false,"suffix":""},{"dropping-particle":"","family":"Tettelin","given":"H","non-dropping-particle":"","parse-names":false,"suffix":""},{"dropping-particle":"","family":"Oliver","given":"S G","non-dropping-particle":"","parse-names":false,"suffix":""}],"container-title":"Science","id":"ITEM-1","issue":"5287","issued":{"date-parts":[["1996","10","25"]]},"page":"546-567","title":"Life with 6000 Genes","type":"article-journal","volume":"274"},"uris":["http://www.mendeley.com/documents/?uuid=e4eccea7-ada5-43f9-bc52-3ace2045a195"]}],"mendeley":{"formattedCitation":"(Goffeau et al., 1996)","plainTextFormattedCitation":"(Goffeau et al., 1996)","previouslyFormattedCitation":"(Goffeau et al., 1996)"},"properties":{"noteIndex":0},"schema":"https://github.com/citation-style-language/schema/raw/master/csl-citation.json"}</w:instrText>
      </w:r>
      <w:r w:rsidRPr="000D7D3D">
        <w:fldChar w:fldCharType="separate"/>
      </w:r>
      <w:r w:rsidRPr="000D7D3D">
        <w:rPr>
          <w:noProof/>
        </w:rPr>
        <w:t>(Goffeau et al., 1996)</w:t>
      </w:r>
      <w:r w:rsidRPr="000D7D3D">
        <w:fldChar w:fldCharType="end"/>
      </w:r>
      <w:r w:rsidRPr="000D7D3D">
        <w:t xml:space="preserve">. Due to the fact that yeast relies only on 6,000 genes, it has become an excellent genetics model system which can give insights into biological mechanisms applied in higher eukaryotic organisms with increasing biological complexity. </w:t>
      </w:r>
    </w:p>
    <w:p w14:paraId="6C889F2C" w14:textId="40796A1A" w:rsidR="000D7D3D" w:rsidRPr="000D7D3D" w:rsidRDefault="000D7D3D" w:rsidP="00FB36B8">
      <w:pPr>
        <w:ind w:firstLine="720"/>
      </w:pPr>
      <w:r w:rsidRPr="000D7D3D">
        <w:t>In Arabidopsis, genome-wide</w:t>
      </w:r>
      <w:r w:rsidR="001909D7">
        <w:t xml:space="preserve"> transcriptomic</w:t>
      </w:r>
      <w:r w:rsidRPr="000D7D3D">
        <w:t xml:space="preserve"> analyses have resulted in the identification of several Pi-responsive genes during low Pi availability or starvation conditions. These </w:t>
      </w:r>
      <w:r w:rsidR="00D57217">
        <w:t>genes are primarily involved in</w:t>
      </w:r>
      <w:r w:rsidR="00605EDA">
        <w:t>:</w:t>
      </w:r>
      <w:r w:rsidRPr="000D7D3D">
        <w:t xml:space="preserve"> (a) Pi acquisition, mobilization, and substitution, (b) metabolic pathways, (c) signal transduction, (d) transcriptional regulation, and (e) many processes related to plant growth and development </w:t>
      </w:r>
      <w:r w:rsidRPr="000D7D3D">
        <w:fldChar w:fldCharType="begin" w:fldLock="1"/>
      </w:r>
      <w:r w:rsidR="00EE33AB">
        <w:instrText>ADDIN CSL_CITATION {"citationItems":[{"id":"ITEM-1","itemData":{"DOI":"10.1007/s00018-012-1090-6","ISBN":"1420-9071 (Electronic)\r1420-682X (Linking)","ISSN":"1420682X","PMID":"22899310","abstract":"Phosphorus (P), an essential macronutrient required for plant growth and development, is often limiting in natural and agro-climatic environments. To cope with heterogeneous or low phosphate (Pi) availability, plants have evolved an array of adaptive responses facilitating optimal acquisition and distribution of Pi. The root system plays a pivotal role in Pi-deficiency-mediated adaptive responses that are regulated by a complex interplay of systemic and local Pi sensing. Cross-talk with sugar, phytohormones, and other nutrient signaling pathways further highlight the intricacies involved in maintaining Pi homeostasis. Transcriptional regulation of Pi-starvation responses is particularly intriguing and involves a host of transcription factors (TFs). Although PHR1 of Arabidopsis is an extensively studied MYB TF regulating subset of Pi-starvation responses, it is not induced during Pi deprivation. Genome-wide analyses of Arabidopsis have shown that low Pi stress triggers spatiotemporal expression of several genes encoding different TFs. Functional characterization of some of these TFs reveals their diverse roles in regulating root system architecture, and acquisition and utilization of Pi. Some of the TFs are also involved in phytohormone-mediated root responses to Pi starvation. The biological roles of these TFs in transcriptional regulation of Pi homeostasis in model plants Arabidopsis thaliana and Oryza sativa are presented in this review.","author":[{"dropping-particle":"","family":"Jain","given":"Ajay","non-dropping-particle":"","parse-names":false,"suffix":""},{"dropping-particle":"","family":"Nagarajan","given":"Vinay K.","non-dropping-particle":"","parse-names":false,"suffix":""},{"dropping-particle":"","family":"Raghothama","given":"Kashchandra G.","non-dropping-particle":"","parse-names":false,"suffix":""}],"container-title":"Cellular and Molecular Life Sciences","id":"ITEM-1","issue":"19","issued":{"date-parts":[["2012"]]},"page":"3207-3224","title":"Transcriptional regulation of phosphate acquisition by higher plants","type":"article-journal","volume":"69"},"uris":["http://www.mendeley.com/documents/?uuid=beb8ec95-5a86-48fe-898c-b3a5c9b787e2"]}],"mendeley":{"formattedCitation":"(Jain et al., 2012)","plainTextFormattedCitation":"(Jain et al., 2012)","previouslyFormattedCitation":"(Jain et al., 2012)"},"properties":{"noteIndex":0},"schema":"https://github.com/citation-style-language/schema/raw/master/csl-citation.json"}</w:instrText>
      </w:r>
      <w:r w:rsidRPr="000D7D3D">
        <w:fldChar w:fldCharType="separate"/>
      </w:r>
      <w:r w:rsidRPr="000D7D3D">
        <w:rPr>
          <w:noProof/>
        </w:rPr>
        <w:t>(Jain et al., 2012)</w:t>
      </w:r>
      <w:r w:rsidRPr="000D7D3D">
        <w:fldChar w:fldCharType="end"/>
      </w:r>
      <w:r w:rsidRPr="000D7D3D">
        <w:t>. However, Arabidopsis is not considered a model plant organism for studying Pi-responsive gene transcriptional regulation during mycorrhizal symbiosis</w:t>
      </w:r>
      <w:r w:rsidR="005B242F">
        <w:t>,</w:t>
      </w:r>
      <w:r w:rsidRPr="000D7D3D">
        <w:t xml:space="preserve"> due to its inability to form mycorrhiza. </w:t>
      </w:r>
      <w:r w:rsidR="005B242F">
        <w:t xml:space="preserve">For </w:t>
      </w:r>
      <w:r w:rsidRPr="000D7D3D">
        <w:t xml:space="preserve">this reason, other plant species capable of forming mycorrhiza have been employed to study gene expression responses to Pi availability in fungal or plant tissues. For instance, the gene expression profile of Pi transporters, belonging to the Pht1 family, has been assessed in </w:t>
      </w:r>
      <w:r w:rsidRPr="000D7D3D">
        <w:rPr>
          <w:i/>
        </w:rPr>
        <w:t>Populus trichocarpa</w:t>
      </w:r>
      <w:r w:rsidRPr="000D7D3D">
        <w:t xml:space="preserve">, a model woody perennial species that is capable of forming both </w:t>
      </w:r>
      <w:r w:rsidR="005B242F">
        <w:t>arbuscular mycorrhiza</w:t>
      </w:r>
      <w:r w:rsidR="00673043">
        <w:t xml:space="preserve"> </w:t>
      </w:r>
      <w:r w:rsidR="005B242F">
        <w:t>(</w:t>
      </w:r>
      <w:r w:rsidRPr="000D7D3D">
        <w:t>AM</w:t>
      </w:r>
      <w:r w:rsidR="005B242F">
        <w:t>)</w:t>
      </w:r>
      <w:r w:rsidRPr="000D7D3D">
        <w:t xml:space="preserve"> </w:t>
      </w:r>
      <w:r w:rsidR="005B242F">
        <w:t>or</w:t>
      </w:r>
      <w:r w:rsidRPr="000D7D3D">
        <w:t xml:space="preserve"> </w:t>
      </w:r>
      <w:r w:rsidR="005B242F">
        <w:t>ectomycorrhizal</w:t>
      </w:r>
      <w:r w:rsidR="00673043">
        <w:t xml:space="preserve"> </w:t>
      </w:r>
      <w:r w:rsidR="005B242F">
        <w:t>(</w:t>
      </w:r>
      <w:r w:rsidRPr="000D7D3D">
        <w:t>EM</w:t>
      </w:r>
      <w:r w:rsidR="005B242F">
        <w:t>)</w:t>
      </w:r>
      <w:r w:rsidRPr="000D7D3D">
        <w:t xml:space="preserve"> symbioses </w:t>
      </w:r>
      <w:r w:rsidRPr="000D7D3D">
        <w:fldChar w:fldCharType="begin" w:fldLock="1"/>
      </w:r>
      <w:r w:rsidR="00EE33AB">
        <w:instrText>ADDIN CSL_CITATION {"citationItems":[{"id":"ITEM-1","itemData":{"DOI":"10.1104/pp.111.180646","ISSN":"1532-2548","PMID":"21705655","abstract":"Gene networks involved in inorganic phosphate (Pi) acquisition and homeostasis in woody perennial species able to form mycorrhizal symbioses are poorly known. Here, we describe the features of the 12 genes coding for Pi transporters of the Pht1 family in poplar (Populus trichocarpa). Individual Pht1 transporters play distinct roles in acquiring and translocating Pi in different tissues of mycorrhizal and nonmycorrhizal poplar during different growth conditions and developmental stages. Pi starvation triggered the up-regulation of most members of the Pht1 family, especially PtPT9 and PtPT11. PtPT9 and PtPT12 showed a striking up-regulation in ectomycorrhizas and endomycorrhizas, whereas PtPT1 and PtPT11 were strongly down-regulated. PtPT10 transcripts were highly abundant in arbuscular mycorrhiza (AM) roots only. PtPT8 and PtPT10 are phylogenetically associated to the AM-inducible Pht1 subfamily I. The analysis of promoter sequences revealed conserved motifs similar to other AM-inducible orthologs in PtPT10 only. To gain more insight into gene regulatory mechanisms governing the AM symbiosis in woody plant species, the activation of the poplar PtPT10 promoter was investigated and detected in AM of potato (Solanum tuberosum) roots. These results indicated that the regulation of AM-inducible Pi transporter genes is conserved between perennial woody and herbaceous plant species. Moreover, poplar has developed an alternative Pi uptake pathway distinct from AM plants, allowing ectomycorrhizal poplar to recruit PtPT9 and PtPT12 to cope with limiting Pi concentrations in forest soils.","author":[{"dropping-particle":"","family":"Loth-Pereda","given":"Verónica","non-dropping-particle":"","parse-names":false,"suffix":""},{"dropping-particle":"","family":"Orsini","given":"Elena","non-dropping-particle":"","parse-names":false,"suffix":""},{"dropping-particle":"","family":"Courty","given":"Pierre-Emmanuel","non-dropping-particle":"","parse-names":false,"suffix":""},{"dropping-particle":"","family":"Lota","given":"Frédéric","non-dropping-particle":"","parse-names":false,"suffix":""},{"dropping-particle":"","family":"Kohler","given":"Annegret","non-dropping-particle":"","parse-names":false,"suffix":""},{"dropping-particle":"","family":"Diss","given":"Loic","non-dropping-particle":"","parse-names":false,"suffix":""},{"dropping-particle":"","family":"Blaudez","given":"Damien","non-dropping-particle":"","parse-names":false,"suffix":""},{"dropping-particle":"","family":"Chalot","given":"Michel","non-dropping-particle":"","parse-names":false,"suffix":""},{"dropping-particle":"","family":"Nehls","given":"Uwe","non-dropping-particle":"","parse-names":false,"suffix":""},{"dropping-particle":"","family":"Bucher","given":"Marcel","non-dropping-particle":"","parse-names":false,"suffix":""},{"dropping-particle":"","family":"Martin","given":"Francis","non-dropping-particle":"","parse-names":false,"suffix":""}],"container-title":"Plant physiology","id":"ITEM-1","issue":"4","issued":{"date-parts":[["2011","8"]]},"page":"2141-54","title":"Structure and expression profile of the phosphate Pht1 transporter gene family in mycorrhizal Populus trichocarpa.","type":"article-journal","volume":"156"},"uris":["http://www.mendeley.com/documents/?uuid=f5db9416-da65-481e-992f-9977135c6138"]}],"mendeley":{"formattedCitation":"(Loth-Pereda et al., 2011)","plainTextFormattedCitation":"(Loth-Pereda et al., 2011)","previouslyFormattedCitation":"(Loth-Pereda et al., 2011)"},"properties":{"noteIndex":0},"schema":"https://github.com/citation-style-language/schema/raw/master/csl-citation.json"}</w:instrText>
      </w:r>
      <w:r w:rsidRPr="000D7D3D">
        <w:fldChar w:fldCharType="separate"/>
      </w:r>
      <w:r w:rsidRPr="000D7D3D">
        <w:rPr>
          <w:noProof/>
        </w:rPr>
        <w:t>(Loth-Pereda et al., 2011)</w:t>
      </w:r>
      <w:r w:rsidRPr="000D7D3D">
        <w:fldChar w:fldCharType="end"/>
      </w:r>
      <w:r w:rsidRPr="000D7D3D">
        <w:t xml:space="preserve">. Besides, the poplar genome </w:t>
      </w:r>
      <w:r w:rsidRPr="000D7D3D">
        <w:lastRenderedPageBreak/>
        <w:t xml:space="preserve">has been fully sequenced and hence is considered to be an excellent model organism for gene studies </w:t>
      </w:r>
      <w:r w:rsidRPr="000D7D3D">
        <w:fldChar w:fldCharType="begin" w:fldLock="1"/>
      </w:r>
      <w:r w:rsidR="00EE33AB">
        <w:instrText>ADDIN CSL_CITATION {"citationItems":[{"id":"ITEM-1","itemData":{"DOI":"10.1126/science.1128691","ISSN":"0036-8075","abstract":"We report the draft genome of the black cottonwood tree, Populus trichocarpa. Integration of shotgun sequence assembly with genetic mapping enabled chromosome-scale reconstruction of the genome. More than 45,000 putative protein-coding genes were identified. Analysis of the assembled genome revealed a whole-genome duplication event","author":[{"dropping-particle":"","family":"Tuskan","given":"Gerald A","non-dropping-particle":"","parse-names":false,"suffix":""},{"dropping-particle":"","family":"DiFazio","given":"Stephen P","non-dropping-particle":"","parse-names":false,"suffix":""},{"dropping-particle":"","family":"Jansson","given":"Bo S","non-dropping-particle":"","parse-names":false,"suffix":""},{"dropping-particle":"","family":"Bohlmann","given":"J","non-dropping-particle":"","parse-names":false,"suffix":""},{"dropping-particle":"","family":"Grigoriev","given":"I","non-dropping-particle":"","parse-names":false,"suffix":""},{"dropping-particle":"","family":"Hellsten","given":"U","non-dropping-particle":"","parse-names":false,"suffix":""},{"dropping-particle":"","family":"Putman","given":"N","non-dropping-particle":"","parse-names":false,"suffix":""},{"dropping-particle":"","family":"Ralph","given":"S","non-dropping-particle":"","parse-names":false,"suffix":""},{"dropping-particle":"","family":"Rombauts","given":"S","non-dropping-particle":"","parse-names":false,"suffix":""},{"dropping-particle":"","family":"Salamov","given":"A","non-dropping-particle":"","parse-names":false,"suffix":""},{"dropping-particle":"","family":"Schein","given":"J","non-dropping-particle":"","parse-names":false,"suffix":""},{"dropping-particle":"","family":"Sterck","given":"L","non-dropping-particle":"","parse-names":false,"suffix":""},{"dropping-particle":"","family":"Aerts","given":"A","non-dropping-particle":"","parse-names":false,"suffix":""},{"dropping-particle":"","family":"Bhalerao","given":"R R","non-dropping-particle":"","parse-names":false,"suffix":""},{"dropping-particle":"","family":"Bhalerao","given":"Rishikesh P","non-dropping-particle":"","parse-names":false,"suffix":""},{"dropping-particle":"","family":"Blaudez","given":"D","non-dropping-particle":"","parse-names":false,"suffix":""},{"dropping-particle":"","family":"Boerjan","given":"W","non-dropping-particle":"","parse-names":false,"suffix":""},{"dropping-particle":"","family":"Brun","given":"A","non-dropping-particle":"","parse-names":false,"suffix":""},{"dropping-particle":"","family":"Brunner","given":"A","non-dropping-particle":"","parse-names":false,"suffix":""},{"dropping-particle":"","family":"Busov","given":"V","non-dropping-particle":"","parse-names":false,"suffix":""},{"dropping-particle":"","family":"Campbell","given":"M","non-dropping-particle":"","parse-names":false,"suffix":""},{"dropping-particle":"","family":"Larimer","given":"Frank W","non-dropping-particle":"","parse-names":false,"suffix":""},{"dropping-particle":"","family":"Detter","given":"J C","non-dropping-particle":"","parse-names":false,"suffix":""},{"dropping-particle":"","family":"Richardson","given":"P M","non-dropping-particle":"","parse-names":false,"suffix":""},{"dropping-particle":"","family":"Chen","given":"Gwo-Liang","non-dropping-particle":"","parse-names":false,"suffix":""},{"dropping-particle":"","family":"Gunter","given":"Lee E","non-dropping-particle":"","parse-names":false,"suffix":""},{"dropping-particle":"","family":"Kalluri","given":"Udaya C","non-dropping-particle":"","parse-names":false,"suffix":""},{"dropping-particle":"","family":"LoCascio","given":"Philip F","non-dropping-particle":"","parse-names":false,"suffix":""},{"dropping-particle":"","family":"Uberbacher","given":"Edward C","non-dropping-particle":"","parse-names":false,"suffix":""},{"dropping-particle":"","family":"Yin","given":"Tongming","non-dropping-particle":"","parse-names":false,"suffix":""}],"container-title":"Science","id":"ITEM-1","issue":"5793","issued":{"date-parts":[["2006"]]},"title":"The Genome of Black Cottonwood, Populus trichocarpa (Torr. &amp; Gray)","type":"article-journal","volume":"313"},"uris":["http://www.mendeley.com/documents/?uuid=ea0a4a4f-8fa1-448b-9a2d-914a89db778d"]}],"mendeley":{"formattedCitation":"(Tuskan et al., 2006)","plainTextFormattedCitation":"(Tuskan et al., 2006)","previouslyFormattedCitation":"(Tuskan et al., 2006)"},"properties":{"noteIndex":0},"schema":"https://github.com/citation-style-language/schema/raw/master/csl-citation.json"}</w:instrText>
      </w:r>
      <w:r w:rsidRPr="000D7D3D">
        <w:fldChar w:fldCharType="separate"/>
      </w:r>
      <w:r w:rsidRPr="000D7D3D">
        <w:rPr>
          <w:noProof/>
        </w:rPr>
        <w:t>(Tuskan et al., 2006)</w:t>
      </w:r>
      <w:r w:rsidRPr="000D7D3D">
        <w:fldChar w:fldCharType="end"/>
      </w:r>
      <w:r w:rsidRPr="000D7D3D">
        <w:t>.</w:t>
      </w:r>
    </w:p>
    <w:p w14:paraId="504F4D8D" w14:textId="5881D973" w:rsidR="000D7D3D" w:rsidRPr="000D7D3D" w:rsidRDefault="000D7D3D" w:rsidP="00FB36B8">
      <w:pPr>
        <w:ind w:firstLine="720"/>
      </w:pPr>
      <w:r w:rsidRPr="000D7D3D">
        <w:t>In regard to previous studies on yeast, a variety of Pi-responsive genes, which are induced at low Pi availability or starvation, have been identified. According to these studies, Pi-responsive genes</w:t>
      </w:r>
      <w:r w:rsidR="005B242F">
        <w:t xml:space="preserve"> </w:t>
      </w:r>
      <w:r w:rsidRPr="000D7D3D">
        <w:t xml:space="preserve">belong to several functional categories involved in: (a) Pi utilisation, such as phosphatases and Pi transporters, (b) polyphosphate metabolism, (c) Pi transcriptional regulation, including regulatory factors, and (d) other metabolic pathways such as histidine, trehalose, glycogen, and inositol </w:t>
      </w:r>
      <w:r w:rsidR="004135AD">
        <w:t>phosphate</w:t>
      </w:r>
      <w:r w:rsidRPr="000D7D3D">
        <w:t xml:space="preserve"> metabolism </w:t>
      </w:r>
      <w:r w:rsidRPr="000D7D3D">
        <w:fldChar w:fldCharType="begin" w:fldLock="1"/>
      </w:r>
      <w:r w:rsidR="00EE33AB">
        <w:instrText>ADDIN CSL_CITATION {"citationItems":[{"id":"ITEM-1","itemData":{"DOI":"10.1534/genetics.111.133306","ISBN":"0016-6731","ISSN":"00166731","PMID":"22419079","abstract":"Ever since the beginning of biochemical analysis, yeast has been a pioneering model for studying the regulation of eukaryotic metabolism. During the last three decades, the combination of powerful yeast genetics and genome-wide approaches has led to a more integrated view of metabolic regulation. Multiple layers of regulation, from suprapathway control to individual gene responses, have been discovered. Constitutive and dedicated systems that are critical in sensing of the intra- and extracellular environment have been identified, and there is a growing awareness of their involvement in the highly regulated intracellular compartmentalization of proteins and metabolites. This review focuses on recent developments in the field of amino acid, nucleotide, and phosphate metabolism and provides illustrative examples of how yeast cells combine a variety of mechanisms to achieve coordinated regulation of multiple metabolic pathways. Importantly, common schemes have emerged, which reveal mechanisms conserved among various pathways, such as those involved in metabolite sensing and transcriptional regulation by noncoding RNAs or by metabolic intermediates. Thanks to the remarkable sophistication offered by the yeast experimental system, a picture of the intimate connections between the metabolomic and the transcriptome is becoming clear.","author":[{"dropping-particle":"","family":"Ljungdahl","given":"Per O.","non-dropping-particle":"","parse-names":false,"suffix":""},{"dropping-particle":"","family":"Daignan-Fornier","given":"Bertrand","non-dropping-particle":"","parse-names":false,"suffix":""}],"container-title":"Genetics","id":"ITEM-1","issue":"3","issued":{"date-parts":[["2012"]]},"page":"885-929","title":"Regulation of amino acid, nucleotide, and phosphate metabolism in Saccharomyces cerevisiae","type":"article-journal","volume":"190"},"uris":["http://www.mendeley.com/documents/?uuid=867db953-a3a2-4aca-befd-577867e0f322"]}],"mendeley":{"formattedCitation":"(Ljungdahl and Daignan-Fornier, 2012)","plainTextFormattedCitation":"(Ljungdahl and Daignan-Fornier, 2012)","previouslyFormattedCitation":"(Ljungdahl and Daignan-Fornier, 2012)"},"properties":{"noteIndex":0},"schema":"https://github.com/citation-style-language/schema/raw/master/csl-citation.json"}</w:instrText>
      </w:r>
      <w:r w:rsidRPr="000D7D3D">
        <w:fldChar w:fldCharType="separate"/>
      </w:r>
      <w:r w:rsidRPr="000D7D3D">
        <w:rPr>
          <w:noProof/>
        </w:rPr>
        <w:t>(Ljungdahl and Daignan-Fornier, 2012)</w:t>
      </w:r>
      <w:r w:rsidRPr="000D7D3D">
        <w:fldChar w:fldCharType="end"/>
      </w:r>
      <w:r w:rsidR="00241398">
        <w:t>.</w:t>
      </w:r>
    </w:p>
    <w:p w14:paraId="0D5EE9BA" w14:textId="4BD2777F" w:rsidR="000D7D3D" w:rsidRPr="000D7D3D" w:rsidRDefault="000D7D3D" w:rsidP="007C3C15">
      <w:pPr>
        <w:ind w:firstLine="720"/>
      </w:pPr>
      <w:r w:rsidRPr="000D7D3D">
        <w:t xml:space="preserve">Specific studies on the transcriptional response to Pi availability on mycorrhizal-forming fungal species while in symbiosis </w:t>
      </w:r>
      <w:r w:rsidR="004135AD">
        <w:t>with</w:t>
      </w:r>
      <w:r w:rsidRPr="000D7D3D">
        <w:t xml:space="preserve"> the host plant are scarce, and are mostly focused on few candidate genes. Some examples include gene expression analysis of fungal or plant Pi transporters in response to Pi availability during AM symbiosis between </w:t>
      </w:r>
      <w:r w:rsidRPr="000D7D3D">
        <w:rPr>
          <w:i/>
        </w:rPr>
        <w:t>Medicago truncatula</w:t>
      </w:r>
      <w:r w:rsidRPr="000D7D3D">
        <w:t xml:space="preserve"> and the AM</w:t>
      </w:r>
      <w:r w:rsidR="00673043">
        <w:t xml:space="preserve"> fungus</w:t>
      </w:r>
      <w:r w:rsidRPr="000D7D3D">
        <w:t xml:space="preserve"> </w:t>
      </w:r>
      <w:r w:rsidRPr="000D7D3D">
        <w:rPr>
          <w:i/>
        </w:rPr>
        <w:t>Glomus intraradices</w:t>
      </w:r>
      <w:r w:rsidRPr="000D7D3D">
        <w:t xml:space="preserve"> </w:t>
      </w:r>
      <w:r w:rsidRPr="000D7D3D">
        <w:fldChar w:fldCharType="begin" w:fldLock="1"/>
      </w:r>
      <w:r w:rsidR="00EE33AB">
        <w:instrText>ADDIN CSL_CITATION {"citationItems":[{"id":"ITEM-1","itemData":{"DOI":"10.1094/MPMI.2001.14.10.1140","ISBN":"5802235810","ISSN":"0894-0282","PMID":"11605953","abstract":"The majority of vascular flowering plants are able to form symbiotic associations with arbuscular mycorrhizal fungi. These symbioses, termed arbuscular mycorrhizas, are mutually beneficial, and the fungus delivers phosphate to the plant while receiving carbon. In these symbioses, phosphate uptake by the arbuscular mycorrhizal fungus is the first step in the process of phosphate transport to the plant. Previously, we cloned a phosphate transporter gene involved in this process. Here, we analyze the expression and regulation of a phosphate transporter gene (GiPT) in the extra-radical mycelium of the arbuscular mycorrhizal fungus Glomus intraradices during mycorrhizal association with carrot or Medicago truncatula roots. These analyses reveal that GiPT expression is regulated in response to phosphate concentrations in the environment surrounding the extra-radical hyphae and modulated by the overall phosphate status of the mycorrhiza. Phosphate concentrations, typical of those found in the soil solution, result in expression of GiPT. These data imply that G. intraradices can perceive phosphate levels in the external environment but also suggest the presence of an internal phosphate sensing mechanism.","author":[{"dropping-particle":"","family":"Maldonado-Mendoza","given":"I E","non-dropping-particle":"","parse-names":false,"suffix":""},{"dropping-particle":"","family":"Dewbre","given":"G R","non-dropping-particle":"","parse-names":false,"suffix":""},{"dropping-particle":"","family":"Harrison","given":"M J","non-dropping-particle":"","parse-names":false,"suffix":""}],"container-title":"Molecular plant-microbe interactions : MPMI","id":"ITEM-1","issue":"10","issued":{"date-parts":[["2001","10"]]},"page":"1140-8","title":"A phosphate transporter gene from the extra-radical mycelium of an arbuscular mycorrhizal fungus Glomus intraradices is regulated in response to phosphate in the environment.","type":"article-journal","volume":"14"},"uris":["http://www.mendeley.com/documents/?uuid=0bef42a5-58d9-42fe-893e-eb0e6db9c99d"]},{"id":"ITEM-2","itemData":{"DOI":"10.1105/tpc.004861.the","author":[{"dropping-particle":"","family":"Harrison","given":"Maria J","non-dropping-particle":"","parse-names":false,"suffix":""},{"dropping-particle":"","family":"Dewbre","given":"Gary R","non-dropping-particle":"","parse-names":false,"suffix":""},{"dropping-particle":"","family":"Liu","given":"Jinyuan","non-dropping-particle":"","parse-names":false,"suffix":""},{"dropping-particle":"","family":"Samuel","given":"The","non-dropping-particle":"","parse-names":false,"suffix":""},{"dropping-particle":"","family":"Noble","given":"Roberts","non-dropping-particle":"","parse-names":false,"suffix":""},{"dropping-particle":"","family":"Parkway","given":"Sam Noble","non-dropping-particle":"","parse-names":false,"suffix":""}],"container-title":"The Plant cell","id":"ITEM-2","issue":"October","issued":{"date-parts":[["2002"]]},"page":"2413-2429","title":"A Phosphate Transporter from Medicago truncatula Involved in the Acquisition of Phosphate Released by Arbuscular Mycorrhizal Fungi","type":"article-journal","volume":"14"},"uris":["http://www.mendeley.com/documents/?uuid=be3ee37b-a82f-4b88-98e5-f03d36e55c17"]}],"mendeley":{"formattedCitation":"(Maldonado-Mendoza et al., 2001; Harrison et al., 2002)","plainTextFormattedCitation":"(Maldonado-Mendoza et al., 2001; Harrison et al., 2002)","previouslyFormattedCitation":"(Maldonado-Mendoza et al., 2001; Harrison et al., 2002)"},"properties":{"noteIndex":0},"schema":"https://github.com/citation-style-language/schema/raw/master/csl-citation.json"}</w:instrText>
      </w:r>
      <w:r w:rsidRPr="000D7D3D">
        <w:fldChar w:fldCharType="separate"/>
      </w:r>
      <w:r w:rsidRPr="000D7D3D">
        <w:rPr>
          <w:noProof/>
        </w:rPr>
        <w:t>(Maldonado-Mendoza et al., 2001; Harrison et al., 2002)</w:t>
      </w:r>
      <w:r w:rsidRPr="000D7D3D">
        <w:fldChar w:fldCharType="end"/>
      </w:r>
      <w:r w:rsidRPr="000D7D3D">
        <w:t>. In addition, Pi transporter gene expression has also been analysed in the hyphae of EM</w:t>
      </w:r>
      <w:r w:rsidR="00673043">
        <w:t xml:space="preserve"> fungus</w:t>
      </w:r>
      <w:r w:rsidRPr="000D7D3D">
        <w:t xml:space="preserve"> </w:t>
      </w:r>
      <w:r w:rsidR="004135AD">
        <w:rPr>
          <w:i/>
        </w:rPr>
        <w:t>Hebeloma</w:t>
      </w:r>
      <w:r w:rsidRPr="000D7D3D">
        <w:rPr>
          <w:i/>
        </w:rPr>
        <w:t xml:space="preserve"> cylindrosporum </w:t>
      </w:r>
      <w:r w:rsidRPr="000D7D3D">
        <w:t xml:space="preserve">in response to Pi availability while in EM symbiosis with </w:t>
      </w:r>
      <w:r w:rsidRPr="000D7D3D">
        <w:rPr>
          <w:i/>
        </w:rPr>
        <w:t xml:space="preserve">Pinus pinaster </w:t>
      </w:r>
      <w:r w:rsidRPr="000D7D3D">
        <w:rPr>
          <w:i/>
        </w:rPr>
        <w:fldChar w:fldCharType="begin" w:fldLock="1"/>
      </w:r>
      <w:r w:rsidR="00EE33AB">
        <w:rPr>
          <w:i/>
        </w:rPr>
        <w:instrText>ADDIN CSL_CITATION {"citationItems":[{"id":"ITEM-1","itemData":{"DOI":"10.1111/j.1365-313X.2008.03749.x","ISSN":"1365-313X","PMID":"19054369","abstract":"Ectomycorrhizal symbiosis markedly improves plant phosphate uptake, but the molecular mechanisms underlying this benefit are still poorly understood. We identified two ESTs in a cDNA library prepared from the ectomycorrhizal basidiomycete Hebeloma cylindrosporum with significant similarities to phosphate transporters from the endomycorrhizal fungus Glomus versiforme and from non-mycorrhizal fungi. The full-length cDNAs corresponding to these two ESTs complemented a yeast phosphate transport mutant (Deltapho84). Measurements of (33)P-phosphate influx into yeast expressing either cDNA demonstrated that the encoded proteins, named HcPT1 and HcPT2, were able to mediate Pi:H(+) symport with different affinities for Pi (K(m) values of 55 and 4 mum, respectively). Real-time RT-PCR showed that Pi starvation increased the levels of HcPT1 transcripts in H. cylindrosporum hyphae grown in pure culture. Transcript levels of HcPT2 were less dependent on Pi availability. The two transporters were expressed in H. cylindrosporum associated with its natural host plant, Pinus pinaster, grown under low or high P conditions. The presence of ectomycorrhizae increased net Pi uptake rates into intact Pinus pinaster roots at low or high soil P levels. The expression patterns of HcPT1 and HcPT2 indicate that the two fungal phosphate transporters may be involved in uptake of phosphate from the soil solution under the two soil P availability conditions used.","author":[{"dropping-particle":"","family":"Tatry","given":"Marie-Violaine","non-dropping-particle":"","parse-names":false,"suffix":""},{"dropping-particle":"","family":"Kassis","given":"Elie","non-dropping-particle":"El","parse-names":false,"suffix":""},{"dropping-particle":"","family":"Lambilliotte","given":"Raphaël","non-dropping-particle":"","parse-names":false,"suffix":""},{"dropping-particle":"","family":"Corratgé","given":"Claire","non-dropping-particle":"","parse-names":false,"suffix":""},{"dropping-particle":"","family":"Aarle","given":"Ingrid","non-dropping-particle":"van","parse-names":false,"suffix":""},{"dropping-particle":"","family":"Amenc","given":"Laurie K","non-dropping-particle":"","parse-names":false,"suffix":""},{"dropping-particle":"","family":"Alary","given":"Rémi","non-dropping-particle":"","parse-names":false,"suffix":""},{"dropping-particle":"","family":"Zimmermann","given":"Sabine","non-dropping-particle":"","parse-names":false,"suffix":""},{"dropping-particle":"","family":"Sentenac","given":"Hervé","non-dropping-particle":"","parse-names":false,"suffix":""},{"dropping-particle":"","family":"Plassard","given":"Claude","non-dropping-particle":"","parse-names":false,"suffix":""}],"container-title":"The Plant journal : for cell and molecular biology","id":"ITEM-1","issue":"6","issued":{"date-parts":[["2009","3"]]},"page":"1092-102","title":"Two differentially regulated phosphate transporters from the symbiotic fungus Hebeloma cylindrosporum and phosphorus acquisition by ectomycorrhizal Pinus pinaster.","type":"article-journal","volume":"57"},"uris":["http://www.mendeley.com/documents/?uuid=334233a2-c949-4def-90cb-cb4c687b90e2"]}],"mendeley":{"formattedCitation":"(Tatry et al., 2009)","plainTextFormattedCitation":"(Tatry et al., 2009)","previouslyFormattedCitation":"(Tatry et al., 2009)"},"properties":{"noteIndex":0},"schema":"https://github.com/citation-style-language/schema/raw/master/csl-citation.json"}</w:instrText>
      </w:r>
      <w:r w:rsidRPr="000D7D3D">
        <w:rPr>
          <w:i/>
        </w:rPr>
        <w:fldChar w:fldCharType="separate"/>
      </w:r>
      <w:r w:rsidRPr="000D7D3D">
        <w:rPr>
          <w:noProof/>
        </w:rPr>
        <w:t>(Tatry et al., 2009)</w:t>
      </w:r>
      <w:r w:rsidRPr="000D7D3D">
        <w:rPr>
          <w:i/>
        </w:rPr>
        <w:fldChar w:fldCharType="end"/>
      </w:r>
      <w:r w:rsidRPr="000D7D3D">
        <w:t xml:space="preserve">. </w:t>
      </w:r>
      <w:r w:rsidR="004135AD">
        <w:t>Besides</w:t>
      </w:r>
      <w:r w:rsidRPr="000D7D3D">
        <w:t xml:space="preserve">, results from the previous </w:t>
      </w:r>
      <w:r w:rsidR="00673043">
        <w:t>c</w:t>
      </w:r>
      <w:r w:rsidRPr="000D7D3D">
        <w:t xml:space="preserve">hapter using the EM fungus </w:t>
      </w:r>
      <w:r w:rsidR="004135AD">
        <w:rPr>
          <w:i/>
        </w:rPr>
        <w:t>Paxillus</w:t>
      </w:r>
      <w:r w:rsidRPr="000D7D3D">
        <w:rPr>
          <w:i/>
        </w:rPr>
        <w:t xml:space="preserve"> involutus</w:t>
      </w:r>
      <w:r w:rsidR="004135AD">
        <w:t xml:space="preserve"> </w:t>
      </w:r>
      <w:r w:rsidRPr="000D7D3D">
        <w:rPr>
          <w:i/>
        </w:rPr>
        <w:t>ATCC 200175</w:t>
      </w:r>
      <w:r w:rsidRPr="000D7D3D">
        <w:t xml:space="preserve"> identified four putative high-affinity Pi transporters, </w:t>
      </w:r>
      <w:r w:rsidR="004135AD">
        <w:t>of which</w:t>
      </w:r>
      <w:r w:rsidRPr="000D7D3D">
        <w:t xml:space="preserve"> expression was inversely proportional to the a</w:t>
      </w:r>
      <w:r w:rsidR="00892801">
        <w:t>vailability of Pi in the media.</w:t>
      </w:r>
    </w:p>
    <w:p w14:paraId="2E8AB294" w14:textId="56350C6F" w:rsidR="00181466" w:rsidRDefault="000D7D3D" w:rsidP="007C3C15">
      <w:pPr>
        <w:ind w:firstLine="720"/>
      </w:pPr>
      <w:r w:rsidRPr="000D7D3D">
        <w:t xml:space="preserve">To </w:t>
      </w:r>
      <w:r w:rsidR="00284B06">
        <w:t>my</w:t>
      </w:r>
      <w:r w:rsidRPr="000D7D3D">
        <w:t xml:space="preserve"> knowledge, there is no st</w:t>
      </w:r>
      <w:r w:rsidR="004135AD">
        <w:t>udy where a global transcriptomic</w:t>
      </w:r>
      <w:r w:rsidRPr="000D7D3D">
        <w:t xml:space="preserve"> analysis has been carried out which investigates the response of EM fungal genes </w:t>
      </w:r>
      <w:r w:rsidR="004135AD">
        <w:t>to</w:t>
      </w:r>
      <w:r w:rsidRPr="000D7D3D">
        <w:t xml:space="preserve"> Pi availability during EM symbiosis. Hence, in this study, RNA-sequencing (RNA-seq) technology will be utilized on the experimental system designed in Chapter 2, with the purpose </w:t>
      </w:r>
      <w:r w:rsidR="00892801">
        <w:t xml:space="preserve">to investigate global gene expression </w:t>
      </w:r>
      <w:r w:rsidRPr="000D7D3D">
        <w:t xml:space="preserve">of </w:t>
      </w:r>
      <w:r w:rsidRPr="000D7D3D">
        <w:rPr>
          <w:i/>
        </w:rPr>
        <w:t>P. involutus ATCC 200175</w:t>
      </w:r>
      <w:r w:rsidRPr="000D7D3D">
        <w:t xml:space="preserve"> hyphae in response to </w:t>
      </w:r>
      <w:r w:rsidR="004135AD">
        <w:t xml:space="preserve">low </w:t>
      </w:r>
      <w:r w:rsidR="00892801">
        <w:t>Pi availability in</w:t>
      </w:r>
      <w:r w:rsidRPr="000D7D3D">
        <w:t xml:space="preserve"> non-symbiotic</w:t>
      </w:r>
      <w:r w:rsidR="004135AD">
        <w:t xml:space="preserve"> (NS)</w:t>
      </w:r>
      <w:r w:rsidR="00892801">
        <w:t xml:space="preserve"> or</w:t>
      </w:r>
      <w:r w:rsidRPr="000D7D3D">
        <w:t xml:space="preserve"> symbiotic </w:t>
      </w:r>
      <w:r w:rsidR="004135AD">
        <w:t xml:space="preserve">(S) </w:t>
      </w:r>
      <w:r w:rsidRPr="000D7D3D">
        <w:t>conditions</w:t>
      </w:r>
      <w:r w:rsidR="004135AD">
        <w:t>.</w:t>
      </w:r>
    </w:p>
    <w:p w14:paraId="0D392D56" w14:textId="1A5DA37E" w:rsidR="000D7D3D" w:rsidRPr="000D7D3D" w:rsidRDefault="000D7D3D" w:rsidP="007C3C15">
      <w:pPr>
        <w:ind w:firstLine="720"/>
      </w:pPr>
      <w:r w:rsidRPr="000D7D3D">
        <w:t xml:space="preserve">To this end, the study presented in this </w:t>
      </w:r>
      <w:r w:rsidR="00673043">
        <w:t>c</w:t>
      </w:r>
      <w:r w:rsidRPr="000D7D3D">
        <w:t>hapter will follow three main hypotheses:</w:t>
      </w:r>
    </w:p>
    <w:p w14:paraId="658CE886" w14:textId="526BBD91" w:rsidR="000D7D3D" w:rsidRPr="00FB36B8" w:rsidRDefault="00091EB3" w:rsidP="00635993">
      <w:r w:rsidRPr="003F7054">
        <w:t xml:space="preserve">1. </w:t>
      </w:r>
      <w:r w:rsidR="000D7D3D" w:rsidRPr="007F746A">
        <w:t xml:space="preserve">Changes in Pi availability in the media will strongly affect </w:t>
      </w:r>
      <w:r w:rsidR="000D7D3D" w:rsidRPr="003F061A">
        <w:rPr>
          <w:i/>
        </w:rPr>
        <w:t xml:space="preserve">P. involutus </w:t>
      </w:r>
      <w:r w:rsidR="000D7D3D" w:rsidRPr="003F061A">
        <w:t xml:space="preserve">global </w:t>
      </w:r>
      <w:r w:rsidR="002F12E2">
        <w:t>gene transcriptional response</w:t>
      </w:r>
      <w:r w:rsidR="000D7D3D" w:rsidRPr="003F061A">
        <w:t xml:space="preserve"> both in </w:t>
      </w:r>
      <w:r w:rsidR="002F12E2">
        <w:t>NS</w:t>
      </w:r>
      <w:r w:rsidR="000D7D3D" w:rsidRPr="003F061A">
        <w:t xml:space="preserve"> or </w:t>
      </w:r>
      <w:r w:rsidR="002F12E2">
        <w:t>S conditions.</w:t>
      </w:r>
    </w:p>
    <w:p w14:paraId="69C143EE" w14:textId="2DA8F5D6" w:rsidR="000D7D3D" w:rsidRPr="00D9161C" w:rsidRDefault="00181466" w:rsidP="00635993">
      <w:r w:rsidRPr="007C3C15">
        <w:rPr>
          <w:i/>
        </w:rPr>
        <w:lastRenderedPageBreak/>
        <w:t xml:space="preserve">2. </w:t>
      </w:r>
      <w:r w:rsidR="000D7D3D" w:rsidRPr="007C3C15">
        <w:rPr>
          <w:i/>
        </w:rPr>
        <w:t>P. involutus g</w:t>
      </w:r>
      <w:r w:rsidR="000D7D3D" w:rsidRPr="007C3C15">
        <w:t xml:space="preserve">enes involved in Pi </w:t>
      </w:r>
      <w:r w:rsidR="00284B06">
        <w:t>transport</w:t>
      </w:r>
      <w:r w:rsidR="000D7D3D" w:rsidRPr="007C3C15">
        <w:t xml:space="preserve"> will be differentially regulated by low or high Pi availability. In particular, </w:t>
      </w:r>
      <w:r w:rsidR="000D7D3D" w:rsidRPr="007C3C15">
        <w:rPr>
          <w:i/>
        </w:rPr>
        <w:t xml:space="preserve">P. involutus </w:t>
      </w:r>
      <w:r w:rsidR="000D7D3D" w:rsidRPr="00D9161C">
        <w:t xml:space="preserve">Pi transporter genes </w:t>
      </w:r>
      <w:r w:rsidR="0009771C">
        <w:t>(</w:t>
      </w:r>
      <w:r w:rsidR="0009771C" w:rsidRPr="0009771C">
        <w:rPr>
          <w:i/>
        </w:rPr>
        <w:t>PiPTs</w:t>
      </w:r>
      <w:r w:rsidR="0009771C">
        <w:t xml:space="preserve">) </w:t>
      </w:r>
      <w:r w:rsidR="000D7D3D" w:rsidRPr="00D9161C">
        <w:t>mediating Pi transport will be strongly upregulated at low Pi availability and downregulated at high Pi availability.</w:t>
      </w:r>
    </w:p>
    <w:p w14:paraId="653F96BA" w14:textId="4549BE17" w:rsidR="000D7D3D" w:rsidRPr="000D7D3D" w:rsidRDefault="00181466" w:rsidP="00635993">
      <w:r w:rsidRPr="00D9161C">
        <w:t xml:space="preserve">3. </w:t>
      </w:r>
      <w:r w:rsidR="000D7D3D" w:rsidRPr="00D9161C">
        <w:t xml:space="preserve">EM symbiosis will enhance or alter the </w:t>
      </w:r>
      <w:r w:rsidR="002F12E2">
        <w:t xml:space="preserve">gene </w:t>
      </w:r>
      <w:r w:rsidR="000D7D3D" w:rsidRPr="00D9161C">
        <w:t xml:space="preserve">transcriptional response of </w:t>
      </w:r>
      <w:r w:rsidR="000D7D3D" w:rsidRPr="001B51CA">
        <w:rPr>
          <w:i/>
        </w:rPr>
        <w:t>P. involutus</w:t>
      </w:r>
      <w:r w:rsidR="000D7D3D" w:rsidRPr="001B51CA">
        <w:t xml:space="preserve"> to </w:t>
      </w:r>
      <w:r w:rsidR="002F12E2" w:rsidRPr="00D9161C">
        <w:t>low Pi availability</w:t>
      </w:r>
      <w:r w:rsidR="000D7D3D" w:rsidRPr="001B51CA">
        <w:t>.</w:t>
      </w:r>
      <w:r w:rsidR="000D7D3D" w:rsidRPr="000D7D3D">
        <w:br w:type="page"/>
      </w:r>
    </w:p>
    <w:p w14:paraId="5386487E" w14:textId="6B91266F" w:rsidR="000D7D3D" w:rsidRPr="000D7D3D" w:rsidRDefault="000D7D3D" w:rsidP="00635993">
      <w:pPr>
        <w:pStyle w:val="Heading1"/>
      </w:pPr>
      <w:bookmarkStart w:id="189" w:name="_Toc507603998"/>
      <w:bookmarkStart w:id="190" w:name="_Toc507604265"/>
      <w:bookmarkStart w:id="191" w:name="_Toc519016982"/>
      <w:bookmarkStart w:id="192" w:name="_Toc520837880"/>
      <w:r w:rsidRPr="000D7D3D">
        <w:lastRenderedPageBreak/>
        <w:t>3.2 Materials and Methods</w:t>
      </w:r>
      <w:bookmarkEnd w:id="189"/>
      <w:bookmarkEnd w:id="190"/>
      <w:bookmarkEnd w:id="191"/>
      <w:bookmarkEnd w:id="192"/>
    </w:p>
    <w:p w14:paraId="6197EB54" w14:textId="77777777" w:rsidR="000D7D3D" w:rsidRPr="000D7D3D" w:rsidRDefault="000D7D3D" w:rsidP="003F7054"/>
    <w:p w14:paraId="1C2BE264" w14:textId="5983CBD2" w:rsidR="000D7D3D" w:rsidRPr="000D7D3D" w:rsidRDefault="000D7D3D" w:rsidP="00635993">
      <w:pPr>
        <w:pStyle w:val="Heading2"/>
      </w:pPr>
      <w:bookmarkStart w:id="193" w:name="_Toc507603999"/>
      <w:bookmarkStart w:id="194" w:name="_Toc507604266"/>
      <w:bookmarkStart w:id="195" w:name="_Toc519016983"/>
      <w:bookmarkStart w:id="196" w:name="_Toc520837881"/>
      <w:r w:rsidRPr="000D7D3D">
        <w:t xml:space="preserve">3.2.1 </w:t>
      </w:r>
      <w:r w:rsidR="00791902" w:rsidRPr="000D7D3D">
        <w:t xml:space="preserve">Pi-varying M-MMN </w:t>
      </w:r>
      <w:r w:rsidR="00791902">
        <w:t>m</w:t>
      </w:r>
      <w:r w:rsidRPr="000D7D3D">
        <w:t>edia</w:t>
      </w:r>
      <w:bookmarkEnd w:id="193"/>
      <w:bookmarkEnd w:id="194"/>
      <w:bookmarkEnd w:id="195"/>
      <w:bookmarkEnd w:id="196"/>
    </w:p>
    <w:p w14:paraId="5A98C6E1" w14:textId="3D802585" w:rsidR="000D7D3D" w:rsidRPr="000D7D3D" w:rsidRDefault="000D7D3D" w:rsidP="003F7054">
      <w:r w:rsidRPr="000D7D3D">
        <w:t>In this study, the Pi-varying media used w</w:t>
      </w:r>
      <w:r w:rsidR="000B00D3">
        <w:t>ere</w:t>
      </w:r>
      <w:r w:rsidRPr="000D7D3D">
        <w:t xml:space="preserve"> based on the</w:t>
      </w:r>
      <w:r w:rsidR="00791902">
        <w:t xml:space="preserve"> M</w:t>
      </w:r>
      <w:r w:rsidR="00791902" w:rsidRPr="000D7D3D">
        <w:rPr>
          <w:noProof/>
        </w:rPr>
        <w:t>ü</w:t>
      </w:r>
      <w:r w:rsidR="00791902">
        <w:t>ller recipe of the</w:t>
      </w:r>
      <w:r w:rsidRPr="000D7D3D">
        <w:t xml:space="preserve"> </w:t>
      </w:r>
      <w:r w:rsidR="00791902">
        <w:t xml:space="preserve">modified </w:t>
      </w:r>
      <w:r w:rsidR="00791902" w:rsidRPr="000D7D3D">
        <w:t xml:space="preserve">Melin-Norkrans </w:t>
      </w:r>
      <w:r w:rsidR="00791902">
        <w:t>(</w:t>
      </w:r>
      <w:r w:rsidR="00791902" w:rsidRPr="000D7D3D">
        <w:t>MMN</w:t>
      </w:r>
      <w:r w:rsidR="00791902">
        <w:t>)</w:t>
      </w:r>
      <w:r w:rsidRPr="000D7D3D">
        <w:t xml:space="preserve"> media</w:t>
      </w:r>
      <w:r w:rsidR="00791902">
        <w:t>,</w:t>
      </w:r>
      <w:r w:rsidRPr="000D7D3D">
        <w:t xml:space="preserve"> </w:t>
      </w:r>
      <w:r w:rsidR="000B00D3">
        <w:t xml:space="preserve">as </w:t>
      </w:r>
      <w:r w:rsidRPr="000D7D3D">
        <w:t>described in</w:t>
      </w:r>
      <w:r w:rsidR="00284B06">
        <w:t xml:space="preserve"> </w:t>
      </w:r>
      <w:r w:rsidR="00284B06" w:rsidRPr="000D7D3D">
        <w:rPr>
          <w:noProof/>
        </w:rPr>
        <w:t>Müller et al.</w:t>
      </w:r>
      <w:r w:rsidR="00284B06">
        <w:rPr>
          <w:noProof/>
        </w:rPr>
        <w:t xml:space="preserve"> (2013)</w:t>
      </w:r>
      <w:r w:rsidR="00791902">
        <w:t xml:space="preserve">, which include </w:t>
      </w:r>
      <w:r w:rsidRPr="000D7D3D">
        <w:t>the additional use of activated charco</w:t>
      </w:r>
      <w:r w:rsidR="00284B06">
        <w:t>al</w:t>
      </w:r>
      <w:r w:rsidR="00284B06" w:rsidRPr="00284B06">
        <w:t xml:space="preserve"> </w:t>
      </w:r>
      <w:r w:rsidR="00284B06" w:rsidRPr="000D7D3D">
        <w:fldChar w:fldCharType="begin" w:fldLock="1"/>
      </w:r>
      <w:r w:rsidR="00EE33AB">
        <w:instrText>ADDIN CSL_CITATION {"citationItems":[{"id":"ITEM-1","itemData":{"DOI":"10.3389/fpls.2013.00332","ISSN":"1664-462X","PMID":"23986772","abstract":"During the last decades the importance of the genus Populus increased because the poplar genome has been sequenced and molecular tools for basic research have become available. Poplar species occur in different habitats and harbor large genetic variation, which can be exploited for economic applications and for increasing our knowledge on the basic molecular mechanisms of the woody life style. Poplars are, therefore, employed to unravel the molecular mechanisms of wood formation, stress tolerance, tree nutrition and interaction with other organisms such as pathogens or mycorrhiza. The basis of these investigations is the reproducible production of homogeneous plant material. In this method paper we describe techniques and growth conditions for the in vitro propagation of different poplar species (Populus × canescens, P. trichocarpa, P. tremula, and P. euphratica) and ectomycorrhizal fungi (Laccaria bicolor, Paxillus involutus) as well as for their co-cultivation for ectomycorrhizal synthesis. Maintenance and plant preparation require different multiplication and rooting media. Growth systems to cultivate poplars under axenic conditions in agar and sand cultures with and without mycorrhizal fungi are described. Transfer of the plants from in vitro to in situ conditions is critical and hardening is important to prevent high mortality. Growth and vitality of the trees in vitro and outdoors with and without ectomycorrhizas are reported.","author":[{"dropping-particle":"","family":"Müller","given":"Anna","non-dropping-particle":"","parse-names":false,"suffix":""},{"dropping-particle":"","family":"Volmer","given":"Katharina","non-dropping-particle":"","parse-names":false,"suffix":""},{"dropping-particle":"","family":"Mishra-Knyrim","given":"Manika","non-dropping-particle":"","parse-names":false,"suffix":""},{"dropping-particle":"","family":"Polle","given":"Andrea","non-dropping-particle":"","parse-names":false,"suffix":""}],"container-title":"Frontiers in plant science","id":"ITEM-1","issue":"August","issued":{"date-parts":[["2013","1"]]},"page":"332","title":"Growing poplars for research with and without mycorrhizas.","type":"article-journal","volume":"4"},"uris":["http://www.mendeley.com/documents/?uuid=1116f2ac-3363-4f4a-bea5-cc9393fdaff1"]}],"mendeley":{"formattedCitation":"(Müller et al., 2013)","plainTextFormattedCitation":"(Müller et al., 2013)","previouslyFormattedCitation":"(Müller et al., 2013)"},"properties":{"noteIndex":0},"schema":"https://github.com/citation-style-language/schema/raw/master/csl-citation.json"}</w:instrText>
      </w:r>
      <w:r w:rsidR="00284B06" w:rsidRPr="000D7D3D">
        <w:fldChar w:fldCharType="separate"/>
      </w:r>
      <w:r w:rsidR="00284B06" w:rsidRPr="000D7D3D">
        <w:rPr>
          <w:noProof/>
        </w:rPr>
        <w:t>(Müller et al., 2013)</w:t>
      </w:r>
      <w:r w:rsidR="00284B06" w:rsidRPr="000D7D3D">
        <w:fldChar w:fldCharType="end"/>
      </w:r>
      <w:r w:rsidR="00284B06">
        <w:t>.</w:t>
      </w:r>
      <w:r w:rsidR="00791902">
        <w:t xml:space="preserve"> These media are referred </w:t>
      </w:r>
      <w:r w:rsidR="0056188A">
        <w:t>as</w:t>
      </w:r>
      <w:r w:rsidRPr="000D7D3D">
        <w:t xml:space="preserve"> Pi-varying M-MMN media, where M-MMN</w:t>
      </w:r>
      <w:r w:rsidRPr="000D7D3D">
        <w:rPr>
          <w:vertAlign w:val="subscript"/>
        </w:rPr>
        <w:t>NS</w:t>
      </w:r>
      <w:r w:rsidRPr="000D7D3D">
        <w:t xml:space="preserve"> </w:t>
      </w:r>
      <w:r w:rsidR="00791902">
        <w:t>indicates</w:t>
      </w:r>
      <w:r w:rsidRPr="000D7D3D">
        <w:t xml:space="preserve"> </w:t>
      </w:r>
      <w:r w:rsidR="0056188A">
        <w:t xml:space="preserve">the </w:t>
      </w:r>
      <w:r w:rsidR="00791902">
        <w:t>NS condition and</w:t>
      </w:r>
      <w:r w:rsidRPr="000D7D3D">
        <w:t xml:space="preserve"> M-MMN</w:t>
      </w:r>
      <w:r w:rsidRPr="000D7D3D">
        <w:rPr>
          <w:vertAlign w:val="subscript"/>
        </w:rPr>
        <w:t>S</w:t>
      </w:r>
      <w:r w:rsidR="00791902">
        <w:t xml:space="preserve"> indicates the S experimental condition</w:t>
      </w:r>
      <w:r w:rsidRPr="000D7D3D">
        <w:t>,</w:t>
      </w:r>
      <w:r w:rsidR="00791902">
        <w:t xml:space="preserve"> in which </w:t>
      </w:r>
      <w:r w:rsidR="00791902" w:rsidRPr="00791902">
        <w:rPr>
          <w:i/>
        </w:rPr>
        <w:t>P. involutus</w:t>
      </w:r>
      <w:r w:rsidR="00791902">
        <w:t xml:space="preserve"> grows in EM symbiosis</w:t>
      </w:r>
      <w:r w:rsidRPr="000D7D3D">
        <w:t xml:space="preserve"> with </w:t>
      </w:r>
      <w:r w:rsidR="00791902" w:rsidRPr="00791902">
        <w:rPr>
          <w:i/>
        </w:rPr>
        <w:t>P</w:t>
      </w:r>
      <w:r w:rsidR="00620FBB">
        <w:rPr>
          <w:i/>
        </w:rPr>
        <w:t>inus</w:t>
      </w:r>
      <w:r w:rsidR="00791902" w:rsidRPr="00791902">
        <w:rPr>
          <w:i/>
        </w:rPr>
        <w:t xml:space="preserve"> s</w:t>
      </w:r>
      <w:r w:rsidR="00791902">
        <w:rPr>
          <w:i/>
        </w:rPr>
        <w:t>ylvestris</w:t>
      </w:r>
      <w:r w:rsidR="00791902">
        <w:t xml:space="preserve"> </w:t>
      </w:r>
      <w:r w:rsidRPr="000D7D3D">
        <w:t>(</w:t>
      </w:r>
      <w:r w:rsidR="00791902" w:rsidRPr="000D7D3D">
        <w:t>Appendix</w:t>
      </w:r>
      <w:r w:rsidR="00791902">
        <w:t xml:space="preserve">, </w:t>
      </w:r>
      <w:r w:rsidRPr="000D7D3D">
        <w:t>Table 3). The Pi-varying media w</w:t>
      </w:r>
      <w:r w:rsidR="00E44F5A">
        <w:t>ere</w:t>
      </w:r>
      <w:r w:rsidRPr="000D7D3D">
        <w:t xml:space="preserve"> autoclaved at </w:t>
      </w:r>
      <w:r w:rsidR="00C667E7">
        <w:t>15 psi for 15 minutes at 121</w:t>
      </w:r>
      <w:r w:rsidRPr="000D7D3D">
        <w:rPr>
          <w:rFonts w:cs="Arial"/>
        </w:rPr>
        <w:t>°</w:t>
      </w:r>
      <w:r w:rsidRPr="000D7D3D">
        <w:t>C (Prestige Medical Classic 2100 Standard) and poured into 90</w:t>
      </w:r>
      <w:r w:rsidR="000B00D3">
        <w:t xml:space="preserve"> </w:t>
      </w:r>
      <w:r w:rsidRPr="000D7D3D">
        <w:t>mm round Petri dishes for the M-MMN</w:t>
      </w:r>
      <w:r w:rsidRPr="000D7D3D">
        <w:rPr>
          <w:vertAlign w:val="subscript"/>
        </w:rPr>
        <w:t xml:space="preserve">NS </w:t>
      </w:r>
      <w:r w:rsidRPr="000D7D3D">
        <w:t xml:space="preserve">Pi-varying experimental design, </w:t>
      </w:r>
      <w:r w:rsidR="00791902">
        <w:t>or</w:t>
      </w:r>
      <w:r w:rsidRPr="000D7D3D">
        <w:t xml:space="preserve"> </w:t>
      </w:r>
      <w:r w:rsidR="0056188A">
        <w:t xml:space="preserve">into </w:t>
      </w:r>
      <w:r w:rsidR="00791902" w:rsidRPr="000D7D3D">
        <w:t>140</w:t>
      </w:r>
      <w:r w:rsidR="00791902">
        <w:t xml:space="preserve"> </w:t>
      </w:r>
      <w:r w:rsidR="00791902" w:rsidRPr="000D7D3D">
        <w:t xml:space="preserve">mm square Petri dishes </w:t>
      </w:r>
      <w:r w:rsidRPr="000D7D3D">
        <w:t>for the M-MMN</w:t>
      </w:r>
      <w:r w:rsidRPr="000D7D3D">
        <w:rPr>
          <w:vertAlign w:val="subscript"/>
        </w:rPr>
        <w:t>S</w:t>
      </w:r>
      <w:r w:rsidRPr="000D7D3D">
        <w:t xml:space="preserve"> Pi-varying </w:t>
      </w:r>
      <w:r w:rsidR="00791902" w:rsidRPr="000D7D3D">
        <w:t>experimental design</w:t>
      </w:r>
      <w:r w:rsidRPr="000D7D3D">
        <w:t>. After the media w</w:t>
      </w:r>
      <w:r w:rsidR="00E44F5A">
        <w:t>ere</w:t>
      </w:r>
      <w:r w:rsidRPr="000D7D3D">
        <w:t xml:space="preserve"> poured into the Petri dishes, a sterile cellophane membrane was used to cover them.</w:t>
      </w:r>
    </w:p>
    <w:p w14:paraId="32129A8D" w14:textId="77777777" w:rsidR="000D7D3D" w:rsidRPr="000D7D3D" w:rsidRDefault="000D7D3D" w:rsidP="007F746A"/>
    <w:p w14:paraId="0EBFF3E2" w14:textId="42BB3963" w:rsidR="000D7D3D" w:rsidRPr="000D7D3D" w:rsidRDefault="000D7D3D" w:rsidP="00635993">
      <w:pPr>
        <w:pStyle w:val="Heading2"/>
      </w:pPr>
      <w:bookmarkStart w:id="197" w:name="_Toc507604000"/>
      <w:bookmarkStart w:id="198" w:name="_Toc507604267"/>
      <w:bookmarkStart w:id="199" w:name="_Toc519016984"/>
      <w:bookmarkStart w:id="200" w:name="_Toc520837882"/>
      <w:r w:rsidRPr="000D7D3D">
        <w:t>3.2.2 Fungal/plant experimental design</w:t>
      </w:r>
      <w:bookmarkEnd w:id="197"/>
      <w:bookmarkEnd w:id="198"/>
      <w:bookmarkEnd w:id="199"/>
      <w:bookmarkEnd w:id="200"/>
    </w:p>
    <w:p w14:paraId="74FBE4B6" w14:textId="6EC42E6A" w:rsidR="000D7D3D" w:rsidRPr="000D7D3D" w:rsidRDefault="000D7D3D" w:rsidP="003F7054">
      <w:r w:rsidRPr="000D7D3D">
        <w:rPr>
          <w:b/>
        </w:rPr>
        <w:t>Fungal Pi-varying experimental condition (NS):</w:t>
      </w:r>
      <w:r w:rsidRPr="000D7D3D">
        <w:rPr>
          <w:i/>
        </w:rPr>
        <w:t xml:space="preserve"> P. involutus ATCC 200175 </w:t>
      </w:r>
      <w:r w:rsidRPr="000D7D3D">
        <w:t>that</w:t>
      </w:r>
      <w:r w:rsidRPr="000D7D3D">
        <w:rPr>
          <w:i/>
        </w:rPr>
        <w:t xml:space="preserve"> </w:t>
      </w:r>
      <w:r w:rsidRPr="000D7D3D">
        <w:t>was grown on 10% strength MMN fungal culture media (</w:t>
      </w:r>
      <w:r w:rsidR="00620FBB" w:rsidRPr="000D7D3D">
        <w:t>Appendix</w:t>
      </w:r>
      <w:r w:rsidR="00620FBB">
        <w:t>, Table 1</w:t>
      </w:r>
      <w:r w:rsidRPr="000D7D3D">
        <w:t xml:space="preserve">) </w:t>
      </w:r>
      <w:r w:rsidRPr="000D7D3D">
        <w:rPr>
          <w:rFonts w:eastAsia="Times New Roman"/>
        </w:rPr>
        <w:t xml:space="preserve">provided </w:t>
      </w:r>
      <w:r w:rsidRPr="000D7D3D">
        <w:t>fungal inoculum for the Pi-varying fungal experiment in Section 3.3.1. Fungal plugs were cut with a 6</w:t>
      </w:r>
      <w:r w:rsidR="00816F1F">
        <w:t xml:space="preserve"> </w:t>
      </w:r>
      <w:r w:rsidRPr="000D7D3D">
        <w:t>mm diameter cork borer and were inoculated on 90</w:t>
      </w:r>
      <w:r w:rsidR="00816F1F">
        <w:t xml:space="preserve"> </w:t>
      </w:r>
      <w:r w:rsidRPr="000D7D3D">
        <w:t>mm Petri dishes of the M-MMN</w:t>
      </w:r>
      <w:r w:rsidRPr="000D7D3D">
        <w:rPr>
          <w:vertAlign w:val="subscript"/>
        </w:rPr>
        <w:t>NS</w:t>
      </w:r>
      <w:r w:rsidRPr="000D7D3D">
        <w:t xml:space="preserve"> Pi-varying fungal experiment. </w:t>
      </w:r>
      <w:r w:rsidRPr="000D7D3D">
        <w:rPr>
          <w:i/>
        </w:rPr>
        <w:t>P. involutus</w:t>
      </w:r>
      <w:r w:rsidRPr="000D7D3D">
        <w:t xml:space="preserve"> </w:t>
      </w:r>
      <w:r w:rsidRPr="000D7D3D">
        <w:rPr>
          <w:i/>
        </w:rPr>
        <w:t>ATCC 200175</w:t>
      </w:r>
      <w:r w:rsidRPr="000D7D3D">
        <w:t xml:space="preserve"> was kindly provided by Dr Francis M. Martin (INRA, France).</w:t>
      </w:r>
    </w:p>
    <w:p w14:paraId="11E93EC4" w14:textId="6EDE805B" w:rsidR="00E44F5A" w:rsidRDefault="000D7D3D" w:rsidP="007F746A">
      <w:r w:rsidRPr="000D7D3D">
        <w:rPr>
          <w:b/>
        </w:rPr>
        <w:t>Symbiotic Pi-varying experimental condition (S):</w:t>
      </w:r>
      <w:r w:rsidR="00620FBB">
        <w:rPr>
          <w:i/>
        </w:rPr>
        <w:t xml:space="preserve"> P. sylvestris </w:t>
      </w:r>
      <w:r w:rsidRPr="000D7D3D">
        <w:t>seeds (Forestry Commission, UK), were surface sterilized with 30% H</w:t>
      </w:r>
      <w:r w:rsidRPr="000D7D3D">
        <w:rPr>
          <w:vertAlign w:val="subscript"/>
        </w:rPr>
        <w:t>2</w:t>
      </w:r>
      <w:r w:rsidRPr="000D7D3D">
        <w:t>O</w:t>
      </w:r>
      <w:r w:rsidRPr="000D7D3D">
        <w:rPr>
          <w:vertAlign w:val="subscript"/>
        </w:rPr>
        <w:t xml:space="preserve">2 </w:t>
      </w:r>
      <w:r w:rsidRPr="000D7D3D">
        <w:t>and germinated on 1.2% plant agar (Duchefa). After seedling formation, the pines were transferred to the Pi-varying M-MMN</w:t>
      </w:r>
      <w:r w:rsidRPr="000D7D3D">
        <w:rPr>
          <w:vertAlign w:val="subscript"/>
        </w:rPr>
        <w:t>S</w:t>
      </w:r>
      <w:r w:rsidRPr="000D7D3D">
        <w:t xml:space="preserve"> experimental design adapted for symbiotic growth (</w:t>
      </w:r>
      <w:r w:rsidR="00620FBB" w:rsidRPr="000D7D3D">
        <w:t>Appendix</w:t>
      </w:r>
      <w:r w:rsidR="00620FBB">
        <w:t>,</w:t>
      </w:r>
      <w:r w:rsidR="00620FBB" w:rsidRPr="000D7D3D">
        <w:t xml:space="preserve"> </w:t>
      </w:r>
      <w:r w:rsidR="00620FBB">
        <w:t>Table 3</w:t>
      </w:r>
      <w:r w:rsidRPr="000D7D3D">
        <w:t xml:space="preserve">). </w:t>
      </w:r>
      <w:r w:rsidR="00E44F5A" w:rsidRPr="000D7D3D">
        <w:rPr>
          <w:i/>
        </w:rPr>
        <w:t xml:space="preserve">P. involutus ATCC 200175 </w:t>
      </w:r>
      <w:r w:rsidR="00E44F5A" w:rsidRPr="000D7D3D">
        <w:t>that</w:t>
      </w:r>
      <w:r w:rsidR="00E44F5A" w:rsidRPr="000D7D3D">
        <w:rPr>
          <w:i/>
        </w:rPr>
        <w:t xml:space="preserve"> </w:t>
      </w:r>
      <w:r w:rsidR="00E44F5A" w:rsidRPr="000D7D3D">
        <w:t>was grown on 10% strength MMN fungal culture media (</w:t>
      </w:r>
      <w:r w:rsidR="00620FBB" w:rsidRPr="000D7D3D">
        <w:t>Appendix</w:t>
      </w:r>
      <w:r w:rsidR="00620FBB">
        <w:t>,</w:t>
      </w:r>
      <w:r w:rsidR="00620FBB" w:rsidRPr="000D7D3D">
        <w:t xml:space="preserve"> </w:t>
      </w:r>
      <w:r w:rsidR="00620FBB">
        <w:t>Table 1</w:t>
      </w:r>
      <w:r w:rsidR="00E44F5A" w:rsidRPr="000D7D3D">
        <w:t xml:space="preserve">) </w:t>
      </w:r>
      <w:r w:rsidR="00E44F5A" w:rsidRPr="000D7D3D">
        <w:rPr>
          <w:rFonts w:eastAsia="Times New Roman"/>
        </w:rPr>
        <w:t xml:space="preserve">provided </w:t>
      </w:r>
      <w:r w:rsidR="00E44F5A" w:rsidRPr="000D7D3D">
        <w:t xml:space="preserve">fungal inoculum for the Pi-varying </w:t>
      </w:r>
      <w:r w:rsidR="00E44F5A">
        <w:t>symbiotic</w:t>
      </w:r>
      <w:r w:rsidR="00E44F5A" w:rsidRPr="000D7D3D">
        <w:t xml:space="preserve"> experiment. </w:t>
      </w:r>
      <w:r w:rsidR="00E44F5A" w:rsidRPr="000D7D3D">
        <w:lastRenderedPageBreak/>
        <w:t>Fungal plugs were cut with a 6</w:t>
      </w:r>
      <w:r w:rsidR="00E44F5A">
        <w:t xml:space="preserve"> </w:t>
      </w:r>
      <w:r w:rsidR="00E44F5A" w:rsidRPr="000D7D3D">
        <w:t xml:space="preserve">mm diameter cork borer and were inoculated on </w:t>
      </w:r>
      <w:r w:rsidR="00E44F5A">
        <w:t xml:space="preserve">140 </w:t>
      </w:r>
      <w:r w:rsidR="00E44F5A" w:rsidRPr="000D7D3D">
        <w:t>mm Petri dishes of the M-MMN</w:t>
      </w:r>
      <w:r w:rsidR="00E44F5A" w:rsidRPr="000D7D3D">
        <w:rPr>
          <w:vertAlign w:val="subscript"/>
        </w:rPr>
        <w:t>S</w:t>
      </w:r>
      <w:r w:rsidR="00E44F5A" w:rsidRPr="000D7D3D">
        <w:t xml:space="preserve"> Pi-varying fungal experiment (Section 3.3.1).</w:t>
      </w:r>
    </w:p>
    <w:p w14:paraId="6171DF5D" w14:textId="07BF0ECE" w:rsidR="000D7D3D" w:rsidRPr="000D7D3D" w:rsidRDefault="000D7D3D" w:rsidP="003F061A"/>
    <w:p w14:paraId="6892D769" w14:textId="02C65BFB" w:rsidR="000D7D3D" w:rsidRPr="000D7D3D" w:rsidRDefault="000D7D3D" w:rsidP="00635993">
      <w:pPr>
        <w:pStyle w:val="Heading2"/>
      </w:pPr>
      <w:bookmarkStart w:id="201" w:name="_Toc507604001"/>
      <w:bookmarkStart w:id="202" w:name="_Toc507604268"/>
      <w:bookmarkStart w:id="203" w:name="_Toc519016985"/>
      <w:bookmarkStart w:id="204" w:name="_Toc520837883"/>
      <w:r w:rsidRPr="000D7D3D">
        <w:t>3.2.3 Determination of fungal and plant dry mass</w:t>
      </w:r>
      <w:bookmarkEnd w:id="201"/>
      <w:bookmarkEnd w:id="202"/>
      <w:bookmarkEnd w:id="203"/>
      <w:bookmarkEnd w:id="204"/>
    </w:p>
    <w:p w14:paraId="645ED52C" w14:textId="3F252918" w:rsidR="000D7D3D" w:rsidRPr="000D7D3D" w:rsidRDefault="00605EDA" w:rsidP="003F7054">
      <w:r>
        <w:t>Fungal hyphae were</w:t>
      </w:r>
      <w:r w:rsidR="000D7D3D" w:rsidRPr="000D7D3D">
        <w:t xml:space="preserve"> collected with a surface scraper tool into 2</w:t>
      </w:r>
      <w:r w:rsidR="003948DE">
        <w:t xml:space="preserve"> </w:t>
      </w:r>
      <w:r w:rsidR="000D7D3D" w:rsidRPr="000D7D3D">
        <w:t>ml Eppendorf tubes and oven dried at 90°C for up to five days. As well, the plant tissues were collected into paper envelopes and oven dried at 90°C for up to five days. Dry mass measurements were performed as soon as the tissues were completely dry using an analytical balance (Mettl</w:t>
      </w:r>
      <w:r w:rsidR="00620FBB">
        <w:t>er AT261B Delta Range Balance).</w:t>
      </w:r>
    </w:p>
    <w:p w14:paraId="2524E6C2" w14:textId="77777777" w:rsidR="000D7D3D" w:rsidRPr="000D7D3D" w:rsidRDefault="000D7D3D" w:rsidP="007F746A"/>
    <w:p w14:paraId="13B557ED" w14:textId="4BDCDA19" w:rsidR="000D7D3D" w:rsidRPr="000D7D3D" w:rsidRDefault="000D7D3D" w:rsidP="00635993">
      <w:pPr>
        <w:pStyle w:val="Heading2"/>
      </w:pPr>
      <w:bookmarkStart w:id="205" w:name="_Toc507604002"/>
      <w:bookmarkStart w:id="206" w:name="_Toc507604269"/>
      <w:bookmarkStart w:id="207" w:name="_Toc519016986"/>
      <w:bookmarkStart w:id="208" w:name="_Toc520837884"/>
      <w:r w:rsidRPr="000D7D3D">
        <w:t>3.2.4 Determination of fungal and plant Pi content</w:t>
      </w:r>
      <w:bookmarkEnd w:id="205"/>
      <w:bookmarkEnd w:id="206"/>
      <w:bookmarkEnd w:id="207"/>
      <w:bookmarkEnd w:id="208"/>
    </w:p>
    <w:p w14:paraId="2F253AE8" w14:textId="7C8B925A" w:rsidR="00716E55" w:rsidRPr="000D7D3D" w:rsidRDefault="00716E55" w:rsidP="003F7054">
      <w:r w:rsidRPr="000D7D3D">
        <w:t xml:space="preserve">Plant (needle/root) and fungal hyphae Pi content were measured using the Phosphate Assay Kit (Colorimetric) Ab65622 according to the manufacturer’s instructions (Abcam). The assay utilises a proprietary formulation of malachite green and ammonium molybdate that forms a chromogenic complex with </w:t>
      </w:r>
      <w:r>
        <w:t xml:space="preserve">Pi </w:t>
      </w:r>
      <w:r w:rsidRPr="000D7D3D">
        <w:t xml:space="preserve">ions, leading to an intense absorption band around 650 nm. </w:t>
      </w:r>
      <w:r>
        <w:t>The kit</w:t>
      </w:r>
      <w:r w:rsidRPr="00C742EE">
        <w:t xml:space="preserve"> detect</w:t>
      </w:r>
      <w:r>
        <w:t>s</w:t>
      </w:r>
      <w:r w:rsidRPr="00C742EE">
        <w:t xml:space="preserve"> all </w:t>
      </w:r>
      <w:r>
        <w:t xml:space="preserve">types of Pi, such as </w:t>
      </w:r>
      <w:r w:rsidRPr="000D7D3D">
        <w:rPr>
          <w:rFonts w:cs="Arial"/>
        </w:rPr>
        <w:t>PO</w:t>
      </w:r>
      <w:r w:rsidRPr="000D7D3D">
        <w:rPr>
          <w:rFonts w:cs="Arial"/>
          <w:vertAlign w:val="subscript"/>
        </w:rPr>
        <w:t>4</w:t>
      </w:r>
      <w:r w:rsidRPr="000D7D3D">
        <w:rPr>
          <w:rFonts w:cs="Arial"/>
          <w:vertAlign w:val="superscript"/>
        </w:rPr>
        <w:t>3−</w:t>
      </w:r>
      <w:r w:rsidRPr="000D7D3D">
        <w:rPr>
          <w:rFonts w:cs="Arial"/>
        </w:rPr>
        <w:t>, HPO</w:t>
      </w:r>
      <w:r w:rsidRPr="000D7D3D">
        <w:rPr>
          <w:rFonts w:cs="Arial"/>
          <w:vertAlign w:val="subscript"/>
        </w:rPr>
        <w:t>4</w:t>
      </w:r>
      <w:r w:rsidRPr="000D7D3D">
        <w:rPr>
          <w:rFonts w:cs="Arial"/>
          <w:vertAlign w:val="superscript"/>
        </w:rPr>
        <w:t>2−</w:t>
      </w:r>
      <w:r w:rsidRPr="000D7D3D">
        <w:rPr>
          <w:rFonts w:cs="Arial"/>
        </w:rPr>
        <w:t xml:space="preserve"> and H</w:t>
      </w:r>
      <w:r w:rsidRPr="000D7D3D">
        <w:rPr>
          <w:rFonts w:cs="Arial"/>
          <w:vertAlign w:val="subscript"/>
        </w:rPr>
        <w:t>2</w:t>
      </w:r>
      <w:r w:rsidRPr="000D7D3D">
        <w:rPr>
          <w:rFonts w:cs="Arial"/>
        </w:rPr>
        <w:t>PO</w:t>
      </w:r>
      <w:r w:rsidRPr="000D7D3D">
        <w:rPr>
          <w:rFonts w:cs="Arial"/>
          <w:vertAlign w:val="subscript"/>
        </w:rPr>
        <w:t>4</w:t>
      </w:r>
      <w:r w:rsidRPr="000D7D3D">
        <w:rPr>
          <w:rFonts w:cs="Arial"/>
          <w:vertAlign w:val="superscript"/>
        </w:rPr>
        <w:t>−</w:t>
      </w:r>
      <w:r>
        <w:t>. For each sample, the Pi content (nmol) is referenced to a standard curve and normalised to the sample volume (</w:t>
      </w:r>
      <w:r>
        <w:rPr>
          <w:lang w:val="el-GR"/>
        </w:rPr>
        <w:t>μ</w:t>
      </w:r>
      <w:r>
        <w:t>l), giving the Pi concentration (nmol/</w:t>
      </w:r>
      <w:r>
        <w:rPr>
          <w:lang w:val="el-GR"/>
        </w:rPr>
        <w:t>μ</w:t>
      </w:r>
      <w:r>
        <w:t>l or mM).</w:t>
      </w:r>
      <w:r w:rsidRPr="000D7D3D">
        <w:t xml:space="preserve"> </w:t>
      </w:r>
      <w:r w:rsidR="003948DE">
        <w:t>Data show</w:t>
      </w:r>
      <w:r w:rsidRPr="000D7D3D">
        <w:t xml:space="preserve"> the average </w:t>
      </w:r>
      <w:r>
        <w:t>Pi</w:t>
      </w:r>
      <w:r w:rsidRPr="000D7D3D">
        <w:t xml:space="preserve"> content (</w:t>
      </w:r>
      <w:r w:rsidRPr="000D7D3D">
        <w:rPr>
          <w:rFonts w:cs="Arial"/>
        </w:rPr>
        <w:t>mM)</w:t>
      </w:r>
      <w:r w:rsidRPr="000D7D3D">
        <w:t xml:space="preserve"> of three biological replicates</w:t>
      </w:r>
      <w:r>
        <w:t>,</w:t>
      </w:r>
      <w:r w:rsidRPr="000D7D3D">
        <w:t xml:space="preserve"> unless otherwise is noted.</w:t>
      </w:r>
    </w:p>
    <w:p w14:paraId="69CE87A8" w14:textId="77777777" w:rsidR="000D7D3D" w:rsidRPr="000D7D3D" w:rsidRDefault="000D7D3D" w:rsidP="00FB36B8"/>
    <w:p w14:paraId="33371A1D" w14:textId="289127A4" w:rsidR="000D7D3D" w:rsidRPr="000D7D3D" w:rsidRDefault="000D7D3D" w:rsidP="00635993">
      <w:pPr>
        <w:pStyle w:val="Heading2"/>
      </w:pPr>
      <w:bookmarkStart w:id="209" w:name="_Toc507604003"/>
      <w:bookmarkStart w:id="210" w:name="_Toc507604270"/>
      <w:bookmarkStart w:id="211" w:name="_Toc519016987"/>
      <w:bookmarkStart w:id="212" w:name="_Toc520837885"/>
      <w:r w:rsidRPr="000D7D3D">
        <w:t xml:space="preserve">3.2.5 RNA extraction and </w:t>
      </w:r>
      <w:r w:rsidR="00716E55">
        <w:t>semi-</w:t>
      </w:r>
      <w:r w:rsidRPr="000D7D3D">
        <w:t>quantitative reverse transcription PCR (qRT-PCR)</w:t>
      </w:r>
      <w:bookmarkEnd w:id="209"/>
      <w:bookmarkEnd w:id="210"/>
      <w:bookmarkEnd w:id="211"/>
      <w:bookmarkEnd w:id="212"/>
    </w:p>
    <w:p w14:paraId="63F19B75" w14:textId="2E752AD8" w:rsidR="000D7D3D" w:rsidRPr="000D7D3D" w:rsidRDefault="000D7D3D" w:rsidP="003F7054">
      <w:pPr>
        <w:rPr>
          <w:b/>
        </w:rPr>
      </w:pPr>
      <w:r w:rsidRPr="000D7D3D">
        <w:t xml:space="preserve">Total fungal RNA was extracted with the E.Z.N.A. </w:t>
      </w:r>
      <w:r w:rsidRPr="000D7D3D">
        <w:rPr>
          <w:vertAlign w:val="superscript"/>
        </w:rPr>
        <w:t>®</w:t>
      </w:r>
      <w:r w:rsidRPr="000D7D3D">
        <w:t xml:space="preserve"> Fungal RNA Kit according to the manufacturer’s protocol. For qRT-PCR analysis, 500 ng of total RNA was used for cDNA first-strand synthesis (SuperScript® III First-Strand Synthesis SuperMix). For qRT-PCR reactions, the Rotor-Gene SYBR Green PCR </w:t>
      </w:r>
      <w:r w:rsidR="00605EDA">
        <w:t>Kit (Qiagen) together with gene-</w:t>
      </w:r>
      <w:r w:rsidRPr="000D7D3D">
        <w:t>specific primers were employed in conjunction with a Rotor-Gene Q Real-Time PCR Cycler (Qiagen) according to the manufacturer’s inst</w:t>
      </w:r>
      <w:r w:rsidR="00605EDA">
        <w:t>ructions. Gene-</w:t>
      </w:r>
      <w:r w:rsidRPr="000D7D3D">
        <w:t xml:space="preserve">specific primers used in qRT-PCR reactions are shown in Table 5 (Appendix). The reaction conditions (two-step </w:t>
      </w:r>
      <w:r w:rsidRPr="000D7D3D">
        <w:lastRenderedPageBreak/>
        <w:t xml:space="preserve">with </w:t>
      </w:r>
      <w:r w:rsidR="00605EDA">
        <w:t xml:space="preserve">a </w:t>
      </w:r>
      <w:r w:rsidRPr="000D7D3D">
        <w:t>melt curve) were 95</w:t>
      </w:r>
      <w:r w:rsidRPr="000D7D3D">
        <w:rPr>
          <w:rFonts w:eastAsia="AdvPSSym"/>
        </w:rPr>
        <w:t>°</w:t>
      </w:r>
      <w:r w:rsidRPr="000D7D3D">
        <w:t>C for 10 min, 35 cycles of 95</w:t>
      </w:r>
      <w:r w:rsidRPr="000D7D3D">
        <w:rPr>
          <w:rFonts w:eastAsia="AdvPSSym"/>
        </w:rPr>
        <w:t>°</w:t>
      </w:r>
      <w:r w:rsidRPr="000D7D3D">
        <w:t>C for 10 sec and 60</w:t>
      </w:r>
      <w:r w:rsidRPr="000D7D3D">
        <w:rPr>
          <w:rFonts w:eastAsia="AdvPSSym"/>
        </w:rPr>
        <w:t>°</w:t>
      </w:r>
      <w:r w:rsidRPr="000D7D3D">
        <w:t>C for 55 sec. High-resolution melting analysis was carried out to detect primer dimers or other non-specific amplification products. Relative gene expression was quantified based on a modified Livak’s ΔΔ</w:t>
      </w:r>
      <w:r w:rsidRPr="000D7D3D">
        <w:rPr>
          <w:vertAlign w:val="superscript"/>
        </w:rPr>
        <w:t>CT</w:t>
      </w:r>
      <w:r w:rsidRPr="000D7D3D">
        <w:t xml:space="preserve"> method </w:t>
      </w:r>
      <w:r w:rsidRPr="000D7D3D">
        <w:fldChar w:fldCharType="begin" w:fldLock="1"/>
      </w:r>
      <w:r w:rsidR="00EE33AB">
        <w:instrText>ADDIN CSL_CITATION {"citationItems":[{"id":"ITEM-1","itemData":{"DOI":"10.1006/meth.2001.1262","ISBN":"10462023 (ISSN)","ISSN":"1046-2023","PMID":"11846609","abstract":"The two most commonly used methods to analyze data from real-time, quantitative PCR experiments are absolute quantification and relative quantification. Absolute quantification determines the input copy number, usually by relating the PCR signal to a standard curve. Relative quantification relates the PCR signal of the target transcript in a treatment group to that of another sample such as an untreated control. The 2-ÄÄCT method is a convenient way to analyze the relative changes in gene expression from real-time quantitative PCR experiments. The purpose of this report is to present the derivation, assumptions, and applications of the 2-ÄÄCT method. In addition, we present the derivation and applications of two variations of the 2-ÄÄCT method that may be useful in the analysis of real-time, quantitative PCR data.","author":[{"dropping-particle":"","family":"Livak","given":"K J","non-dropping-particle":"","parse-names":false,"suffix":""},{"dropping-particle":"","family":"Schmittgen","given":"T D","non-dropping-particle":"","parse-names":false,"suffix":""}],"container-title":"Methods","id":"ITEM-1","issued":{"date-parts":[["2001"]]},"page":"402-408","title":"Analysis of relative gene expression data using real-time quantitative PCR and the 2-ΔΔCT method.","type":"article-journal","volume":"25"},"uris":["http://www.mendeley.com/documents/?uuid=cc008f39-152f-49e7-89c2-050e4f65ee55"]}],"mendeley":{"formattedCitation":"(Livak and Schmittgen, 2001)","plainTextFormattedCitation":"(Livak and Schmittgen, 2001)","previouslyFormattedCitation":"(Livak and Schmittgen, 2001)"},"properties":{"noteIndex":0},"schema":"https://github.com/citation-style-language/schema/raw/master/csl-citation.json"}</w:instrText>
      </w:r>
      <w:r w:rsidRPr="000D7D3D">
        <w:fldChar w:fldCharType="separate"/>
      </w:r>
      <w:r w:rsidRPr="000D7D3D">
        <w:rPr>
          <w:noProof/>
        </w:rPr>
        <w:t>(Livak and Schmittgen, 2001)</w:t>
      </w:r>
      <w:r w:rsidRPr="000D7D3D">
        <w:fldChar w:fldCharType="end"/>
      </w:r>
      <w:r w:rsidRPr="000D7D3D">
        <w:t xml:space="preserve"> with correction for reaction efficiency of each sample </w:t>
      </w:r>
      <w:r w:rsidRPr="000D7D3D">
        <w:fldChar w:fldCharType="begin" w:fldLock="1"/>
      </w:r>
      <w:r w:rsidR="00EE33AB">
        <w:instrText>ADDIN CSL_CITATION {"citationItems":[{"id":"ITEM-1","itemData":{"author":[{"dropping-particle":"","family":"Pfaffl","given":"Michael W","non-dropping-particle":"","parse-names":false,"suffix":""}],"container-title":"Nucleic Acids Research","id":"ITEM-1","issue":"9","issued":{"date-parts":[["2001"]]},"page":"16-21","title":"A new mathematical model for relative quantification in real-time RT–PCR","type":"article-journal","volume":"29"},"uris":["http://www.mendeley.com/documents/?uuid=99bf4957-90ed-4afa-a10b-94c8fac4d343"]}],"mendeley":{"formattedCitation":"(Pfaffl, 2001)","plainTextFormattedCitation":"(Pfaffl, 2001)","previouslyFormattedCitation":"(Pfaffl, 2001)"},"properties":{"noteIndex":0},"schema":"https://github.com/citation-style-language/schema/raw/master/csl-citation.json"}</w:instrText>
      </w:r>
      <w:r w:rsidRPr="000D7D3D">
        <w:fldChar w:fldCharType="separate"/>
      </w:r>
      <w:r w:rsidRPr="000D7D3D">
        <w:rPr>
          <w:noProof/>
        </w:rPr>
        <w:t>(Pfaffl, 2001)</w:t>
      </w:r>
      <w:r w:rsidRPr="000D7D3D">
        <w:fldChar w:fldCharType="end"/>
      </w:r>
      <w:r w:rsidRPr="000D7D3D">
        <w:t xml:space="preserve">. Relative gene expression was normalized against the average expression values of the housekeeping genes, </w:t>
      </w:r>
      <w:r w:rsidRPr="000D7D3D">
        <w:rPr>
          <w:i/>
        </w:rPr>
        <w:t xml:space="preserve">ACTIN </w:t>
      </w:r>
      <w:r w:rsidRPr="000D7D3D">
        <w:t>and</w:t>
      </w:r>
      <w:r w:rsidRPr="000D7D3D">
        <w:rPr>
          <w:i/>
        </w:rPr>
        <w:t xml:space="preserve"> TROPOMYOSIN</w:t>
      </w:r>
      <w:r w:rsidRPr="000D7D3D">
        <w:t xml:space="preserve">, which were identified as the best housekeepers for each experimental setup according to the RefFinder tool </w:t>
      </w:r>
      <w:r w:rsidRPr="000D7D3D">
        <w:fldChar w:fldCharType="begin" w:fldLock="1"/>
      </w:r>
      <w:r w:rsidR="00EE33AB">
        <w:instrText>ADDIN CSL_CITATION {"citationItems":[{"id":"ITEM-1","itemData":{"DOI":"10.1007/s11103-012-9885-2","ISSN":"1573-5028","abstract":"miRDeepFinder is a software package developed to identify and functionally analyze plant microRNAs (miRNAs) and their targets from small RNA datasets obtained from deep sequencing. The functions available in miRDeepFinder include pre-processing of raw data, identifying conserved miRNAs, mining and classifying novel miRNAs, miRNA expression profiling, predicting miRNA targets, and gene pathway and gene network analysis involving miRNAs. The fundamental design of miRDeepFinder is based on miRNA biogenesis, miRNA-mediated gene regulation and target recognition, such as perfect or near perfect hairpin structures, different read abundances of miRNA and miRNA*, and targeting patterns of plant miRNAs. To test the accuracy and robustness of miRDeepFinder, we analyzed a small RNA deep sequencing dataset of Arabidopsis thaliana published in the GEO database of NCBI. Our test retrieved 128 of 131 (97.7{%}) known miRNAs that have a more than 3 read count in Arabidopsis. Because many known miRNAs are not associated with miRNA*s in small RNA datasets, miRDeepFinder was also designed to recover miRNA candidates without the presence of miRNA*. To mine as many miRNAs as possible, miRDeepFinder allows users to compare mature miRNAs and their miRNA*s with other small RNA datasets from the same species. Cleaveland software package was also incorporated into miRDeepFinder for miRNA target identification using degradome sequencing analysis. Using this new computational tool, we identified 13 novel miRNA candidates with miRNA*s from Arabidopsis and validated 12 of them experimentally. Interestingly, of the 12 verified novel miRNAs, a miRNA named AC1 spans the exons of two genes (UTG71C4 and UGT71C3). Both the mature AC1 miRNA and its miRNA* were also found in four other small RNA datasets. We also developed a tool, ``miRNA primer designer'' to design primers for any type of miRNAs. miRDeepFinder provides a powerful tool for analyzing small RNA datasets from all species, with or without the availability of genome information. miRDeepFinder and miRNA primer designer are freely available at http://www.leonxie.com/DeepFinder.php and at http://www.leonxie.com/miRNAprimerDesigner.php , respectively. A program (called RefFinder: http://www.leonxie.com/referencegene.php ) was also developed for assessing the reliable reference genes for gene expression analysis, including miRNAs.","author":[{"dropping-particle":"","family":"Xie","given":"Fuliang","non-dropping-particle":"","parse-names":false,"suffix":""},{"dropping-particle":"","family":"Xiao","given":"Peng","non-dropping-particle":"","parse-names":false,"suffix":""},{"dropping-particle":"","family":"Chen","given":"Dongliang","non-dropping-particle":"","parse-names":false,"suffix":""},{"dropping-particle":"","family":"Xu","given":"Lei","non-dropping-particle":"","parse-names":false,"suffix":""},{"dropping-particle":"","family":"Zhang","given":"Baohong","non-dropping-particle":"","parse-names":false,"suffix":""}],"container-title":"Plant Molecular Biology","id":"ITEM-1","issue":"1","issued":{"date-parts":[["2012"]]},"page":"75-84","title":"miRDeepFinder: a miRNA analysis tool for deep sequencing of plant small RNAs","type":"article-journal","volume":"80"},"uris":["http://www.mendeley.com/documents/?uuid=45778db2-c08f-4674-9ee1-bf94d6afb711"]}],"mendeley":{"formattedCitation":"(Xie et al., 2012)","plainTextFormattedCitation":"(Xie et al., 2012)","previouslyFormattedCitation":"(Xie et al., 2012)"},"properties":{"noteIndex":0},"schema":"https://github.com/citation-style-language/schema/raw/master/csl-citation.json"}</w:instrText>
      </w:r>
      <w:r w:rsidRPr="000D7D3D">
        <w:fldChar w:fldCharType="separate"/>
      </w:r>
      <w:r w:rsidRPr="000D7D3D">
        <w:rPr>
          <w:noProof/>
        </w:rPr>
        <w:t>(Xie et al., 2012)</w:t>
      </w:r>
      <w:r w:rsidRPr="000D7D3D">
        <w:fldChar w:fldCharType="end"/>
      </w:r>
      <w:r w:rsidRPr="000D7D3D">
        <w:t>. For each qRT-PCR reaction, three biological replicates were analysed per condition per Pi concentration.</w:t>
      </w:r>
    </w:p>
    <w:p w14:paraId="46E5B7F0" w14:textId="77777777" w:rsidR="000D7D3D" w:rsidRPr="000D7D3D" w:rsidRDefault="000D7D3D" w:rsidP="003F7054"/>
    <w:p w14:paraId="75CE4342" w14:textId="4D95A52D" w:rsidR="000D7D3D" w:rsidRPr="000D7D3D" w:rsidRDefault="000D7D3D" w:rsidP="00635993">
      <w:pPr>
        <w:pStyle w:val="Heading2"/>
      </w:pPr>
      <w:bookmarkStart w:id="213" w:name="_Toc507604004"/>
      <w:bookmarkStart w:id="214" w:name="_Toc507604271"/>
      <w:bookmarkStart w:id="215" w:name="_Toc519016988"/>
      <w:bookmarkStart w:id="216" w:name="_Toc520837886"/>
      <w:r w:rsidRPr="000D7D3D">
        <w:t xml:space="preserve">3.2.6 Statistical analyses carried out in </w:t>
      </w:r>
      <w:r w:rsidR="003F061A">
        <w:t>S</w:t>
      </w:r>
      <w:r w:rsidRPr="000D7D3D">
        <w:t>ection 3.3.1</w:t>
      </w:r>
      <w:bookmarkEnd w:id="213"/>
      <w:bookmarkEnd w:id="214"/>
      <w:bookmarkEnd w:id="215"/>
      <w:bookmarkEnd w:id="216"/>
    </w:p>
    <w:p w14:paraId="04F7295A" w14:textId="77777777" w:rsidR="000D7D3D" w:rsidRPr="000D7D3D" w:rsidRDefault="000D7D3D" w:rsidP="003F7054">
      <w:r w:rsidRPr="000D7D3D">
        <w:t>Statistically significant differences in hyphal/plant dry mass, Pi content, or relative mRNA expression between/at different Pi concentrations were assessed by one-way analysis of variance (ANOVA) followed by Tukey’s post-hoc analysis for multiple comparisons (</w:t>
      </w:r>
      <w:r w:rsidRPr="000D7D3D">
        <w:rPr>
          <w:i/>
        </w:rPr>
        <w:t>α</w:t>
      </w:r>
      <w:r w:rsidRPr="000D7D3D">
        <w:t>=0.05). Statistically significant differences in pairwise comparisons at each Pi concentration were assessed with the Student’s t-test (</w:t>
      </w:r>
      <w:r w:rsidRPr="000D7D3D">
        <w:rPr>
          <w:i/>
        </w:rPr>
        <w:t>α</w:t>
      </w:r>
      <w:r w:rsidRPr="000D7D3D">
        <w:t>=0.05).</w:t>
      </w:r>
    </w:p>
    <w:p w14:paraId="18FA043D" w14:textId="77777777" w:rsidR="000D7D3D" w:rsidRPr="000D7D3D" w:rsidRDefault="000D7D3D" w:rsidP="007F746A"/>
    <w:p w14:paraId="4A8167E2" w14:textId="2F921AD3" w:rsidR="000D7D3D" w:rsidRPr="000D7D3D" w:rsidRDefault="000D7D3D" w:rsidP="00635993">
      <w:pPr>
        <w:pStyle w:val="Heading2"/>
      </w:pPr>
      <w:bookmarkStart w:id="217" w:name="_Toc507604005"/>
      <w:bookmarkStart w:id="218" w:name="_Toc507604272"/>
      <w:bookmarkStart w:id="219" w:name="_Toc519016989"/>
      <w:bookmarkStart w:id="220" w:name="_Toc520837887"/>
      <w:r w:rsidRPr="000D7D3D">
        <w:t>3.2.7 RNA-seq library preparation and sequencing</w:t>
      </w:r>
      <w:bookmarkEnd w:id="217"/>
      <w:bookmarkEnd w:id="218"/>
      <w:bookmarkEnd w:id="219"/>
      <w:bookmarkEnd w:id="220"/>
      <w:r w:rsidRPr="000D7D3D">
        <w:t xml:space="preserve"> </w:t>
      </w:r>
    </w:p>
    <w:p w14:paraId="4D7F37A2" w14:textId="725C96A4" w:rsidR="000D7D3D" w:rsidRPr="000D7D3D" w:rsidRDefault="000D7D3D" w:rsidP="00EF6ED2">
      <w:r w:rsidRPr="000D7D3D">
        <w:t xml:space="preserve">RNA-seq libraries were prepared from total RNA samples, extracted from </w:t>
      </w:r>
      <w:r w:rsidRPr="000D7D3D">
        <w:rPr>
          <w:i/>
        </w:rPr>
        <w:t>P. involutus ATCC 200175</w:t>
      </w:r>
      <w:r w:rsidRPr="000D7D3D">
        <w:t xml:space="preserve"> hyphae grown in two selected Pi concentrations of the Pi-varying MMN media, as low Pi (0.37 </w:t>
      </w:r>
      <w:r w:rsidRPr="000D7D3D">
        <w:rPr>
          <w:lang w:val="el-GR"/>
        </w:rPr>
        <w:t>μ</w:t>
      </w:r>
      <w:r w:rsidRPr="000D7D3D">
        <w:t xml:space="preserve">M Pi) and high Pi (367 </w:t>
      </w:r>
      <w:r w:rsidRPr="000D7D3D">
        <w:rPr>
          <w:lang w:val="el-GR"/>
        </w:rPr>
        <w:t>μ</w:t>
      </w:r>
      <w:r w:rsidRPr="000D7D3D">
        <w:t>M Pi), for both the NS and S conditions, with the TruSeq stranded mRNA library prep kit (Illumina) at the University of Edinburgh (Edinburgh Genomics). Three biological replicates of the low Pi NS or high Pi NS and five biological replicates of the low Pi S or high Pi S experimental co</w:t>
      </w:r>
      <w:r w:rsidR="00605EDA">
        <w:t>nditions were used. The sequencing</w:t>
      </w:r>
      <w:r w:rsidRPr="000D7D3D">
        <w:t xml:space="preserve"> strategy that was applied generated data of at least 290 </w:t>
      </w:r>
      <w:r w:rsidR="007C63AA" w:rsidRPr="00720F46">
        <w:rPr>
          <w:sz w:val="22"/>
        </w:rPr>
        <w:t>million</w:t>
      </w:r>
      <w:r w:rsidR="007C63AA">
        <w:t xml:space="preserve"> (M) </w:t>
      </w:r>
      <w:r w:rsidRPr="000D7D3D">
        <w:t xml:space="preserve">reads per strand per sample (HiSeq 4000 75PE). </w:t>
      </w:r>
      <w:r w:rsidR="001F4544">
        <w:t xml:space="preserve">In total 26 – 45.9 </w:t>
      </w:r>
      <w:r w:rsidR="007C63AA" w:rsidRPr="000D7D3D">
        <w:t>M</w:t>
      </w:r>
      <w:r w:rsidR="007C63AA">
        <w:t xml:space="preserve"> </w:t>
      </w:r>
      <w:r w:rsidR="001F4544">
        <w:t>reads pairs were obtained.</w:t>
      </w:r>
      <w:r w:rsidR="00207753">
        <w:br w:type="page"/>
      </w:r>
    </w:p>
    <w:p w14:paraId="24862A3B" w14:textId="6097897F" w:rsidR="000D7D3D" w:rsidRPr="000D7D3D" w:rsidRDefault="000D7D3D" w:rsidP="00635993">
      <w:pPr>
        <w:pStyle w:val="Heading2"/>
      </w:pPr>
      <w:bookmarkStart w:id="221" w:name="_Toc507604006"/>
      <w:bookmarkStart w:id="222" w:name="_Toc507604273"/>
      <w:bookmarkStart w:id="223" w:name="_Toc519016990"/>
      <w:bookmarkStart w:id="224" w:name="_Toc520837888"/>
      <w:r w:rsidRPr="000D7D3D">
        <w:lastRenderedPageBreak/>
        <w:t>3.2.8 RNA-seq data analysis</w:t>
      </w:r>
      <w:bookmarkEnd w:id="221"/>
      <w:bookmarkEnd w:id="222"/>
      <w:bookmarkEnd w:id="223"/>
      <w:bookmarkEnd w:id="224"/>
    </w:p>
    <w:p w14:paraId="277EEB46" w14:textId="36E82C6B" w:rsidR="00814753" w:rsidRPr="000D7D3D" w:rsidRDefault="000D7D3D" w:rsidP="007F746A">
      <w:r w:rsidRPr="000D7D3D">
        <w:t xml:space="preserve">Default values were used for all parameters in all software used unless otherwise stated. Analyses in </w:t>
      </w:r>
      <w:r w:rsidR="006E6445">
        <w:t>S</w:t>
      </w:r>
      <w:r w:rsidR="006E6445" w:rsidRPr="000D7D3D">
        <w:t xml:space="preserve">ections </w:t>
      </w:r>
      <w:r w:rsidR="007C63AA">
        <w:t>3.2.8.1 to 3.2.8</w:t>
      </w:r>
      <w:r w:rsidRPr="000D7D3D">
        <w:t>.5 were performed by Dr Jonathan Manning at Edinburgh Genomics.</w:t>
      </w:r>
    </w:p>
    <w:p w14:paraId="34FD36A3" w14:textId="10AA385D" w:rsidR="000D7D3D" w:rsidRPr="000D7D3D" w:rsidRDefault="000D7D3D" w:rsidP="003F061A"/>
    <w:p w14:paraId="7125D564" w14:textId="77777777" w:rsidR="000D7D3D" w:rsidRPr="003F7054" w:rsidRDefault="000D7D3D" w:rsidP="00635993">
      <w:pPr>
        <w:pStyle w:val="Heading3"/>
      </w:pPr>
      <w:bookmarkStart w:id="225" w:name="_Toc507604007"/>
      <w:bookmarkStart w:id="226" w:name="_Toc507604274"/>
      <w:bookmarkStart w:id="227" w:name="_Toc520837889"/>
      <w:r w:rsidRPr="003F7054">
        <w:t>3.2.8.1 Reads trimming</w:t>
      </w:r>
      <w:bookmarkEnd w:id="225"/>
      <w:bookmarkEnd w:id="226"/>
      <w:bookmarkEnd w:id="227"/>
    </w:p>
    <w:p w14:paraId="4B14AF00" w14:textId="7D606DA7" w:rsidR="00814753" w:rsidRPr="00635993" w:rsidRDefault="000D7D3D" w:rsidP="00515F1C">
      <w:pPr>
        <w:rPr>
          <w:sz w:val="22"/>
        </w:rPr>
      </w:pPr>
      <w:r w:rsidRPr="00635993">
        <w:rPr>
          <w:sz w:val="22"/>
        </w:rPr>
        <w:t xml:space="preserve">Reads were trimmed using Cutadapt version cutadapt-1.9.dev2 </w:t>
      </w:r>
      <w:r w:rsidRPr="00635993">
        <w:rPr>
          <w:sz w:val="22"/>
        </w:rPr>
        <w:fldChar w:fldCharType="begin" w:fldLock="1"/>
      </w:r>
      <w:r w:rsidR="00EE33AB">
        <w:rPr>
          <w:sz w:val="22"/>
        </w:rPr>
        <w:instrText>ADDIN CSL_CITATION {"citationItems":[{"id":"ITEM-1","itemData":{"abstract":"When small RNA is sequenced on current sequencing machines, the resulting reads are usually longer than the RNA and therefore contain parts of the 3' adapter. That adapter must be found and removed error-tolerantly from each read before read mapping. Previous solutions are either hard to use or do not offer required features, in particular support for color space data. As an easy to use alternative, we developed the command-line tool cutadapt, which supports 454, Illumina and SOLiD (color space) data, offers two adapter trimming algorithms, and has other useful features.   Cutadapt, including its MIT-licensed source code, is available for download at  http://code.google.com/p/cutadapt/  ","author":[{"dropping-particle":"","family":"Martin","given":"Marcel","non-dropping-particle":"","parse-names":false,"suffix":""}],"container-title":"EMBnet.journal; Vol 17, No 1: Next Generation Sequencing Data Analysis","id":"ITEM-1","issued":{"date-parts":[["2011"]]},"title":"Cutadapt removes adapter sequences from high-throughput sequencing reads","type":"article-journal"},"uris":["http://www.mendeley.com/documents/?uuid=8fecea62-966b-416b-9d5a-6820967b2ab2"]}],"mendeley":{"formattedCitation":"(Martin, 2011)","plainTextFormattedCitation":"(Martin, 2011)","previouslyFormattedCitation":"(Martin, 2011)"},"properties":{"noteIndex":0},"schema":"https://github.com/citation-style-language/schema/raw/master/csl-citation.json"}</w:instrText>
      </w:r>
      <w:r w:rsidRPr="00635993">
        <w:rPr>
          <w:sz w:val="22"/>
        </w:rPr>
        <w:fldChar w:fldCharType="separate"/>
      </w:r>
      <w:r w:rsidRPr="00635993">
        <w:rPr>
          <w:noProof/>
          <w:sz w:val="22"/>
        </w:rPr>
        <w:t>(Martin, 2011)</w:t>
      </w:r>
      <w:r w:rsidRPr="00635993">
        <w:rPr>
          <w:sz w:val="22"/>
        </w:rPr>
        <w:fldChar w:fldCharType="end"/>
      </w:r>
      <w:r w:rsidRPr="00635993">
        <w:rPr>
          <w:sz w:val="22"/>
        </w:rPr>
        <w:t>. Reads were trimmed for quality at the 3’ end using a quality threshold of 30 and for adapter sequences of the TruSeq stranded mRNA kit (AGATCGGAAGAGC). Reads after trimming were required to have a minimum length of 50.</w:t>
      </w:r>
      <w:r w:rsidR="00F17821" w:rsidRPr="00635993">
        <w:rPr>
          <w:sz w:val="22"/>
        </w:rPr>
        <w:t xml:space="preserve"> Among all samples, 25.4 - 44.8 </w:t>
      </w:r>
      <w:r w:rsidR="001F4544" w:rsidRPr="007F746A">
        <w:rPr>
          <w:sz w:val="22"/>
        </w:rPr>
        <w:t>M</w:t>
      </w:r>
      <w:r w:rsidR="00F17821" w:rsidRPr="00635993">
        <w:rPr>
          <w:sz w:val="22"/>
        </w:rPr>
        <w:t xml:space="preserve"> reads were identified after trimming (97 - 98.7%).</w:t>
      </w:r>
    </w:p>
    <w:p w14:paraId="4AA647CB" w14:textId="77777777" w:rsidR="000D7D3D" w:rsidRPr="000D7D3D" w:rsidRDefault="000D7D3D" w:rsidP="007F746A"/>
    <w:p w14:paraId="681D0A5D" w14:textId="77777777" w:rsidR="000D7D3D" w:rsidRPr="00515F1C" w:rsidRDefault="000D7D3D" w:rsidP="00635993">
      <w:pPr>
        <w:pStyle w:val="Heading3"/>
      </w:pPr>
      <w:bookmarkStart w:id="228" w:name="_Toc507604008"/>
      <w:bookmarkStart w:id="229" w:name="_Toc507604275"/>
      <w:bookmarkStart w:id="230" w:name="_Toc520837890"/>
      <w:r w:rsidRPr="003F7054">
        <w:t>3.2.8.</w:t>
      </w:r>
      <w:r w:rsidRPr="00515F1C">
        <w:t>2 Reference genome</w:t>
      </w:r>
      <w:bookmarkEnd w:id="228"/>
      <w:bookmarkEnd w:id="229"/>
      <w:bookmarkEnd w:id="230"/>
    </w:p>
    <w:p w14:paraId="738A7348" w14:textId="6F561DA2" w:rsidR="00814753" w:rsidRPr="00635993" w:rsidRDefault="000D7D3D" w:rsidP="00515F1C">
      <w:pPr>
        <w:rPr>
          <w:sz w:val="22"/>
        </w:rPr>
      </w:pPr>
      <w:r w:rsidRPr="00635993">
        <w:rPr>
          <w:sz w:val="22"/>
        </w:rPr>
        <w:t xml:space="preserve">The reference used for mapping was the </w:t>
      </w:r>
      <w:r w:rsidRPr="00635993">
        <w:rPr>
          <w:rFonts w:cs="Arial"/>
          <w:i/>
          <w:sz w:val="22"/>
        </w:rPr>
        <w:t>P. involutus</w:t>
      </w:r>
      <w:r w:rsidRPr="00635993">
        <w:rPr>
          <w:rFonts w:ascii="NimbusRomNo9L-ReguItal" w:hAnsi="NimbusRomNo9L-ReguItal" w:cs="NimbusRomNo9L-ReguItal"/>
          <w:sz w:val="22"/>
        </w:rPr>
        <w:t xml:space="preserve"> </w:t>
      </w:r>
      <w:r w:rsidRPr="00635993">
        <w:rPr>
          <w:sz w:val="22"/>
        </w:rPr>
        <w:t xml:space="preserve">genome from Ensembl, assembly </w:t>
      </w:r>
      <w:r w:rsidRPr="00635993">
        <w:rPr>
          <w:i/>
          <w:sz w:val="22"/>
        </w:rPr>
        <w:t>ATCC 200175</w:t>
      </w:r>
      <w:r w:rsidRPr="00635993">
        <w:rPr>
          <w:sz w:val="22"/>
        </w:rPr>
        <w:t>, annotation version1.</w:t>
      </w:r>
    </w:p>
    <w:p w14:paraId="16FAFBBA" w14:textId="77777777" w:rsidR="000D7D3D" w:rsidRPr="000D7D3D" w:rsidRDefault="000D7D3D" w:rsidP="007F746A"/>
    <w:p w14:paraId="3597BDB4" w14:textId="77777777" w:rsidR="000D7D3D" w:rsidRPr="000D7D3D" w:rsidRDefault="000D7D3D" w:rsidP="00635993">
      <w:pPr>
        <w:pStyle w:val="Heading3"/>
      </w:pPr>
      <w:bookmarkStart w:id="231" w:name="_Toc507604009"/>
      <w:bookmarkStart w:id="232" w:name="_Toc507604276"/>
      <w:bookmarkStart w:id="233" w:name="_Toc520837891"/>
      <w:r w:rsidRPr="000D7D3D">
        <w:t>3.2.8.3 Reads alignment</w:t>
      </w:r>
      <w:bookmarkEnd w:id="231"/>
      <w:bookmarkEnd w:id="232"/>
      <w:bookmarkEnd w:id="233"/>
    </w:p>
    <w:p w14:paraId="21757AA8" w14:textId="31DC67CE" w:rsidR="00814753" w:rsidRPr="00635993" w:rsidRDefault="000D7D3D" w:rsidP="00515F1C">
      <w:pPr>
        <w:rPr>
          <w:sz w:val="22"/>
        </w:rPr>
      </w:pPr>
      <w:r w:rsidRPr="00635993">
        <w:rPr>
          <w:sz w:val="22"/>
        </w:rPr>
        <w:t>Reads were aligned to the reference genome using STAR</w:t>
      </w:r>
      <w:r w:rsidRPr="00635993">
        <w:rPr>
          <w:color w:val="0000FF"/>
          <w:sz w:val="13"/>
          <w:szCs w:val="15"/>
        </w:rPr>
        <w:t xml:space="preserve"> </w:t>
      </w:r>
      <w:r w:rsidRPr="00635993">
        <w:rPr>
          <w:sz w:val="22"/>
        </w:rPr>
        <w:fldChar w:fldCharType="begin" w:fldLock="1"/>
      </w:r>
      <w:r w:rsidR="00EE33AB">
        <w:rPr>
          <w:sz w:val="22"/>
        </w:rPr>
        <w:instrText>ADDIN CSL_CITATION {"citationItems":[{"id":"ITEM-1","itemData":{"DOI":"10.1093/bioinformatics/bts635","ISBN":"1367-4811 (Electronic)\\n1367-4803 (Linking)","ISSN":"13674803","PMID":"23104886","abstract":"MOTIVATION: Accurate alignment of high-throughput RNA-seq data is a challenging and yet unsolved problem because of the non-contiguous transcript structure, relatively short read lengths and constantly increasing throughput of the sequencing technologies. Currently available RNA-seq aligners suffer from high mapping error rates, low mapping speed, read length limitation and mapping biases.\\n\\nRESULTS: To align our large (&gt;80 billon reads) ENCODE Transcriptome RNA-seq dataset, we developed the Spliced Transcripts Alignment to a Reference (STAR) software based on a previously undescribed RNA-seq alignment algorithm that uses sequential maximum mappable seed search in uncompressed suffix arrays followed by seed clustering and stitching procedure. STAR outperforms other aligners by a factor of &gt;50 in mapping speed, aligning to the human genome 550 million 2 × 76 bp paired-end reads per hour on a modest 12-core server, while at the same time improving alignment sensitivity and precision. In addition to unbiased de novo detection of canonical junctions, STAR can discover non-canonical splices and chimeric (fusion) transcripts, and is also capable of mapping full-length RNA sequences. Using Roche 454 sequencing of reverse transcription polymerase chain reaction amplicons, we experimentally validated 1960 novel intergenic splice junctions with an 80-90% success rate, corroborating the high precision of the STAR mapping strategy.\\n\\nAVAILABILITY AND IMPLEMENTATION: STAR is implemented as a standalone C++ code. STAR is free open source software distributed under GPLv3 license and can be downloaded from http://code.google.com/p/rna-star/.","author":[{"dropping-particle":"","family":"Dobin","given":"Alexander","non-dropping-particle":"","parse-names":false,"suffix":""},{"dropping-particle":"","family":"Davis","given":"Carrie A.","non-dropping-particle":"","parse-names":false,"suffix":""},{"dropping-particle":"","family":"Schlesinger","given":"Felix","non-dropping-particle":"","parse-names":false,"suffix":""},{"dropping-particle":"","family":"Drenkow","given":"Jorg","non-dropping-particle":"","parse-names":false,"suffix":""},{"dropping-particle":"","family":"Zaleski","given":"Chris","non-dropping-particle":"","parse-names":false,"suffix":""},{"dropping-particle":"","family":"Jha","given":"Sonali","non-dropping-particle":"","parse-names":false,"suffix":""},{"dropping-particle":"","family":"Batut","given":"Philippe","non-dropping-particle":"","parse-names":false,"suffix":""},{"dropping-particle":"","family":"Chaisson","given":"Mark","non-dropping-particle":"","parse-names":false,"suffix":""},{"dropping-particle":"","family":"Gingeras","given":"Thomas R.","non-dropping-particle":"","parse-names":false,"suffix":""}],"container-title":"Bioinformatics","id":"ITEM-1","issue":"1","issued":{"date-parts":[["2013"]]},"page":"15-21","title":"STAR: Ultrafast universal RNA-seq aligner","type":"article-journal","volume":"29"},"uris":["http://www.mendeley.com/documents/?uuid=cf8dda19-8885-41e8-9561-2788dcf8ecff"]}],"mendeley":{"formattedCitation":"(Dobin et al., 2013)","plainTextFormattedCitation":"(Dobin et al., 2013)","previouslyFormattedCitation":"(Dobin et al., 2013)"},"properties":{"noteIndex":0},"schema":"https://github.com/citation-style-language/schema/raw/master/csl-citation.json"}</w:instrText>
      </w:r>
      <w:r w:rsidRPr="00635993">
        <w:rPr>
          <w:sz w:val="22"/>
        </w:rPr>
        <w:fldChar w:fldCharType="separate"/>
      </w:r>
      <w:r w:rsidRPr="00635993">
        <w:rPr>
          <w:noProof/>
          <w:sz w:val="22"/>
        </w:rPr>
        <w:t>(Dobin et al., 2013)</w:t>
      </w:r>
      <w:r w:rsidRPr="00635993">
        <w:rPr>
          <w:sz w:val="22"/>
        </w:rPr>
        <w:fldChar w:fldCharType="end"/>
      </w:r>
      <w:r w:rsidRPr="00635993">
        <w:rPr>
          <w:sz w:val="22"/>
        </w:rPr>
        <w:t xml:space="preserve"> version 2.5.2b specifying paired-end reads and the option ‘–outSAMtype BAM Unsorted’. All other parameters were left at default.</w:t>
      </w:r>
      <w:r w:rsidR="00F17821" w:rsidRPr="00635993">
        <w:rPr>
          <w:sz w:val="22"/>
        </w:rPr>
        <w:t xml:space="preserve"> Among all samples, 24 - 42.5 M trimmed read pairs aligned to the reference genome (88.3 - 94.9%).</w:t>
      </w:r>
    </w:p>
    <w:p w14:paraId="7B3EC6A2" w14:textId="77777777" w:rsidR="000D7D3D" w:rsidRPr="000D7D3D" w:rsidRDefault="000D7D3D" w:rsidP="007F746A"/>
    <w:p w14:paraId="32573A13" w14:textId="77777777" w:rsidR="000D7D3D" w:rsidRPr="000D7D3D" w:rsidRDefault="000D7D3D" w:rsidP="00635993">
      <w:pPr>
        <w:pStyle w:val="Heading3"/>
      </w:pPr>
      <w:bookmarkStart w:id="234" w:name="_Toc507604010"/>
      <w:bookmarkStart w:id="235" w:name="_Toc507604277"/>
      <w:bookmarkStart w:id="236" w:name="_Toc520837892"/>
      <w:r w:rsidRPr="000D7D3D">
        <w:t>3.2.8.4 Read counting</w:t>
      </w:r>
      <w:bookmarkEnd w:id="234"/>
      <w:bookmarkEnd w:id="235"/>
      <w:bookmarkEnd w:id="236"/>
      <w:r w:rsidRPr="000D7D3D">
        <w:t xml:space="preserve"> </w:t>
      </w:r>
    </w:p>
    <w:p w14:paraId="32EF4F48" w14:textId="27A2B908" w:rsidR="00814753" w:rsidRPr="00635993" w:rsidRDefault="000D7D3D" w:rsidP="003F7054">
      <w:pPr>
        <w:rPr>
          <w:sz w:val="22"/>
        </w:rPr>
      </w:pPr>
      <w:r w:rsidRPr="00635993">
        <w:rPr>
          <w:sz w:val="22"/>
        </w:rPr>
        <w:t xml:space="preserve">Reads were assigned to exon features grouped by gene id in the reference genome using ‘featureCounts‘ </w:t>
      </w:r>
      <w:r w:rsidRPr="00635993">
        <w:rPr>
          <w:sz w:val="22"/>
        </w:rPr>
        <w:fldChar w:fldCharType="begin" w:fldLock="1"/>
      </w:r>
      <w:r w:rsidR="00EE33AB">
        <w:rPr>
          <w:sz w:val="22"/>
        </w:rPr>
        <w:instrText>ADDIN CSL_CITATION {"citationItems":[{"id":"ITEM-1","itemData":{"DOI":"10.1093/bioinformatics/btt656","ISBN":"1367-4803","ISSN":"14602059","PMID":"24227677","abstract":"MOTIVATION: Next-generation sequencing technologies generate millions of short sequence reads, which are usually aligned to a reference genome. In many applications, the key information required for downstream analysis is the number of reads mapping to each genomic feature, for example to each exon or each gene. The process of counting reads is called read summarization. Read summarization is required for a great variety of genomic analyses but has so far received relatively little attention in the literature. RESULTS: We present featureCounts, a read summarization program suitable for counting reads generated from either RNA or genomic DNA sequencing experiments. featureCounts implements highly efficient chromosome hashing and feature blocking techniques. It is considerably faster than existing methods (by an order of magnitude for gene-level summarization) and requires far less computer memory. It works with either single or paired-end reads and provides a wide range of options appropriate for different sequencing applications. AVAILABILITY AND IMPLEMENTATION: featureCounts is available under GNU General Public License as part of the Subread (http://subread.sourceforge.net) or Rsubread (http://www.bioconductor.org) software packages.","author":[{"dropping-particle":"","family":"Liao","given":"Yang","non-dropping-particle":"","parse-names":false,"suffix":""},{"dropping-particle":"","family":"Smyth","given":"Gordon K.","non-dropping-particle":"","parse-names":false,"suffix":""},{"dropping-particle":"","family":"Shi","given":"Wei","non-dropping-particle":"","parse-names":false,"suffix":""}],"container-title":"Bioinformatics","id":"ITEM-1","issue":"7","issued":{"date-parts":[["2014"]]},"page":"923-930","title":"FeatureCounts: An efficient general purpose program for assigning sequence reads to genomic features","type":"article-journal","volume":"30"},"uris":["http://www.mendeley.com/documents/?uuid=c101a77c-10e8-41c3-b146-7fbc6aad6011"]}],"mendeley":{"formattedCitation":"(Liao et al., 2014)","plainTextFormattedCitation":"(Liao et al., 2014)","previouslyFormattedCitation":"(Liao et al., 2014)"},"properties":{"noteIndex":0},"schema":"https://github.com/citation-style-language/schema/raw/master/csl-citation.json"}</w:instrText>
      </w:r>
      <w:r w:rsidRPr="00635993">
        <w:rPr>
          <w:sz w:val="22"/>
        </w:rPr>
        <w:fldChar w:fldCharType="separate"/>
      </w:r>
      <w:r w:rsidRPr="00635993">
        <w:rPr>
          <w:noProof/>
          <w:sz w:val="22"/>
        </w:rPr>
        <w:t>(Liao et al., 2014)</w:t>
      </w:r>
      <w:r w:rsidRPr="00635993">
        <w:rPr>
          <w:sz w:val="22"/>
        </w:rPr>
        <w:fldChar w:fldCharType="end"/>
      </w:r>
      <w:r w:rsidRPr="00635993">
        <w:rPr>
          <w:sz w:val="22"/>
        </w:rPr>
        <w:t xml:space="preserve">, which assigns counts on a ‘fragment’ basis as opposed to individual reads such that a fragment is counted where one or both of its reads are aligned and associated with the specified features. Strandness was set to ‘reverse’ and a minimum alignment quality of 10 was specified. Gene names and other fields were derived from input annotation and </w:t>
      </w:r>
      <w:r w:rsidRPr="00635993">
        <w:rPr>
          <w:sz w:val="22"/>
        </w:rPr>
        <w:lastRenderedPageBreak/>
        <w:t>added to the counts matrix.</w:t>
      </w:r>
      <w:r w:rsidR="00F17821" w:rsidRPr="00635993">
        <w:rPr>
          <w:sz w:val="22"/>
        </w:rPr>
        <w:t xml:space="preserve"> </w:t>
      </w:r>
      <w:r w:rsidR="001F5439" w:rsidRPr="00635993">
        <w:rPr>
          <w:sz w:val="22"/>
        </w:rPr>
        <w:t xml:space="preserve">Among all samples, </w:t>
      </w:r>
      <w:r w:rsidR="00F17821" w:rsidRPr="00635993">
        <w:rPr>
          <w:sz w:val="22"/>
        </w:rPr>
        <w:t>18.1</w:t>
      </w:r>
      <w:r w:rsidR="001F5439" w:rsidRPr="00635993">
        <w:rPr>
          <w:sz w:val="22"/>
        </w:rPr>
        <w:t xml:space="preserve"> </w:t>
      </w:r>
      <w:r w:rsidR="00F17821" w:rsidRPr="00635993">
        <w:rPr>
          <w:sz w:val="22"/>
        </w:rPr>
        <w:t>-</w:t>
      </w:r>
      <w:r w:rsidR="001F4544">
        <w:rPr>
          <w:sz w:val="22"/>
        </w:rPr>
        <w:t xml:space="preserve"> </w:t>
      </w:r>
      <w:r w:rsidR="00F17821" w:rsidRPr="00635993">
        <w:rPr>
          <w:sz w:val="22"/>
        </w:rPr>
        <w:t>34.8</w:t>
      </w:r>
      <w:r w:rsidR="001F5439" w:rsidRPr="00635993">
        <w:rPr>
          <w:sz w:val="22"/>
        </w:rPr>
        <w:t xml:space="preserve"> </w:t>
      </w:r>
      <w:r w:rsidR="00F17821" w:rsidRPr="00635993">
        <w:rPr>
          <w:sz w:val="22"/>
        </w:rPr>
        <w:t xml:space="preserve">M read pairs were aligned to </w:t>
      </w:r>
      <w:r w:rsidR="001F5439" w:rsidRPr="00635993">
        <w:rPr>
          <w:sz w:val="22"/>
        </w:rPr>
        <w:t>exon</w:t>
      </w:r>
      <w:r w:rsidR="00F17821" w:rsidRPr="00635993">
        <w:rPr>
          <w:sz w:val="22"/>
        </w:rPr>
        <w:t xml:space="preserve"> features for counting (75.7</w:t>
      </w:r>
      <w:r w:rsidR="001F5439" w:rsidRPr="00635993">
        <w:rPr>
          <w:sz w:val="22"/>
        </w:rPr>
        <w:t xml:space="preserve"> </w:t>
      </w:r>
      <w:r w:rsidR="00F17821" w:rsidRPr="00635993">
        <w:rPr>
          <w:sz w:val="22"/>
        </w:rPr>
        <w:t>-</w:t>
      </w:r>
      <w:r w:rsidR="001F5439" w:rsidRPr="00635993">
        <w:rPr>
          <w:sz w:val="22"/>
        </w:rPr>
        <w:t xml:space="preserve"> </w:t>
      </w:r>
      <w:r w:rsidR="00F17821" w:rsidRPr="00635993">
        <w:rPr>
          <w:sz w:val="22"/>
        </w:rPr>
        <w:t>83.6%).</w:t>
      </w:r>
    </w:p>
    <w:p w14:paraId="765E0147" w14:textId="77777777" w:rsidR="000D7D3D" w:rsidRPr="000D7D3D" w:rsidRDefault="000D7D3D" w:rsidP="007F746A"/>
    <w:p w14:paraId="0F64063E" w14:textId="77777777" w:rsidR="000D7D3D" w:rsidRPr="000D7D3D" w:rsidRDefault="000D7D3D" w:rsidP="00635993">
      <w:pPr>
        <w:pStyle w:val="Heading3"/>
      </w:pPr>
      <w:bookmarkStart w:id="237" w:name="_Toc507604011"/>
      <w:bookmarkStart w:id="238" w:name="_Toc507604278"/>
      <w:bookmarkStart w:id="239" w:name="_Toc520837893"/>
      <w:r w:rsidRPr="000D7D3D">
        <w:t>3.2.8.5 Count pre-processing</w:t>
      </w:r>
      <w:bookmarkEnd w:id="237"/>
      <w:bookmarkEnd w:id="238"/>
      <w:bookmarkEnd w:id="239"/>
    </w:p>
    <w:p w14:paraId="21C1453D" w14:textId="6B6FF3E9" w:rsidR="00814753" w:rsidRPr="00635993" w:rsidRDefault="000D7D3D" w:rsidP="00515F1C">
      <w:pPr>
        <w:rPr>
          <w:sz w:val="22"/>
        </w:rPr>
      </w:pPr>
      <w:r w:rsidRPr="00635993">
        <w:rPr>
          <w:sz w:val="22"/>
        </w:rPr>
        <w:t>The raw counts table was filtered to remove rows consisting predominantly of near-zero counts, filtering on counts per million (CPM) to avoid artefacts due to library depth. Specifically, a row of the expression matrix was required to have values greater than 0.1 in at least 3 samples.</w:t>
      </w:r>
    </w:p>
    <w:p w14:paraId="209A6C4F" w14:textId="77777777" w:rsidR="000D7D3D" w:rsidRPr="000D7D3D" w:rsidRDefault="000D7D3D" w:rsidP="007F746A"/>
    <w:p w14:paraId="5F39D0AA" w14:textId="40ED2DCD" w:rsidR="000D7D3D" w:rsidRPr="000D7D3D" w:rsidRDefault="000D7D3D" w:rsidP="00635993">
      <w:pPr>
        <w:pStyle w:val="Heading3"/>
      </w:pPr>
      <w:bookmarkStart w:id="240" w:name="_Toc507604012"/>
      <w:bookmarkStart w:id="241" w:name="_Toc507604279"/>
      <w:bookmarkStart w:id="242" w:name="_Toc520837894"/>
      <w:r w:rsidRPr="000D7D3D">
        <w:t>3.2.8.6 Count normalization, exploratory analysis and differential analysis</w:t>
      </w:r>
      <w:bookmarkEnd w:id="240"/>
      <w:bookmarkEnd w:id="241"/>
      <w:bookmarkEnd w:id="242"/>
    </w:p>
    <w:p w14:paraId="0E8A04F6" w14:textId="48C2FEBF" w:rsidR="00814753" w:rsidRPr="000D7D3D" w:rsidRDefault="000D7D3D" w:rsidP="007F746A">
      <w:r w:rsidRPr="00635993">
        <w:rPr>
          <w:sz w:val="22"/>
        </w:rPr>
        <w:t xml:space="preserve">Read counts were normalized through the R package “DESeq2”, which applies a negative binomial distribution and shrinkage estimation of gene dispersion </w:t>
      </w:r>
      <w:r w:rsidRPr="00635993">
        <w:rPr>
          <w:sz w:val="22"/>
        </w:rPr>
        <w:fldChar w:fldCharType="begin" w:fldLock="1"/>
      </w:r>
      <w:r w:rsidR="00EE33AB">
        <w:rPr>
          <w:sz w:val="22"/>
        </w:rPr>
        <w:instrText>ADDIN CSL_CITATION {"citationItems":[{"id":"ITEM-1","itemData":{"DOI":"10.1186/s13059-014-0550-8","ISBN":"1465-6906","ISSN":"1474-760X","PMID":"25516281","abstract":"In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http://www.bioconductor.org/packages/release/bioc/html/DESeq2.html webcite.","author":[{"dropping-particle":"","family":"Love","given":"Michael I","non-dropping-particle":"","parse-names":false,"suffix":""},{"dropping-particle":"","family":"Huber","given":"Wolfgang","non-dropping-particle":"","parse-names":false,"suffix":""},{"dropping-particle":"","family":"Anders","given":"Simon","non-dropping-particle":"","parse-names":false,"suffix":""}],"container-title":"Genome Biology","id":"ITEM-1","issue":"12","issued":{"date-parts":[["2014"]]},"page":"550","title":"Moderated estimation of fold change and dispersion for RNA-seq data with DESeq2","type":"article-journal","volume":"15"},"uris":["http://www.mendeley.com/documents/?uuid=006b0008-bad3-4291-81b1-f6922f70983e"]}],"mendeley":{"formattedCitation":"(Love et al., 2014)","plainTextFormattedCitation":"(Love et al., 2014)","previouslyFormattedCitation":"(Love et al., 2014)"},"properties":{"noteIndex":0},"schema":"https://github.com/citation-style-language/schema/raw/master/csl-citation.json"}</w:instrText>
      </w:r>
      <w:r w:rsidRPr="00635993">
        <w:rPr>
          <w:sz w:val="22"/>
        </w:rPr>
        <w:fldChar w:fldCharType="separate"/>
      </w:r>
      <w:r w:rsidRPr="00635993">
        <w:rPr>
          <w:noProof/>
          <w:sz w:val="22"/>
        </w:rPr>
        <w:t>(Love et al., 2014)</w:t>
      </w:r>
      <w:r w:rsidRPr="00635993">
        <w:rPr>
          <w:sz w:val="22"/>
        </w:rPr>
        <w:fldChar w:fldCharType="end"/>
      </w:r>
      <w:r w:rsidRPr="00635993">
        <w:rPr>
          <w:sz w:val="22"/>
        </w:rPr>
        <w:t xml:space="preserve">. Using the “DESeq2” package, a principal component analysis (PCA) on </w:t>
      </w:r>
      <w:r w:rsidRPr="00635993">
        <w:rPr>
          <w:i/>
          <w:sz w:val="22"/>
        </w:rPr>
        <w:t>rlog</w:t>
      </w:r>
      <w:r w:rsidRPr="00635993">
        <w:rPr>
          <w:sz w:val="22"/>
        </w:rPr>
        <w:t xml:space="preserve">-transformed read counts </w:t>
      </w:r>
      <w:r w:rsidRPr="00635993">
        <w:rPr>
          <w:sz w:val="22"/>
        </w:rPr>
        <w:fldChar w:fldCharType="begin" w:fldLock="1"/>
      </w:r>
      <w:r w:rsidR="00EE33AB">
        <w:rPr>
          <w:sz w:val="22"/>
        </w:rPr>
        <w:instrText>ADDIN CSL_CITATION {"citationItems":[{"id":"ITEM-1","itemData":{"DOI":"10.1186/s13059-014-0550-8","ISBN":"1465-6906","ISSN":"1474-760X","PMID":"25516281","abstract":"In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http://www.bioconductor.org/packages/release/bioc/html/DESeq2.html webcite.","author":[{"dropping-particle":"","family":"Love","given":"Michael I","non-dropping-particle":"","parse-names":false,"suffix":""},{"dropping-particle":"","family":"Huber","given":"Wolfgang","non-dropping-particle":"","parse-names":false,"suffix":""},{"dropping-particle":"","family":"Anders","given":"Simon","non-dropping-particle":"","parse-names":false,"suffix":""}],"container-title":"Genome Biology","id":"ITEM-1","issue":"12","issued":{"date-parts":[["2014"]]},"page":"550","title":"Moderated estimation of fold change and dispersion for RNA-seq data with DESeq2","type":"article-journal","volume":"15"},"uris":["http://www.mendeley.com/documents/?uuid=006b0008-bad3-4291-81b1-f6922f70983e"]}],"mendeley":{"formattedCitation":"(Love et al., 2014)","plainTextFormattedCitation":"(Love et al., 2014)","previouslyFormattedCitation":"(Love et al., 2014)"},"properties":{"noteIndex":0},"schema":"https://github.com/citation-style-language/schema/raw/master/csl-citation.json"}</w:instrText>
      </w:r>
      <w:r w:rsidRPr="00635993">
        <w:rPr>
          <w:sz w:val="22"/>
        </w:rPr>
        <w:fldChar w:fldCharType="separate"/>
      </w:r>
      <w:r w:rsidRPr="00635993">
        <w:rPr>
          <w:noProof/>
          <w:sz w:val="22"/>
        </w:rPr>
        <w:t>(Love et al., 2014)</w:t>
      </w:r>
      <w:r w:rsidRPr="00635993">
        <w:rPr>
          <w:sz w:val="22"/>
        </w:rPr>
        <w:fldChar w:fldCharType="end"/>
      </w:r>
      <w:r w:rsidRPr="00635993">
        <w:rPr>
          <w:sz w:val="22"/>
        </w:rPr>
        <w:t xml:space="preserve"> was performed in order to visualize sample-to-sample differences. Differential gene expression analysis was carried out through the R package “DESeq2” using W</w:t>
      </w:r>
      <w:r w:rsidR="00177912">
        <w:rPr>
          <w:sz w:val="22"/>
        </w:rPr>
        <w:t>ald test, selecting genes with false discovery r</w:t>
      </w:r>
      <w:r w:rsidRPr="00635993">
        <w:rPr>
          <w:sz w:val="22"/>
        </w:rPr>
        <w:t>ate (FDR) corrected p-value &lt;0.05 (Q-value, Benjamini-Hochberg correction) at each indicated comparison</w:t>
      </w:r>
      <w:r w:rsidRPr="000D7D3D">
        <w:t>.</w:t>
      </w:r>
    </w:p>
    <w:p w14:paraId="4C9547E6" w14:textId="77777777" w:rsidR="000D7D3D" w:rsidRPr="000D7D3D" w:rsidRDefault="000D7D3D" w:rsidP="00FB36B8"/>
    <w:p w14:paraId="15F41EDF" w14:textId="77777777" w:rsidR="000D7D3D" w:rsidRPr="000D7D3D" w:rsidRDefault="000D7D3D" w:rsidP="00635993">
      <w:pPr>
        <w:pStyle w:val="Heading3"/>
      </w:pPr>
      <w:bookmarkStart w:id="243" w:name="_Toc507604013"/>
      <w:bookmarkStart w:id="244" w:name="_Toc507604280"/>
      <w:bookmarkStart w:id="245" w:name="_Toc520837895"/>
      <w:r w:rsidRPr="000D7D3D">
        <w:t>3.3.8.7 RNA-seq data visualisation</w:t>
      </w:r>
      <w:bookmarkEnd w:id="243"/>
      <w:bookmarkEnd w:id="244"/>
      <w:bookmarkEnd w:id="245"/>
      <w:r w:rsidRPr="000D7D3D">
        <w:t xml:space="preserve"> </w:t>
      </w:r>
    </w:p>
    <w:p w14:paraId="0A360845" w14:textId="6F001CC5" w:rsidR="000D7D3D" w:rsidRPr="00EF6ED2" w:rsidRDefault="000D7D3D" w:rsidP="007F746A">
      <w:pPr>
        <w:rPr>
          <w:sz w:val="22"/>
        </w:rPr>
      </w:pPr>
      <w:r w:rsidRPr="00635993">
        <w:rPr>
          <w:sz w:val="22"/>
        </w:rPr>
        <w:t xml:space="preserve">In </w:t>
      </w:r>
      <w:r w:rsidR="006E6445">
        <w:rPr>
          <w:sz w:val="22"/>
        </w:rPr>
        <w:t>S</w:t>
      </w:r>
      <w:r w:rsidR="006E6445" w:rsidRPr="00635993">
        <w:rPr>
          <w:sz w:val="22"/>
        </w:rPr>
        <w:t xml:space="preserve">ections </w:t>
      </w:r>
      <w:r w:rsidRPr="00635993">
        <w:rPr>
          <w:sz w:val="22"/>
        </w:rPr>
        <w:t xml:space="preserve">3.3.4 to 3.3.6, normalized read counts of the top 50 differentially expressed genes ranked by significance (Q-value) were extracted from each indicated comparison. For each gene, the number of standard deviations from the mean of normalized read counts in all samples (z-scores) were plotted using the “pheatmap” package for R </w:t>
      </w:r>
      <w:r w:rsidRPr="00635993">
        <w:rPr>
          <w:sz w:val="22"/>
        </w:rPr>
        <w:fldChar w:fldCharType="begin" w:fldLock="1"/>
      </w:r>
      <w:r w:rsidR="00EE33AB">
        <w:rPr>
          <w:sz w:val="22"/>
        </w:rPr>
        <w:instrText>ADDIN CSL_CITATION {"citationItems":[{"id":"ITEM-1","itemData":{"author":[{"dropping-particle":"","family":"Kolde","given":"Raivo","non-dropping-particle":"","parse-names":false,"suffix":""}],"id":"ITEM-1","issued":{"date-parts":[["2015"]]},"title":"Package 'pheatmap'","type":"article"},"uris":["http://www.mendeley.com/documents/?uuid=9597e65b-4930-4466-8426-98f70234d2b5"]}],"mendeley":{"formattedCitation":"(Kolde, 2015)","plainTextFormattedCitation":"(Kolde, 2015)","previouslyFormattedCitation":"(Kolde, 2015)"},"properties":{"noteIndex":0},"schema":"https://github.com/citation-style-language/schema/raw/master/csl-citation.json"}</w:instrText>
      </w:r>
      <w:r w:rsidRPr="00635993">
        <w:rPr>
          <w:sz w:val="22"/>
        </w:rPr>
        <w:fldChar w:fldCharType="separate"/>
      </w:r>
      <w:r w:rsidRPr="00635993">
        <w:rPr>
          <w:noProof/>
          <w:sz w:val="22"/>
        </w:rPr>
        <w:t>(Kolde, 2015)</w:t>
      </w:r>
      <w:r w:rsidRPr="00635993">
        <w:rPr>
          <w:sz w:val="22"/>
        </w:rPr>
        <w:fldChar w:fldCharType="end"/>
      </w:r>
      <w:r w:rsidRPr="00635993">
        <w:rPr>
          <w:sz w:val="22"/>
        </w:rPr>
        <w:t xml:space="preserve"> to visualise expression differences in the indicated conditions. In </w:t>
      </w:r>
      <w:r w:rsidR="003F061A">
        <w:rPr>
          <w:sz w:val="22"/>
        </w:rPr>
        <w:t>S</w:t>
      </w:r>
      <w:r w:rsidRPr="00635993">
        <w:rPr>
          <w:sz w:val="22"/>
        </w:rPr>
        <w:t>ection 3.3</w:t>
      </w:r>
      <w:r w:rsidR="003F061A">
        <w:rPr>
          <w:sz w:val="22"/>
        </w:rPr>
        <w:t>.</w:t>
      </w:r>
      <w:r w:rsidRPr="00635993">
        <w:rPr>
          <w:sz w:val="22"/>
        </w:rPr>
        <w:t>7, the “pheatmap” package for R was also used for hierarchical clustering of all genes identified using Ward’s method.</w:t>
      </w:r>
      <w:r w:rsidRPr="000D7D3D">
        <w:br w:type="page"/>
      </w:r>
    </w:p>
    <w:p w14:paraId="55E7E355" w14:textId="1E039601" w:rsidR="000D7D3D" w:rsidRPr="000D7D3D" w:rsidRDefault="000D7D3D" w:rsidP="00635993">
      <w:pPr>
        <w:pStyle w:val="Heading1"/>
      </w:pPr>
      <w:bookmarkStart w:id="246" w:name="_Toc507604014"/>
      <w:bookmarkStart w:id="247" w:name="_Toc507604281"/>
      <w:bookmarkStart w:id="248" w:name="_Toc519016991"/>
      <w:bookmarkStart w:id="249" w:name="_Toc520837896"/>
      <w:r w:rsidRPr="000D7D3D">
        <w:lastRenderedPageBreak/>
        <w:t>3.3 Results</w:t>
      </w:r>
      <w:bookmarkEnd w:id="246"/>
      <w:bookmarkEnd w:id="247"/>
      <w:bookmarkEnd w:id="248"/>
      <w:bookmarkEnd w:id="249"/>
    </w:p>
    <w:p w14:paraId="3C090A6C" w14:textId="77777777" w:rsidR="000D7D3D" w:rsidRPr="000D7D3D" w:rsidRDefault="000D7D3D" w:rsidP="003F7054"/>
    <w:p w14:paraId="41E1A335" w14:textId="58619C2C" w:rsidR="000D7D3D" w:rsidRPr="003F7054" w:rsidRDefault="000D7D3D" w:rsidP="00635993">
      <w:pPr>
        <w:pStyle w:val="Heading2"/>
      </w:pPr>
      <w:bookmarkStart w:id="250" w:name="_Toc507604015"/>
      <w:bookmarkStart w:id="251" w:name="_Toc507604282"/>
      <w:bookmarkStart w:id="252" w:name="_Toc519016992"/>
      <w:bookmarkStart w:id="253" w:name="_Toc520837897"/>
      <w:r w:rsidRPr="003F7054">
        <w:t>3.3.1 Experimental set up</w:t>
      </w:r>
      <w:bookmarkEnd w:id="250"/>
      <w:bookmarkEnd w:id="251"/>
      <w:bookmarkEnd w:id="252"/>
      <w:bookmarkEnd w:id="253"/>
      <w:r w:rsidRPr="003F7054">
        <w:t xml:space="preserve"> </w:t>
      </w:r>
    </w:p>
    <w:p w14:paraId="083EF728" w14:textId="07B51B51" w:rsidR="000D7D3D" w:rsidRPr="000D7D3D" w:rsidRDefault="000D7D3D" w:rsidP="003F7054">
      <w:r w:rsidRPr="000D7D3D">
        <w:t>M-MMN</w:t>
      </w:r>
      <w:r w:rsidRPr="000D7D3D">
        <w:rPr>
          <w:vertAlign w:val="subscript"/>
        </w:rPr>
        <w:t>NS</w:t>
      </w:r>
      <w:r w:rsidRPr="000D7D3D">
        <w:t xml:space="preserve"> and M-MMN</w:t>
      </w:r>
      <w:r w:rsidRPr="000D7D3D">
        <w:rPr>
          <w:vertAlign w:val="subscript"/>
        </w:rPr>
        <w:t>S</w:t>
      </w:r>
      <w:r w:rsidRPr="000D7D3D">
        <w:t xml:space="preserve"> Pi-varying media were inoculated with </w:t>
      </w:r>
      <w:r w:rsidRPr="000D7D3D">
        <w:rPr>
          <w:i/>
        </w:rPr>
        <w:t>P. involutus ATCC 200175</w:t>
      </w:r>
      <w:r w:rsidRPr="000D7D3D">
        <w:t xml:space="preserve"> and hence systems were grown </w:t>
      </w:r>
      <w:r w:rsidR="00183F7A">
        <w:t>in</w:t>
      </w:r>
      <w:r w:rsidRPr="000D7D3D">
        <w:t xml:space="preserve"> NS</w:t>
      </w:r>
      <w:r w:rsidR="0009771C">
        <w:t xml:space="preserve"> or </w:t>
      </w:r>
      <w:r w:rsidRPr="000D7D3D">
        <w:t>S</w:t>
      </w:r>
      <w:r w:rsidR="0009771C">
        <w:t xml:space="preserve"> conditions</w:t>
      </w:r>
      <w:r w:rsidRPr="000D7D3D">
        <w:t xml:space="preserve"> (Figure 3.1A). </w:t>
      </w:r>
    </w:p>
    <w:p w14:paraId="729C7745" w14:textId="22916FC4" w:rsidR="000D7D3D" w:rsidRPr="000D7D3D" w:rsidRDefault="000D7D3D" w:rsidP="007F746A">
      <w:pPr>
        <w:ind w:firstLine="720"/>
      </w:pPr>
      <w:r w:rsidRPr="000D7D3D">
        <w:t xml:space="preserve">The Pi content of </w:t>
      </w:r>
      <w:r w:rsidRPr="000D7D3D">
        <w:rPr>
          <w:i/>
        </w:rPr>
        <w:t xml:space="preserve">P. involutus ATCC 200175 </w:t>
      </w:r>
      <w:r w:rsidRPr="000D7D3D">
        <w:t>hyphae was measured</w:t>
      </w:r>
      <w:r w:rsidRPr="000D7D3D">
        <w:rPr>
          <w:i/>
        </w:rPr>
        <w:t xml:space="preserve"> </w:t>
      </w:r>
      <w:r w:rsidRPr="000D7D3D">
        <w:t xml:space="preserve">for both the NS and S conditions (Figure 3.1B), together with the Pi content of </w:t>
      </w:r>
      <w:r w:rsidR="0009771C" w:rsidRPr="000D7D3D">
        <w:rPr>
          <w:i/>
        </w:rPr>
        <w:t>P</w:t>
      </w:r>
      <w:r w:rsidR="0009771C">
        <w:rPr>
          <w:i/>
        </w:rPr>
        <w:t>.</w:t>
      </w:r>
      <w:r w:rsidR="0009771C" w:rsidRPr="000D7D3D">
        <w:rPr>
          <w:i/>
        </w:rPr>
        <w:t xml:space="preserve"> sylvestris</w:t>
      </w:r>
      <w:r w:rsidRPr="000D7D3D">
        <w:t xml:space="preserve"> seedlings for the S condition (Figure 3.1C). </w:t>
      </w:r>
      <w:r w:rsidR="00183F7A">
        <w:t>S</w:t>
      </w:r>
      <w:r w:rsidRPr="000D7D3D">
        <w:t>tatistical analysis demonstrated that the Pi content of fungal hyphae under both NS and S conditions increased in response to rising Pi concentrations of the media. In addition, statistically significant differences in Pi content between fungal hyphae growing on M-MMN</w:t>
      </w:r>
      <w:r w:rsidRPr="000D7D3D">
        <w:rPr>
          <w:vertAlign w:val="subscript"/>
        </w:rPr>
        <w:t>NS</w:t>
      </w:r>
      <w:r w:rsidRPr="000D7D3D">
        <w:t xml:space="preserve"> or M-MMN</w:t>
      </w:r>
      <w:r w:rsidRPr="000D7D3D">
        <w:rPr>
          <w:vertAlign w:val="subscript"/>
        </w:rPr>
        <w:t>S</w:t>
      </w:r>
      <w:r w:rsidRPr="000D7D3D">
        <w:t xml:space="preserve"> Pi-varying media were observed at 36.7 </w:t>
      </w:r>
      <w:r w:rsidRPr="000D7D3D">
        <w:rPr>
          <w:lang w:val="el-GR"/>
        </w:rPr>
        <w:t>μ</w:t>
      </w:r>
      <w:r w:rsidRPr="000D7D3D">
        <w:t xml:space="preserve">M and 367 </w:t>
      </w:r>
      <w:r w:rsidRPr="000D7D3D">
        <w:rPr>
          <w:lang w:val="el-GR"/>
        </w:rPr>
        <w:t>μ</w:t>
      </w:r>
      <w:r w:rsidRPr="000D7D3D">
        <w:t xml:space="preserve">M Pi, respectively. This finding may indicate that when the fungal hyphae </w:t>
      </w:r>
      <w:r w:rsidR="00605EDA">
        <w:t>are</w:t>
      </w:r>
      <w:r w:rsidRPr="000D7D3D">
        <w:t xml:space="preserve"> in symbiosis with a plant, some of the hyphal Pi is allocated to the plant.</w:t>
      </w:r>
    </w:p>
    <w:p w14:paraId="779885AD" w14:textId="56AB5A81" w:rsidR="000D7D3D" w:rsidRPr="000D7D3D" w:rsidRDefault="00183F7A" w:rsidP="003F061A">
      <w:pPr>
        <w:ind w:firstLine="720"/>
      </w:pPr>
      <w:r>
        <w:t xml:space="preserve">The </w:t>
      </w:r>
      <w:r w:rsidR="00957508">
        <w:t>needle</w:t>
      </w:r>
      <w:r w:rsidR="000D7D3D" w:rsidRPr="000D7D3D">
        <w:t xml:space="preserve"> and root Pi content </w:t>
      </w:r>
      <w:r>
        <w:t xml:space="preserve">of seedlings grown on </w:t>
      </w:r>
      <w:r w:rsidR="000D7D3D" w:rsidRPr="000D7D3D">
        <w:t>M-MMN</w:t>
      </w:r>
      <w:r w:rsidR="000D7D3D" w:rsidRPr="000D7D3D">
        <w:rPr>
          <w:vertAlign w:val="subscript"/>
        </w:rPr>
        <w:t>S</w:t>
      </w:r>
      <w:r w:rsidR="0009771C">
        <w:t xml:space="preserve"> media</w:t>
      </w:r>
      <w:r w:rsidR="000D7D3D" w:rsidRPr="000D7D3D">
        <w:t xml:space="preserve"> increased </w:t>
      </w:r>
      <w:r w:rsidR="00461E44">
        <w:t xml:space="preserve">with increased </w:t>
      </w:r>
      <w:r w:rsidR="000D7D3D" w:rsidRPr="000D7D3D">
        <w:t xml:space="preserve">Pi concentration. However, no statistically significant differences were found in Pi content between </w:t>
      </w:r>
      <w:r w:rsidR="00957508">
        <w:t>needles</w:t>
      </w:r>
      <w:r w:rsidR="000D7D3D" w:rsidRPr="000D7D3D">
        <w:t xml:space="preserve"> and roots at any Pi concentration.</w:t>
      </w:r>
    </w:p>
    <w:p w14:paraId="314D488B" w14:textId="491B287D" w:rsidR="000D7D3D" w:rsidRPr="000D7D3D" w:rsidRDefault="000D7D3D" w:rsidP="00FB36B8">
      <w:pPr>
        <w:ind w:firstLine="720"/>
      </w:pPr>
      <w:r w:rsidRPr="000D7D3D">
        <w:t xml:space="preserve">Dry mass measurements were performed for </w:t>
      </w:r>
      <w:r w:rsidRPr="000D7D3D">
        <w:rPr>
          <w:i/>
        </w:rPr>
        <w:t xml:space="preserve">P. involutus ATCC 200175 </w:t>
      </w:r>
      <w:r w:rsidRPr="000D7D3D">
        <w:t xml:space="preserve">hyphae at both NS and S conditions (Figure 3.1D) together with the dry mass of </w:t>
      </w:r>
      <w:r w:rsidR="0009771C" w:rsidRPr="000D7D3D">
        <w:rPr>
          <w:i/>
        </w:rPr>
        <w:t>P</w:t>
      </w:r>
      <w:r w:rsidR="0009771C">
        <w:rPr>
          <w:i/>
        </w:rPr>
        <w:t>.</w:t>
      </w:r>
      <w:r w:rsidR="0009771C" w:rsidRPr="000D7D3D">
        <w:rPr>
          <w:i/>
        </w:rPr>
        <w:t xml:space="preserve"> sylvestris</w:t>
      </w:r>
      <w:r w:rsidRPr="000D7D3D">
        <w:t xml:space="preserve"> seedlings for the S condition (Figure 3.1E). </w:t>
      </w:r>
      <w:r w:rsidR="000B74F3">
        <w:t>H</w:t>
      </w:r>
      <w:r w:rsidRPr="000D7D3D">
        <w:t xml:space="preserve">yphal dry mass </w:t>
      </w:r>
      <w:r w:rsidR="004B384C">
        <w:t>showed a statistically</w:t>
      </w:r>
      <w:r w:rsidR="004B384C" w:rsidRPr="000D7D3D">
        <w:t xml:space="preserve"> </w:t>
      </w:r>
      <w:r w:rsidR="004B384C">
        <w:t>significant increase</w:t>
      </w:r>
      <w:r w:rsidRPr="000D7D3D">
        <w:t xml:space="preserve"> in response to rising Pi concentrations during growth </w:t>
      </w:r>
      <w:r w:rsidR="000B74F3">
        <w:t>on</w:t>
      </w:r>
      <w:r w:rsidRPr="000D7D3D">
        <w:t xml:space="preserve"> both M-MMN</w:t>
      </w:r>
      <w:r w:rsidRPr="000D7D3D">
        <w:rPr>
          <w:vertAlign w:val="subscript"/>
        </w:rPr>
        <w:t>NS</w:t>
      </w:r>
      <w:r w:rsidRPr="000D7D3D">
        <w:t xml:space="preserve"> and M-MMN</w:t>
      </w:r>
      <w:r w:rsidRPr="000D7D3D">
        <w:rPr>
          <w:vertAlign w:val="subscript"/>
        </w:rPr>
        <w:t>S</w:t>
      </w:r>
      <w:r w:rsidRPr="000D7D3D">
        <w:t xml:space="preserve"> Pi-varying media. In addition, statistically significant differences in fungal dry mass growing on M-MMN</w:t>
      </w:r>
      <w:r w:rsidRPr="000D7D3D">
        <w:rPr>
          <w:vertAlign w:val="subscript"/>
        </w:rPr>
        <w:t>NS</w:t>
      </w:r>
      <w:r w:rsidRPr="000D7D3D">
        <w:t xml:space="preserve"> or M-MMN</w:t>
      </w:r>
      <w:r w:rsidRPr="000D7D3D">
        <w:rPr>
          <w:vertAlign w:val="subscript"/>
        </w:rPr>
        <w:t>S</w:t>
      </w:r>
      <w:r w:rsidRPr="000D7D3D">
        <w:t xml:space="preserve"> Pi-varying media were observed at all Pi concentration</w:t>
      </w:r>
      <w:r w:rsidR="000B74F3">
        <w:t>s</w:t>
      </w:r>
      <w:r w:rsidRPr="000D7D3D">
        <w:t>.</w:t>
      </w:r>
    </w:p>
    <w:p w14:paraId="7CE4B85C" w14:textId="75F43F43" w:rsidR="000D7D3D" w:rsidRPr="000D7D3D" w:rsidRDefault="000D7D3D" w:rsidP="00FB36B8">
      <w:pPr>
        <w:ind w:firstLine="720"/>
      </w:pPr>
      <w:r w:rsidRPr="000D7D3D">
        <w:t xml:space="preserve">In contrast, dry mass measurements of pine seedling, </w:t>
      </w:r>
      <w:r w:rsidR="00957508">
        <w:t>needle</w:t>
      </w:r>
      <w:r w:rsidRPr="000D7D3D">
        <w:t xml:space="preserve"> and root tissue growing on the M-MMN</w:t>
      </w:r>
      <w:r w:rsidRPr="000D7D3D">
        <w:rPr>
          <w:vertAlign w:val="subscript"/>
        </w:rPr>
        <w:t>S</w:t>
      </w:r>
      <w:r w:rsidRPr="000D7D3D">
        <w:t xml:space="preserve"> Pi-varying media, showed statistically significant differences only at the highest Pi concentrations. Furthermore, no statistically significant differences were observed between </w:t>
      </w:r>
      <w:r w:rsidR="00957508">
        <w:t>needle</w:t>
      </w:r>
      <w:r w:rsidRPr="000D7D3D">
        <w:t xml:space="preserve"> and root tissue dry mass at any Pi concentration.</w:t>
      </w:r>
    </w:p>
    <w:p w14:paraId="6D81A6A4" w14:textId="26536100" w:rsidR="000D7D3D" w:rsidRPr="000D7D3D" w:rsidRDefault="000B74F3" w:rsidP="004B384C">
      <w:pPr>
        <w:ind w:firstLine="720"/>
      </w:pPr>
      <w:r>
        <w:lastRenderedPageBreak/>
        <w:t xml:space="preserve">Gene </w:t>
      </w:r>
      <w:r w:rsidR="000D7D3D" w:rsidRPr="000D7D3D">
        <w:t xml:space="preserve">expression analysis of the </w:t>
      </w:r>
      <w:r w:rsidR="000D7D3D" w:rsidRPr="000D7D3D">
        <w:rPr>
          <w:i/>
        </w:rPr>
        <w:t>P. involutus</w:t>
      </w:r>
      <w:r w:rsidR="000D7D3D" w:rsidRPr="000D7D3D">
        <w:t xml:space="preserve"> </w:t>
      </w:r>
      <w:r w:rsidR="000D7D3D" w:rsidRPr="000D7D3D">
        <w:rPr>
          <w:i/>
        </w:rPr>
        <w:t xml:space="preserve">ATCC 200175 </w:t>
      </w:r>
      <w:r w:rsidR="000D7D3D" w:rsidRPr="000D7D3D">
        <w:t xml:space="preserve">hyphae was performed for the seven </w:t>
      </w:r>
      <w:r w:rsidR="000D7D3D" w:rsidRPr="000D7D3D">
        <w:rPr>
          <w:i/>
        </w:rPr>
        <w:t>P. involutus</w:t>
      </w:r>
      <w:r w:rsidR="000D7D3D" w:rsidRPr="000D7D3D">
        <w:t xml:space="preserve"> </w:t>
      </w:r>
      <w:r w:rsidR="000D7D3D" w:rsidRPr="000D7D3D">
        <w:rPr>
          <w:i/>
        </w:rPr>
        <w:t xml:space="preserve">ATCC 200175 </w:t>
      </w:r>
      <w:r w:rsidR="0009771C">
        <w:t xml:space="preserve">putative </w:t>
      </w:r>
      <w:r w:rsidR="0009771C" w:rsidRPr="0009771C">
        <w:rPr>
          <w:i/>
        </w:rPr>
        <w:t>PiPT</w:t>
      </w:r>
      <w:r w:rsidR="000D7D3D" w:rsidRPr="0009771C">
        <w:rPr>
          <w:i/>
        </w:rPr>
        <w:t>s</w:t>
      </w:r>
      <w:r w:rsidR="000D7D3D" w:rsidRPr="000D7D3D">
        <w:t xml:space="preserve"> (</w:t>
      </w:r>
      <w:r w:rsidR="0009771C">
        <w:rPr>
          <w:i/>
        </w:rPr>
        <w:t>PiPT1-</w:t>
      </w:r>
      <w:r w:rsidR="000D7D3D" w:rsidRPr="000D7D3D">
        <w:rPr>
          <w:i/>
        </w:rPr>
        <w:t>PiPT7</w:t>
      </w:r>
      <w:r w:rsidR="000D7D3D" w:rsidRPr="000D7D3D">
        <w:t xml:space="preserve">) with qRT-PCR under both </w:t>
      </w:r>
      <w:r w:rsidR="006A5329">
        <w:t>NS or</w:t>
      </w:r>
      <w:r w:rsidR="000D7D3D" w:rsidRPr="000D7D3D">
        <w:t xml:space="preserve"> S conditions (Figure 3.2). Relative gene expression profiles for the majority of the putative </w:t>
      </w:r>
      <w:r w:rsidR="000D7D3D" w:rsidRPr="000D7D3D">
        <w:rPr>
          <w:i/>
        </w:rPr>
        <w:t>PiPT</w:t>
      </w:r>
      <w:r w:rsidR="000D7D3D" w:rsidRPr="006A5329">
        <w:rPr>
          <w:i/>
        </w:rPr>
        <w:t>s</w:t>
      </w:r>
      <w:r w:rsidR="000D7D3D" w:rsidRPr="000D7D3D">
        <w:t xml:space="preserve"> indicated that these genes were responsive to Pi-varying concentrations </w:t>
      </w:r>
      <w:r>
        <w:t>in</w:t>
      </w:r>
      <w:r w:rsidR="000D7D3D" w:rsidRPr="000D7D3D">
        <w:t xml:space="preserve"> both the NS and S conditions. In particular, </w:t>
      </w:r>
      <w:r w:rsidR="000D7D3D" w:rsidRPr="000D7D3D">
        <w:rPr>
          <w:i/>
        </w:rPr>
        <w:t>PiPT1</w:t>
      </w:r>
      <w:r w:rsidR="000D7D3D" w:rsidRPr="000D7D3D">
        <w:t xml:space="preserve">, </w:t>
      </w:r>
      <w:r w:rsidR="000D7D3D" w:rsidRPr="000D7D3D">
        <w:rPr>
          <w:i/>
        </w:rPr>
        <w:t>PiPT2</w:t>
      </w:r>
      <w:r w:rsidR="000D7D3D" w:rsidRPr="000D7D3D">
        <w:t xml:space="preserve">, </w:t>
      </w:r>
      <w:r w:rsidR="000D7D3D" w:rsidRPr="000D7D3D">
        <w:rPr>
          <w:i/>
        </w:rPr>
        <w:t>PiPT3, PiPT4,</w:t>
      </w:r>
      <w:r w:rsidR="000D7D3D" w:rsidRPr="000D7D3D">
        <w:t xml:space="preserve"> and </w:t>
      </w:r>
      <w:r w:rsidR="000D7D3D" w:rsidRPr="000D7D3D">
        <w:rPr>
          <w:i/>
        </w:rPr>
        <w:t>PiPT7</w:t>
      </w:r>
      <w:r w:rsidR="004B384C">
        <w:t xml:space="preserve"> transcripts exhibited</w:t>
      </w:r>
      <w:r w:rsidR="000D7D3D" w:rsidRPr="000D7D3D">
        <w:t xml:space="preserve"> </w:t>
      </w:r>
      <w:r w:rsidR="004B384C">
        <w:t>statistically</w:t>
      </w:r>
      <w:r w:rsidR="004B384C" w:rsidRPr="000D7D3D">
        <w:t xml:space="preserve"> </w:t>
      </w:r>
      <w:r w:rsidR="004B384C">
        <w:t>significant induction</w:t>
      </w:r>
      <w:r w:rsidR="000D7D3D" w:rsidRPr="000D7D3D">
        <w:t xml:space="preserve"> when Pi availability was low and </w:t>
      </w:r>
      <w:r w:rsidR="004B384C">
        <w:t>statistically</w:t>
      </w:r>
      <w:r w:rsidR="004B384C" w:rsidRPr="000D7D3D">
        <w:t xml:space="preserve"> </w:t>
      </w:r>
      <w:r w:rsidR="004B384C">
        <w:t>significant suppression</w:t>
      </w:r>
      <w:r w:rsidR="000D7D3D" w:rsidRPr="000D7D3D">
        <w:t xml:space="preserve"> when Pi availability was high (Figure 3.2</w:t>
      </w:r>
      <w:r w:rsidR="008D13F4">
        <w:t>)</w:t>
      </w:r>
      <w:r w:rsidR="006A5329">
        <w:t>. Meanwhile,</w:t>
      </w:r>
      <w:r w:rsidR="000D7D3D" w:rsidRPr="000D7D3D">
        <w:t xml:space="preserve"> </w:t>
      </w:r>
      <w:r w:rsidR="000D7D3D" w:rsidRPr="000D7D3D">
        <w:rPr>
          <w:i/>
        </w:rPr>
        <w:t>PiPT5</w:t>
      </w:r>
      <w:r w:rsidR="000D7D3D" w:rsidRPr="000D7D3D">
        <w:t xml:space="preserve"> and </w:t>
      </w:r>
      <w:r w:rsidR="000D7D3D" w:rsidRPr="000D7D3D">
        <w:rPr>
          <w:i/>
        </w:rPr>
        <w:t>PiPT6</w:t>
      </w:r>
      <w:r w:rsidR="000D7D3D" w:rsidRPr="000D7D3D">
        <w:t xml:space="preserve"> gene transcription remained unchanged to Pi availability</w:t>
      </w:r>
      <w:r w:rsidR="008D13F4">
        <w:t>.</w:t>
      </w:r>
    </w:p>
    <w:p w14:paraId="17C309FE" w14:textId="2EB7EED3" w:rsidR="000D7D3D" w:rsidRPr="000D7D3D" w:rsidRDefault="000B74F3" w:rsidP="00635993">
      <w:pPr>
        <w:ind w:firstLine="720"/>
      </w:pPr>
      <w:r>
        <w:t>S</w:t>
      </w:r>
      <w:r w:rsidR="000D7D3D" w:rsidRPr="000D7D3D">
        <w:t xml:space="preserve">tatistically significant differences in </w:t>
      </w:r>
      <w:r w:rsidR="000D7D3D" w:rsidRPr="000D7D3D">
        <w:rPr>
          <w:i/>
        </w:rPr>
        <w:t>PiPTs</w:t>
      </w:r>
      <w:r w:rsidR="000D7D3D" w:rsidRPr="000D7D3D">
        <w:t xml:space="preserve"> relative gene expression between the NS and S experimental conditions were observed for </w:t>
      </w:r>
      <w:r w:rsidR="000D7D3D" w:rsidRPr="000D7D3D">
        <w:rPr>
          <w:i/>
        </w:rPr>
        <w:t xml:space="preserve">PiPT1, PiPT2, PiPT3, PiPT4, </w:t>
      </w:r>
      <w:r w:rsidR="000D7D3D" w:rsidRPr="000D7D3D">
        <w:t xml:space="preserve">and </w:t>
      </w:r>
      <w:r w:rsidR="000D7D3D" w:rsidRPr="000D7D3D">
        <w:rPr>
          <w:i/>
        </w:rPr>
        <w:t xml:space="preserve">PiPT7 </w:t>
      </w:r>
      <w:r w:rsidR="000D7D3D" w:rsidRPr="000D7D3D">
        <w:t>at Pi varying concentrations</w:t>
      </w:r>
      <w:r w:rsidR="000D7D3D" w:rsidRPr="000D7D3D">
        <w:rPr>
          <w:vertAlign w:val="subscript"/>
        </w:rPr>
        <w:t xml:space="preserve"> </w:t>
      </w:r>
      <w:r w:rsidR="000D7D3D" w:rsidRPr="000D7D3D">
        <w:t>of the M-MMN</w:t>
      </w:r>
      <w:r w:rsidR="000D7D3D" w:rsidRPr="000D7D3D">
        <w:rPr>
          <w:vertAlign w:val="subscript"/>
        </w:rPr>
        <w:t>NS</w:t>
      </w:r>
      <w:r w:rsidR="000D7D3D" w:rsidRPr="000D7D3D">
        <w:t xml:space="preserve"> and M-MMN</w:t>
      </w:r>
      <w:r w:rsidR="000D7D3D" w:rsidRPr="000D7D3D">
        <w:rPr>
          <w:vertAlign w:val="subscript"/>
        </w:rPr>
        <w:t>S</w:t>
      </w:r>
      <w:r w:rsidR="000D7D3D" w:rsidRPr="000D7D3D">
        <w:t xml:space="preserve"> Pi-varying media, respectively (Figure 3.2). In particular, </w:t>
      </w:r>
      <w:r w:rsidR="000D7D3D" w:rsidRPr="000D7D3D">
        <w:rPr>
          <w:i/>
        </w:rPr>
        <w:t xml:space="preserve">PiPT1 and PiPT3 </w:t>
      </w:r>
      <w:r w:rsidR="00EA3FF8">
        <w:t>showed statistically</w:t>
      </w:r>
      <w:r w:rsidR="00EA3FF8" w:rsidRPr="000D7D3D">
        <w:t xml:space="preserve"> </w:t>
      </w:r>
      <w:r w:rsidR="00EA3FF8">
        <w:t>significant</w:t>
      </w:r>
      <w:r w:rsidR="004B384C" w:rsidRPr="000D7D3D">
        <w:t xml:space="preserve"> </w:t>
      </w:r>
      <w:r w:rsidR="000D7D3D" w:rsidRPr="000D7D3D">
        <w:t xml:space="preserve">higher </w:t>
      </w:r>
      <w:r w:rsidR="00EA3FF8" w:rsidRPr="00EA3FF8">
        <w:rPr>
          <w:i/>
        </w:rPr>
        <w:t>mRNA</w:t>
      </w:r>
      <w:r w:rsidR="00EA3FF8">
        <w:t xml:space="preserve"> levels </w:t>
      </w:r>
      <w:r w:rsidR="000D7D3D" w:rsidRPr="000D7D3D">
        <w:t xml:space="preserve">in </w:t>
      </w:r>
      <w:r w:rsidR="00EA3FF8">
        <w:t xml:space="preserve">the </w:t>
      </w:r>
      <w:r w:rsidR="000D7D3D" w:rsidRPr="000D7D3D">
        <w:t xml:space="preserve">NS condition at all Pi concentrations, </w:t>
      </w:r>
      <w:r w:rsidR="00EA3FF8">
        <w:t>except</w:t>
      </w:r>
      <w:r w:rsidR="000D7D3D" w:rsidRPr="000D7D3D">
        <w:t xml:space="preserve"> </w:t>
      </w:r>
      <w:r w:rsidR="00EA3FF8">
        <w:t xml:space="preserve">at </w:t>
      </w:r>
      <w:r w:rsidR="000D7D3D" w:rsidRPr="000D7D3D">
        <w:t xml:space="preserve">the highest Pi concentration for </w:t>
      </w:r>
      <w:r w:rsidR="000D7D3D" w:rsidRPr="000D7D3D">
        <w:rPr>
          <w:i/>
        </w:rPr>
        <w:t>PiPT1</w:t>
      </w:r>
      <w:r w:rsidR="000D7D3D" w:rsidRPr="000D7D3D">
        <w:t xml:space="preserve"> (Figure </w:t>
      </w:r>
      <w:r w:rsidR="00F709CD">
        <w:t>3</w:t>
      </w:r>
      <w:r w:rsidR="000D7D3D" w:rsidRPr="000D7D3D">
        <w:t xml:space="preserve">.2). In contrast, </w:t>
      </w:r>
      <w:r w:rsidR="00EA3FF8">
        <w:rPr>
          <w:i/>
        </w:rPr>
        <w:t xml:space="preserve">PiPT2, PiPT4, and PiPT7 </w:t>
      </w:r>
      <w:r w:rsidR="00EA3FF8">
        <w:t>exhibited</w:t>
      </w:r>
      <w:r w:rsidR="000D7D3D" w:rsidRPr="000D7D3D">
        <w:t xml:space="preserve"> </w:t>
      </w:r>
      <w:r w:rsidR="00EA3FF8">
        <w:t>statistically</w:t>
      </w:r>
      <w:r w:rsidR="00EA3FF8" w:rsidRPr="000D7D3D">
        <w:t xml:space="preserve"> </w:t>
      </w:r>
      <w:r w:rsidR="00EA3FF8">
        <w:t>significant</w:t>
      </w:r>
      <w:r w:rsidR="00EA3FF8" w:rsidRPr="000D7D3D">
        <w:t xml:space="preserve"> </w:t>
      </w:r>
      <w:r w:rsidR="00EA3FF8">
        <w:t>differences in</w:t>
      </w:r>
      <w:r w:rsidR="00EA3FF8" w:rsidRPr="000D7D3D">
        <w:rPr>
          <w:i/>
        </w:rPr>
        <w:t xml:space="preserve"> mRNA</w:t>
      </w:r>
      <w:r w:rsidR="00EA3FF8" w:rsidRPr="000D7D3D">
        <w:t xml:space="preserve"> relative expression </w:t>
      </w:r>
      <w:r w:rsidR="000D7D3D" w:rsidRPr="000D7D3D">
        <w:t xml:space="preserve">between </w:t>
      </w:r>
      <w:r w:rsidR="00EA3FF8">
        <w:t xml:space="preserve">the </w:t>
      </w:r>
      <w:r w:rsidR="000D7D3D" w:rsidRPr="000D7D3D">
        <w:t>NS and S condition at 3,670 μM, 3.67 μM, and 36.7 μM of KH</w:t>
      </w:r>
      <w:r w:rsidR="000D7D3D" w:rsidRPr="000D7D3D">
        <w:rPr>
          <w:vertAlign w:val="subscript"/>
        </w:rPr>
        <w:t>2</w:t>
      </w:r>
      <w:r w:rsidR="000D7D3D" w:rsidRPr="000D7D3D">
        <w:t>PO</w:t>
      </w:r>
      <w:r w:rsidR="000D7D3D" w:rsidRPr="000D7D3D">
        <w:rPr>
          <w:vertAlign w:val="subscript"/>
        </w:rPr>
        <w:t>4</w:t>
      </w:r>
      <w:r w:rsidR="000D7D3D" w:rsidRPr="000D7D3D">
        <w:t>,</w:t>
      </w:r>
      <w:r w:rsidR="000D7D3D" w:rsidRPr="000D7D3D">
        <w:rPr>
          <w:vertAlign w:val="subscript"/>
        </w:rPr>
        <w:t xml:space="preserve"> </w:t>
      </w:r>
      <w:r w:rsidR="000D7D3D" w:rsidRPr="000D7D3D">
        <w:t xml:space="preserve">respectively (Figure </w:t>
      </w:r>
      <w:r w:rsidR="00F709CD">
        <w:t>3</w:t>
      </w:r>
      <w:r w:rsidR="000D7D3D" w:rsidRPr="000D7D3D">
        <w:t xml:space="preserve">.2). In particular, </w:t>
      </w:r>
      <w:r w:rsidR="000D7D3D" w:rsidRPr="000D7D3D">
        <w:rPr>
          <w:i/>
        </w:rPr>
        <w:t>PiPT4</w:t>
      </w:r>
      <w:r w:rsidR="000D7D3D" w:rsidRPr="000D7D3D">
        <w:t xml:space="preserve"> </w:t>
      </w:r>
      <w:r w:rsidR="002977D9">
        <w:t>showed statistically</w:t>
      </w:r>
      <w:r w:rsidR="002977D9" w:rsidRPr="000D7D3D">
        <w:t xml:space="preserve"> </w:t>
      </w:r>
      <w:r w:rsidR="002977D9">
        <w:t>significant</w:t>
      </w:r>
      <w:r w:rsidR="002977D9" w:rsidRPr="000D7D3D">
        <w:t xml:space="preserve"> </w:t>
      </w:r>
      <w:r w:rsidR="000D7D3D" w:rsidRPr="000D7D3D">
        <w:t xml:space="preserve">higher </w:t>
      </w:r>
      <w:r w:rsidR="002977D9" w:rsidRPr="00EA3FF8">
        <w:rPr>
          <w:i/>
        </w:rPr>
        <w:t>mRNA</w:t>
      </w:r>
      <w:r w:rsidR="002977D9">
        <w:t xml:space="preserve"> levels</w:t>
      </w:r>
      <w:r w:rsidR="002977D9" w:rsidRPr="000D7D3D">
        <w:t xml:space="preserve"> </w:t>
      </w:r>
      <w:r w:rsidR="000D7D3D" w:rsidRPr="000D7D3D">
        <w:t xml:space="preserve">in </w:t>
      </w:r>
      <w:r w:rsidR="002977D9">
        <w:t xml:space="preserve">the </w:t>
      </w:r>
      <w:r w:rsidR="000D7D3D" w:rsidRPr="000D7D3D">
        <w:t>S condition compared to NS one at 3.67 μM of KH</w:t>
      </w:r>
      <w:r w:rsidR="000D7D3D" w:rsidRPr="000D7D3D">
        <w:rPr>
          <w:vertAlign w:val="subscript"/>
        </w:rPr>
        <w:t>2</w:t>
      </w:r>
      <w:r w:rsidR="000D7D3D" w:rsidRPr="000D7D3D">
        <w:t>PO</w:t>
      </w:r>
      <w:r w:rsidR="000D7D3D" w:rsidRPr="000D7D3D">
        <w:rPr>
          <w:vertAlign w:val="subscript"/>
        </w:rPr>
        <w:t xml:space="preserve">4 </w:t>
      </w:r>
      <w:r w:rsidR="000D7D3D" w:rsidRPr="000D7D3D">
        <w:t xml:space="preserve">(Figure </w:t>
      </w:r>
      <w:r w:rsidR="00F709CD">
        <w:t>3</w:t>
      </w:r>
      <w:r w:rsidR="000D7D3D" w:rsidRPr="000D7D3D">
        <w:t>.2).</w:t>
      </w:r>
      <w:r w:rsidR="000D7D3D" w:rsidRPr="000D7D3D">
        <w:br w:type="page"/>
      </w:r>
    </w:p>
    <w:p w14:paraId="306314F7" w14:textId="26927BEC" w:rsidR="005831A9" w:rsidRDefault="006A5329" w:rsidP="003F7054">
      <w:r>
        <w:rPr>
          <w:noProof/>
          <w:lang w:eastAsia="en-GB"/>
        </w:rPr>
        <w:lastRenderedPageBreak/>
        <w:drawing>
          <wp:inline distT="0" distB="0" distL="0" distR="0" wp14:anchorId="5CA8D9AF" wp14:editId="37E3E677">
            <wp:extent cx="5510247" cy="74041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 3.1_new+.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12106" cy="7406598"/>
                    </a:xfrm>
                    <a:prstGeom prst="rect">
                      <a:avLst/>
                    </a:prstGeom>
                  </pic:spPr>
                </pic:pic>
              </a:graphicData>
            </a:graphic>
          </wp:inline>
        </w:drawing>
      </w:r>
    </w:p>
    <w:p w14:paraId="0F1FD9AD" w14:textId="5FCF8E08" w:rsidR="000D7D3D" w:rsidRPr="000D7D3D" w:rsidRDefault="005831A9" w:rsidP="007F746A">
      <w:r>
        <w:br w:type="page"/>
      </w:r>
    </w:p>
    <w:p w14:paraId="1533C8F8" w14:textId="2E282AEC" w:rsidR="006A5329" w:rsidRDefault="000D7D3D" w:rsidP="00635993">
      <w:pPr>
        <w:pStyle w:val="Subtitle"/>
        <w:pBdr>
          <w:top w:val="single" w:sz="4" w:space="1" w:color="auto"/>
        </w:pBdr>
        <w:rPr>
          <w:b w:val="0"/>
        </w:rPr>
      </w:pPr>
      <w:r w:rsidRPr="000D7D3D">
        <w:lastRenderedPageBreak/>
        <w:t xml:space="preserve">Figure 3.1 </w:t>
      </w:r>
      <w:r w:rsidRPr="00635993">
        <w:rPr>
          <w:b w:val="0"/>
        </w:rPr>
        <w:t xml:space="preserve">Pi varying experiment where Pi concentration ranged from 0.37 to 3,670 </w:t>
      </w:r>
      <w:r w:rsidRPr="00635993">
        <w:rPr>
          <w:b w:val="0"/>
          <w:lang w:val="el-GR"/>
        </w:rPr>
        <w:t>μ</w:t>
      </w:r>
      <w:r w:rsidRPr="00635993">
        <w:rPr>
          <w:b w:val="0"/>
        </w:rPr>
        <w:t xml:space="preserve">M. 90 days growth. </w:t>
      </w:r>
      <w:r w:rsidRPr="00B46FB7">
        <w:t>A.</w:t>
      </w:r>
      <w:r w:rsidRPr="00635993">
        <w:rPr>
          <w:b w:val="0"/>
        </w:rPr>
        <w:t xml:space="preserve"> Examples of </w:t>
      </w:r>
      <w:r w:rsidR="006A5329">
        <w:rPr>
          <w:b w:val="0"/>
        </w:rPr>
        <w:t>NS and S</w:t>
      </w:r>
      <w:r w:rsidRPr="00635993">
        <w:rPr>
          <w:b w:val="0"/>
        </w:rPr>
        <w:t xml:space="preserve"> experimental conditions. </w:t>
      </w:r>
      <w:r w:rsidRPr="00B46FB7">
        <w:t>B.</w:t>
      </w:r>
      <w:r w:rsidRPr="00635993">
        <w:rPr>
          <w:b w:val="0"/>
        </w:rPr>
        <w:t xml:space="preserve"> </w:t>
      </w:r>
      <w:r w:rsidR="00552773" w:rsidRPr="00635993">
        <w:rPr>
          <w:b w:val="0"/>
        </w:rPr>
        <w:t xml:space="preserve">Pi </w:t>
      </w:r>
      <w:r w:rsidRPr="00635993">
        <w:rPr>
          <w:b w:val="0"/>
        </w:rPr>
        <w:t xml:space="preserve">content of </w:t>
      </w:r>
      <w:r w:rsidR="006A5329" w:rsidRPr="006A5329">
        <w:rPr>
          <w:b w:val="0"/>
          <w:i/>
        </w:rPr>
        <w:t>P. involutus</w:t>
      </w:r>
      <w:r w:rsidR="006A5329" w:rsidRPr="006A5329">
        <w:rPr>
          <w:b w:val="0"/>
        </w:rPr>
        <w:t xml:space="preserve"> </w:t>
      </w:r>
      <w:r w:rsidR="006A5329" w:rsidRPr="006A5329">
        <w:rPr>
          <w:b w:val="0"/>
          <w:i/>
        </w:rPr>
        <w:t>ATCC 200175</w:t>
      </w:r>
      <w:r w:rsidRPr="00635993">
        <w:rPr>
          <w:b w:val="0"/>
        </w:rPr>
        <w:t xml:space="preserve"> hyphae for both NS and S conditions. </w:t>
      </w:r>
      <w:r w:rsidRPr="00B46FB7">
        <w:t>C.</w:t>
      </w:r>
      <w:r w:rsidRPr="00635993">
        <w:rPr>
          <w:b w:val="0"/>
        </w:rPr>
        <w:t xml:space="preserve"> </w:t>
      </w:r>
      <w:r w:rsidR="00552773" w:rsidRPr="00635993">
        <w:rPr>
          <w:b w:val="0"/>
        </w:rPr>
        <w:t xml:space="preserve">Pi </w:t>
      </w:r>
      <w:r w:rsidRPr="00635993">
        <w:rPr>
          <w:b w:val="0"/>
        </w:rPr>
        <w:t xml:space="preserve">content of </w:t>
      </w:r>
      <w:r w:rsidR="006A5329" w:rsidRPr="006A5329">
        <w:rPr>
          <w:b w:val="0"/>
          <w:i/>
        </w:rPr>
        <w:t>P. sylvestris</w:t>
      </w:r>
      <w:r w:rsidRPr="00635993">
        <w:rPr>
          <w:b w:val="0"/>
        </w:rPr>
        <w:t xml:space="preserve"> needles and roots in the S condition. </w:t>
      </w:r>
      <w:r w:rsidRPr="00B46FB7">
        <w:t>D.</w:t>
      </w:r>
      <w:r w:rsidRPr="00635993">
        <w:rPr>
          <w:b w:val="0"/>
        </w:rPr>
        <w:t xml:space="preserve"> Dry mass of </w:t>
      </w:r>
      <w:r w:rsidR="006A5329" w:rsidRPr="006A5329">
        <w:rPr>
          <w:b w:val="0"/>
          <w:i/>
        </w:rPr>
        <w:t>P. involutus</w:t>
      </w:r>
      <w:r w:rsidR="006A5329" w:rsidRPr="006A5329">
        <w:rPr>
          <w:b w:val="0"/>
        </w:rPr>
        <w:t xml:space="preserve"> </w:t>
      </w:r>
      <w:r w:rsidR="006A5329" w:rsidRPr="006A5329">
        <w:rPr>
          <w:b w:val="0"/>
          <w:i/>
        </w:rPr>
        <w:t>ATCC 200175</w:t>
      </w:r>
      <w:r w:rsidRPr="00635993">
        <w:rPr>
          <w:b w:val="0"/>
        </w:rPr>
        <w:t xml:space="preserve"> hyphae for both NS and S condition. </w:t>
      </w:r>
      <w:r w:rsidRPr="00B46FB7">
        <w:t>E.</w:t>
      </w:r>
      <w:r w:rsidRPr="00635993">
        <w:rPr>
          <w:b w:val="0"/>
        </w:rPr>
        <w:t xml:space="preserve"> Dry mass of </w:t>
      </w:r>
      <w:r w:rsidR="006A5329" w:rsidRPr="006A5329">
        <w:rPr>
          <w:b w:val="0"/>
          <w:i/>
        </w:rPr>
        <w:t>P. sylvestris</w:t>
      </w:r>
      <w:r w:rsidRPr="00635993">
        <w:rPr>
          <w:b w:val="0"/>
        </w:rPr>
        <w:t xml:space="preserve"> needles and roots in S condition. </w:t>
      </w:r>
      <w:r w:rsidR="00DC21DA" w:rsidRPr="00635993">
        <w:rPr>
          <w:b w:val="0"/>
        </w:rPr>
        <w:t xml:space="preserve">Statistically </w:t>
      </w:r>
      <w:r w:rsidR="00DC21DA">
        <w:rPr>
          <w:b w:val="0"/>
        </w:rPr>
        <w:t>s</w:t>
      </w:r>
      <w:r w:rsidRPr="00635993">
        <w:rPr>
          <w:b w:val="0"/>
        </w:rPr>
        <w:t>ignificant differences in Pi content (</w:t>
      </w:r>
      <w:r w:rsidRPr="00B46FB7">
        <w:t>B</w:t>
      </w:r>
      <w:r w:rsidRPr="00635993">
        <w:rPr>
          <w:b w:val="0"/>
        </w:rPr>
        <w:t xml:space="preserve"> and </w:t>
      </w:r>
      <w:r w:rsidRPr="00B46FB7">
        <w:t>C</w:t>
      </w:r>
      <w:r w:rsidRPr="00635993">
        <w:rPr>
          <w:b w:val="0"/>
        </w:rPr>
        <w:t>) and dry mass (</w:t>
      </w:r>
      <w:r w:rsidRPr="00B46FB7">
        <w:t>D</w:t>
      </w:r>
      <w:r w:rsidRPr="00635993">
        <w:rPr>
          <w:b w:val="0"/>
        </w:rPr>
        <w:t xml:space="preserve"> and </w:t>
      </w:r>
      <w:r w:rsidRPr="00B46FB7">
        <w:t>E</w:t>
      </w:r>
      <w:r w:rsidRPr="00635993">
        <w:rPr>
          <w:b w:val="0"/>
        </w:rPr>
        <w:t xml:space="preserve">) at different Pi concentrations were assessed by one-way ANOVA followed by Tukey’s post-hoc analysis for multiple comparisons </w:t>
      </w:r>
      <w:r w:rsidR="00CF18A0">
        <w:rPr>
          <w:b w:val="0"/>
        </w:rPr>
        <w:t>among</w:t>
      </w:r>
      <w:r w:rsidRPr="00635993">
        <w:rPr>
          <w:b w:val="0"/>
        </w:rPr>
        <w:t xml:space="preserve"> Pi concentrations (letters, </w:t>
      </w:r>
      <w:r w:rsidRPr="00635993">
        <w:rPr>
          <w:b w:val="0"/>
          <w:i/>
        </w:rPr>
        <w:t>α</w:t>
      </w:r>
      <w:r w:rsidRPr="00635993">
        <w:rPr>
          <w:b w:val="0"/>
        </w:rPr>
        <w:t xml:space="preserve">=0.05). </w:t>
      </w:r>
      <w:r w:rsidR="00A6094C" w:rsidRPr="00635993">
        <w:rPr>
          <w:b w:val="0"/>
        </w:rPr>
        <w:t xml:space="preserve">Statistically significant differences in Pi content or dry mass between </w:t>
      </w:r>
      <w:r w:rsidR="00A6094C" w:rsidRPr="00163F38">
        <w:rPr>
          <w:b w:val="0"/>
          <w:i/>
        </w:rPr>
        <w:t>P. involutus ATCC 200175</w:t>
      </w:r>
      <w:r w:rsidR="00A6094C" w:rsidRPr="00635993">
        <w:rPr>
          <w:b w:val="0"/>
        </w:rPr>
        <w:t xml:space="preserve"> hyphae </w:t>
      </w:r>
      <w:r w:rsidR="00A6094C">
        <w:rPr>
          <w:b w:val="0"/>
        </w:rPr>
        <w:t xml:space="preserve">or between </w:t>
      </w:r>
      <w:r w:rsidR="00A6094C" w:rsidRPr="00163F38">
        <w:rPr>
          <w:b w:val="0"/>
          <w:i/>
        </w:rPr>
        <w:t>P. sylvestris</w:t>
      </w:r>
      <w:r w:rsidR="00A6094C">
        <w:rPr>
          <w:b w:val="0"/>
        </w:rPr>
        <w:t xml:space="preserve"> needles and roots </w:t>
      </w:r>
      <w:r w:rsidR="00A6094C" w:rsidRPr="00635993">
        <w:rPr>
          <w:b w:val="0"/>
        </w:rPr>
        <w:t xml:space="preserve">grown under NS or S conditions </w:t>
      </w:r>
      <w:r w:rsidRPr="00635993">
        <w:rPr>
          <w:b w:val="0"/>
        </w:rPr>
        <w:t xml:space="preserve">were assessed in pairwise comparisons at each Pi concentration by Student’s t-test (asterisks, </w:t>
      </w:r>
      <w:r w:rsidRPr="00635993">
        <w:rPr>
          <w:b w:val="0"/>
          <w:i/>
        </w:rPr>
        <w:t>α</w:t>
      </w:r>
      <w:r w:rsidRPr="00635993">
        <w:rPr>
          <w:b w:val="0"/>
        </w:rPr>
        <w:t xml:space="preserve">=0.05). Error bars represent standard error of the mean of three biological replicates except for the </w:t>
      </w:r>
      <w:r w:rsidR="006A5329" w:rsidRPr="006A5329">
        <w:rPr>
          <w:b w:val="0"/>
          <w:i/>
        </w:rPr>
        <w:t>P. sylvestris</w:t>
      </w:r>
      <w:r w:rsidRPr="00635993">
        <w:rPr>
          <w:b w:val="0"/>
        </w:rPr>
        <w:t xml:space="preserve"> </w:t>
      </w:r>
      <w:r w:rsidR="00957508" w:rsidRPr="00957508">
        <w:rPr>
          <w:b w:val="0"/>
        </w:rPr>
        <w:t>needle</w:t>
      </w:r>
      <w:r w:rsidRPr="00635993">
        <w:rPr>
          <w:b w:val="0"/>
        </w:rPr>
        <w:t xml:space="preserve"> and root dry mass in the S condition, for which six biological replicates were used.</w:t>
      </w:r>
    </w:p>
    <w:p w14:paraId="6F2197CD" w14:textId="7EB192D4" w:rsidR="000D7D3D" w:rsidRPr="000D7D3D" w:rsidRDefault="000D7D3D" w:rsidP="00635993">
      <w:pPr>
        <w:pStyle w:val="Subtitle"/>
        <w:pBdr>
          <w:top w:val="single" w:sz="4" w:space="1" w:color="auto"/>
        </w:pBdr>
      </w:pPr>
      <w:r w:rsidRPr="00635993">
        <w:rPr>
          <w:b w:val="0"/>
        </w:rPr>
        <w:br w:type="page"/>
      </w:r>
    </w:p>
    <w:p w14:paraId="76C97866" w14:textId="26F2936F" w:rsidR="00B724C2" w:rsidRDefault="00B724C2" w:rsidP="003F7054">
      <w:r>
        <w:rPr>
          <w:noProof/>
          <w:lang w:eastAsia="en-GB"/>
        </w:rPr>
        <w:lastRenderedPageBreak/>
        <w:drawing>
          <wp:inline distT="0" distB="0" distL="0" distR="0" wp14:anchorId="4E7886DD" wp14:editId="4A583CF1">
            <wp:extent cx="4914900" cy="737747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 3.2_NEW++++.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18381" cy="7382699"/>
                    </a:xfrm>
                    <a:prstGeom prst="rect">
                      <a:avLst/>
                    </a:prstGeom>
                  </pic:spPr>
                </pic:pic>
              </a:graphicData>
            </a:graphic>
          </wp:inline>
        </w:drawing>
      </w:r>
    </w:p>
    <w:p w14:paraId="7D54FF13" w14:textId="4153DF78" w:rsidR="000D7D3D" w:rsidRPr="000D7D3D" w:rsidRDefault="00B724C2" w:rsidP="003F7054">
      <w:r>
        <w:br w:type="page"/>
      </w:r>
    </w:p>
    <w:p w14:paraId="2A1CD4AC" w14:textId="0D1EFAFA" w:rsidR="000D7D3D" w:rsidRPr="00B46FB7" w:rsidRDefault="000D7D3D" w:rsidP="00635993">
      <w:pPr>
        <w:pStyle w:val="Subtitle"/>
        <w:pBdr>
          <w:top w:val="single" w:sz="4" w:space="1" w:color="auto"/>
        </w:pBdr>
      </w:pPr>
      <w:r w:rsidRPr="000D7D3D">
        <w:lastRenderedPageBreak/>
        <w:t xml:space="preserve">Figure 3.2 </w:t>
      </w:r>
      <w:r w:rsidRPr="00635993">
        <w:rPr>
          <w:b w:val="0"/>
        </w:rPr>
        <w:t xml:space="preserve">Relative </w:t>
      </w:r>
      <w:r w:rsidRPr="00635993">
        <w:rPr>
          <w:b w:val="0"/>
          <w:i/>
        </w:rPr>
        <w:t>mRNA</w:t>
      </w:r>
      <w:r w:rsidRPr="00635993">
        <w:rPr>
          <w:b w:val="0"/>
        </w:rPr>
        <w:t xml:space="preserve"> levels of the </w:t>
      </w:r>
      <w:r w:rsidRPr="00635993">
        <w:rPr>
          <w:b w:val="0"/>
          <w:i/>
        </w:rPr>
        <w:t>PiPTs</w:t>
      </w:r>
      <w:r w:rsidRPr="00635993">
        <w:rPr>
          <w:b w:val="0"/>
        </w:rPr>
        <w:t xml:space="preserve"> for NS (orange) and S (green) growth conditions of </w:t>
      </w:r>
      <w:r w:rsidRPr="00635993">
        <w:rPr>
          <w:b w:val="0"/>
          <w:i/>
        </w:rPr>
        <w:t>P. involutus</w:t>
      </w:r>
      <w:r w:rsidR="009E7787">
        <w:rPr>
          <w:b w:val="0"/>
          <w:i/>
        </w:rPr>
        <w:t xml:space="preserve"> ATCC 200175</w:t>
      </w:r>
      <w:r w:rsidRPr="00635993">
        <w:rPr>
          <w:b w:val="0"/>
        </w:rPr>
        <w:t xml:space="preserve"> hyphae during growth on the Pi-varying M-MMN</w:t>
      </w:r>
      <w:r w:rsidRPr="00635993">
        <w:rPr>
          <w:b w:val="0"/>
          <w:vertAlign w:val="subscript"/>
        </w:rPr>
        <w:t>NS</w:t>
      </w:r>
      <w:r w:rsidRPr="00635993">
        <w:rPr>
          <w:b w:val="0"/>
        </w:rPr>
        <w:t xml:space="preserve"> and M-MMN</w:t>
      </w:r>
      <w:r w:rsidRPr="00635993">
        <w:rPr>
          <w:b w:val="0"/>
          <w:vertAlign w:val="subscript"/>
        </w:rPr>
        <w:t>S</w:t>
      </w:r>
      <w:r w:rsidRPr="00635993">
        <w:rPr>
          <w:b w:val="0"/>
        </w:rPr>
        <w:t xml:space="preserve"> media, respectively for 90 days. Results are shown for 0.37 </w:t>
      </w:r>
      <w:r w:rsidRPr="00635993">
        <w:rPr>
          <w:b w:val="0"/>
          <w:lang w:val="el-GR"/>
        </w:rPr>
        <w:t>μ</w:t>
      </w:r>
      <w:r w:rsidRPr="00635993">
        <w:rPr>
          <w:b w:val="0"/>
        </w:rPr>
        <w:t xml:space="preserve">M, 3.67 </w:t>
      </w:r>
      <w:r w:rsidRPr="00635993">
        <w:rPr>
          <w:b w:val="0"/>
          <w:lang w:val="el-GR"/>
        </w:rPr>
        <w:t>μ</w:t>
      </w:r>
      <w:r w:rsidRPr="00635993">
        <w:rPr>
          <w:b w:val="0"/>
        </w:rPr>
        <w:t xml:space="preserve">M, 37 </w:t>
      </w:r>
      <w:r w:rsidRPr="00635993">
        <w:rPr>
          <w:b w:val="0"/>
          <w:lang w:val="el-GR"/>
        </w:rPr>
        <w:t>μ</w:t>
      </w:r>
      <w:r w:rsidRPr="00635993">
        <w:rPr>
          <w:b w:val="0"/>
        </w:rPr>
        <w:t xml:space="preserve">M, 367 </w:t>
      </w:r>
      <w:r w:rsidRPr="00635993">
        <w:rPr>
          <w:b w:val="0"/>
          <w:lang w:val="el-GR"/>
        </w:rPr>
        <w:t>μ</w:t>
      </w:r>
      <w:r w:rsidRPr="00635993">
        <w:rPr>
          <w:b w:val="0"/>
        </w:rPr>
        <w:t xml:space="preserve">M, and 3,760 </w:t>
      </w:r>
      <w:r w:rsidRPr="00635993">
        <w:rPr>
          <w:b w:val="0"/>
          <w:lang w:val="el-GR"/>
        </w:rPr>
        <w:t>μ</w:t>
      </w:r>
      <w:r w:rsidRPr="00635993">
        <w:rPr>
          <w:b w:val="0"/>
        </w:rPr>
        <w:t>M of KH</w:t>
      </w:r>
      <w:r w:rsidRPr="00635993">
        <w:rPr>
          <w:b w:val="0"/>
          <w:vertAlign w:val="subscript"/>
        </w:rPr>
        <w:t>2</w:t>
      </w:r>
      <w:r w:rsidRPr="00635993">
        <w:rPr>
          <w:b w:val="0"/>
        </w:rPr>
        <w:t>PO</w:t>
      </w:r>
      <w:r w:rsidRPr="00635993">
        <w:rPr>
          <w:b w:val="0"/>
          <w:vertAlign w:val="subscript"/>
        </w:rPr>
        <w:t>4</w:t>
      </w:r>
      <w:r w:rsidRPr="00635993">
        <w:rPr>
          <w:b w:val="0"/>
        </w:rPr>
        <w:t xml:space="preserve">. Statistically significant differences in relative </w:t>
      </w:r>
      <w:r w:rsidRPr="00635993">
        <w:rPr>
          <w:b w:val="0"/>
          <w:i/>
        </w:rPr>
        <w:t>mRNA</w:t>
      </w:r>
      <w:r w:rsidRPr="00635993">
        <w:rPr>
          <w:b w:val="0"/>
        </w:rPr>
        <w:t xml:space="preserve"> expression at different Pi concentrations and each NS and S condition were assessed by one-way ANOVA, followed by Tukey’s post-hoc analysis for multiple comparisons between Pi concentrations (letters, </w:t>
      </w:r>
      <w:r w:rsidRPr="008D13F4">
        <w:rPr>
          <w:b w:val="0"/>
          <w:i/>
          <w:lang w:val="el-GR"/>
        </w:rPr>
        <w:t>α</w:t>
      </w:r>
      <w:r w:rsidRPr="00635993">
        <w:rPr>
          <w:b w:val="0"/>
        </w:rPr>
        <w:t xml:space="preserve">=0.05). Asterisks represent statistically significant differences in relative </w:t>
      </w:r>
      <w:r w:rsidRPr="00635993">
        <w:rPr>
          <w:b w:val="0"/>
          <w:i/>
        </w:rPr>
        <w:t>mRNA</w:t>
      </w:r>
      <w:r w:rsidRPr="00635993">
        <w:rPr>
          <w:b w:val="0"/>
        </w:rPr>
        <w:t xml:space="preserve"> expression betw</w:t>
      </w:r>
      <w:r w:rsidR="009E7787">
        <w:rPr>
          <w:b w:val="0"/>
        </w:rPr>
        <w:t>een NS and S experimental condition</w:t>
      </w:r>
      <w:r w:rsidRPr="00635993">
        <w:rPr>
          <w:b w:val="0"/>
        </w:rPr>
        <w:t xml:space="preserve">s at the indicated Pi concentration, assessed by Student’s t-test in pairwise comparisons (asterisks, </w:t>
      </w:r>
      <w:r w:rsidRPr="008D13F4">
        <w:rPr>
          <w:b w:val="0"/>
          <w:i/>
          <w:lang w:val="el-GR"/>
        </w:rPr>
        <w:t>α</w:t>
      </w:r>
      <w:r w:rsidRPr="00635993">
        <w:rPr>
          <w:b w:val="0"/>
        </w:rPr>
        <w:t>=0.05).</w:t>
      </w:r>
    </w:p>
    <w:p w14:paraId="2F178874" w14:textId="77777777" w:rsidR="000D7D3D" w:rsidRPr="000D7D3D" w:rsidRDefault="000D7D3D">
      <w:r w:rsidRPr="000D7D3D">
        <w:br w:type="page"/>
      </w:r>
    </w:p>
    <w:p w14:paraId="34DA85EF" w14:textId="35E838F1" w:rsidR="000D7D3D" w:rsidRPr="000D7D3D" w:rsidRDefault="000D7D3D" w:rsidP="00635993">
      <w:pPr>
        <w:pStyle w:val="Heading2"/>
      </w:pPr>
      <w:bookmarkStart w:id="254" w:name="_Toc507604016"/>
      <w:bookmarkStart w:id="255" w:name="_Toc507604283"/>
      <w:bookmarkStart w:id="256" w:name="_Toc519016993"/>
      <w:bookmarkStart w:id="257" w:name="_Toc520837898"/>
      <w:r w:rsidRPr="000D7D3D">
        <w:lastRenderedPageBreak/>
        <w:t xml:space="preserve">3.3.2 </w:t>
      </w:r>
      <w:r w:rsidR="009C5684">
        <w:t xml:space="preserve">RNA-seq </w:t>
      </w:r>
      <w:r w:rsidR="00E32612">
        <w:t>PCA</w:t>
      </w:r>
      <w:bookmarkEnd w:id="254"/>
      <w:bookmarkEnd w:id="255"/>
      <w:bookmarkEnd w:id="256"/>
      <w:bookmarkEnd w:id="257"/>
      <w:r w:rsidRPr="000D7D3D">
        <w:t xml:space="preserve"> </w:t>
      </w:r>
    </w:p>
    <w:p w14:paraId="3E50F9B7" w14:textId="7F0E3FD1" w:rsidR="000D7D3D" w:rsidRPr="000D7D3D" w:rsidRDefault="000D7D3D" w:rsidP="003F7054">
      <w:r w:rsidRPr="000D7D3D">
        <w:t xml:space="preserve">RNA-seq analysis was performed on total RNA extracted from </w:t>
      </w:r>
      <w:r w:rsidRPr="000D7D3D">
        <w:rPr>
          <w:i/>
        </w:rPr>
        <w:t>P. involutus</w:t>
      </w:r>
      <w:r w:rsidRPr="000D7D3D">
        <w:t xml:space="preserve"> </w:t>
      </w:r>
      <w:r w:rsidRPr="000D7D3D">
        <w:rPr>
          <w:i/>
        </w:rPr>
        <w:t>ATCC 200175</w:t>
      </w:r>
      <w:r w:rsidRPr="000D7D3D">
        <w:rPr>
          <w:b/>
          <w:i/>
        </w:rPr>
        <w:t xml:space="preserve"> </w:t>
      </w:r>
      <w:r w:rsidR="007B03BB">
        <w:t>hyphae growing i</w:t>
      </w:r>
      <w:r w:rsidRPr="000D7D3D">
        <w:t>n the Pi-varying M-MMN</w:t>
      </w:r>
      <w:r w:rsidRPr="000D7D3D">
        <w:rPr>
          <w:vertAlign w:val="subscript"/>
        </w:rPr>
        <w:t>NS</w:t>
      </w:r>
      <w:r w:rsidRPr="000D7D3D">
        <w:t xml:space="preserve"> and M-MMN</w:t>
      </w:r>
      <w:r w:rsidRPr="000D7D3D">
        <w:rPr>
          <w:vertAlign w:val="subscript"/>
        </w:rPr>
        <w:t>S</w:t>
      </w:r>
      <w:r w:rsidRPr="000D7D3D">
        <w:t xml:space="preserve"> media, i.e. at NS and S conditions, respectively, as described in </w:t>
      </w:r>
      <w:r w:rsidR="003F061A">
        <w:t>S</w:t>
      </w:r>
      <w:r w:rsidRPr="000D7D3D">
        <w:t>ection 3.3.</w:t>
      </w:r>
      <w:r w:rsidR="00E32612">
        <w:t>1. PCA</w:t>
      </w:r>
      <w:r w:rsidR="00167FC6">
        <w:t xml:space="preserve"> </w:t>
      </w:r>
      <w:r w:rsidRPr="000D7D3D">
        <w:t xml:space="preserve">of </w:t>
      </w:r>
      <w:r w:rsidRPr="000D7D3D">
        <w:rPr>
          <w:i/>
        </w:rPr>
        <w:t>rlog</w:t>
      </w:r>
      <w:r w:rsidRPr="000D7D3D">
        <w:t>-transformed read counts derived from the RNA-seq analysis have shown clear separation of the experimental conditions, as NS low Pi, NS high Pi, S low Pi, and S high Pi</w:t>
      </w:r>
      <w:r w:rsidR="00F709CD">
        <w:t xml:space="preserve"> (Figure 3.3)</w:t>
      </w:r>
      <w:r w:rsidRPr="000D7D3D">
        <w:t xml:space="preserve">. In particular, principal component 1 (PC1) shows separation of the experimental conditions based on the Pi content, while PC2 shows separation on the symbiotic status of fungal hyphae under NS and S conditions. Overall, PC1 and PC2 together explain 90% of the total variance of the </w:t>
      </w:r>
      <w:r w:rsidR="00F709CD">
        <w:t>dataset (Figure 3.3)</w:t>
      </w:r>
      <w:r w:rsidRPr="000D7D3D">
        <w:t xml:space="preserve">. </w:t>
      </w:r>
    </w:p>
    <w:p w14:paraId="1929692E" w14:textId="6964E6A8" w:rsidR="000D7D3D" w:rsidRPr="000D7D3D" w:rsidRDefault="000D7D3D" w:rsidP="007F746A">
      <w:r w:rsidRPr="000D7D3D">
        <w:rPr>
          <w:noProof/>
          <w:lang w:eastAsia="en-GB"/>
        </w:rPr>
        <w:drawing>
          <wp:inline distT="0" distB="0" distL="0" distR="0" wp14:anchorId="5B3A87E0" wp14:editId="6DF1DA74">
            <wp:extent cx="5943600" cy="33820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5419" cy="3400113"/>
                    </a:xfrm>
                    <a:prstGeom prst="rect">
                      <a:avLst/>
                    </a:prstGeom>
                  </pic:spPr>
                </pic:pic>
              </a:graphicData>
            </a:graphic>
          </wp:inline>
        </w:drawing>
      </w:r>
    </w:p>
    <w:p w14:paraId="650C1321" w14:textId="77777777" w:rsidR="00EF6ED2" w:rsidRDefault="000D7D3D" w:rsidP="00635993">
      <w:pPr>
        <w:pStyle w:val="Subtitle"/>
        <w:pBdr>
          <w:top w:val="single" w:sz="4" w:space="1" w:color="auto"/>
        </w:pBdr>
        <w:rPr>
          <w:b w:val="0"/>
        </w:rPr>
      </w:pPr>
      <w:r w:rsidRPr="000D7D3D">
        <w:t xml:space="preserve">Figure 3.3 </w:t>
      </w:r>
      <w:r w:rsidR="005E07B4">
        <w:rPr>
          <w:b w:val="0"/>
        </w:rPr>
        <w:t>PCA</w:t>
      </w:r>
      <w:r w:rsidRPr="00635993">
        <w:rPr>
          <w:b w:val="0"/>
        </w:rPr>
        <w:t xml:space="preserve"> of </w:t>
      </w:r>
      <w:r w:rsidRPr="00635993">
        <w:rPr>
          <w:b w:val="0"/>
          <w:i/>
        </w:rPr>
        <w:t>rlog</w:t>
      </w:r>
      <w:r w:rsidRPr="00635993">
        <w:rPr>
          <w:b w:val="0"/>
        </w:rPr>
        <w:t xml:space="preserve">-transformed read counts (Love </w:t>
      </w:r>
      <w:r w:rsidR="006A7911" w:rsidRPr="00635993">
        <w:rPr>
          <w:b w:val="0"/>
        </w:rPr>
        <w:t xml:space="preserve">et al. </w:t>
      </w:r>
      <w:r w:rsidRPr="00635993">
        <w:rPr>
          <w:b w:val="0"/>
        </w:rPr>
        <w:t xml:space="preserve">2014) from RNA-seq data derived from </w:t>
      </w:r>
      <w:r w:rsidRPr="00635993">
        <w:rPr>
          <w:b w:val="0"/>
          <w:i/>
        </w:rPr>
        <w:t>P. involutus</w:t>
      </w:r>
      <w:r w:rsidRPr="00635993">
        <w:rPr>
          <w:b w:val="0"/>
        </w:rPr>
        <w:t xml:space="preserve"> </w:t>
      </w:r>
      <w:r w:rsidRPr="00635993">
        <w:rPr>
          <w:b w:val="0"/>
          <w:i/>
        </w:rPr>
        <w:t xml:space="preserve">ATCC 200175 </w:t>
      </w:r>
      <w:r w:rsidRPr="00635993">
        <w:rPr>
          <w:b w:val="0"/>
        </w:rPr>
        <w:t xml:space="preserve">after 90 days of growth </w:t>
      </w:r>
      <w:r w:rsidR="005E07B4">
        <w:rPr>
          <w:b w:val="0"/>
        </w:rPr>
        <w:t>in</w:t>
      </w:r>
      <w:r w:rsidRPr="00635993">
        <w:rPr>
          <w:b w:val="0"/>
        </w:rPr>
        <w:t xml:space="preserve"> the Pi varying experimental setup. Each circular marker represents one biological replicate. Orange: funga</w:t>
      </w:r>
      <w:r w:rsidR="005E07B4">
        <w:rPr>
          <w:b w:val="0"/>
        </w:rPr>
        <w:t>l hyphae grown in NS condition</w:t>
      </w:r>
      <w:r w:rsidRPr="00635993">
        <w:rPr>
          <w:b w:val="0"/>
        </w:rPr>
        <w:t xml:space="preserve">; green: </w:t>
      </w:r>
      <w:r w:rsidR="005E07B4">
        <w:rPr>
          <w:b w:val="0"/>
        </w:rPr>
        <w:t xml:space="preserve">fungal hyphae grown in S condition together with </w:t>
      </w:r>
      <w:r w:rsidR="005E07B4" w:rsidRPr="005E07B4">
        <w:rPr>
          <w:b w:val="0"/>
          <w:i/>
        </w:rPr>
        <w:t>P. sylvestris</w:t>
      </w:r>
      <w:r w:rsidR="005E07B4">
        <w:rPr>
          <w:b w:val="0"/>
        </w:rPr>
        <w:t xml:space="preserve"> seedling;</w:t>
      </w:r>
      <w:r w:rsidRPr="00635993">
        <w:rPr>
          <w:b w:val="0"/>
        </w:rPr>
        <w:t xml:space="preserve"> lighter colours: fungal hyphae grown in 0.37 </w:t>
      </w:r>
      <w:r w:rsidRPr="00635993">
        <w:rPr>
          <w:b w:val="0"/>
          <w:lang w:val="el-GR"/>
        </w:rPr>
        <w:t>μ</w:t>
      </w:r>
      <w:r w:rsidRPr="00635993">
        <w:rPr>
          <w:b w:val="0"/>
        </w:rPr>
        <w:t xml:space="preserve">M of Pi (low Pi); darker colours: fungal hyphae grown in 367 </w:t>
      </w:r>
      <w:r w:rsidRPr="00635993">
        <w:rPr>
          <w:b w:val="0"/>
          <w:lang w:val="el-GR"/>
        </w:rPr>
        <w:t>μ</w:t>
      </w:r>
      <w:r w:rsidRPr="00635993">
        <w:rPr>
          <w:b w:val="0"/>
        </w:rPr>
        <w:t>M of Pi (high Pi).</w:t>
      </w:r>
    </w:p>
    <w:p w14:paraId="61BCD0A6" w14:textId="1B46B514" w:rsidR="000D7D3D" w:rsidRPr="000D7D3D" w:rsidRDefault="000D7D3D" w:rsidP="00635993">
      <w:pPr>
        <w:pStyle w:val="Subtitle"/>
        <w:pBdr>
          <w:top w:val="single" w:sz="4" w:space="1" w:color="auto"/>
        </w:pBdr>
      </w:pPr>
      <w:r w:rsidRPr="000D7D3D">
        <w:br w:type="page"/>
      </w:r>
    </w:p>
    <w:p w14:paraId="239D4B0B" w14:textId="471C8C84" w:rsidR="000D7D3D" w:rsidRPr="000D7D3D" w:rsidRDefault="000D7D3D" w:rsidP="00635993">
      <w:pPr>
        <w:pStyle w:val="Heading2"/>
      </w:pPr>
      <w:bookmarkStart w:id="258" w:name="_Toc507604017"/>
      <w:bookmarkStart w:id="259" w:name="_Toc507604284"/>
      <w:bookmarkStart w:id="260" w:name="_Toc519016994"/>
      <w:bookmarkStart w:id="261" w:name="_Toc520837899"/>
      <w:r w:rsidRPr="000D7D3D">
        <w:lastRenderedPageBreak/>
        <w:t xml:space="preserve">3.3.3 Differential </w:t>
      </w:r>
      <w:r w:rsidR="004A4962">
        <w:t xml:space="preserve">gene expression </w:t>
      </w:r>
      <w:r w:rsidRPr="000D7D3D">
        <w:t>analysis</w:t>
      </w:r>
      <w:bookmarkEnd w:id="258"/>
      <w:bookmarkEnd w:id="259"/>
      <w:bookmarkEnd w:id="260"/>
      <w:bookmarkEnd w:id="261"/>
      <w:r w:rsidRPr="000D7D3D">
        <w:t xml:space="preserve"> </w:t>
      </w:r>
    </w:p>
    <w:p w14:paraId="6454BD8F" w14:textId="2457A0CC" w:rsidR="000D7D3D" w:rsidRPr="000D7D3D" w:rsidRDefault="000D7D3D" w:rsidP="003F7054">
      <w:r w:rsidRPr="000D7D3D">
        <w:t xml:space="preserve">Differential gene expression analysis in the RNA-seq dataset was carried out in pairwise comparisons between each condition tested. Comparisons between low Pi and high Pi, either in </w:t>
      </w:r>
      <w:r w:rsidR="007B03BB" w:rsidRPr="000D7D3D">
        <w:t xml:space="preserve">NS </w:t>
      </w:r>
      <w:r w:rsidRPr="000D7D3D">
        <w:t xml:space="preserve">or </w:t>
      </w:r>
      <w:r w:rsidR="007B03BB" w:rsidRPr="000D7D3D">
        <w:t xml:space="preserve">S </w:t>
      </w:r>
      <w:r w:rsidRPr="000D7D3D">
        <w:t>conditions, identified the highest numbers of up- or down-regulated genes, suggesting that the majority of the genes are transcriptionally regulated by Pi</w:t>
      </w:r>
      <w:r w:rsidR="007B03BB">
        <w:t xml:space="preserve"> availability</w:t>
      </w:r>
      <w:r w:rsidRPr="000D7D3D">
        <w:t xml:space="preserve"> </w:t>
      </w:r>
      <w:r w:rsidR="0001237F">
        <w:t>(Table 3.1, comparisons 1 and 2</w:t>
      </w:r>
      <w:r w:rsidRPr="000D7D3D">
        <w:t xml:space="preserve">). Comparisons between </w:t>
      </w:r>
      <w:r w:rsidR="007B03BB" w:rsidRPr="000D7D3D">
        <w:t xml:space="preserve">NS and </w:t>
      </w:r>
      <w:r w:rsidRPr="000D7D3D">
        <w:t>S condition</w:t>
      </w:r>
      <w:r w:rsidR="007B03BB">
        <w:t>s</w:t>
      </w:r>
      <w:r w:rsidRPr="000D7D3D">
        <w:t xml:space="preserve">, either in low Pi or high Pi, identified fewer numbers of up- or down-regulated genes than the comparisons above. Nonetheless, a large number of genes were identified to be up- or down-regulated by symbiosis in both high and low Pi </w:t>
      </w:r>
      <w:r w:rsidR="007B03BB">
        <w:t>availability</w:t>
      </w:r>
      <w:r w:rsidRPr="000D7D3D">
        <w:t xml:space="preserve"> (Table 3.1, comparisons 3 and 4).</w:t>
      </w:r>
    </w:p>
    <w:p w14:paraId="21F90B9D" w14:textId="77777777" w:rsidR="000D7D3D" w:rsidRPr="000D7D3D" w:rsidRDefault="000D7D3D" w:rsidP="007F746A"/>
    <w:p w14:paraId="6A3F58C1" w14:textId="77777777" w:rsidR="000D7D3D" w:rsidRPr="000D7D3D" w:rsidRDefault="000D7D3D" w:rsidP="003F061A">
      <w:r w:rsidRPr="000D7D3D">
        <w:rPr>
          <w:noProof/>
          <w:lang w:eastAsia="en-GB"/>
        </w:rPr>
        <w:drawing>
          <wp:inline distT="0" distB="0" distL="0" distR="0" wp14:anchorId="6EEE8817" wp14:editId="1F5EAB5E">
            <wp:extent cx="3200917" cy="10128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92896" cy="1105212"/>
                    </a:xfrm>
                    <a:prstGeom prst="rect">
                      <a:avLst/>
                    </a:prstGeom>
                    <a:noFill/>
                    <a:ln>
                      <a:noFill/>
                    </a:ln>
                  </pic:spPr>
                </pic:pic>
              </a:graphicData>
            </a:graphic>
          </wp:inline>
        </w:drawing>
      </w:r>
    </w:p>
    <w:p w14:paraId="1B3CD256" w14:textId="73E6D3F7" w:rsidR="000D7D3D" w:rsidRPr="00B46FB7" w:rsidRDefault="000D7D3D" w:rsidP="00635993">
      <w:pPr>
        <w:pStyle w:val="Subtitle"/>
      </w:pPr>
      <w:r w:rsidRPr="00635993">
        <w:rPr>
          <w:rFonts w:cs="Arial"/>
        </w:rPr>
        <w:t>Table 3.1</w:t>
      </w:r>
      <w:r w:rsidRPr="000D7D3D">
        <w:rPr>
          <w:rFonts w:ascii="NimbusSanL-Bold" w:hAnsi="NimbusSanL-Bold" w:cs="NimbusSanL-Bold"/>
        </w:rPr>
        <w:t xml:space="preserve"> </w:t>
      </w:r>
      <w:r w:rsidRPr="00635993">
        <w:rPr>
          <w:b w:val="0"/>
        </w:rPr>
        <w:t xml:space="preserve">Table showing the number of differentially expressed genes identified at each pairwise comparison after FDR correction (Q-value &lt;0.05). NS: </w:t>
      </w:r>
      <w:r w:rsidR="007B03BB" w:rsidRPr="00635993">
        <w:rPr>
          <w:b w:val="0"/>
          <w:i/>
        </w:rPr>
        <w:t>P. involutus</w:t>
      </w:r>
      <w:r w:rsidR="007B03BB" w:rsidRPr="00635993">
        <w:rPr>
          <w:b w:val="0"/>
        </w:rPr>
        <w:t xml:space="preserve"> </w:t>
      </w:r>
      <w:r w:rsidR="007B03BB" w:rsidRPr="00635993">
        <w:rPr>
          <w:b w:val="0"/>
          <w:i/>
        </w:rPr>
        <w:t>ATCC 200175</w:t>
      </w:r>
      <w:r w:rsidRPr="00635993">
        <w:rPr>
          <w:b w:val="0"/>
        </w:rPr>
        <w:t xml:space="preserve"> hyphae grown in </w:t>
      </w:r>
      <w:r w:rsidR="007B03BB">
        <w:rPr>
          <w:b w:val="0"/>
        </w:rPr>
        <w:t>NS</w:t>
      </w:r>
      <w:r w:rsidRPr="00635993">
        <w:rPr>
          <w:b w:val="0"/>
        </w:rPr>
        <w:t xml:space="preserve"> conditions. S: </w:t>
      </w:r>
      <w:r w:rsidR="007B03BB" w:rsidRPr="00635993">
        <w:rPr>
          <w:b w:val="0"/>
          <w:i/>
        </w:rPr>
        <w:t>P. involutus</w:t>
      </w:r>
      <w:r w:rsidR="007B03BB" w:rsidRPr="00635993">
        <w:rPr>
          <w:b w:val="0"/>
        </w:rPr>
        <w:t xml:space="preserve"> </w:t>
      </w:r>
      <w:r w:rsidR="007B03BB" w:rsidRPr="00635993">
        <w:rPr>
          <w:b w:val="0"/>
          <w:i/>
        </w:rPr>
        <w:t>ATCC 200175</w:t>
      </w:r>
      <w:r w:rsidRPr="00635993">
        <w:rPr>
          <w:b w:val="0"/>
        </w:rPr>
        <w:t xml:space="preserve"> hyphae grown in symbiosis with </w:t>
      </w:r>
      <w:r w:rsidR="007B03BB" w:rsidRPr="007B03BB">
        <w:rPr>
          <w:b w:val="0"/>
          <w:i/>
        </w:rPr>
        <w:t>P. sylvestris</w:t>
      </w:r>
      <w:r w:rsidRPr="00635993">
        <w:rPr>
          <w:b w:val="0"/>
        </w:rPr>
        <w:t xml:space="preserve"> seedling. Low Pi: </w:t>
      </w:r>
      <w:r w:rsidR="007B03BB" w:rsidRPr="00635993">
        <w:rPr>
          <w:b w:val="0"/>
          <w:i/>
        </w:rPr>
        <w:t>P. involutus</w:t>
      </w:r>
      <w:r w:rsidR="007B03BB" w:rsidRPr="00635993">
        <w:rPr>
          <w:b w:val="0"/>
        </w:rPr>
        <w:t xml:space="preserve"> </w:t>
      </w:r>
      <w:r w:rsidR="007B03BB" w:rsidRPr="00635993">
        <w:rPr>
          <w:b w:val="0"/>
          <w:i/>
        </w:rPr>
        <w:t>ATCC 200175</w:t>
      </w:r>
      <w:r w:rsidRPr="00635993">
        <w:rPr>
          <w:b w:val="0"/>
        </w:rPr>
        <w:t xml:space="preserve"> hyphae grown in 0.37 </w:t>
      </w:r>
      <w:r w:rsidRPr="00635993">
        <w:rPr>
          <w:b w:val="0"/>
          <w:lang w:val="el-GR"/>
        </w:rPr>
        <w:t>μ</w:t>
      </w:r>
      <w:r w:rsidRPr="00635993">
        <w:rPr>
          <w:b w:val="0"/>
        </w:rPr>
        <w:t xml:space="preserve">M of Pi. High Pi: </w:t>
      </w:r>
      <w:r w:rsidR="007B03BB" w:rsidRPr="00635993">
        <w:rPr>
          <w:b w:val="0"/>
          <w:i/>
        </w:rPr>
        <w:t>P. involutus</w:t>
      </w:r>
      <w:r w:rsidR="007B03BB" w:rsidRPr="00635993">
        <w:rPr>
          <w:b w:val="0"/>
        </w:rPr>
        <w:t xml:space="preserve"> </w:t>
      </w:r>
      <w:r w:rsidR="007B03BB" w:rsidRPr="00635993">
        <w:rPr>
          <w:b w:val="0"/>
          <w:i/>
        </w:rPr>
        <w:t>ATCC 200175</w:t>
      </w:r>
      <w:r w:rsidRPr="00635993">
        <w:rPr>
          <w:b w:val="0"/>
        </w:rPr>
        <w:t xml:space="preserve"> hyphae grown in 367 </w:t>
      </w:r>
      <w:r w:rsidRPr="00635993">
        <w:rPr>
          <w:b w:val="0"/>
          <w:lang w:val="el-GR"/>
        </w:rPr>
        <w:t>μ</w:t>
      </w:r>
      <w:r w:rsidRPr="00635993">
        <w:rPr>
          <w:b w:val="0"/>
        </w:rPr>
        <w:t xml:space="preserve">M of Pi. Growth period of 90 days both for the NS and S conditions. </w:t>
      </w:r>
      <w:r w:rsidRPr="003F7054">
        <w:t>Up</w:t>
      </w:r>
      <w:r w:rsidRPr="007F746A">
        <w:t>:</w:t>
      </w:r>
      <w:r w:rsidRPr="00635993">
        <w:rPr>
          <w:b w:val="0"/>
        </w:rPr>
        <w:t xml:space="preserve"> genes upregulated in the first term compared to the second. </w:t>
      </w:r>
      <w:r w:rsidRPr="003F7054">
        <w:t>Down</w:t>
      </w:r>
      <w:r w:rsidRPr="007F746A">
        <w:t>:</w:t>
      </w:r>
      <w:r w:rsidRPr="00635993">
        <w:rPr>
          <w:b w:val="0"/>
        </w:rPr>
        <w:t xml:space="preserve"> genes downregulated in the first term compared to the second.</w:t>
      </w:r>
    </w:p>
    <w:p w14:paraId="075DE824" w14:textId="77777777" w:rsidR="000D7D3D" w:rsidRPr="000D7D3D" w:rsidRDefault="000D7D3D">
      <w:r w:rsidRPr="000D7D3D">
        <w:br w:type="page"/>
      </w:r>
    </w:p>
    <w:p w14:paraId="389F57B7" w14:textId="39B638C6" w:rsidR="000D7D3D" w:rsidRPr="000D7D3D" w:rsidRDefault="000D7D3D" w:rsidP="00635993">
      <w:pPr>
        <w:pStyle w:val="Heading2"/>
      </w:pPr>
      <w:bookmarkStart w:id="262" w:name="_Toc507604018"/>
      <w:bookmarkStart w:id="263" w:name="_Toc507604285"/>
      <w:bookmarkStart w:id="264" w:name="_Toc519016995"/>
      <w:bookmarkStart w:id="265" w:name="_Toc520837900"/>
      <w:r w:rsidRPr="000D7D3D">
        <w:lastRenderedPageBreak/>
        <w:t xml:space="preserve">3.3.4 </w:t>
      </w:r>
      <w:r w:rsidRPr="000D7D3D">
        <w:rPr>
          <w:i/>
        </w:rPr>
        <w:t xml:space="preserve">P. </w:t>
      </w:r>
      <w:r w:rsidRPr="00F44E7D">
        <w:rPr>
          <w:i/>
        </w:rPr>
        <w:t>involutus</w:t>
      </w:r>
      <w:r w:rsidRPr="000D7D3D">
        <w:t xml:space="preserve"> </w:t>
      </w:r>
      <w:r w:rsidRPr="000D7D3D">
        <w:rPr>
          <w:i/>
        </w:rPr>
        <w:t>ATCC 200175</w:t>
      </w:r>
      <w:r w:rsidRPr="000D7D3D">
        <w:t xml:space="preserve"> genes differentially regulated in response to Pi availability</w:t>
      </w:r>
      <w:bookmarkEnd w:id="262"/>
      <w:bookmarkEnd w:id="263"/>
      <w:r w:rsidRPr="000D7D3D">
        <w:t xml:space="preserve"> </w:t>
      </w:r>
      <w:r w:rsidR="00343C69">
        <w:t>in NS condition</w:t>
      </w:r>
      <w:bookmarkEnd w:id="264"/>
      <w:bookmarkEnd w:id="265"/>
    </w:p>
    <w:p w14:paraId="53F4C884" w14:textId="23003FE0" w:rsidR="000D7D3D" w:rsidRPr="000D7D3D" w:rsidRDefault="000D7D3D" w:rsidP="003F7054">
      <w:r w:rsidRPr="000D7D3D">
        <w:t>According to the differ</w:t>
      </w:r>
      <w:r w:rsidR="002B13CF">
        <w:t>ential gene expression analysis</w:t>
      </w:r>
      <w:r w:rsidRPr="000D7D3D">
        <w:t xml:space="preserve"> between the NS low Pi and NS high Pi conditions, in total, 3,160 genes were found to be upregulated and 2,986 downregulated (</w:t>
      </w:r>
      <w:r w:rsidR="002B13CF">
        <w:t xml:space="preserve">Section 3.3.3, </w:t>
      </w:r>
      <w:r w:rsidRPr="000D7D3D">
        <w:t xml:space="preserve">Table 3.1). There was a substantial variation in fold changes of gene expression values within this pairwise comparison and their </w:t>
      </w:r>
      <w:r w:rsidR="000E1DB8">
        <w:t>statistical significance</w:t>
      </w:r>
      <w:r w:rsidRPr="000D7D3D">
        <w:t xml:space="preserve">. In RNA-seq datasets, ranking genes by fold changes can result in noise from the large changes estimated in genes with low read counts </w:t>
      </w:r>
      <w:r w:rsidRPr="000D7D3D">
        <w:fldChar w:fldCharType="begin" w:fldLock="1"/>
      </w:r>
      <w:r w:rsidR="00EE33AB">
        <w:instrText>ADDIN CSL_CITATION {"citationItems":[{"id":"ITEM-1","itemData":{"DOI":"10.1186/s13059-014-0550-8","ISBN":"1465-6906","ISSN":"1474-760X","PMID":"25516281","abstract":"In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http://www.bioconductor.org/packages/release/bioc/html/DESeq2.html webcite.","author":[{"dropping-particle":"","family":"Love","given":"Michael I","non-dropping-particle":"","parse-names":false,"suffix":""},{"dropping-particle":"","family":"Huber","given":"Wolfgang","non-dropping-particle":"","parse-names":false,"suffix":""},{"dropping-particle":"","family":"Anders","given":"Simon","non-dropping-particle":"","parse-names":false,"suffix":""}],"container-title":"Genome Biology","id":"ITEM-1","issue":"12","issued":{"date-parts":[["2014"]]},"page":"550","title":"Moderated estimation of fold change and dispersion for RNA-seq data with DESeq2","type":"article-journal","volume":"15"},"uris":["http://www.mendeley.com/documents/?uuid=006b0008-bad3-4291-81b1-f6922f70983e"]}],"mendeley":{"formattedCitation":"(Love et al., 2014)","plainTextFormattedCitation":"(Love et al., 2014)","previouslyFormattedCitation":"(Love et al., 2014)"},"properties":{"noteIndex":0},"schema":"https://github.com/citation-style-language/schema/raw/master/csl-citation.json"}</w:instrText>
      </w:r>
      <w:r w:rsidRPr="000D7D3D">
        <w:fldChar w:fldCharType="separate"/>
      </w:r>
      <w:r w:rsidRPr="000D7D3D">
        <w:rPr>
          <w:noProof/>
        </w:rPr>
        <w:t>(Love et al., 2014)</w:t>
      </w:r>
      <w:r w:rsidRPr="000D7D3D">
        <w:fldChar w:fldCharType="end"/>
      </w:r>
      <w:r w:rsidRPr="000D7D3D">
        <w:t xml:space="preserve">. For this reason, in the present study, differentially expressed genes were ranked according to </w:t>
      </w:r>
      <w:r w:rsidR="0094428C">
        <w:t xml:space="preserve">statistical </w:t>
      </w:r>
      <w:r w:rsidRPr="000D7D3D">
        <w:t xml:space="preserve">significance. In order to highlight the genes which are most </w:t>
      </w:r>
      <w:r w:rsidR="00F44E7D">
        <w:t>differentially</w:t>
      </w:r>
      <w:r w:rsidRPr="000D7D3D">
        <w:t xml:space="preserve"> regulated at each comparison</w:t>
      </w:r>
      <w:r w:rsidR="00693890">
        <w:t>,</w:t>
      </w:r>
      <w:r w:rsidRPr="000D7D3D">
        <w:t xml:space="preserve"> heat maps of the top 50 </w:t>
      </w:r>
      <w:r w:rsidR="0094428C">
        <w:t xml:space="preserve">most </w:t>
      </w:r>
      <w:r w:rsidRPr="000D7D3D">
        <w:t>upregulated or downregulated genes, i.e. with the</w:t>
      </w:r>
      <w:r w:rsidR="000E1DB8">
        <w:t xml:space="preserve"> lowest Q-values</w:t>
      </w:r>
      <w:r w:rsidRPr="000D7D3D">
        <w:t>, were generated (</w:t>
      </w:r>
      <w:r w:rsidR="003F061A">
        <w:t>S</w:t>
      </w:r>
      <w:r w:rsidRPr="000D7D3D">
        <w:t>ections 3.3.4-3.3.6).</w:t>
      </w:r>
    </w:p>
    <w:p w14:paraId="70BD6344" w14:textId="5C92A5AF" w:rsidR="000D7D3D" w:rsidRPr="000D7D3D" w:rsidRDefault="000D7D3D" w:rsidP="007F746A">
      <w:pPr>
        <w:ind w:firstLine="720"/>
      </w:pPr>
      <w:r w:rsidRPr="000D7D3D">
        <w:t xml:space="preserve">Here, the top 50 upregulated or downregulated genes are presented in Figure 3.4A and 3.4B, respectively. In particular, in Figure 3.4A, the genes which are </w:t>
      </w:r>
      <w:r w:rsidR="00665F09">
        <w:t xml:space="preserve">most </w:t>
      </w:r>
      <w:r w:rsidR="0084070B">
        <w:t xml:space="preserve">significantly </w:t>
      </w:r>
      <w:r w:rsidRPr="000D7D3D">
        <w:t>upregulated by low Pi availability compared to high Pi availability in the NS condition are shown. According to their putative function, these are genes which are mainly involved in: (a) redox reactions, such as reductases and oxidases with roles in various metabolic pathways, (b) signalling</w:t>
      </w:r>
      <w:r w:rsidR="00F44E7D">
        <w:t>,</w:t>
      </w:r>
      <w:r w:rsidRPr="000D7D3D">
        <w:t xml:space="preserve"> such as kinases involved in various metabolic activities, (c) carbohydrate metabolism, such as enolases, (d) phospholipid metabolism, such as phospholipases (e) Pi metabolism, such as phosphatases, and (f) Pi transport, such as Pi transporters. With attention to the last one, four out of the seven </w:t>
      </w:r>
      <w:r w:rsidR="00693890" w:rsidRPr="00693890">
        <w:rPr>
          <w:i/>
        </w:rPr>
        <w:t>PiPTs</w:t>
      </w:r>
      <w:r w:rsidRPr="000D7D3D">
        <w:rPr>
          <w:i/>
        </w:rPr>
        <w:t xml:space="preserve"> </w:t>
      </w:r>
      <w:r w:rsidRPr="000D7D3D">
        <w:t>(</w:t>
      </w:r>
      <w:r w:rsidRPr="000D7D3D">
        <w:rPr>
          <w:i/>
        </w:rPr>
        <w:t>PiPT1</w:t>
      </w:r>
      <w:r w:rsidRPr="000D7D3D">
        <w:t>,</w:t>
      </w:r>
      <w:r w:rsidRPr="000D7D3D">
        <w:rPr>
          <w:i/>
        </w:rPr>
        <w:t xml:space="preserve"> PiPT3, PiPT4 </w:t>
      </w:r>
      <w:r w:rsidRPr="000D7D3D">
        <w:t xml:space="preserve">and </w:t>
      </w:r>
      <w:r w:rsidRPr="00693890">
        <w:rPr>
          <w:i/>
        </w:rPr>
        <w:t>PiPT7</w:t>
      </w:r>
      <w:r w:rsidRPr="000D7D3D">
        <w:t xml:space="preserve">) have been found to be upregulated within the </w:t>
      </w:r>
      <w:r w:rsidR="00EF5D34">
        <w:t xml:space="preserve">top </w:t>
      </w:r>
      <w:r w:rsidRPr="000D7D3D">
        <w:t xml:space="preserve">50 genes heat map, where </w:t>
      </w:r>
      <w:r w:rsidRPr="000D7D3D">
        <w:rPr>
          <w:i/>
        </w:rPr>
        <w:t xml:space="preserve">PiPT7 </w:t>
      </w:r>
      <w:r w:rsidRPr="000D7D3D">
        <w:t>is exclusively upregulated in low Pi under the NS condition</w:t>
      </w:r>
      <w:r w:rsidR="00693890">
        <w:t xml:space="preserve"> (Figure 3.4A, magenta annotation)</w:t>
      </w:r>
      <w:r w:rsidRPr="000D7D3D">
        <w:t xml:space="preserve">. </w:t>
      </w:r>
    </w:p>
    <w:p w14:paraId="14E7FF3D" w14:textId="6EC9E20B" w:rsidR="000D7D3D" w:rsidRPr="000D7D3D" w:rsidRDefault="000D7D3D" w:rsidP="00EF6ED2">
      <w:pPr>
        <w:ind w:firstLine="720"/>
      </w:pPr>
      <w:r w:rsidRPr="000D7D3D">
        <w:t xml:space="preserve">In regard to the genes which are </w:t>
      </w:r>
      <w:r w:rsidR="00665F09">
        <w:t xml:space="preserve">most </w:t>
      </w:r>
      <w:r w:rsidR="0084070B">
        <w:t xml:space="preserve">significantly </w:t>
      </w:r>
      <w:r w:rsidRPr="000D7D3D">
        <w:t xml:space="preserve">downregulated by low Pi availability compared to high Pi availability in the NS condition, in Figure 3.4B, these are genes mainly involved in: (a) </w:t>
      </w:r>
      <w:r w:rsidR="00C86A0E">
        <w:t>nitrogen (</w:t>
      </w:r>
      <w:r w:rsidRPr="000D7D3D">
        <w:t>N</w:t>
      </w:r>
      <w:r w:rsidR="00C86A0E">
        <w:t>)</w:t>
      </w:r>
      <w:r w:rsidRPr="000D7D3D">
        <w:t xml:space="preserve"> metabolism and transport, such as nitrate reductase and nitrate or ammonium transporters, (b) amino acid metabolism and transport, such as amidase and amino acid transporters, (c) internal </w:t>
      </w:r>
      <w:r w:rsidR="006A7911">
        <w:t>Pi</w:t>
      </w:r>
      <w:r w:rsidR="006A7911" w:rsidRPr="000D7D3D">
        <w:t xml:space="preserve"> </w:t>
      </w:r>
      <w:r w:rsidRPr="000D7D3D">
        <w:t xml:space="preserve">transport, such as </w:t>
      </w:r>
      <w:r w:rsidRPr="000D7D3D">
        <w:lastRenderedPageBreak/>
        <w:t>PHO transporters, (d) lipid metabolism, such as lipase and hydrolases, (e) carbohydrate metabolism, such as glycosyltransferase, (f) redox reactions, such as cytochrome P450, and (g) signalling</w:t>
      </w:r>
      <w:r w:rsidR="00693890">
        <w:t>,</w:t>
      </w:r>
      <w:r w:rsidR="00EF6ED2">
        <w:t xml:space="preserve"> such as kinases. </w:t>
      </w:r>
      <w:r w:rsidRPr="000D7D3D">
        <w:br w:type="page"/>
      </w:r>
    </w:p>
    <w:p w14:paraId="23378940" w14:textId="77777777" w:rsidR="000D7D3D" w:rsidRPr="000D7D3D" w:rsidRDefault="00D846C2" w:rsidP="00FB36B8">
      <w:r>
        <w:rPr>
          <w:noProof/>
          <w:lang w:eastAsia="en-GB"/>
        </w:rPr>
        <w:lastRenderedPageBreak/>
        <w:drawing>
          <wp:inline distT="0" distB="0" distL="0" distR="0" wp14:anchorId="091ADB58" wp14:editId="665D693A">
            <wp:extent cx="5943600" cy="40176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 3.4 A.B. new+.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017645"/>
                    </a:xfrm>
                    <a:prstGeom prst="rect">
                      <a:avLst/>
                    </a:prstGeom>
                  </pic:spPr>
                </pic:pic>
              </a:graphicData>
            </a:graphic>
          </wp:inline>
        </w:drawing>
      </w:r>
    </w:p>
    <w:p w14:paraId="66F66B33" w14:textId="77777777" w:rsidR="00634533" w:rsidRDefault="000D7D3D" w:rsidP="00635993">
      <w:pPr>
        <w:pStyle w:val="Subtitle"/>
        <w:pBdr>
          <w:top w:val="single" w:sz="4" w:space="1" w:color="auto"/>
        </w:pBdr>
        <w:rPr>
          <w:b w:val="0"/>
        </w:rPr>
      </w:pPr>
      <w:r w:rsidRPr="000D7D3D">
        <w:t xml:space="preserve">Figure 3.4 </w:t>
      </w:r>
      <w:r w:rsidRPr="00635993">
        <w:rPr>
          <w:b w:val="0"/>
        </w:rPr>
        <w:t xml:space="preserve">Heat maps of normalized read counts for genes differentially expressed in </w:t>
      </w:r>
      <w:r w:rsidRPr="00635993">
        <w:rPr>
          <w:b w:val="0"/>
          <w:i/>
        </w:rPr>
        <w:t>P. involutus</w:t>
      </w:r>
      <w:r w:rsidRPr="00635993">
        <w:rPr>
          <w:b w:val="0"/>
        </w:rPr>
        <w:t xml:space="preserve"> </w:t>
      </w:r>
      <w:r w:rsidRPr="00635993">
        <w:rPr>
          <w:b w:val="0"/>
          <w:i/>
        </w:rPr>
        <w:t>ATCC 200175</w:t>
      </w:r>
      <w:r w:rsidRPr="00635993">
        <w:rPr>
          <w:b w:val="0"/>
        </w:rPr>
        <w:t xml:space="preserve"> hyphae between NS high Pi and NS low Pi conditions. Z-score values are shown for the top 50 genes ranked by Q-values (Q-value &lt;0.05) between experimental conditions compared. The putative functional annotation for each gene is listed on the right of each heat map</w:t>
      </w:r>
      <w:r w:rsidR="00693890">
        <w:rPr>
          <w:b w:val="0"/>
        </w:rPr>
        <w:t>,</w:t>
      </w:r>
      <w:r w:rsidRPr="00635993">
        <w:rPr>
          <w:b w:val="0"/>
        </w:rPr>
        <w:t xml:space="preserve"> which was inferred by using the SmartBLAST online tool </w:t>
      </w:r>
      <w:r w:rsidRPr="00635993">
        <w:rPr>
          <w:b w:val="0"/>
        </w:rPr>
        <w:fldChar w:fldCharType="begin" w:fldLock="1"/>
      </w:r>
      <w:r w:rsidR="00EE33AB">
        <w:rPr>
          <w:b w:val="0"/>
        </w:rPr>
        <w:instrText>ADDIN CSL_CITATION {"citationItems":[{"id":"ITEM-1","itemData":{"DOI":"10.1093/nar/gkv1290","ISBN":"0305-1048","ISSN":"13624962","PMID":"10592169","abstract":"In addition to maintaining the GenBank(R) nucleic acid sequence database, the National Center for Biotechnology Information (NCBI) provides data analysis and retrieval and resources that operate on the data in GenBank and a variety of other biological data made available through NCBI's Web site. NCBI data retrieval resources include Entrez, PubMed, LocusLink and the Taxonomy Browser. Data analysis resources include BLAST, Electronic PCR, OrfFinder, RefSeq, UniGene, Database of Single Nucleotide Polymorphisms (dbSNP), Human Genome Sequencing pages, GeneMap'99, Davis Human-Mouse Homology Map, Cancer Chromosome Aberration Project (CCAP) pages, Entrez Genomes, Clusters of Orthologous Groups (COGs) database, Retroviral Genotyping Tools, Cancer Genome Anatomy Project (CGAP) pages, SAGEmap, Online Mendelian Inheritance in Man (OMIM) and the Molecular Modeling Database (MMDB). Augmenting many of the Web applications are custom implementations of the BLAST program optimized to search specialized data sets. All of the resources can be accessed through the NCBI home page at: http://www.ncbi.nlm.nih. gov","author":[{"dropping-particle":"","family":"Agarwala","given":"Richa","non-dropping-particle":"","parse-names":false,"suffix":""},{"dropping-particle":"","family":"Barrett","given":"Tanya","non-dropping-particle":"","parse-names":false,"suffix":""},{"dropping-particle":"","family":"Beck","given":"Jeff","non-dropping-particle":"","parse-names":false,"suffix":""},{"dropping-particle":"","family":"Benson","given":"Dennis A.","non-dropping-particle":"","parse-names":false,"suffix":""},{"dropping-particle":"","family":"Bollin","given":"Colleen","non-dropping-particle":"","parse-names":false,"suffix":""},{"dropping-particle":"","family":"Bolton","given":"Evan","non-dropping-particle":"","parse-names":false,"suffix":""},{"dropping-particle":"","family":"Bourexis","given":"Devon","non-dropping-particle":"","parse-names":false,"suffix":""},{"dropping-particle":"","family":"Brister","given":"J. Rodney","non-dropping-particle":"","parse-names":false,"suffix":""},{"dropping-particle":"","family":"Bryant","given":"Stephen H.","non-dropping-particle":"","parse-names":false,"suffix":""},{"dropping-particle":"","family":"Canese","given":"Kathi","non-dropping-particle":"","parse-names":false,"suffix":""},{"dropping-particle":"","family":"Charowhas","given":"Chad","non-dropping-particle":"","parse-names":false,"suffix":""},{"dropping-particle":"","family":"Clark","given":"Karen","non-dropping-particle":"","parse-names":false,"suffix":""},{"dropping-particle":"","family":"Dicuccio","given":"Michael","non-dropping-particle":"","parse-names":false,"suffix":""},{"dropping-particle":"","family":"Dondoshansky","given":"Ilya","non-dropping-particle":"","parse-names":false,"suffix":""},{"dropping-particle":"","family":"Federhen","given":"Scott","non-dropping-particle":"","parse-names":false,"suffix":""},{"dropping-particle":"","family":"Feolo","given":"Michael","non-dropping-particle":"","parse-names":false,"suffix":""},{"dropping-particle":"","family":"Funk","given":"Kathryn","non-dropping-particle":"","parse-names":false,"suffix":""},{"dropping-particle":"","family":"Geer","given":"Lewis Y.","non-dropping-particle":"","parse-names":false,"suffix":""},{"dropping-particle":"","family":"Gorelenkov","given":"Viatcheslav","non-dropping-particle":"","parse-names":false,"suffix":""},{"dropping-particle":"","family":"Hoeppner","given":"Marilu","non-dropping-particle":"","parse-names":false,"suffix":""},{"dropping-particle":"","family":"Holmes","given":"Brad","non-dropping-particle":"","parse-names":false,"suffix":""},{"dropping-particle":"","family":"Johnson","given":"Mark","non-dropping-particle":"","parse-names":false,"suffix":""},{"dropping-particle":"","family":"Khotomlianski","given":"Viatcheslav","non-dropping-particle":"","parse-names":false,"suffix":""},{"dropping-particle":"","family":"Kimchi","given":"Avi","non-dropping-particle":"","parse-names":false,"suffix":""},{"dropping-particle":"","family":"Kimelman","given":"Michael","non-dropping-particle":"","parse-names":false,"suffix":""},{"dropping-particle":"","family":"Kitts","given":"Paul","non-dropping-particle":"","parse-names":false,"suffix":""},{"dropping-particle":"","family":"Klimke","given":"William","non-dropping-particle":"","parse-names":false,"suffix":""},{"dropping-particle":"","family":"Krasnov","given":"Sergey","non-dropping-particle":"","parse-names":false,"suffix":""},{"dropping-particle":"","family":"Kuznetsov","given":"Anatoliy","non-dropping-particle":"","parse-names":false,"suffix":""},{"dropping-particle":"","family":"Landrum","given":"Melissa J.","non-dropping-particle":"","parse-names":false,"suffix":""},{"dropping-particle":"","family":"Landsman","given":"David","non-dropping-particle":"","parse-names":false,"suffix":""},{"dropping-particle":"","family":"Lee","given":"Jennifer M.","non-dropping-particle":"","parse-names":false,"suffix":""},{"dropping-particle":"","family":"Lipman","given":"David J.","non-dropping-particle":"","parse-names":false,"suffix":""},{"dropping-particle":"","family":"Lu","given":"Zhiyong","non-dropping-particle":"","parse-names":false,"suffix":""},{"dropping-particle":"","family":"Madden","given":"Thomas L.","non-dropping-particle":"","parse-names":false,"suffix":""},{"dropping-particle":"","family":"Madej","given":"Tom","non-dropping-particle":"","parse-names":false,"suffix":""},{"dropping-particle":"","family":"Marchler-Bauer","given":"Aron","non-dropping-particle":"","parse-names":false,"suffix":""},{"dropping-particle":"","family":"Karsch-Mizrachi","given":"Ilene","non-dropping-particle":"","parse-names":false,"suffix":""},{"dropping-particle":"","family":"Murphy","given":"Terence","non-dropping-particle":"","parse-names":false,"suffix":""},{"dropping-particle":"","family":"Orris","given":"Rebecca","non-dropping-particle":"","parse-names":false,"suffix":""},{"dropping-particle":"","family":"Ostell","given":"James","non-dropping-particle":"","parse-names":false,"suffix":""},{"dropping-particle":"","family":"O'sullivan","given":"Christopher","non-dropping-particle":"","parse-names":false,"suffix":""},{"dropping-particle":"","family":"Panchenko","given":"Anna","non-dropping-particle":"","parse-names":false,"suffix":""},{"dropping-particle":"","family":"Phan","given":"Lon","non-dropping-particle":"","parse-names":false,"suffix":""},{"dropping-particle":"","family":"Preuss","given":"Don","non-dropping-particle":"","parse-names":false,"suffix":""},{"dropping-particle":"","family":"Pruitt","given":"Kim D.","non-dropping-particle":"","parse-names":false,"suffix":""},{"dropping-particle":"","family":"Rodarmer","given":"Kurt","non-dropping-particle":"","parse-names":false,"suffix":""},{"dropping-particle":"","family":"Rubinstein","given":"Wendy","non-dropping-particle":"","parse-names":false,"suffix":""},{"dropping-particle":"","family":"Sayers","given":"Ericw","non-dropping-particle":"","parse-names":false,"suffix":""},{"dropping-particle":"","family":"Schneider","given":"Valerie","non-dropping-particle":"","parse-names":false,"suffix":""},{"dropping-particle":"","family":"Schuler","given":"Gregory D.","non-dropping-particle":"","parse-names":false,"suffix":""},{"dropping-particle":"","family":"Sherry","given":"Stephen T.","non-dropping-particle":"","parse-names":false,"suffix":""},{"dropping-particle":"","family":"Sirotkin","given":"Karl","non-dropping-particle":"","parse-names":false,"suffix":""},{"dropping-particle":"","family":"Siyan","given":"Karanjit","non-dropping-particle":"","parse-names":false,"suffix":""},{"dropping-particle":"","family":"Slotta","given":"Douglas","non-dropping-particle":"","parse-names":false,"suffix":""},{"dropping-particle":"","family":"Soboleva","given":"Alexandra","non-dropping-particle":"","parse-names":false,"suffix":""},{"dropping-particle":"","family":"Soussov","given":"Vladimir","non-dropping-particle":"","parse-names":false,"suffix":""},{"dropping-particle":"","family":"Starchenko","given":"Grigory","non-dropping-particle":"","parse-names":false,"suffix":""},{"dropping-particle":"","family":"Tatusova","given":"Tatiana A.","non-dropping-particle":"","parse-names":false,"suffix":""},{"dropping-particle":"","family":"Todorov","given":"Kamen","non-dropping-particle":"","parse-names":false,"suffix":""},{"dropping-particle":"","family":"Trawick","given":"Bart W.","non-dropping-particle":"","parse-names":false,"suffix":""},{"dropping-particle":"","family":"Vakatov","given":"Denis","non-dropping-particle":"","parse-names":false,"suffix":""},{"dropping-particle":"","family":"Wang","given":"Yanli","non-dropping-particle":"","parse-names":false,"suffix":""},{"dropping-particle":"","family":"Ward","given":"Minghong","non-dropping-particle":"","parse-names":false,"suffix":""},{"dropping-particle":"","family":"Wilbur","given":"W. John","non-dropping-particle":"","parse-names":false,"suffix":""},{"dropping-particle":"","family":"Yaschenko","given":"Eugene","non-dropping-particle":"","parse-names":false,"suffix":""},{"dropping-particle":"","family":"Zbicz","given":"Kerry","non-dropping-particle":"","parse-names":false,"suffix":""}],"container-title":"Nucleic Acids Research","id":"ITEM-1","issue":"D1","issued":{"date-parts":[["2016"]]},"page":"D7-D19","title":"Database resources of the National Center for Biotechnology Information","type":"article-journal","volume":"44"},"uris":["http://www.mendeley.com/documents/?uuid=63f0e420-66c3-4e46-814d-2d2eaeabc62f"]}],"mendeley":{"formattedCitation":"(Agarwala et al., 2016)","plainTextFormattedCitation":"(Agarwala et al., 2016)","previouslyFormattedCitation":"(Agarwala et al., 2016)"},"properties":{"noteIndex":0},"schema":"https://github.com/citation-style-language/schema/raw/master/csl-citation.json"}</w:instrText>
      </w:r>
      <w:r w:rsidRPr="00635993">
        <w:rPr>
          <w:b w:val="0"/>
        </w:rPr>
        <w:fldChar w:fldCharType="separate"/>
      </w:r>
      <w:r w:rsidRPr="00635993">
        <w:rPr>
          <w:b w:val="0"/>
          <w:noProof/>
        </w:rPr>
        <w:t>(Agarwala et al., 2016)</w:t>
      </w:r>
      <w:r w:rsidRPr="00635993">
        <w:rPr>
          <w:b w:val="0"/>
        </w:rPr>
        <w:fldChar w:fldCharType="end"/>
      </w:r>
      <w:r w:rsidRPr="00635993">
        <w:rPr>
          <w:b w:val="0"/>
        </w:rPr>
        <w:t xml:space="preserve"> together with the annotation on the MycoCosm at the JGI database </w:t>
      </w:r>
      <w:r w:rsidRPr="00635993">
        <w:rPr>
          <w:b w:val="0"/>
        </w:rPr>
        <w:fldChar w:fldCharType="begin" w:fldLock="1"/>
      </w:r>
      <w:r w:rsidR="00EE33AB">
        <w:rPr>
          <w:b w:val="0"/>
        </w:rPr>
        <w:instrText>ADDIN CSL_CITATION {"citationItems":[{"id":"ITEM-1","itemData":{"DOI":"10.1093/nar/25.17.3389","ISBN":"0305-1048","ISSN":"13624962","PMID":"9254694","abstract":"The BLAST programs are widely used tools for searching protein and DNA databases for sequence similarities. For protein comparisons, a variety of definitional, algorithmic and statistical refinements described here permits the execution time of the BLAST programs to be decreased substantially while enhancing their sensitivity to weak similarities. A new criterion for triggering the extension of word hits, combined with a new heuristic for generating gapped alignments, yields a gapped BLAST program that runs at approximately three times the speed of the original. In addition, a method is introduced for automatically combining statistically significant alignments produced by BLAST into a position-specific score matrix, and searching the database using this matrix. The resulting Position-Specific Iterated BLAST (PSIBLAST) program runs at approximately the same speed per iteration as gapped BLAST, but in many cases is much more sensitive to weak but biologically relevant sequence similarities. PSI-BLAST is used to uncover several new and interesting members of the BRCT superfamily.","author":[{"dropping-particle":"","family":"Altschul","given":"Stephen F","non-dropping-particle":"","parse-names":false,"suffix":""},{"dropping-particle":"","family":"Madden","given":"Thomas L","non-dropping-particle":"","parse-names":false,"suffix":""},{"dropping-particle":"","family":"Schäffer","given":"Alejandto a","non-dropping-particle":"","parse-names":false,"suffix":""},{"dropping-particle":"","family":"Zhang","given":"Jinghui","non-dropping-particle":"","parse-names":false,"suffix":""},{"dropping-particle":"","family":"Zhang","given":"Zheng","non-dropping-particle":"","parse-names":false,"suffix":""},{"dropping-particle":"","family":"Miller","given":"Webb","non-dropping-particle":"","parse-names":false,"suffix":""},{"dropping-particle":"","family":"Lipman","given":"David J","non-dropping-particle":"","parse-names":false,"suffix":""}],"container-title":"Nucleic Acids Research","id":"ITEM-1","issue":"17","issued":{"date-parts":[["1997"]]},"page":"3389-3402","title":"Gapped BLAST and PSI-BLAST:a new generation of protein database search programs","type":"article-journal","volume":"25"},"uris":["http://www.mendeley.com/documents/?uuid=65c4a1d4-3fb8-4a6a-bb23-1f5f98fcd0e5"]},{"id":"ITEM-2","itemData":{"DOI":"10.1093/nar/gkt1183","ISBN":"1362-4962 (Electronic)\\n0305-1048 (Linking)","ISSN":"03051048","PMID":"24297253","abstract":"MycoCosm is a fungal genomics portal (http://jgi.doe.gov/fungi), developed by the US Department of Energy Joint Genome Institute to support integration, analysis and dissemination of fungal genome sequences and other 'omics' data by providing interactive web-based tools. MycoCosm also promotes and facilitates user community participation through the nomination of new species of fungi for sequencing, and the annotation and analysis of resulting data. By efficiently filling gaps in the Fungal Tree of Life, MycoCosm will help address important problems associated with energy and the environment, taking advantage of growing fungal genomics resources.","author":[{"dropping-particle":"V.","family":"Grigoriev","given":"Igor","non-dropping-particle":"","parse-names":false,"suffix":""},{"dropping-particle":"","family":"Nikitin","given":"Roman","non-dropping-particle":"","parse-names":false,"suffix":""},{"dropping-particle":"","family":"Haridas","given":"Sajeet","non-dropping-particle":"","parse-names":false,"suffix":""},{"dropping-particle":"","family":"Kuo","given":"Alan","non-dropping-particle":"","parse-names":false,"suffix":""},{"dropping-particle":"","family":"Ohm","given":"Robin","non-dropping-particle":"","parse-names":false,"suffix":""},{"dropping-particle":"","family":"Otillar","given":"Robert","non-dropping-particle":"","parse-names":false,"suffix":""},{"dropping-particle":"","family":"Riley","given":"Robert","non-dropping-particle":"","parse-names":false,"suffix":""},{"dropping-particle":"","family":"Salamov","given":"Asaf","non-dropping-particle":"","parse-names":false,"suffix":""},{"dropping-particle":"","family":"Zhao","given":"Xueling","non-dropping-particle":"","parse-names":false,"suffix":""},{"dropping-particle":"","family":"Korzeniewski","given":"Frank","non-dropping-particle":"","parse-names":false,"suffix":""},{"dropping-particle":"","family":"Smirnova","given":"Tatyana","non-dropping-particle":"","parse-names":false,"suffix":""},{"dropping-particle":"","family":"Nordberg","given":"Henrik","non-dropping-particle":"","parse-names":false,"suffix":""},{"dropping-particle":"","family":"Dubchak","given":"Inna","non-dropping-particle":"","parse-names":false,"suffix":""},{"dropping-particle":"","family":"Shabalov","given":"Igor","non-dropping-particle":"","parse-names":false,"suffix":""}],"container-title":"Nucleic Acids Research","id":"ITEM-2","issue":"December 2013","issued":{"date-parts":[["2014"]]},"page":"699-704","title":"MycoCosm portal: Gearing up for 1000 fungal genomes","type":"article-journal","volume":"42"},"uris":["http://www.mendeley.com/documents/?uuid=eee40767-9a6f-492f-9569-bb26ff80c11c"]},{"id":"ITEM-3","itemData":{"DOI":"10.1080/21501203.2011.584577","ISBN":"2150-1203","ISSN":"2150-1203","abstract":"Fungi play important roles across the range of current and future biofuel production processes. From crop/feedstock health to plant biomass saccharification, enzyme production to bioprocesses for producing ethanol, higher alcohols, or future hydrocarbon biofuels, fungi are involved. Research and development are underway to understand the underlying biological processes and improve them to make bioenergy production efficient on an industrial scale. Genomics is the foundation of the systems biology approach that is being used to accelerate the research and development efforts across the spectrum of topic areas that impact biofuels production. In this review, we discuss past, current, and future advances made possible by genomic analyses of the fungi that impact plant/feedstock health, degradation of lignocellulosic biomass, and fermentation of sugars to ethanol, hydrocarbon biofuels, and renewable chemicals.","author":[{"dropping-particle":"V.","family":"Grigoriev","given":"Igor","non-dropping-particle":"","parse-names":false,"suffix":""},{"dropping-particle":"","family":"Cullen","given":"Daniel","non-dropping-particle":"","parse-names":false,"suffix":""},{"dropping-particle":"","family":"Goodwin","given":"Stephen B.","non-dropping-particle":"","parse-names":false,"suffix":""},{"dropping-particle":"","family":"Hibbett","given":"David","non-dropping-particle":"","parse-names":false,"suffix":""},{"dropping-particle":"","family":"Jeffries","given":"Thomas W.","non-dropping-particle":"","parse-names":false,"suffix":""},{"dropping-particle":"","family":"Kubicek","given":"Christian P.","non-dropping-particle":"","parse-names":false,"suffix":""},{"dropping-particle":"","family":"Kuske","given":"Cheryl","non-dropping-particle":"","parse-names":false,"suffix":""},{"dropping-particle":"","family":"Magnuson","given":"Jon K.","non-dropping-particle":"","parse-names":false,"suffix":""},{"dropping-particle":"","family":"Martin","given":"Francis","non-dropping-particle":"","parse-names":false,"suffix":""},{"dropping-particle":"","family":"Spatafora","given":"Joseph W.","non-dropping-particle":"","parse-names":false,"suffix":""},{"dropping-particle":"","family":"Tsang","given":"Adrian","non-dropping-particle":"","parse-names":false,"suffix":""},{"dropping-particle":"","family":"Baker","given":"Scott E.","non-dropping-particle":"","parse-names":false,"suffix":""},{"dropping-particle":"","family":"Cullen","given":"","non-dropping-particle":"","parse-names":false,"suffix":""},{"dropping-particle":"","family":"Sb","given":"Goodwin","non-dropping-particle":"","parse-names":false,"suffix":""},{"dropping-particle":"","family":"D","given":"Hibbett","non-dropping-particle":"","parse-names":false,"suffix":""},{"dropping-particle":"","family":"Tw","given":"Jeffries","non-dropping-particle":"","parse-names":false,"suffix":""},{"dropping-particle":"","family":"Cp","given":"Kubicek","non-dropping-particle":"","parse-names":false,"suffix":""},{"dropping-particle":"","family":"C","given":"Kuske","non-dropping-particle":"","parse-names":false,"suffix":""},{"dropping-particle":"","family":"Jk","given":"Magnuson","non-dropping-particle":"","parse-names":false,"suffix":""},{"dropping-particle":"","family":"F","given":"Martin","non-dropping-particle":"","parse-names":false,"suffix":""},{"dropping-particle":"","family":"Jw","given":"Spatafora","non-dropping-particle":"","parse-names":false,"suffix":""},{"dropping-particle":"","family":"a","given":"Tsang","non-dropping-particle":"","parse-names":false,"suffix":""},{"dropping-particle":"","family":"Se","given":"Baker","non-dropping-particle":"","parse-names":false,"suffix":""}],"container-title":"Mycology: An international journal on fungal biology","id":"ITEM-3","issue":"June 2016","issued":{"date-parts":[["2011"]]},"page":"192-209","title":"Fueling the future with fungal genomics","type":"article-journal","volume":"2"},"uris":["http://www.mendeley.com/documents/?uuid=9a28282a-1011-48a6-9df1-2ef8df068138"]}],"mendeley":{"formattedCitation":"(Altschul et al., 1997; Grigoriev et al., 2014, 2011)","plainTextFormattedCitation":"(Altschul et al., 1997; Grigoriev et al., 2014, 2011)","previouslyFormattedCitation":"(Altschul et al., 1997; Grigoriev et al., 2014, 2011)"},"properties":{"noteIndex":0},"schema":"https://github.com/citation-style-language/schema/raw/master/csl-citation.json"}</w:instrText>
      </w:r>
      <w:r w:rsidRPr="00635993">
        <w:rPr>
          <w:b w:val="0"/>
        </w:rPr>
        <w:fldChar w:fldCharType="separate"/>
      </w:r>
      <w:r w:rsidRPr="00635993">
        <w:rPr>
          <w:b w:val="0"/>
          <w:noProof/>
        </w:rPr>
        <w:t>(Altschul et al., 1997; Grigoriev et al., 2014, 2011)</w:t>
      </w:r>
      <w:r w:rsidRPr="00635993">
        <w:rPr>
          <w:b w:val="0"/>
        </w:rPr>
        <w:fldChar w:fldCharType="end"/>
      </w:r>
      <w:r w:rsidRPr="00635993">
        <w:rPr>
          <w:b w:val="0"/>
        </w:rPr>
        <w:t xml:space="preserve">. </w:t>
      </w:r>
      <w:r w:rsidRPr="00B46FB7">
        <w:t>A.</w:t>
      </w:r>
      <w:r w:rsidR="00C501AE">
        <w:rPr>
          <w:b w:val="0"/>
        </w:rPr>
        <w:t xml:space="preserve"> Genes showing up</w:t>
      </w:r>
      <w:r w:rsidRPr="00635993">
        <w:rPr>
          <w:b w:val="0"/>
        </w:rPr>
        <w:t xml:space="preserve">regulation in low Pi availability compared to high Pi in NS condition. </w:t>
      </w:r>
      <w:r w:rsidRPr="00B46FB7">
        <w:t>B.</w:t>
      </w:r>
      <w:r w:rsidR="00877B3F">
        <w:rPr>
          <w:b w:val="0"/>
        </w:rPr>
        <w:t xml:space="preserve"> Genes showing down</w:t>
      </w:r>
      <w:r w:rsidRPr="00635993">
        <w:rPr>
          <w:b w:val="0"/>
        </w:rPr>
        <w:t xml:space="preserve">regulation in low Pi availability compared to high Pi in NS condition. The annotation bar from the top represents </w:t>
      </w:r>
      <w:r w:rsidRPr="00635993">
        <w:rPr>
          <w:b w:val="0"/>
          <w:i/>
        </w:rPr>
        <w:t>P. involutus</w:t>
      </w:r>
      <w:r w:rsidRPr="00635993">
        <w:rPr>
          <w:b w:val="0"/>
        </w:rPr>
        <w:t xml:space="preserve"> </w:t>
      </w:r>
      <w:r w:rsidRPr="00635993">
        <w:rPr>
          <w:b w:val="0"/>
          <w:i/>
        </w:rPr>
        <w:t xml:space="preserve">ATCC 200175 </w:t>
      </w:r>
      <w:r w:rsidRPr="00635993">
        <w:rPr>
          <w:b w:val="0"/>
        </w:rPr>
        <w:t xml:space="preserve">hyphae grown in NS condition (orange: NS). The second annotation bar represents the Pi availability (light blue: 0.37 </w:t>
      </w:r>
      <w:r w:rsidRPr="00635993">
        <w:rPr>
          <w:b w:val="0"/>
          <w:lang w:val="el-GR"/>
        </w:rPr>
        <w:t>μ</w:t>
      </w:r>
      <w:r w:rsidRPr="00635993">
        <w:rPr>
          <w:b w:val="0"/>
        </w:rPr>
        <w:t xml:space="preserve">M of Pi as low Pi; dark blue: 367 </w:t>
      </w:r>
      <w:r w:rsidRPr="00635993">
        <w:rPr>
          <w:b w:val="0"/>
          <w:lang w:val="el-GR"/>
        </w:rPr>
        <w:t>μ</w:t>
      </w:r>
      <w:r w:rsidRPr="00635993">
        <w:rPr>
          <w:b w:val="0"/>
        </w:rPr>
        <w:t>M of Pi as high Pi). Magenta annotation on the left of each heat map represents genes differentially expressed exclusively in NS condition. Normalized read count values of each biological replicate are shown independently.</w:t>
      </w:r>
    </w:p>
    <w:p w14:paraId="202DD689" w14:textId="167B6FE0" w:rsidR="000D7D3D" w:rsidRPr="000D7D3D" w:rsidRDefault="000D7D3D" w:rsidP="00635993">
      <w:pPr>
        <w:pStyle w:val="Subtitle"/>
        <w:pBdr>
          <w:top w:val="single" w:sz="4" w:space="1" w:color="auto"/>
        </w:pBdr>
      </w:pPr>
      <w:r w:rsidRPr="000D7D3D">
        <w:br w:type="page"/>
      </w:r>
    </w:p>
    <w:p w14:paraId="198C1053" w14:textId="450AD324" w:rsidR="000D7D3D" w:rsidRPr="000D7D3D" w:rsidRDefault="000D7D3D" w:rsidP="00635993">
      <w:pPr>
        <w:pStyle w:val="Heading2"/>
      </w:pPr>
      <w:bookmarkStart w:id="266" w:name="_Toc507604019"/>
      <w:bookmarkStart w:id="267" w:name="_Toc507604286"/>
      <w:bookmarkStart w:id="268" w:name="_Toc519016996"/>
      <w:bookmarkStart w:id="269" w:name="_Toc520837901"/>
      <w:r w:rsidRPr="000D7D3D">
        <w:lastRenderedPageBreak/>
        <w:t xml:space="preserve">3.3.5 </w:t>
      </w:r>
      <w:r w:rsidRPr="000D7D3D">
        <w:rPr>
          <w:i/>
        </w:rPr>
        <w:t xml:space="preserve">P. involutus ATCC 200175 </w:t>
      </w:r>
      <w:r w:rsidRPr="000D7D3D">
        <w:t xml:space="preserve">genes differentially regulated in response to </w:t>
      </w:r>
      <w:r w:rsidR="006A7911">
        <w:t>Pi</w:t>
      </w:r>
      <w:r w:rsidR="006A7911" w:rsidRPr="000D7D3D">
        <w:t xml:space="preserve"> </w:t>
      </w:r>
      <w:r w:rsidRPr="000D7D3D">
        <w:t>availability during EM symbiosis</w:t>
      </w:r>
      <w:bookmarkEnd w:id="266"/>
      <w:bookmarkEnd w:id="267"/>
      <w:bookmarkEnd w:id="268"/>
      <w:bookmarkEnd w:id="269"/>
    </w:p>
    <w:p w14:paraId="2D5B0FBA" w14:textId="53CA4008" w:rsidR="000D7D3D" w:rsidRPr="000D7D3D" w:rsidRDefault="000D7D3D" w:rsidP="003F7054">
      <w:r w:rsidRPr="000D7D3D">
        <w:t>Here, the top 50 upregulated or downregulated genes</w:t>
      </w:r>
      <w:r w:rsidR="00693890">
        <w:t xml:space="preserve"> by low Pi availability in S condition</w:t>
      </w:r>
      <w:r w:rsidRPr="000D7D3D">
        <w:t xml:space="preserve"> are presented in Figure 3.5A and 3.5B, respectively. In particular, in Figure 3.5A, the genes which are </w:t>
      </w:r>
      <w:r w:rsidR="00665F09">
        <w:t xml:space="preserve">most </w:t>
      </w:r>
      <w:r w:rsidR="0084070B">
        <w:t xml:space="preserve">significantly </w:t>
      </w:r>
      <w:r w:rsidRPr="000D7D3D">
        <w:t>upregulated by low Pi availability compared to high Pi availability in the S condition are shown. According to their putative function, these are genes which are mainly involved in: (a) redox reactions, such as reductases and oxidases with roles in various metabolic pathways, (b) signalling</w:t>
      </w:r>
      <w:r w:rsidR="00665F09">
        <w:t>,</w:t>
      </w:r>
      <w:r w:rsidRPr="000D7D3D">
        <w:t xml:space="preserve"> such as kinases, (c) </w:t>
      </w:r>
      <w:r w:rsidR="006A7911">
        <w:t>Pi</w:t>
      </w:r>
      <w:r w:rsidRPr="000D7D3D">
        <w:t>-dependent carbohydrate metabolism, such as transaldolase and transketolase, (d) phospholipid metabolism, such as phospholipases, (e) steroid metabolism, suc</w:t>
      </w:r>
      <w:r w:rsidR="00693890">
        <w:t xml:space="preserve">h sterol demethylase, (f) </w:t>
      </w:r>
      <w:r w:rsidRPr="000D7D3D">
        <w:t xml:space="preserve">Pi metabolism, such as phosphatases, and (g) Pi transport, such as Pi transporters. With attention to the last one, five out of the seven putative </w:t>
      </w:r>
      <w:r w:rsidR="00AC5079" w:rsidRPr="00AC5079">
        <w:rPr>
          <w:i/>
        </w:rPr>
        <w:t>PiPTs</w:t>
      </w:r>
      <w:r w:rsidRPr="000D7D3D">
        <w:t xml:space="preserve"> (</w:t>
      </w:r>
      <w:r w:rsidRPr="000D7D3D">
        <w:rPr>
          <w:i/>
        </w:rPr>
        <w:t>PiPT1</w:t>
      </w:r>
      <w:r w:rsidRPr="000D7D3D">
        <w:t>,</w:t>
      </w:r>
      <w:r w:rsidRPr="000D7D3D">
        <w:rPr>
          <w:i/>
        </w:rPr>
        <w:t xml:space="preserve"> PiPT2, PiPT3, PiPT4 </w:t>
      </w:r>
      <w:r w:rsidRPr="000D7D3D">
        <w:t xml:space="preserve">and </w:t>
      </w:r>
      <w:r w:rsidRPr="00AC5079">
        <w:rPr>
          <w:i/>
        </w:rPr>
        <w:t>PiPT6</w:t>
      </w:r>
      <w:r w:rsidRPr="000D7D3D">
        <w:t xml:space="preserve">) have been found to be upregulated within the </w:t>
      </w:r>
      <w:r w:rsidR="00EF5D34">
        <w:t xml:space="preserve">top </w:t>
      </w:r>
      <w:r w:rsidRPr="000D7D3D">
        <w:t xml:space="preserve">50 genes heat map, where </w:t>
      </w:r>
      <w:r w:rsidRPr="000D7D3D">
        <w:rPr>
          <w:i/>
        </w:rPr>
        <w:t xml:space="preserve">PiPT2 </w:t>
      </w:r>
      <w:r w:rsidRPr="000D7D3D">
        <w:t xml:space="preserve">and </w:t>
      </w:r>
      <w:r w:rsidRPr="000D7D3D">
        <w:rPr>
          <w:i/>
        </w:rPr>
        <w:t xml:space="preserve">PiPT6 </w:t>
      </w:r>
      <w:r w:rsidRPr="000D7D3D">
        <w:t>are exclusively upregulated in low Pi in the S condition</w:t>
      </w:r>
      <w:r w:rsidR="00AC5079">
        <w:t xml:space="preserve"> (Figure 3.5A, magenta annotation)</w:t>
      </w:r>
      <w:r w:rsidRPr="000D7D3D">
        <w:t xml:space="preserve">. </w:t>
      </w:r>
    </w:p>
    <w:p w14:paraId="0B5FD049" w14:textId="187FB0E1" w:rsidR="000D7D3D" w:rsidRPr="000D7D3D" w:rsidRDefault="000D7D3D" w:rsidP="00634533">
      <w:pPr>
        <w:ind w:firstLine="720"/>
      </w:pPr>
      <w:r w:rsidRPr="000D7D3D">
        <w:t>In regard to the genes which are</w:t>
      </w:r>
      <w:r w:rsidR="00665F09">
        <w:t xml:space="preserve"> most</w:t>
      </w:r>
      <w:r w:rsidRPr="000D7D3D">
        <w:t xml:space="preserve"> </w:t>
      </w:r>
      <w:r w:rsidR="0084070B">
        <w:t xml:space="preserve">significantly </w:t>
      </w:r>
      <w:r w:rsidRPr="000D7D3D">
        <w:t>downregulated by low Pi availability compared to high Pi availabilit</w:t>
      </w:r>
      <w:r w:rsidR="00AC5079">
        <w:t>y in the S condition, in Figure 3.5</w:t>
      </w:r>
      <w:r w:rsidRPr="000D7D3D">
        <w:t>B, these are genes mainly involved in: (a) N metabolism and transport, such as nitrate reductase and nitrate or ammonium transporters, (b) amino acid metabolism and transport, such as amidase and amino acid transporters, (c) lipid metabolism, such as lipase and hydrolases, (d) carbohydrate metabolism, such as glycoside hydrolase, (e) redox reactions, such as cytochrome P450, and (f) signalling</w:t>
      </w:r>
      <w:r w:rsidR="00693890">
        <w:t>,</w:t>
      </w:r>
      <w:r w:rsidRPr="000D7D3D">
        <w:t xml:space="preserve"> such as kinases</w:t>
      </w:r>
      <w:r w:rsidR="00665F09">
        <w:t>.</w:t>
      </w:r>
      <w:r w:rsidRPr="000D7D3D">
        <w:br w:type="page"/>
      </w:r>
    </w:p>
    <w:p w14:paraId="75C641C7" w14:textId="77777777" w:rsidR="000D7D3D" w:rsidRPr="000D7D3D" w:rsidRDefault="00D846C2" w:rsidP="003F061A">
      <w:r>
        <w:rPr>
          <w:noProof/>
          <w:lang w:eastAsia="en-GB"/>
        </w:rPr>
        <w:lastRenderedPageBreak/>
        <w:drawing>
          <wp:inline distT="0" distB="0" distL="0" distR="0" wp14:anchorId="289AC0FF" wp14:editId="53EAB1D4">
            <wp:extent cx="5943600" cy="40830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 3.5 A.B. new+.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083050"/>
                    </a:xfrm>
                    <a:prstGeom prst="rect">
                      <a:avLst/>
                    </a:prstGeom>
                  </pic:spPr>
                </pic:pic>
              </a:graphicData>
            </a:graphic>
          </wp:inline>
        </w:drawing>
      </w:r>
    </w:p>
    <w:p w14:paraId="2CB2AFB1" w14:textId="595F5D9E" w:rsidR="002B13CF" w:rsidRDefault="000D7D3D" w:rsidP="002B13CF">
      <w:pPr>
        <w:pStyle w:val="Subtitle"/>
        <w:pBdr>
          <w:top w:val="single" w:sz="4" w:space="1" w:color="auto"/>
        </w:pBdr>
        <w:rPr>
          <w:b w:val="0"/>
        </w:rPr>
      </w:pPr>
      <w:r w:rsidRPr="000D7D3D">
        <w:t xml:space="preserve">Figure 3.5 </w:t>
      </w:r>
      <w:r w:rsidRPr="00635993">
        <w:rPr>
          <w:b w:val="0"/>
        </w:rPr>
        <w:t xml:space="preserve">Heat maps of normalized read counts for genes differentially expressed in </w:t>
      </w:r>
      <w:r w:rsidRPr="00635993">
        <w:rPr>
          <w:b w:val="0"/>
          <w:i/>
        </w:rPr>
        <w:t>P. involutus</w:t>
      </w:r>
      <w:r w:rsidRPr="00635993">
        <w:rPr>
          <w:b w:val="0"/>
        </w:rPr>
        <w:t xml:space="preserve"> </w:t>
      </w:r>
      <w:r w:rsidRPr="00635993">
        <w:rPr>
          <w:b w:val="0"/>
          <w:i/>
        </w:rPr>
        <w:t>ATCC 200175</w:t>
      </w:r>
      <w:r w:rsidRPr="00635993">
        <w:rPr>
          <w:b w:val="0"/>
        </w:rPr>
        <w:t xml:space="preserve"> hyphae between S high Pi and S low Pi conditions. Z-score values are shown for the top 50 genes ranked by Q-values (Q-value &lt;0.05) between experimental conditions compared. The putative functional annotation for each gene is listed on the right of each heat map</w:t>
      </w:r>
      <w:r w:rsidR="00693890">
        <w:rPr>
          <w:b w:val="0"/>
        </w:rPr>
        <w:t>,</w:t>
      </w:r>
      <w:r w:rsidRPr="00635993">
        <w:rPr>
          <w:b w:val="0"/>
        </w:rPr>
        <w:t xml:space="preserve"> which was inferred by using the SmartBLAST online tool </w:t>
      </w:r>
      <w:r w:rsidRPr="00635993">
        <w:rPr>
          <w:b w:val="0"/>
        </w:rPr>
        <w:fldChar w:fldCharType="begin" w:fldLock="1"/>
      </w:r>
      <w:r w:rsidR="00EE33AB">
        <w:rPr>
          <w:b w:val="0"/>
        </w:rPr>
        <w:instrText>ADDIN CSL_CITATION {"citationItems":[{"id":"ITEM-1","itemData":{"DOI":"10.1093/nar/gkv1290","ISBN":"0305-1048","ISSN":"13624962","PMID":"10592169","abstract":"In addition to maintaining the GenBank(R) nucleic acid sequence database, the National Center for Biotechnology Information (NCBI) provides data analysis and retrieval and resources that operate on the data in GenBank and a variety of other biological data made available through NCBI's Web site. NCBI data retrieval resources include Entrez, PubMed, LocusLink and the Taxonomy Browser. Data analysis resources include BLAST, Electronic PCR, OrfFinder, RefSeq, UniGene, Database of Single Nucleotide Polymorphisms (dbSNP), Human Genome Sequencing pages, GeneMap'99, Davis Human-Mouse Homology Map, Cancer Chromosome Aberration Project (CCAP) pages, Entrez Genomes, Clusters of Orthologous Groups (COGs) database, Retroviral Genotyping Tools, Cancer Genome Anatomy Project (CGAP) pages, SAGEmap, Online Mendelian Inheritance in Man (OMIM) and the Molecular Modeling Database (MMDB). Augmenting many of the Web applications are custom implementations of the BLAST program optimized to search specialized data sets. All of the resources can be accessed through the NCBI home page at: http://www.ncbi.nlm.nih. gov","author":[{"dropping-particle":"","family":"Agarwala","given":"Richa","non-dropping-particle":"","parse-names":false,"suffix":""},{"dropping-particle":"","family":"Barrett","given":"Tanya","non-dropping-particle":"","parse-names":false,"suffix":""},{"dropping-particle":"","family":"Beck","given":"Jeff","non-dropping-particle":"","parse-names":false,"suffix":""},{"dropping-particle":"","family":"Benson","given":"Dennis A.","non-dropping-particle":"","parse-names":false,"suffix":""},{"dropping-particle":"","family":"Bollin","given":"Colleen","non-dropping-particle":"","parse-names":false,"suffix":""},{"dropping-particle":"","family":"Bolton","given":"Evan","non-dropping-particle":"","parse-names":false,"suffix":""},{"dropping-particle":"","family":"Bourexis","given":"Devon","non-dropping-particle":"","parse-names":false,"suffix":""},{"dropping-particle":"","family":"Brister","given":"J. Rodney","non-dropping-particle":"","parse-names":false,"suffix":""},{"dropping-particle":"","family":"Bryant","given":"Stephen H.","non-dropping-particle":"","parse-names":false,"suffix":""},{"dropping-particle":"","family":"Canese","given":"Kathi","non-dropping-particle":"","parse-names":false,"suffix":""},{"dropping-particle":"","family":"Charowhas","given":"Chad","non-dropping-particle":"","parse-names":false,"suffix":""},{"dropping-particle":"","family":"Clark","given":"Karen","non-dropping-particle":"","parse-names":false,"suffix":""},{"dropping-particle":"","family":"Dicuccio","given":"Michael","non-dropping-particle":"","parse-names":false,"suffix":""},{"dropping-particle":"","family":"Dondoshansky","given":"Ilya","non-dropping-particle":"","parse-names":false,"suffix":""},{"dropping-particle":"","family":"Federhen","given":"Scott","non-dropping-particle":"","parse-names":false,"suffix":""},{"dropping-particle":"","family":"Feolo","given":"Michael","non-dropping-particle":"","parse-names":false,"suffix":""},{"dropping-particle":"","family":"Funk","given":"Kathryn","non-dropping-particle":"","parse-names":false,"suffix":""},{"dropping-particle":"","family":"Geer","given":"Lewis Y.","non-dropping-particle":"","parse-names":false,"suffix":""},{"dropping-particle":"","family":"Gorelenkov","given":"Viatcheslav","non-dropping-particle":"","parse-names":false,"suffix":""},{"dropping-particle":"","family":"Hoeppner","given":"Marilu","non-dropping-particle":"","parse-names":false,"suffix":""},{"dropping-particle":"","family":"Holmes","given":"Brad","non-dropping-particle":"","parse-names":false,"suffix":""},{"dropping-particle":"","family":"Johnson","given":"Mark","non-dropping-particle":"","parse-names":false,"suffix":""},{"dropping-particle":"","family":"Khotomlianski","given":"Viatcheslav","non-dropping-particle":"","parse-names":false,"suffix":""},{"dropping-particle":"","family":"Kimchi","given":"Avi","non-dropping-particle":"","parse-names":false,"suffix":""},{"dropping-particle":"","family":"Kimelman","given":"Michael","non-dropping-particle":"","parse-names":false,"suffix":""},{"dropping-particle":"","family":"Kitts","given":"Paul","non-dropping-particle":"","parse-names":false,"suffix":""},{"dropping-particle":"","family":"Klimke","given":"William","non-dropping-particle":"","parse-names":false,"suffix":""},{"dropping-particle":"","family":"Krasnov","given":"Sergey","non-dropping-particle":"","parse-names":false,"suffix":""},{"dropping-particle":"","family":"Kuznetsov","given":"Anatoliy","non-dropping-particle":"","parse-names":false,"suffix":""},{"dropping-particle":"","family":"Landrum","given":"Melissa J.","non-dropping-particle":"","parse-names":false,"suffix":""},{"dropping-particle":"","family":"Landsman","given":"David","non-dropping-particle":"","parse-names":false,"suffix":""},{"dropping-particle":"","family":"Lee","given":"Jennifer M.","non-dropping-particle":"","parse-names":false,"suffix":""},{"dropping-particle":"","family":"Lipman","given":"David J.","non-dropping-particle":"","parse-names":false,"suffix":""},{"dropping-particle":"","family":"Lu","given":"Zhiyong","non-dropping-particle":"","parse-names":false,"suffix":""},{"dropping-particle":"","family":"Madden","given":"Thomas L.","non-dropping-particle":"","parse-names":false,"suffix":""},{"dropping-particle":"","family":"Madej","given":"Tom","non-dropping-particle":"","parse-names":false,"suffix":""},{"dropping-particle":"","family":"Marchler-Bauer","given":"Aron","non-dropping-particle":"","parse-names":false,"suffix":""},{"dropping-particle":"","family":"Karsch-Mizrachi","given":"Ilene","non-dropping-particle":"","parse-names":false,"suffix":""},{"dropping-particle":"","family":"Murphy","given":"Terence","non-dropping-particle":"","parse-names":false,"suffix":""},{"dropping-particle":"","family":"Orris","given":"Rebecca","non-dropping-particle":"","parse-names":false,"suffix":""},{"dropping-particle":"","family":"Ostell","given":"James","non-dropping-particle":"","parse-names":false,"suffix":""},{"dropping-particle":"","family":"O'sullivan","given":"Christopher","non-dropping-particle":"","parse-names":false,"suffix":""},{"dropping-particle":"","family":"Panchenko","given":"Anna","non-dropping-particle":"","parse-names":false,"suffix":""},{"dropping-particle":"","family":"Phan","given":"Lon","non-dropping-particle":"","parse-names":false,"suffix":""},{"dropping-particle":"","family":"Preuss","given":"Don","non-dropping-particle":"","parse-names":false,"suffix":""},{"dropping-particle":"","family":"Pruitt","given":"Kim D.","non-dropping-particle":"","parse-names":false,"suffix":""},{"dropping-particle":"","family":"Rodarmer","given":"Kurt","non-dropping-particle":"","parse-names":false,"suffix":""},{"dropping-particle":"","family":"Rubinstein","given":"Wendy","non-dropping-particle":"","parse-names":false,"suffix":""},{"dropping-particle":"","family":"Sayers","given":"Ericw","non-dropping-particle":"","parse-names":false,"suffix":""},{"dropping-particle":"","family":"Schneider","given":"Valerie","non-dropping-particle":"","parse-names":false,"suffix":""},{"dropping-particle":"","family":"Schuler","given":"Gregory D.","non-dropping-particle":"","parse-names":false,"suffix":""},{"dropping-particle":"","family":"Sherry","given":"Stephen T.","non-dropping-particle":"","parse-names":false,"suffix":""},{"dropping-particle":"","family":"Sirotkin","given":"Karl","non-dropping-particle":"","parse-names":false,"suffix":""},{"dropping-particle":"","family":"Siyan","given":"Karanjit","non-dropping-particle":"","parse-names":false,"suffix":""},{"dropping-particle":"","family":"Slotta","given":"Douglas","non-dropping-particle":"","parse-names":false,"suffix":""},{"dropping-particle":"","family":"Soboleva","given":"Alexandra","non-dropping-particle":"","parse-names":false,"suffix":""},{"dropping-particle":"","family":"Soussov","given":"Vladimir","non-dropping-particle":"","parse-names":false,"suffix":""},{"dropping-particle":"","family":"Starchenko","given":"Grigory","non-dropping-particle":"","parse-names":false,"suffix":""},{"dropping-particle":"","family":"Tatusova","given":"Tatiana A.","non-dropping-particle":"","parse-names":false,"suffix":""},{"dropping-particle":"","family":"Todorov","given":"Kamen","non-dropping-particle":"","parse-names":false,"suffix":""},{"dropping-particle":"","family":"Trawick","given":"Bart W.","non-dropping-particle":"","parse-names":false,"suffix":""},{"dropping-particle":"","family":"Vakatov","given":"Denis","non-dropping-particle":"","parse-names":false,"suffix":""},{"dropping-particle":"","family":"Wang","given":"Yanli","non-dropping-particle":"","parse-names":false,"suffix":""},{"dropping-particle":"","family":"Ward","given":"Minghong","non-dropping-particle":"","parse-names":false,"suffix":""},{"dropping-particle":"","family":"Wilbur","given":"W. John","non-dropping-particle":"","parse-names":false,"suffix":""},{"dropping-particle":"","family":"Yaschenko","given":"Eugene","non-dropping-particle":"","parse-names":false,"suffix":""},{"dropping-particle":"","family":"Zbicz","given":"Kerry","non-dropping-particle":"","parse-names":false,"suffix":""}],"container-title":"Nucleic Acids Research","id":"ITEM-1","issue":"D1","issued":{"date-parts":[["2016"]]},"page":"D7-D19","title":"Database resources of the National Center for Biotechnology Information","type":"article-journal","volume":"44"},"uris":["http://www.mendeley.com/documents/?uuid=63f0e420-66c3-4e46-814d-2d2eaeabc62f"]}],"mendeley":{"formattedCitation":"(Agarwala et al., 2016)","plainTextFormattedCitation":"(Agarwala et al., 2016)","previouslyFormattedCitation":"(Agarwala et al., 2016)"},"properties":{"noteIndex":0},"schema":"https://github.com/citation-style-language/schema/raw/master/csl-citation.json"}</w:instrText>
      </w:r>
      <w:r w:rsidRPr="00635993">
        <w:rPr>
          <w:b w:val="0"/>
        </w:rPr>
        <w:fldChar w:fldCharType="separate"/>
      </w:r>
      <w:r w:rsidRPr="00635993">
        <w:rPr>
          <w:b w:val="0"/>
          <w:noProof/>
        </w:rPr>
        <w:t>(Agarwala et al., 2016)</w:t>
      </w:r>
      <w:r w:rsidRPr="00635993">
        <w:rPr>
          <w:b w:val="0"/>
        </w:rPr>
        <w:fldChar w:fldCharType="end"/>
      </w:r>
      <w:r w:rsidRPr="00635993">
        <w:rPr>
          <w:b w:val="0"/>
        </w:rPr>
        <w:t xml:space="preserve"> together with the annotation on the MycoCosm at the JGI database </w:t>
      </w:r>
      <w:r w:rsidRPr="00635993">
        <w:rPr>
          <w:b w:val="0"/>
        </w:rPr>
        <w:fldChar w:fldCharType="begin" w:fldLock="1"/>
      </w:r>
      <w:r w:rsidR="00EE33AB">
        <w:rPr>
          <w:b w:val="0"/>
        </w:rPr>
        <w:instrText>ADDIN CSL_CITATION {"citationItems":[{"id":"ITEM-1","itemData":{"DOI":"10.1093/nar/25.17.3389","ISBN":"0305-1048","ISSN":"13624962","PMID":"9254694","abstract":"The BLAST programs are widely used tools for searching protein and DNA databases for sequence similarities. For protein comparisons, a variety of definitional, algorithmic and statistical refinements described here permits the execution time of the BLAST programs to be decreased substantially while enhancing their sensitivity to weak similarities. A new criterion for triggering the extension of word hits, combined with a new heuristic for generating gapped alignments, yields a gapped BLAST program that runs at approximately three times the speed of the original. In addition, a method is introduced for automatically combining statistically significant alignments produced by BLAST into a position-specific score matrix, and searching the database using this matrix. The resulting Position-Specific Iterated BLAST (PSIBLAST) program runs at approximately the same speed per iteration as gapped BLAST, but in many cases is much more sensitive to weak but biologically relevant sequence similarities. PSI-BLAST is used to uncover several new and interesting members of the BRCT superfamily.","author":[{"dropping-particle":"","family":"Altschul","given":"Stephen F","non-dropping-particle":"","parse-names":false,"suffix":""},{"dropping-particle":"","family":"Madden","given":"Thomas L","non-dropping-particle":"","parse-names":false,"suffix":""},{"dropping-particle":"","family":"Schäffer","given":"Alejandto a","non-dropping-particle":"","parse-names":false,"suffix":""},{"dropping-particle":"","family":"Zhang","given":"Jinghui","non-dropping-particle":"","parse-names":false,"suffix":""},{"dropping-particle":"","family":"Zhang","given":"Zheng","non-dropping-particle":"","parse-names":false,"suffix":""},{"dropping-particle":"","family":"Miller","given":"Webb","non-dropping-particle":"","parse-names":false,"suffix":""},{"dropping-particle":"","family":"Lipman","given":"David J","non-dropping-particle":"","parse-names":false,"suffix":""}],"container-title":"Nucleic Acids Research","id":"ITEM-1","issue":"17","issued":{"date-parts":[["1997"]]},"page":"3389-3402","title":"Gapped BLAST and PSI-BLAST:a new generation of protein database search programs","type":"article-journal","volume":"25"},"uris":["http://www.mendeley.com/documents/?uuid=65c4a1d4-3fb8-4a6a-bb23-1f5f98fcd0e5"]},{"id":"ITEM-2","itemData":{"DOI":"10.1093/nar/gkt1183","ISBN":"1362-4962 (Electronic)\\n0305-1048 (Linking)","ISSN":"03051048","PMID":"24297253","abstract":"MycoCosm is a fungal genomics portal (http://jgi.doe.gov/fungi), developed by the US Department of Energy Joint Genome Institute to support integration, analysis and dissemination of fungal genome sequences and other 'omics' data by providing interactive web-based tools. MycoCosm also promotes and facilitates user community participation through the nomination of new species of fungi for sequencing, and the annotation and analysis of resulting data. By efficiently filling gaps in the Fungal Tree of Life, MycoCosm will help address important problems associated with energy and the environment, taking advantage of growing fungal genomics resources.","author":[{"dropping-particle":"V.","family":"Grigoriev","given":"Igor","non-dropping-particle":"","parse-names":false,"suffix":""},{"dropping-particle":"","family":"Nikitin","given":"Roman","non-dropping-particle":"","parse-names":false,"suffix":""},{"dropping-particle":"","family":"Haridas","given":"Sajeet","non-dropping-particle":"","parse-names":false,"suffix":""},{"dropping-particle":"","family":"Kuo","given":"Alan","non-dropping-particle":"","parse-names":false,"suffix":""},{"dropping-particle":"","family":"Ohm","given":"Robin","non-dropping-particle":"","parse-names":false,"suffix":""},{"dropping-particle":"","family":"Otillar","given":"Robert","non-dropping-particle":"","parse-names":false,"suffix":""},{"dropping-particle":"","family":"Riley","given":"Robert","non-dropping-particle":"","parse-names":false,"suffix":""},{"dropping-particle":"","family":"Salamov","given":"Asaf","non-dropping-particle":"","parse-names":false,"suffix":""},{"dropping-particle":"","family":"Zhao","given":"Xueling","non-dropping-particle":"","parse-names":false,"suffix":""},{"dropping-particle":"","family":"Korzeniewski","given":"Frank","non-dropping-particle":"","parse-names":false,"suffix":""},{"dropping-particle":"","family":"Smirnova","given":"Tatyana","non-dropping-particle":"","parse-names":false,"suffix":""},{"dropping-particle":"","family":"Nordberg","given":"Henrik","non-dropping-particle":"","parse-names":false,"suffix":""},{"dropping-particle":"","family":"Dubchak","given":"Inna","non-dropping-particle":"","parse-names":false,"suffix":""},{"dropping-particle":"","family":"Shabalov","given":"Igor","non-dropping-particle":"","parse-names":false,"suffix":""}],"container-title":"Nucleic Acids Research","id":"ITEM-2","issue":"December 2013","issued":{"date-parts":[["2014"]]},"page":"699-704","title":"MycoCosm portal: Gearing up for 1000 fungal genomes","type":"article-journal","volume":"42"},"uris":["http://www.mendeley.com/documents/?uuid=eee40767-9a6f-492f-9569-bb26ff80c11c"]},{"id":"ITEM-3","itemData":{"DOI":"10.1080/21501203.2011.584577","ISBN":"2150-1203","ISSN":"2150-1203","abstract":"Fungi play important roles across the range of current and future biofuel production processes. From crop/feedstock health to plant biomass saccharification, enzyme production to bioprocesses for producing ethanol, higher alcohols, or future hydrocarbon biofuels, fungi are involved. Research and development are underway to understand the underlying biological processes and improve them to make bioenergy production efficient on an industrial scale. Genomics is the foundation of the systems biology approach that is being used to accelerate the research and development efforts across the spectrum of topic areas that impact biofuels production. In this review, we discuss past, current, and future advances made possible by genomic analyses of the fungi that impact plant/feedstock health, degradation of lignocellulosic biomass, and fermentation of sugars to ethanol, hydrocarbon biofuels, and renewable chemicals.","author":[{"dropping-particle":"V.","family":"Grigoriev","given":"Igor","non-dropping-particle":"","parse-names":false,"suffix":""},{"dropping-particle":"","family":"Cullen","given":"Daniel","non-dropping-particle":"","parse-names":false,"suffix":""},{"dropping-particle":"","family":"Goodwin","given":"Stephen B.","non-dropping-particle":"","parse-names":false,"suffix":""},{"dropping-particle":"","family":"Hibbett","given":"David","non-dropping-particle":"","parse-names":false,"suffix":""},{"dropping-particle":"","family":"Jeffries","given":"Thomas W.","non-dropping-particle":"","parse-names":false,"suffix":""},{"dropping-particle":"","family":"Kubicek","given":"Christian P.","non-dropping-particle":"","parse-names":false,"suffix":""},{"dropping-particle":"","family":"Kuske","given":"Cheryl","non-dropping-particle":"","parse-names":false,"suffix":""},{"dropping-particle":"","family":"Magnuson","given":"Jon K.","non-dropping-particle":"","parse-names":false,"suffix":""},{"dropping-particle":"","family":"Martin","given":"Francis","non-dropping-particle":"","parse-names":false,"suffix":""},{"dropping-particle":"","family":"Spatafora","given":"Joseph W.","non-dropping-particle":"","parse-names":false,"suffix":""},{"dropping-particle":"","family":"Tsang","given":"Adrian","non-dropping-particle":"","parse-names":false,"suffix":""},{"dropping-particle":"","family":"Baker","given":"Scott E.","non-dropping-particle":"","parse-names":false,"suffix":""},{"dropping-particle":"","family":"Cullen","given":"","non-dropping-particle":"","parse-names":false,"suffix":""},{"dropping-particle":"","family":"Sb","given":"Goodwin","non-dropping-particle":"","parse-names":false,"suffix":""},{"dropping-particle":"","family":"D","given":"Hibbett","non-dropping-particle":"","parse-names":false,"suffix":""},{"dropping-particle":"","family":"Tw","given":"Jeffries","non-dropping-particle":"","parse-names":false,"suffix":""},{"dropping-particle":"","family":"Cp","given":"Kubicek","non-dropping-particle":"","parse-names":false,"suffix":""},{"dropping-particle":"","family":"C","given":"Kuske","non-dropping-particle":"","parse-names":false,"suffix":""},{"dropping-particle":"","family":"Jk","given":"Magnuson","non-dropping-particle":"","parse-names":false,"suffix":""},{"dropping-particle":"","family":"F","given":"Martin","non-dropping-particle":"","parse-names":false,"suffix":""},{"dropping-particle":"","family":"Jw","given":"Spatafora","non-dropping-particle":"","parse-names":false,"suffix":""},{"dropping-particle":"","family":"a","given":"Tsang","non-dropping-particle":"","parse-names":false,"suffix":""},{"dropping-particle":"","family":"Se","given":"Baker","non-dropping-particle":"","parse-names":false,"suffix":""}],"container-title":"Mycology: An international journal on fungal biology","id":"ITEM-3","issue":"June 2016","issued":{"date-parts":[["2011"]]},"page":"192-209","title":"Fueling the future with fungal genomics","type":"article-journal","volume":"2"},"uris":["http://www.mendeley.com/documents/?uuid=9a28282a-1011-48a6-9df1-2ef8df068138"]}],"mendeley":{"formattedCitation":"(Altschul et al., 1997; Grigoriev et al., 2014, 2011)","plainTextFormattedCitation":"(Altschul et al., 1997; Grigoriev et al., 2014, 2011)","previouslyFormattedCitation":"(Altschul et al., 1997; Grigoriev et al., 2014, 2011)"},"properties":{"noteIndex":0},"schema":"https://github.com/citation-style-language/schema/raw/master/csl-citation.json"}</w:instrText>
      </w:r>
      <w:r w:rsidRPr="00635993">
        <w:rPr>
          <w:b w:val="0"/>
        </w:rPr>
        <w:fldChar w:fldCharType="separate"/>
      </w:r>
      <w:r w:rsidRPr="00635993">
        <w:rPr>
          <w:b w:val="0"/>
          <w:noProof/>
        </w:rPr>
        <w:t>(Altschul et al., 1997; Grigoriev et al., 2014, 2011)</w:t>
      </w:r>
      <w:r w:rsidRPr="00635993">
        <w:rPr>
          <w:b w:val="0"/>
        </w:rPr>
        <w:fldChar w:fldCharType="end"/>
      </w:r>
      <w:r w:rsidRPr="00635993">
        <w:rPr>
          <w:b w:val="0"/>
        </w:rPr>
        <w:t xml:space="preserve">. </w:t>
      </w:r>
      <w:r w:rsidRPr="00B46FB7">
        <w:t>A.</w:t>
      </w:r>
      <w:r w:rsidR="00C501AE">
        <w:rPr>
          <w:b w:val="0"/>
        </w:rPr>
        <w:t xml:space="preserve"> Genes showing up</w:t>
      </w:r>
      <w:r w:rsidRPr="00635993">
        <w:rPr>
          <w:b w:val="0"/>
        </w:rPr>
        <w:t xml:space="preserve">regulation in low Pi availability compared to high Pi in the S condition. </w:t>
      </w:r>
      <w:r w:rsidRPr="00B46FB7">
        <w:t>B.</w:t>
      </w:r>
      <w:r w:rsidR="00877B3F">
        <w:rPr>
          <w:b w:val="0"/>
        </w:rPr>
        <w:t xml:space="preserve"> Genes showing down</w:t>
      </w:r>
      <w:r w:rsidRPr="00635993">
        <w:rPr>
          <w:b w:val="0"/>
        </w:rPr>
        <w:t xml:space="preserve">regulation in low Pi availability compared to high Pi in the S condition. The annotation bar from the top represents </w:t>
      </w:r>
      <w:r w:rsidRPr="00635993">
        <w:rPr>
          <w:b w:val="0"/>
          <w:i/>
        </w:rPr>
        <w:t>P. involutus</w:t>
      </w:r>
      <w:r w:rsidRPr="00635993">
        <w:rPr>
          <w:b w:val="0"/>
        </w:rPr>
        <w:t xml:space="preserve"> </w:t>
      </w:r>
      <w:r w:rsidRPr="00635993">
        <w:rPr>
          <w:b w:val="0"/>
          <w:i/>
        </w:rPr>
        <w:t xml:space="preserve">ATCC 200175 </w:t>
      </w:r>
      <w:r w:rsidRPr="00635993">
        <w:rPr>
          <w:b w:val="0"/>
        </w:rPr>
        <w:t xml:space="preserve">hyphae grown in the S condition (green: S). The second annotation bar represents the Pi availability (light blue: 0.37 </w:t>
      </w:r>
      <w:r w:rsidRPr="00635993">
        <w:rPr>
          <w:b w:val="0"/>
          <w:lang w:val="el-GR"/>
        </w:rPr>
        <w:t>μ</w:t>
      </w:r>
      <w:r w:rsidRPr="00635993">
        <w:rPr>
          <w:b w:val="0"/>
        </w:rPr>
        <w:t xml:space="preserve">M of Pi as low Pi; dark blue: 367 </w:t>
      </w:r>
      <w:r w:rsidRPr="00635993">
        <w:rPr>
          <w:b w:val="0"/>
          <w:lang w:val="el-GR"/>
        </w:rPr>
        <w:t>μ</w:t>
      </w:r>
      <w:r w:rsidRPr="00635993">
        <w:rPr>
          <w:b w:val="0"/>
        </w:rPr>
        <w:t>M of Pi as high Pi). Magenta annotation on the left of each heat map represents genes differentially expressed exclusively in the S condition. Normalized read count values of each biological replicate are shown independently.</w:t>
      </w:r>
    </w:p>
    <w:p w14:paraId="29B7DCA2" w14:textId="5E0AE055" w:rsidR="000D7D3D" w:rsidRPr="000D7D3D" w:rsidRDefault="000D7D3D" w:rsidP="00635993">
      <w:pPr>
        <w:pStyle w:val="Subtitle"/>
      </w:pPr>
      <w:r w:rsidRPr="003F061A">
        <w:br w:type="page"/>
      </w:r>
    </w:p>
    <w:p w14:paraId="0D97FA90" w14:textId="1840FA7E" w:rsidR="000D7D3D" w:rsidRPr="000D7D3D" w:rsidRDefault="000D7D3D" w:rsidP="00635993">
      <w:pPr>
        <w:pStyle w:val="Heading2"/>
      </w:pPr>
      <w:bookmarkStart w:id="270" w:name="_Toc507604020"/>
      <w:bookmarkStart w:id="271" w:name="_Toc507604287"/>
      <w:bookmarkStart w:id="272" w:name="_Toc519016997"/>
      <w:bookmarkStart w:id="273" w:name="_Toc520837902"/>
      <w:r w:rsidRPr="000D7D3D">
        <w:lastRenderedPageBreak/>
        <w:t xml:space="preserve">3.3.6 </w:t>
      </w:r>
      <w:r w:rsidRPr="000D7D3D">
        <w:rPr>
          <w:i/>
        </w:rPr>
        <w:t>P. involutus</w:t>
      </w:r>
      <w:r w:rsidRPr="000D7D3D">
        <w:t xml:space="preserve"> </w:t>
      </w:r>
      <w:r w:rsidRPr="000D7D3D">
        <w:rPr>
          <w:i/>
        </w:rPr>
        <w:t xml:space="preserve">ATCC 200175 </w:t>
      </w:r>
      <w:r w:rsidRPr="000D7D3D">
        <w:t>genes differentially regulated in response to symbiotic status at low Pi availability</w:t>
      </w:r>
      <w:bookmarkEnd w:id="270"/>
      <w:bookmarkEnd w:id="271"/>
      <w:bookmarkEnd w:id="272"/>
      <w:bookmarkEnd w:id="273"/>
      <w:r w:rsidRPr="000D7D3D">
        <w:t xml:space="preserve"> </w:t>
      </w:r>
    </w:p>
    <w:p w14:paraId="1A741346" w14:textId="74E1DC51" w:rsidR="000D7D3D" w:rsidRPr="000D7D3D" w:rsidRDefault="001869EC" w:rsidP="003F7054">
      <w:r>
        <w:t>T</w:t>
      </w:r>
      <w:r w:rsidR="000D7D3D" w:rsidRPr="000D7D3D">
        <w:t>he genes that are differentially expressed at low Pi ava</w:t>
      </w:r>
      <w:r w:rsidR="006C73AE">
        <w:t>ilability either in the NS or</w:t>
      </w:r>
      <w:r w:rsidR="000D7D3D" w:rsidRPr="000D7D3D">
        <w:t xml:space="preserve"> S condition are show</w:t>
      </w:r>
      <w:r>
        <w:t xml:space="preserve">n in Figure 3.6. </w:t>
      </w:r>
      <w:r w:rsidR="000D7D3D" w:rsidRPr="000D7D3D">
        <w:t xml:space="preserve">Figure 3.6A shows the genes which are </w:t>
      </w:r>
      <w:r w:rsidR="00665F09">
        <w:t xml:space="preserve">most </w:t>
      </w:r>
      <w:r w:rsidR="0084070B">
        <w:t xml:space="preserve">significantly </w:t>
      </w:r>
      <w:r w:rsidR="000D7D3D" w:rsidRPr="000D7D3D">
        <w:t>upregulated at low Pi availability in the S condition when compared to the NS condition. According to their putative function, these genes are primarily involved in: (a) primary metabolism, such as succinate dehydrogenase with a role in the tricarboxylic acid (TCA) cycle, (b) signalling</w:t>
      </w:r>
      <w:r w:rsidR="00693890">
        <w:t>,</w:t>
      </w:r>
      <w:r w:rsidR="000D7D3D" w:rsidRPr="000D7D3D">
        <w:t xml:space="preserve"> such as kinases involved in various metabolic pathways of cellular energy signalling and homeostasis, (c) phospholipid metabolism, such as ectonucleotide pyrophosphatase, (d) </w:t>
      </w:r>
      <w:r w:rsidR="00C86A0E">
        <w:t>potassium (</w:t>
      </w:r>
      <w:r w:rsidR="000D7D3D" w:rsidRPr="000D7D3D">
        <w:t>K</w:t>
      </w:r>
      <w:r w:rsidR="00C86A0E">
        <w:t>) transport, such as v</w:t>
      </w:r>
      <w:r w:rsidR="000D7D3D" w:rsidRPr="000D7D3D">
        <w:t>oltage-gated K</w:t>
      </w:r>
      <w:r w:rsidR="000D7D3D" w:rsidRPr="000D7D3D">
        <w:rPr>
          <w:vertAlign w:val="superscript"/>
        </w:rPr>
        <w:t>+</w:t>
      </w:r>
      <w:r w:rsidR="000D7D3D" w:rsidRPr="000D7D3D">
        <w:t xml:space="preserve"> channels, (e) chromatin modification, such as histone methyltransferase</w:t>
      </w:r>
      <w:r w:rsidR="009F4778">
        <w:t>s</w:t>
      </w:r>
      <w:r w:rsidR="000D7D3D" w:rsidRPr="000D7D3D">
        <w:t>, and (f) secondary metabolism, such as vitamin and co-factor metabolism, pigment production and other fungal compounds. These genes have been previously described in other fungal organisms to be involved in vitamin B</w:t>
      </w:r>
      <w:r w:rsidR="000D7D3D" w:rsidRPr="000D7D3D">
        <w:rPr>
          <w:vertAlign w:val="subscript"/>
        </w:rPr>
        <w:t>2</w:t>
      </w:r>
      <w:r w:rsidR="000D7D3D" w:rsidRPr="000D7D3D">
        <w:t xml:space="preserve"> biosynthesis, such as GTP cyclohydrolase II, in pigments biosynthesis</w:t>
      </w:r>
      <w:r w:rsidR="00C86A0E">
        <w:t>,</w:t>
      </w:r>
      <w:r w:rsidR="000D7D3D" w:rsidRPr="000D7D3D">
        <w:t xml:space="preserve"> such as polyketide synthase, in polyprenols biosynthesis</w:t>
      </w:r>
      <w:r w:rsidR="00C86A0E">
        <w:t>,</w:t>
      </w:r>
      <w:r w:rsidR="000D7D3D" w:rsidRPr="000D7D3D">
        <w:t xml:space="preserve"> such </w:t>
      </w:r>
      <w:r w:rsidR="00C86A0E">
        <w:t xml:space="preserve">as </w:t>
      </w:r>
      <w:r w:rsidR="000D7D3D" w:rsidRPr="000D7D3D">
        <w:t>cis-prenyltransferase, and in tropolones biosynthesis</w:t>
      </w:r>
      <w:r w:rsidR="00C86A0E">
        <w:t>,</w:t>
      </w:r>
      <w:r w:rsidR="006C73AE">
        <w:t xml:space="preserve"> such as short-</w:t>
      </w:r>
      <w:r w:rsidR="000D7D3D" w:rsidRPr="000D7D3D">
        <w:t>chain dehydrogenase and 2-oxoglutarate-dependent oxygenase.</w:t>
      </w:r>
    </w:p>
    <w:p w14:paraId="07CEF1FE" w14:textId="32A2E085" w:rsidR="000D7D3D" w:rsidRPr="000D7D3D" w:rsidRDefault="000D7D3D" w:rsidP="00634533">
      <w:pPr>
        <w:ind w:firstLine="720"/>
      </w:pPr>
      <w:r w:rsidRPr="000D7D3D">
        <w:t xml:space="preserve">In regard to the genes which are </w:t>
      </w:r>
      <w:r w:rsidR="00C86A0E">
        <w:t xml:space="preserve">most </w:t>
      </w:r>
      <w:r w:rsidR="0084070B">
        <w:t xml:space="preserve">significantly </w:t>
      </w:r>
      <w:r w:rsidRPr="000D7D3D">
        <w:t>downregulated at low Pi availability in the S condition when compared to the NS condition, in Figure 3.6B, these are genes mainly involved in: (a) redox reactions, such as cytochrome P450, (b) amino acid metabolism, such as aminopeptidase, (c) lipid metabolism, such as alpha/beta-hydrolase, (d) carbohydrate metabolism, such as polysaccharide lyase, (e) signalling, such as kinases, and (f) sec</w:t>
      </w:r>
      <w:r w:rsidR="00C86A0E">
        <w:t xml:space="preserve">ondary metabolism, for instance </w:t>
      </w:r>
      <w:r w:rsidR="00AC5079">
        <w:t>in</w:t>
      </w:r>
      <w:r w:rsidR="00C86A0E">
        <w:t xml:space="preserve"> </w:t>
      </w:r>
      <w:r w:rsidRPr="000D7D3D">
        <w:t>terpenoids biosynthesis, such as terpenoid synthases and geranylgera</w:t>
      </w:r>
      <w:r w:rsidR="00AC5079">
        <w:t xml:space="preserve">nyl pyrophosphate synthases, in </w:t>
      </w:r>
      <w:r w:rsidRPr="000D7D3D">
        <w:t>tropolones biosynthesis</w:t>
      </w:r>
      <w:r w:rsidR="00AC5079">
        <w:t>,</w:t>
      </w:r>
      <w:r w:rsidR="006C73AE">
        <w:t xml:space="preserve"> such as short-</w:t>
      </w:r>
      <w:r w:rsidRPr="000D7D3D">
        <w:t>chain dehydrogenase, and in mycotoxins biosynthesis</w:t>
      </w:r>
      <w:r w:rsidR="00C86A0E">
        <w:t>,</w:t>
      </w:r>
      <w:r w:rsidR="00634533">
        <w:t xml:space="preserve"> such as cysteine desulfurase.</w:t>
      </w:r>
      <w:r w:rsidRPr="000D7D3D">
        <w:rPr>
          <w:noProof/>
          <w:lang w:eastAsia="en-GB"/>
        </w:rPr>
        <w:br w:type="page"/>
      </w:r>
    </w:p>
    <w:p w14:paraId="29264B0E" w14:textId="77777777" w:rsidR="000D7D3D" w:rsidRPr="000D7D3D" w:rsidRDefault="00D846C2" w:rsidP="003F061A">
      <w:r>
        <w:rPr>
          <w:noProof/>
          <w:lang w:eastAsia="en-GB"/>
        </w:rPr>
        <w:lastRenderedPageBreak/>
        <w:drawing>
          <wp:inline distT="0" distB="0" distL="0" distR="0" wp14:anchorId="6DB4FEE2" wp14:editId="53A32161">
            <wp:extent cx="5943600" cy="426021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 3.6 A.B. new+.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260215"/>
                    </a:xfrm>
                    <a:prstGeom prst="rect">
                      <a:avLst/>
                    </a:prstGeom>
                  </pic:spPr>
                </pic:pic>
              </a:graphicData>
            </a:graphic>
          </wp:inline>
        </w:drawing>
      </w:r>
    </w:p>
    <w:p w14:paraId="2D8C26A9" w14:textId="77777777" w:rsidR="00634533" w:rsidRDefault="000D7D3D" w:rsidP="00635993">
      <w:pPr>
        <w:pStyle w:val="Subtitle"/>
        <w:pBdr>
          <w:top w:val="single" w:sz="4" w:space="1" w:color="auto"/>
        </w:pBdr>
        <w:rPr>
          <w:b w:val="0"/>
        </w:rPr>
      </w:pPr>
      <w:r w:rsidRPr="000D7D3D">
        <w:t xml:space="preserve">Figure 3.6 </w:t>
      </w:r>
      <w:r w:rsidRPr="00635993">
        <w:rPr>
          <w:b w:val="0"/>
        </w:rPr>
        <w:t xml:space="preserve">Heat maps of normalized read counts for genes differentially expressed in </w:t>
      </w:r>
      <w:r w:rsidRPr="00635993">
        <w:rPr>
          <w:b w:val="0"/>
          <w:i/>
        </w:rPr>
        <w:t>P. involutus</w:t>
      </w:r>
      <w:r w:rsidRPr="00635993">
        <w:rPr>
          <w:b w:val="0"/>
        </w:rPr>
        <w:t xml:space="preserve"> </w:t>
      </w:r>
      <w:r w:rsidRPr="00635993">
        <w:rPr>
          <w:b w:val="0"/>
          <w:i/>
        </w:rPr>
        <w:t>ATCC 200175</w:t>
      </w:r>
      <w:r w:rsidRPr="00635993">
        <w:rPr>
          <w:b w:val="0"/>
        </w:rPr>
        <w:t xml:space="preserve"> hyphae between NS low Pi and S low Pi conditions. Z-score values are shown for the top 50 genes ranked by Q-values (Q-value &lt;0.05) between experimental conditions compared. The putative functional annotation for each gene is listed on the right of each heat map</w:t>
      </w:r>
      <w:r w:rsidR="00AC5079">
        <w:rPr>
          <w:b w:val="0"/>
        </w:rPr>
        <w:t>,</w:t>
      </w:r>
      <w:r w:rsidRPr="00635993">
        <w:rPr>
          <w:b w:val="0"/>
        </w:rPr>
        <w:t xml:space="preserve"> which was inferred by using the SmartBLAST online tool </w:t>
      </w:r>
      <w:r w:rsidRPr="00635993">
        <w:rPr>
          <w:b w:val="0"/>
        </w:rPr>
        <w:fldChar w:fldCharType="begin" w:fldLock="1"/>
      </w:r>
      <w:r w:rsidR="00EE33AB">
        <w:rPr>
          <w:b w:val="0"/>
        </w:rPr>
        <w:instrText>ADDIN CSL_CITATION {"citationItems":[{"id":"ITEM-1","itemData":{"DOI":"10.1093/nar/gkv1290","ISBN":"0305-1048","ISSN":"13624962","PMID":"10592169","abstract":"In addition to maintaining the GenBank(R) nucleic acid sequence database, the National Center for Biotechnology Information (NCBI) provides data analysis and retrieval and resources that operate on the data in GenBank and a variety of other biological data made available through NCBI's Web site. NCBI data retrieval resources include Entrez, PubMed, LocusLink and the Taxonomy Browser. Data analysis resources include BLAST, Electronic PCR, OrfFinder, RefSeq, UniGene, Database of Single Nucleotide Polymorphisms (dbSNP), Human Genome Sequencing pages, GeneMap'99, Davis Human-Mouse Homology Map, Cancer Chromosome Aberration Project (CCAP) pages, Entrez Genomes, Clusters of Orthologous Groups (COGs) database, Retroviral Genotyping Tools, Cancer Genome Anatomy Project (CGAP) pages, SAGEmap, Online Mendelian Inheritance in Man (OMIM) and the Molecular Modeling Database (MMDB). Augmenting many of the Web applications are custom implementations of the BLAST program optimized to search specialized data sets. All of the resources can be accessed through the NCBI home page at: http://www.ncbi.nlm.nih. gov","author":[{"dropping-particle":"","family":"Agarwala","given":"Richa","non-dropping-particle":"","parse-names":false,"suffix":""},{"dropping-particle":"","family":"Barrett","given":"Tanya","non-dropping-particle":"","parse-names":false,"suffix":""},{"dropping-particle":"","family":"Beck","given":"Jeff","non-dropping-particle":"","parse-names":false,"suffix":""},{"dropping-particle":"","family":"Benson","given":"Dennis A.","non-dropping-particle":"","parse-names":false,"suffix":""},{"dropping-particle":"","family":"Bollin","given":"Colleen","non-dropping-particle":"","parse-names":false,"suffix":""},{"dropping-particle":"","family":"Bolton","given":"Evan","non-dropping-particle":"","parse-names":false,"suffix":""},{"dropping-particle":"","family":"Bourexis","given":"Devon","non-dropping-particle":"","parse-names":false,"suffix":""},{"dropping-particle":"","family":"Brister","given":"J. Rodney","non-dropping-particle":"","parse-names":false,"suffix":""},{"dropping-particle":"","family":"Bryant","given":"Stephen H.","non-dropping-particle":"","parse-names":false,"suffix":""},{"dropping-particle":"","family":"Canese","given":"Kathi","non-dropping-particle":"","parse-names":false,"suffix":""},{"dropping-particle":"","family":"Charowhas","given":"Chad","non-dropping-particle":"","parse-names":false,"suffix":""},{"dropping-particle":"","family":"Clark","given":"Karen","non-dropping-particle":"","parse-names":false,"suffix":""},{"dropping-particle":"","family":"Dicuccio","given":"Michael","non-dropping-particle":"","parse-names":false,"suffix":""},{"dropping-particle":"","family":"Dondoshansky","given":"Ilya","non-dropping-particle":"","parse-names":false,"suffix":""},{"dropping-particle":"","family":"Federhen","given":"Scott","non-dropping-particle":"","parse-names":false,"suffix":""},{"dropping-particle":"","family":"Feolo","given":"Michael","non-dropping-particle":"","parse-names":false,"suffix":""},{"dropping-particle":"","family":"Funk","given":"Kathryn","non-dropping-particle":"","parse-names":false,"suffix":""},{"dropping-particle":"","family":"Geer","given":"Lewis Y.","non-dropping-particle":"","parse-names":false,"suffix":""},{"dropping-particle":"","family":"Gorelenkov","given":"Viatcheslav","non-dropping-particle":"","parse-names":false,"suffix":""},{"dropping-particle":"","family":"Hoeppner","given":"Marilu","non-dropping-particle":"","parse-names":false,"suffix":""},{"dropping-particle":"","family":"Holmes","given":"Brad","non-dropping-particle":"","parse-names":false,"suffix":""},{"dropping-particle":"","family":"Johnson","given":"Mark","non-dropping-particle":"","parse-names":false,"suffix":""},{"dropping-particle":"","family":"Khotomlianski","given":"Viatcheslav","non-dropping-particle":"","parse-names":false,"suffix":""},{"dropping-particle":"","family":"Kimchi","given":"Avi","non-dropping-particle":"","parse-names":false,"suffix":""},{"dropping-particle":"","family":"Kimelman","given":"Michael","non-dropping-particle":"","parse-names":false,"suffix":""},{"dropping-particle":"","family":"Kitts","given":"Paul","non-dropping-particle":"","parse-names":false,"suffix":""},{"dropping-particle":"","family":"Klimke","given":"William","non-dropping-particle":"","parse-names":false,"suffix":""},{"dropping-particle":"","family":"Krasnov","given":"Sergey","non-dropping-particle":"","parse-names":false,"suffix":""},{"dropping-particle":"","family":"Kuznetsov","given":"Anatoliy","non-dropping-particle":"","parse-names":false,"suffix":""},{"dropping-particle":"","family":"Landrum","given":"Melissa J.","non-dropping-particle":"","parse-names":false,"suffix":""},{"dropping-particle":"","family":"Landsman","given":"David","non-dropping-particle":"","parse-names":false,"suffix":""},{"dropping-particle":"","family":"Lee","given":"Jennifer M.","non-dropping-particle":"","parse-names":false,"suffix":""},{"dropping-particle":"","family":"Lipman","given":"David J.","non-dropping-particle":"","parse-names":false,"suffix":""},{"dropping-particle":"","family":"Lu","given":"Zhiyong","non-dropping-particle":"","parse-names":false,"suffix":""},{"dropping-particle":"","family":"Madden","given":"Thomas L.","non-dropping-particle":"","parse-names":false,"suffix":""},{"dropping-particle":"","family":"Madej","given":"Tom","non-dropping-particle":"","parse-names":false,"suffix":""},{"dropping-particle":"","family":"Marchler-Bauer","given":"Aron","non-dropping-particle":"","parse-names":false,"suffix":""},{"dropping-particle":"","family":"Karsch-Mizrachi","given":"Ilene","non-dropping-particle":"","parse-names":false,"suffix":""},{"dropping-particle":"","family":"Murphy","given":"Terence","non-dropping-particle":"","parse-names":false,"suffix":""},{"dropping-particle":"","family":"Orris","given":"Rebecca","non-dropping-particle":"","parse-names":false,"suffix":""},{"dropping-particle":"","family":"Ostell","given":"James","non-dropping-particle":"","parse-names":false,"suffix":""},{"dropping-particle":"","family":"O'sullivan","given":"Christopher","non-dropping-particle":"","parse-names":false,"suffix":""},{"dropping-particle":"","family":"Panchenko","given":"Anna","non-dropping-particle":"","parse-names":false,"suffix":""},{"dropping-particle":"","family":"Phan","given":"Lon","non-dropping-particle":"","parse-names":false,"suffix":""},{"dropping-particle":"","family":"Preuss","given":"Don","non-dropping-particle":"","parse-names":false,"suffix":""},{"dropping-particle":"","family":"Pruitt","given":"Kim D.","non-dropping-particle":"","parse-names":false,"suffix":""},{"dropping-particle":"","family":"Rodarmer","given":"Kurt","non-dropping-particle":"","parse-names":false,"suffix":""},{"dropping-particle":"","family":"Rubinstein","given":"Wendy","non-dropping-particle":"","parse-names":false,"suffix":""},{"dropping-particle":"","family":"Sayers","given":"Ericw","non-dropping-particle":"","parse-names":false,"suffix":""},{"dropping-particle":"","family":"Schneider","given":"Valerie","non-dropping-particle":"","parse-names":false,"suffix":""},{"dropping-particle":"","family":"Schuler","given":"Gregory D.","non-dropping-particle":"","parse-names":false,"suffix":""},{"dropping-particle":"","family":"Sherry","given":"Stephen T.","non-dropping-particle":"","parse-names":false,"suffix":""},{"dropping-particle":"","family":"Sirotkin","given":"Karl","non-dropping-particle":"","parse-names":false,"suffix":""},{"dropping-particle":"","family":"Siyan","given":"Karanjit","non-dropping-particle":"","parse-names":false,"suffix":""},{"dropping-particle":"","family":"Slotta","given":"Douglas","non-dropping-particle":"","parse-names":false,"suffix":""},{"dropping-particle":"","family":"Soboleva","given":"Alexandra","non-dropping-particle":"","parse-names":false,"suffix":""},{"dropping-particle":"","family":"Soussov","given":"Vladimir","non-dropping-particle":"","parse-names":false,"suffix":""},{"dropping-particle":"","family":"Starchenko","given":"Grigory","non-dropping-particle":"","parse-names":false,"suffix":""},{"dropping-particle":"","family":"Tatusova","given":"Tatiana A.","non-dropping-particle":"","parse-names":false,"suffix":""},{"dropping-particle":"","family":"Todorov","given":"Kamen","non-dropping-particle":"","parse-names":false,"suffix":""},{"dropping-particle":"","family":"Trawick","given":"Bart W.","non-dropping-particle":"","parse-names":false,"suffix":""},{"dropping-particle":"","family":"Vakatov","given":"Denis","non-dropping-particle":"","parse-names":false,"suffix":""},{"dropping-particle":"","family":"Wang","given":"Yanli","non-dropping-particle":"","parse-names":false,"suffix":""},{"dropping-particle":"","family":"Ward","given":"Minghong","non-dropping-particle":"","parse-names":false,"suffix":""},{"dropping-particle":"","family":"Wilbur","given":"W. John","non-dropping-particle":"","parse-names":false,"suffix":""},{"dropping-particle":"","family":"Yaschenko","given":"Eugene","non-dropping-particle":"","parse-names":false,"suffix":""},{"dropping-particle":"","family":"Zbicz","given":"Kerry","non-dropping-particle":"","parse-names":false,"suffix":""}],"container-title":"Nucleic Acids Research","id":"ITEM-1","issue":"D1","issued":{"date-parts":[["2016"]]},"page":"D7-D19","title":"Database resources of the National Center for Biotechnology Information","type":"article-journal","volume":"44"},"uris":["http://www.mendeley.com/documents/?uuid=63f0e420-66c3-4e46-814d-2d2eaeabc62f"]}],"mendeley":{"formattedCitation":"(Agarwala et al., 2016)","plainTextFormattedCitation":"(Agarwala et al., 2016)","previouslyFormattedCitation":"(Agarwala et al., 2016)"},"properties":{"noteIndex":0},"schema":"https://github.com/citation-style-language/schema/raw/master/csl-citation.json"}</w:instrText>
      </w:r>
      <w:r w:rsidRPr="00635993">
        <w:rPr>
          <w:b w:val="0"/>
        </w:rPr>
        <w:fldChar w:fldCharType="separate"/>
      </w:r>
      <w:r w:rsidRPr="00635993">
        <w:rPr>
          <w:b w:val="0"/>
          <w:noProof/>
        </w:rPr>
        <w:t>(Agarwala et al., 2016)</w:t>
      </w:r>
      <w:r w:rsidRPr="00635993">
        <w:rPr>
          <w:b w:val="0"/>
        </w:rPr>
        <w:fldChar w:fldCharType="end"/>
      </w:r>
      <w:r w:rsidRPr="00635993">
        <w:rPr>
          <w:b w:val="0"/>
        </w:rPr>
        <w:t xml:space="preserve"> together with the annotation on the MycoCosm at the JGI database </w:t>
      </w:r>
      <w:r w:rsidRPr="00635993">
        <w:rPr>
          <w:b w:val="0"/>
        </w:rPr>
        <w:fldChar w:fldCharType="begin" w:fldLock="1"/>
      </w:r>
      <w:r w:rsidR="00EE33AB">
        <w:rPr>
          <w:b w:val="0"/>
        </w:rPr>
        <w:instrText>ADDIN CSL_CITATION {"citationItems":[{"id":"ITEM-1","itemData":{"DOI":"10.1093/nar/25.17.3389","ISBN":"0305-1048","ISSN":"13624962","PMID":"9254694","abstract":"The BLAST programs are widely used tools for searching protein and DNA databases for sequence similarities. For protein comparisons, a variety of definitional, algorithmic and statistical refinements described here permits the execution time of the BLAST programs to be decreased substantially while enhancing their sensitivity to weak similarities. A new criterion for triggering the extension of word hits, combined with a new heuristic for generating gapped alignments, yields a gapped BLAST program that runs at approximately three times the speed of the original. In addition, a method is introduced for automatically combining statistically significant alignments produced by BLAST into a position-specific score matrix, and searching the database using this matrix. The resulting Position-Specific Iterated BLAST (PSIBLAST) program runs at approximately the same speed per iteration as gapped BLAST, but in many cases is much more sensitive to weak but biologically relevant sequence similarities. PSI-BLAST is used to uncover several new and interesting members of the BRCT superfamily.","author":[{"dropping-particle":"","family":"Altschul","given":"Stephen F","non-dropping-particle":"","parse-names":false,"suffix":""},{"dropping-particle":"","family":"Madden","given":"Thomas L","non-dropping-particle":"","parse-names":false,"suffix":""},{"dropping-particle":"","family":"Schäffer","given":"Alejandto a","non-dropping-particle":"","parse-names":false,"suffix":""},{"dropping-particle":"","family":"Zhang","given":"Jinghui","non-dropping-particle":"","parse-names":false,"suffix":""},{"dropping-particle":"","family":"Zhang","given":"Zheng","non-dropping-particle":"","parse-names":false,"suffix":""},{"dropping-particle":"","family":"Miller","given":"Webb","non-dropping-particle":"","parse-names":false,"suffix":""},{"dropping-particle":"","family":"Lipman","given":"David J","non-dropping-particle":"","parse-names":false,"suffix":""}],"container-title":"Nucleic Acids Research","id":"ITEM-1","issue":"17","issued":{"date-parts":[["1997"]]},"page":"3389-3402","title":"Gapped BLAST and PSI-BLAST:a new generation of protein database search programs","type":"article-journal","volume":"25"},"uris":["http://www.mendeley.com/documents/?uuid=65c4a1d4-3fb8-4a6a-bb23-1f5f98fcd0e5"]},{"id":"ITEM-2","itemData":{"DOI":"10.1093/nar/gkt1183","ISBN":"1362-4962 (Electronic)\\n0305-1048 (Linking)","ISSN":"03051048","PMID":"24297253","abstract":"MycoCosm is a fungal genomics portal (http://jgi.doe.gov/fungi), developed by the US Department of Energy Joint Genome Institute to support integration, analysis and dissemination of fungal genome sequences and other 'omics' data by providing interactive web-based tools. MycoCosm also promotes and facilitates user community participation through the nomination of new species of fungi for sequencing, and the annotation and analysis of resulting data. By efficiently filling gaps in the Fungal Tree of Life, MycoCosm will help address important problems associated with energy and the environment, taking advantage of growing fungal genomics resources.","author":[{"dropping-particle":"V.","family":"Grigoriev","given":"Igor","non-dropping-particle":"","parse-names":false,"suffix":""},{"dropping-particle":"","family":"Nikitin","given":"Roman","non-dropping-particle":"","parse-names":false,"suffix":""},{"dropping-particle":"","family":"Haridas","given":"Sajeet","non-dropping-particle":"","parse-names":false,"suffix":""},{"dropping-particle":"","family":"Kuo","given":"Alan","non-dropping-particle":"","parse-names":false,"suffix":""},{"dropping-particle":"","family":"Ohm","given":"Robin","non-dropping-particle":"","parse-names":false,"suffix":""},{"dropping-particle":"","family":"Otillar","given":"Robert","non-dropping-particle":"","parse-names":false,"suffix":""},{"dropping-particle":"","family":"Riley","given":"Robert","non-dropping-particle":"","parse-names":false,"suffix":""},{"dropping-particle":"","family":"Salamov","given":"Asaf","non-dropping-particle":"","parse-names":false,"suffix":""},{"dropping-particle":"","family":"Zhao","given":"Xueling","non-dropping-particle":"","parse-names":false,"suffix":""},{"dropping-particle":"","family":"Korzeniewski","given":"Frank","non-dropping-particle":"","parse-names":false,"suffix":""},{"dropping-particle":"","family":"Smirnova","given":"Tatyana","non-dropping-particle":"","parse-names":false,"suffix":""},{"dropping-particle":"","family":"Nordberg","given":"Henrik","non-dropping-particle":"","parse-names":false,"suffix":""},{"dropping-particle":"","family":"Dubchak","given":"Inna","non-dropping-particle":"","parse-names":false,"suffix":""},{"dropping-particle":"","family":"Shabalov","given":"Igor","non-dropping-particle":"","parse-names":false,"suffix":""}],"container-title":"Nucleic Acids Research","id":"ITEM-2","issue":"December 2013","issued":{"date-parts":[["2014"]]},"page":"699-704","title":"MycoCosm portal: Gearing up for 1000 fungal genomes","type":"article-journal","volume":"42"},"uris":["http://www.mendeley.com/documents/?uuid=eee40767-9a6f-492f-9569-bb26ff80c11c"]},{"id":"ITEM-3","itemData":{"DOI":"10.1080/21501203.2011.584577","ISBN":"2150-1203","ISSN":"2150-1203","abstract":"Fungi play important roles across the range of current and future biofuel production processes. From crop/feedstock health to plant biomass saccharification, enzyme production to bioprocesses for producing ethanol, higher alcohols, or future hydrocarbon biofuels, fungi are involved. Research and development are underway to understand the underlying biological processes and improve them to make bioenergy production efficient on an industrial scale. Genomics is the foundation of the systems biology approach that is being used to accelerate the research and development efforts across the spectrum of topic areas that impact biofuels production. In this review, we discuss past, current, and future advances made possible by genomic analyses of the fungi that impact plant/feedstock health, degradation of lignocellulosic biomass, and fermentation of sugars to ethanol, hydrocarbon biofuels, and renewable chemicals.","author":[{"dropping-particle":"V.","family":"Grigoriev","given":"Igor","non-dropping-particle":"","parse-names":false,"suffix":""},{"dropping-particle":"","family":"Cullen","given":"Daniel","non-dropping-particle":"","parse-names":false,"suffix":""},{"dropping-particle":"","family":"Goodwin","given":"Stephen B.","non-dropping-particle":"","parse-names":false,"suffix":""},{"dropping-particle":"","family":"Hibbett","given":"David","non-dropping-particle":"","parse-names":false,"suffix":""},{"dropping-particle":"","family":"Jeffries","given":"Thomas W.","non-dropping-particle":"","parse-names":false,"suffix":""},{"dropping-particle":"","family":"Kubicek","given":"Christian P.","non-dropping-particle":"","parse-names":false,"suffix":""},{"dropping-particle":"","family":"Kuske","given":"Cheryl","non-dropping-particle":"","parse-names":false,"suffix":""},{"dropping-particle":"","family":"Magnuson","given":"Jon K.","non-dropping-particle":"","parse-names":false,"suffix":""},{"dropping-particle":"","family":"Martin","given":"Francis","non-dropping-particle":"","parse-names":false,"suffix":""},{"dropping-particle":"","family":"Spatafora","given":"Joseph W.","non-dropping-particle":"","parse-names":false,"suffix":""},{"dropping-particle":"","family":"Tsang","given":"Adrian","non-dropping-particle":"","parse-names":false,"suffix":""},{"dropping-particle":"","family":"Baker","given":"Scott E.","non-dropping-particle":"","parse-names":false,"suffix":""},{"dropping-particle":"","family":"Cullen","given":"","non-dropping-particle":"","parse-names":false,"suffix":""},{"dropping-particle":"","family":"Sb","given":"Goodwin","non-dropping-particle":"","parse-names":false,"suffix":""},{"dropping-particle":"","family":"D","given":"Hibbett","non-dropping-particle":"","parse-names":false,"suffix":""},{"dropping-particle":"","family":"Tw","given":"Jeffries","non-dropping-particle":"","parse-names":false,"suffix":""},{"dropping-particle":"","family":"Cp","given":"Kubicek","non-dropping-particle":"","parse-names":false,"suffix":""},{"dropping-particle":"","family":"C","given":"Kuske","non-dropping-particle":"","parse-names":false,"suffix":""},{"dropping-particle":"","family":"Jk","given":"Magnuson","non-dropping-particle":"","parse-names":false,"suffix":""},{"dropping-particle":"","family":"F","given":"Martin","non-dropping-particle":"","parse-names":false,"suffix":""},{"dropping-particle":"","family":"Jw","given":"Spatafora","non-dropping-particle":"","parse-names":false,"suffix":""},{"dropping-particle":"","family":"a","given":"Tsang","non-dropping-particle":"","parse-names":false,"suffix":""},{"dropping-particle":"","family":"Se","given":"Baker","non-dropping-particle":"","parse-names":false,"suffix":""}],"container-title":"Mycology: An international journal on fungal biology","id":"ITEM-3","issue":"June 2016","issued":{"date-parts":[["2011"]]},"page":"192-209","title":"Fueling the future with fungal genomics","type":"article-journal","volume":"2"},"uris":["http://www.mendeley.com/documents/?uuid=9a28282a-1011-48a6-9df1-2ef8df068138"]}],"mendeley":{"formattedCitation":"(Altschul et al., 1997; Grigoriev et al., 2014, 2011)","plainTextFormattedCitation":"(Altschul et al., 1997; Grigoriev et al., 2014, 2011)","previouslyFormattedCitation":"(Altschul et al., 1997; Grigoriev et al., 2014, 2011)"},"properties":{"noteIndex":0},"schema":"https://github.com/citation-style-language/schema/raw/master/csl-citation.json"}</w:instrText>
      </w:r>
      <w:r w:rsidRPr="00635993">
        <w:rPr>
          <w:b w:val="0"/>
        </w:rPr>
        <w:fldChar w:fldCharType="separate"/>
      </w:r>
      <w:r w:rsidRPr="00635993">
        <w:rPr>
          <w:b w:val="0"/>
          <w:noProof/>
        </w:rPr>
        <w:t>(Altschul et al., 1997; Grigoriev et al., 2014, 2011)</w:t>
      </w:r>
      <w:r w:rsidRPr="00635993">
        <w:rPr>
          <w:b w:val="0"/>
        </w:rPr>
        <w:fldChar w:fldCharType="end"/>
      </w:r>
      <w:r w:rsidRPr="00635993">
        <w:rPr>
          <w:b w:val="0"/>
        </w:rPr>
        <w:t xml:space="preserve">. </w:t>
      </w:r>
      <w:r w:rsidRPr="00B46FB7">
        <w:t>A.</w:t>
      </w:r>
      <w:r w:rsidR="00C501AE">
        <w:rPr>
          <w:b w:val="0"/>
        </w:rPr>
        <w:t xml:space="preserve"> Genes showing up</w:t>
      </w:r>
      <w:r w:rsidRPr="00635993">
        <w:rPr>
          <w:b w:val="0"/>
        </w:rPr>
        <w:t xml:space="preserve">regulation in low Pi availability in the S condition compared to low Pi in the NS condition. </w:t>
      </w:r>
      <w:r w:rsidRPr="00B46FB7">
        <w:t>B.</w:t>
      </w:r>
      <w:r w:rsidR="00877B3F">
        <w:rPr>
          <w:b w:val="0"/>
        </w:rPr>
        <w:t xml:space="preserve"> Genes showing down</w:t>
      </w:r>
      <w:r w:rsidRPr="00635993">
        <w:rPr>
          <w:b w:val="0"/>
        </w:rPr>
        <w:t xml:space="preserve">regulation in low Pi availability in the S condition compared to low Pi in the NS condition. The annotation bar from the top represents </w:t>
      </w:r>
      <w:r w:rsidRPr="00635993">
        <w:rPr>
          <w:b w:val="0"/>
          <w:i/>
        </w:rPr>
        <w:t>P. involutus</w:t>
      </w:r>
      <w:r w:rsidRPr="00635993">
        <w:rPr>
          <w:b w:val="0"/>
        </w:rPr>
        <w:t xml:space="preserve"> </w:t>
      </w:r>
      <w:r w:rsidRPr="00635993">
        <w:rPr>
          <w:b w:val="0"/>
          <w:i/>
        </w:rPr>
        <w:t xml:space="preserve">ATCC 200175 </w:t>
      </w:r>
      <w:r w:rsidRPr="00635993">
        <w:rPr>
          <w:b w:val="0"/>
        </w:rPr>
        <w:t>hyphae grown in the NS condition (orange: NS</w:t>
      </w:r>
      <w:r w:rsidR="00AC5079">
        <w:rPr>
          <w:b w:val="0"/>
        </w:rPr>
        <w:t>) or the S condition (green: S).</w:t>
      </w:r>
      <w:r w:rsidRPr="00635993">
        <w:rPr>
          <w:b w:val="0"/>
        </w:rPr>
        <w:t xml:space="preserve"> The second annotation bar represents the Pi availability (light blue: 0.37 </w:t>
      </w:r>
      <w:r w:rsidRPr="00635993">
        <w:rPr>
          <w:b w:val="0"/>
          <w:lang w:val="el-GR"/>
        </w:rPr>
        <w:t>μ</w:t>
      </w:r>
      <w:r w:rsidRPr="00635993">
        <w:rPr>
          <w:b w:val="0"/>
        </w:rPr>
        <w:t>M of Pi as Low Pi). Normalized read count values of each biological replicate are shown independently.</w:t>
      </w:r>
    </w:p>
    <w:p w14:paraId="30E043EF" w14:textId="74B3DAC9" w:rsidR="000D7D3D" w:rsidRPr="000D7D3D" w:rsidRDefault="000D7D3D" w:rsidP="00635993">
      <w:pPr>
        <w:pStyle w:val="Subtitle"/>
        <w:pBdr>
          <w:top w:val="single" w:sz="4" w:space="1" w:color="auto"/>
        </w:pBdr>
      </w:pPr>
      <w:r w:rsidRPr="000D7D3D">
        <w:br w:type="page"/>
      </w:r>
    </w:p>
    <w:p w14:paraId="269AFFF1" w14:textId="0C226F21" w:rsidR="000D7D3D" w:rsidRPr="000D7D3D" w:rsidRDefault="000D7D3D" w:rsidP="00635993">
      <w:pPr>
        <w:pStyle w:val="Heading2"/>
      </w:pPr>
      <w:bookmarkStart w:id="274" w:name="_Toc507604021"/>
      <w:bookmarkStart w:id="275" w:name="_Toc507604288"/>
      <w:bookmarkStart w:id="276" w:name="_Toc519016998"/>
      <w:bookmarkStart w:id="277" w:name="_Toc520837903"/>
      <w:r w:rsidRPr="000D7D3D">
        <w:lastRenderedPageBreak/>
        <w:t xml:space="preserve">3.3.7 </w:t>
      </w:r>
      <w:r w:rsidRPr="000D7D3D">
        <w:rPr>
          <w:i/>
        </w:rPr>
        <w:t>P. involutus</w:t>
      </w:r>
      <w:r w:rsidRPr="000D7D3D">
        <w:t xml:space="preserve"> </w:t>
      </w:r>
      <w:r w:rsidRPr="000D7D3D">
        <w:rPr>
          <w:i/>
        </w:rPr>
        <w:t xml:space="preserve">ATCC 200175 </w:t>
      </w:r>
      <w:r w:rsidRPr="000D7D3D">
        <w:t xml:space="preserve">genes differentially regulated by </w:t>
      </w:r>
      <w:r w:rsidR="006A7911">
        <w:t>Pi</w:t>
      </w:r>
      <w:r w:rsidR="006A7911" w:rsidRPr="000D7D3D">
        <w:t xml:space="preserve"> </w:t>
      </w:r>
      <w:r w:rsidRPr="000D7D3D">
        <w:t>availability and EM symbiosis</w:t>
      </w:r>
      <w:bookmarkEnd w:id="274"/>
      <w:bookmarkEnd w:id="275"/>
      <w:bookmarkEnd w:id="276"/>
      <w:bookmarkEnd w:id="277"/>
    </w:p>
    <w:p w14:paraId="23598B68" w14:textId="71401628" w:rsidR="000D7D3D" w:rsidRPr="000D7D3D" w:rsidRDefault="000D7D3D" w:rsidP="003F7054">
      <w:r w:rsidRPr="000D7D3D">
        <w:t xml:space="preserve">In order to identify </w:t>
      </w:r>
      <w:r w:rsidRPr="000D7D3D">
        <w:rPr>
          <w:i/>
        </w:rPr>
        <w:t>P. involutus ATCC 200175</w:t>
      </w:r>
      <w:r w:rsidRPr="000D7D3D">
        <w:t xml:space="preserve"> genes which are responsive to low Pi conditions and their expression is specifically affected by </w:t>
      </w:r>
      <w:r w:rsidR="00AC5079">
        <w:t xml:space="preserve">EM </w:t>
      </w:r>
      <w:r w:rsidRPr="000D7D3D">
        <w:t>symbiosis, an additional selection was applied to th</w:t>
      </w:r>
      <w:r w:rsidR="00187443">
        <w:t>e RNA-seq dataset. The reason</w:t>
      </w:r>
      <w:r w:rsidRPr="000D7D3D">
        <w:t xml:space="preserve"> for this analysis </w:t>
      </w:r>
      <w:r w:rsidR="00187443">
        <w:t>is</w:t>
      </w:r>
      <w:r w:rsidRPr="000D7D3D">
        <w:t xml:space="preserve"> that</w:t>
      </w:r>
      <w:r w:rsidR="00187443">
        <w:t>,</w:t>
      </w:r>
      <w:r w:rsidRPr="000D7D3D">
        <w:t xml:space="preserve"> in the majority of the soils, there is low Pi availability and symbiotic </w:t>
      </w:r>
      <w:r w:rsidR="00187443">
        <w:t>partnerships between fungi and trees. Hence this analysis is relevant in</w:t>
      </w:r>
      <w:r w:rsidRPr="000D7D3D">
        <w:t xml:space="preserve"> </w:t>
      </w:r>
      <w:r w:rsidR="00187443">
        <w:t>understanding</w:t>
      </w:r>
      <w:r w:rsidRPr="000D7D3D">
        <w:t xml:space="preserve"> how Pi uptake is regulated </w:t>
      </w:r>
      <w:r w:rsidR="00187443">
        <w:t>at the transcription level when</w:t>
      </w:r>
      <w:r w:rsidRPr="000D7D3D">
        <w:t xml:space="preserve"> both these conditions are present.</w:t>
      </w:r>
    </w:p>
    <w:p w14:paraId="3D45D9DE" w14:textId="701B5C82" w:rsidR="000D7D3D" w:rsidRPr="000D7D3D" w:rsidRDefault="00187443" w:rsidP="007F746A">
      <w:pPr>
        <w:ind w:firstLine="720"/>
      </w:pPr>
      <w:r w:rsidRPr="000D7D3D">
        <w:t>T</w:t>
      </w:r>
      <w:r w:rsidR="000D7D3D" w:rsidRPr="000D7D3D">
        <w:t xml:space="preserve">he Venn diagrams shown in Figure 3.7 are used to select these genes which show up- or down-regulation by both Pi low availability and </w:t>
      </w:r>
      <w:r w:rsidR="006A7911">
        <w:t>EM</w:t>
      </w:r>
      <w:r w:rsidR="006A7911" w:rsidRPr="000D7D3D">
        <w:t xml:space="preserve"> </w:t>
      </w:r>
      <w:r w:rsidR="000D7D3D" w:rsidRPr="000D7D3D">
        <w:t xml:space="preserve">symbiosis (central overlap). In particular, to identify </w:t>
      </w:r>
      <w:r w:rsidR="000D7D3D" w:rsidRPr="000D7D3D">
        <w:rPr>
          <w:i/>
        </w:rPr>
        <w:t xml:space="preserve">P. involutus ATCC 200175 </w:t>
      </w:r>
      <w:r w:rsidR="000D7D3D" w:rsidRPr="000D7D3D">
        <w:t xml:space="preserve">genes upregulated in low Pi condition and whose expression is enhanced by </w:t>
      </w:r>
      <w:r w:rsidR="006A7911">
        <w:t xml:space="preserve">EM </w:t>
      </w:r>
      <w:r w:rsidR="000D7D3D" w:rsidRPr="000D7D3D">
        <w:t>symbiosis, three selection criteria were applied: (a) statistically significant upregulation between low and high Pi in NS condition, (b) statistically significant upregulation between low and high Pi in the S condition, and (c) statistically significant upregulation at low Pi in the S condition compared to low Pi in the NS condition (Figure 3.7A). For each pairwise comparison (Figure 3.7A, circles), a minimum fold-change threshold of 1.5 was applied.</w:t>
      </w:r>
    </w:p>
    <w:p w14:paraId="3BC3DF42" w14:textId="3BF0FD44" w:rsidR="000D7D3D" w:rsidRPr="000D7D3D" w:rsidRDefault="000D7D3D" w:rsidP="00FB36B8">
      <w:pPr>
        <w:ind w:firstLine="720"/>
      </w:pPr>
      <w:r w:rsidRPr="000D7D3D">
        <w:t xml:space="preserve">Similarly, three selection criteria were applied to identify </w:t>
      </w:r>
      <w:r w:rsidRPr="000D7D3D">
        <w:rPr>
          <w:i/>
        </w:rPr>
        <w:t>P. involutus ATCC 200175</w:t>
      </w:r>
      <w:r w:rsidR="00096954">
        <w:t xml:space="preserve"> genes down</w:t>
      </w:r>
      <w:r w:rsidRPr="000D7D3D">
        <w:t xml:space="preserve">regulated in low Pi condition and whose expression is further reduced by </w:t>
      </w:r>
      <w:r w:rsidR="00096954">
        <w:t>EM</w:t>
      </w:r>
      <w:r w:rsidRPr="000D7D3D">
        <w:t xml:space="preserve"> symbiosis: (a) statistically significant downregulation between low and high Pi in the NS condition, (b) statistically significant downregulation between low and high Pi in the S condition, and (c) statistically significant downregulation at low Pi in the S condition compared to low Pi in the NS condition (Figure 3.7B). For each pairwise comparison (Figure 3.7B, circles), a minimum fold-change threshold of 1.5 was applied.</w:t>
      </w:r>
    </w:p>
    <w:p w14:paraId="6458B700" w14:textId="031019FA" w:rsidR="000D7D3D" w:rsidRPr="000D7D3D" w:rsidRDefault="000D7D3D" w:rsidP="007C3C15">
      <w:pPr>
        <w:ind w:firstLine="720"/>
      </w:pPr>
      <w:r w:rsidRPr="000D7D3D">
        <w:t xml:space="preserve">At both selections, the majority of </w:t>
      </w:r>
      <w:r w:rsidRPr="000D7D3D">
        <w:rPr>
          <w:i/>
        </w:rPr>
        <w:t>P. involutus ATCC 200175</w:t>
      </w:r>
      <w:r w:rsidRPr="000D7D3D">
        <w:t xml:space="preserve"> genes up- or down</w:t>
      </w:r>
      <w:r w:rsidR="00AC5079">
        <w:t>-</w:t>
      </w:r>
      <w:r w:rsidRPr="000D7D3D">
        <w:t>regulated by low Pi are shared between NS and S conditions, 1446 upregulated and 1118 downregulated genes respectively, without showing any statistically significant difference (Figure 3.7A and B, top overlaps). Nonetheless, 97 genes of</w:t>
      </w:r>
      <w:r w:rsidRPr="000D7D3D">
        <w:rPr>
          <w:i/>
        </w:rPr>
        <w:t xml:space="preserve"> P. involutus ATCC 200175</w:t>
      </w:r>
      <w:r w:rsidRPr="000D7D3D">
        <w:t xml:space="preserve"> </w:t>
      </w:r>
      <w:r w:rsidR="00FE7C63">
        <w:t>which showed statistically significant upregulation</w:t>
      </w:r>
      <w:r w:rsidRPr="000D7D3D">
        <w:t xml:space="preserve"> by low Pi conditions were also found to be specifically upregulated </w:t>
      </w:r>
      <w:r w:rsidR="00FE7C63">
        <w:t>by</w:t>
      </w:r>
      <w:r w:rsidRPr="000D7D3D">
        <w:t xml:space="preserve"> </w:t>
      </w:r>
      <w:r w:rsidR="00FE7C63">
        <w:t xml:space="preserve">EM </w:t>
      </w:r>
      <w:r w:rsidRPr="000D7D3D">
        <w:t xml:space="preserve">symbiosis, (Figure 3.7A, central overlap). In addition, </w:t>
      </w:r>
      <w:r w:rsidRPr="000D7D3D">
        <w:lastRenderedPageBreak/>
        <w:t xml:space="preserve">47 genes of </w:t>
      </w:r>
      <w:r w:rsidRPr="000D7D3D">
        <w:rPr>
          <w:i/>
        </w:rPr>
        <w:t>P. involutus ATCC 200175</w:t>
      </w:r>
      <w:r w:rsidRPr="000D7D3D">
        <w:t xml:space="preserve"> </w:t>
      </w:r>
      <w:r w:rsidR="00FE7C63">
        <w:t>which showed statistically significant downregulation</w:t>
      </w:r>
      <w:r w:rsidRPr="000D7D3D">
        <w:t xml:space="preserve"> by low Pi were also foun</w:t>
      </w:r>
      <w:r w:rsidR="00FE7C63">
        <w:t>d to be further downregulated by</w:t>
      </w:r>
      <w:r w:rsidRPr="000D7D3D">
        <w:t xml:space="preserve"> </w:t>
      </w:r>
      <w:r w:rsidR="00096954">
        <w:t xml:space="preserve">EM </w:t>
      </w:r>
      <w:r w:rsidRPr="000D7D3D">
        <w:t>symbiosis (Figure 3.7B, central overlap).</w:t>
      </w:r>
    </w:p>
    <w:p w14:paraId="3A71548A" w14:textId="18E1D9BE" w:rsidR="000D7D3D" w:rsidRPr="000D7D3D" w:rsidRDefault="000D7D3D" w:rsidP="007C3C15">
      <w:pPr>
        <w:ind w:firstLine="720"/>
      </w:pPr>
      <w:r w:rsidRPr="000D7D3D">
        <w:t>Gene expression profiles of the 97 and 47 genes</w:t>
      </w:r>
      <w:r w:rsidRPr="000D7D3D">
        <w:rPr>
          <w:i/>
        </w:rPr>
        <w:t xml:space="preserve"> </w:t>
      </w:r>
      <w:r w:rsidRPr="000D7D3D">
        <w:t xml:space="preserve">of </w:t>
      </w:r>
      <w:r w:rsidRPr="000D7D3D">
        <w:rPr>
          <w:i/>
        </w:rPr>
        <w:t>P. involutus ATCC 200175</w:t>
      </w:r>
      <w:r w:rsidRPr="000D7D3D">
        <w:t xml:space="preserve"> were displayed in heat maps in Figure 3.8 and Figure 3.9, respectively, and the putative functional annotation for each gene was inferred by using the SmartBLAST online tool </w:t>
      </w:r>
      <w:r w:rsidRPr="000D7D3D">
        <w:rPr>
          <w:b/>
        </w:rPr>
        <w:fldChar w:fldCharType="begin" w:fldLock="1"/>
      </w:r>
      <w:r w:rsidR="00EE33AB">
        <w:instrText>ADDIN CSL_CITATION {"citationItems":[{"id":"ITEM-1","itemData":{"DOI":"10.1093/nar/gkv1290","ISBN":"0305-1048","ISSN":"13624962","PMID":"10592169","abstract":"In addition to maintaining the GenBank(R) nucleic acid sequence database, the National Center for Biotechnology Information (NCBI) provides data analysis and retrieval and resources that operate on the data in GenBank and a variety of other biological data made available through NCBI's Web site. NCBI data retrieval resources include Entrez, PubMed, LocusLink and the Taxonomy Browser. Data analysis resources include BLAST, Electronic PCR, OrfFinder, RefSeq, UniGene, Database of Single Nucleotide Polymorphisms (dbSNP), Human Genome Sequencing pages, GeneMap'99, Davis Human-Mouse Homology Map, Cancer Chromosome Aberration Project (CCAP) pages, Entrez Genomes, Clusters of Orthologous Groups (COGs) database, Retroviral Genotyping Tools, Cancer Genome Anatomy Project (CGAP) pages, SAGEmap, Online Mendelian Inheritance in Man (OMIM) and the Molecular Modeling Database (MMDB). Augmenting many of the Web applications are custom implementations of the BLAST program optimized to search specialized data sets. All of the resources can be accessed through the NCBI home page at: http://www.ncbi.nlm.nih. gov","author":[{"dropping-particle":"","family":"Agarwala","given":"Richa","non-dropping-particle":"","parse-names":false,"suffix":""},{"dropping-particle":"","family":"Barrett","given":"Tanya","non-dropping-particle":"","parse-names":false,"suffix":""},{"dropping-particle":"","family":"Beck","given":"Jeff","non-dropping-particle":"","parse-names":false,"suffix":""},{"dropping-particle":"","family":"Benson","given":"Dennis A.","non-dropping-particle":"","parse-names":false,"suffix":""},{"dropping-particle":"","family":"Bollin","given":"Colleen","non-dropping-particle":"","parse-names":false,"suffix":""},{"dropping-particle":"","family":"Bolton","given":"Evan","non-dropping-particle":"","parse-names":false,"suffix":""},{"dropping-particle":"","family":"Bourexis","given":"Devon","non-dropping-particle":"","parse-names":false,"suffix":""},{"dropping-particle":"","family":"Brister","given":"J. Rodney","non-dropping-particle":"","parse-names":false,"suffix":""},{"dropping-particle":"","family":"Bryant","given":"Stephen H.","non-dropping-particle":"","parse-names":false,"suffix":""},{"dropping-particle":"","family":"Canese","given":"Kathi","non-dropping-particle":"","parse-names":false,"suffix":""},{"dropping-particle":"","family":"Charowhas","given":"Chad","non-dropping-particle":"","parse-names":false,"suffix":""},{"dropping-particle":"","family":"Clark","given":"Karen","non-dropping-particle":"","parse-names":false,"suffix":""},{"dropping-particle":"","family":"Dicuccio","given":"Michael","non-dropping-particle":"","parse-names":false,"suffix":""},{"dropping-particle":"","family":"Dondoshansky","given":"Ilya","non-dropping-particle":"","parse-names":false,"suffix":""},{"dropping-particle":"","family":"Federhen","given":"Scott","non-dropping-particle":"","parse-names":false,"suffix":""},{"dropping-particle":"","family":"Feolo","given":"Michael","non-dropping-particle":"","parse-names":false,"suffix":""},{"dropping-particle":"","family":"Funk","given":"Kathryn","non-dropping-particle":"","parse-names":false,"suffix":""},{"dropping-particle":"","family":"Geer","given":"Lewis Y.","non-dropping-particle":"","parse-names":false,"suffix":""},{"dropping-particle":"","family":"Gorelenkov","given":"Viatcheslav","non-dropping-particle":"","parse-names":false,"suffix":""},{"dropping-particle":"","family":"Hoeppner","given":"Marilu","non-dropping-particle":"","parse-names":false,"suffix":""},{"dropping-particle":"","family":"Holmes","given":"Brad","non-dropping-particle":"","parse-names":false,"suffix":""},{"dropping-particle":"","family":"Johnson","given":"Mark","non-dropping-particle":"","parse-names":false,"suffix":""},{"dropping-particle":"","family":"Khotomlianski","given":"Viatcheslav","non-dropping-particle":"","parse-names":false,"suffix":""},{"dropping-particle":"","family":"Kimchi","given":"Avi","non-dropping-particle":"","parse-names":false,"suffix":""},{"dropping-particle":"","family":"Kimelman","given":"Michael","non-dropping-particle":"","parse-names":false,"suffix":""},{"dropping-particle":"","family":"Kitts","given":"Paul","non-dropping-particle":"","parse-names":false,"suffix":""},{"dropping-particle":"","family":"Klimke","given":"William","non-dropping-particle":"","parse-names":false,"suffix":""},{"dropping-particle":"","family":"Krasnov","given":"Sergey","non-dropping-particle":"","parse-names":false,"suffix":""},{"dropping-particle":"","family":"Kuznetsov","given":"Anatoliy","non-dropping-particle":"","parse-names":false,"suffix":""},{"dropping-particle":"","family":"Landrum","given":"Melissa J.","non-dropping-particle":"","parse-names":false,"suffix":""},{"dropping-particle":"","family":"Landsman","given":"David","non-dropping-particle":"","parse-names":false,"suffix":""},{"dropping-particle":"","family":"Lee","given":"Jennifer M.","non-dropping-particle":"","parse-names":false,"suffix":""},{"dropping-particle":"","family":"Lipman","given":"David J.","non-dropping-particle":"","parse-names":false,"suffix":""},{"dropping-particle":"","family":"Lu","given":"Zhiyong","non-dropping-particle":"","parse-names":false,"suffix":""},{"dropping-particle":"","family":"Madden","given":"Thomas L.","non-dropping-particle":"","parse-names":false,"suffix":""},{"dropping-particle":"","family":"Madej","given":"Tom","non-dropping-particle":"","parse-names":false,"suffix":""},{"dropping-particle":"","family":"Marchler-Bauer","given":"Aron","non-dropping-particle":"","parse-names":false,"suffix":""},{"dropping-particle":"","family":"Karsch-Mizrachi","given":"Ilene","non-dropping-particle":"","parse-names":false,"suffix":""},{"dropping-particle":"","family":"Murphy","given":"Terence","non-dropping-particle":"","parse-names":false,"suffix":""},{"dropping-particle":"","family":"Orris","given":"Rebecca","non-dropping-particle":"","parse-names":false,"suffix":""},{"dropping-particle":"","family":"Ostell","given":"James","non-dropping-particle":"","parse-names":false,"suffix":""},{"dropping-particle":"","family":"O'sullivan","given":"Christopher","non-dropping-particle":"","parse-names":false,"suffix":""},{"dropping-particle":"","family":"Panchenko","given":"Anna","non-dropping-particle":"","parse-names":false,"suffix":""},{"dropping-particle":"","family":"Phan","given":"Lon","non-dropping-particle":"","parse-names":false,"suffix":""},{"dropping-particle":"","family":"Preuss","given":"Don","non-dropping-particle":"","parse-names":false,"suffix":""},{"dropping-particle":"","family":"Pruitt","given":"Kim D.","non-dropping-particle":"","parse-names":false,"suffix":""},{"dropping-particle":"","family":"Rodarmer","given":"Kurt","non-dropping-particle":"","parse-names":false,"suffix":""},{"dropping-particle":"","family":"Rubinstein","given":"Wendy","non-dropping-particle":"","parse-names":false,"suffix":""},{"dropping-particle":"","family":"Sayers","given":"Ericw","non-dropping-particle":"","parse-names":false,"suffix":""},{"dropping-particle":"","family":"Schneider","given":"Valerie","non-dropping-particle":"","parse-names":false,"suffix":""},{"dropping-particle":"","family":"Schuler","given":"Gregory D.","non-dropping-particle":"","parse-names":false,"suffix":""},{"dropping-particle":"","family":"Sherry","given":"Stephen T.","non-dropping-particle":"","parse-names":false,"suffix":""},{"dropping-particle":"","family":"Sirotkin","given":"Karl","non-dropping-particle":"","parse-names":false,"suffix":""},{"dropping-particle":"","family":"Siyan","given":"Karanjit","non-dropping-particle":"","parse-names":false,"suffix":""},{"dropping-particle":"","family":"Slotta","given":"Douglas","non-dropping-particle":"","parse-names":false,"suffix":""},{"dropping-particle":"","family":"Soboleva","given":"Alexandra","non-dropping-particle":"","parse-names":false,"suffix":""},{"dropping-particle":"","family":"Soussov","given":"Vladimir","non-dropping-particle":"","parse-names":false,"suffix":""},{"dropping-particle":"","family":"Starchenko","given":"Grigory","non-dropping-particle":"","parse-names":false,"suffix":""},{"dropping-particle":"","family":"Tatusova","given":"Tatiana A.","non-dropping-particle":"","parse-names":false,"suffix":""},{"dropping-particle":"","family":"Todorov","given":"Kamen","non-dropping-particle":"","parse-names":false,"suffix":""},{"dropping-particle":"","family":"Trawick","given":"Bart W.","non-dropping-particle":"","parse-names":false,"suffix":""},{"dropping-particle":"","family":"Vakatov","given":"Denis","non-dropping-particle":"","parse-names":false,"suffix":""},{"dropping-particle":"","family":"Wang","given":"Yanli","non-dropping-particle":"","parse-names":false,"suffix":""},{"dropping-particle":"","family":"Ward","given":"Minghong","non-dropping-particle":"","parse-names":false,"suffix":""},{"dropping-particle":"","family":"Wilbur","given":"W. John","non-dropping-particle":"","parse-names":false,"suffix":""},{"dropping-particle":"","family":"Yaschenko","given":"Eugene","non-dropping-particle":"","parse-names":false,"suffix":""},{"dropping-particle":"","family":"Zbicz","given":"Kerry","non-dropping-particle":"","parse-names":false,"suffix":""}],"container-title":"Nucleic Acids Research","id":"ITEM-1","issue":"D1","issued":{"date-parts":[["2016"]]},"page":"D7-D19","title":"Database resources of the National Center for Biotechnology Information","type":"article-journal","volume":"44"},"uris":["http://www.mendeley.com/documents/?uuid=63f0e420-66c3-4e46-814d-2d2eaeabc62f"]}],"mendeley":{"formattedCitation":"(Agarwala et al., 2016)","plainTextFormattedCitation":"(Agarwala et al., 2016)","previouslyFormattedCitation":"(Agarwala et al., 2016)"},"properties":{"noteIndex":0},"schema":"https://github.com/citation-style-language/schema/raw/master/csl-citation.json"}</w:instrText>
      </w:r>
      <w:r w:rsidRPr="000D7D3D">
        <w:rPr>
          <w:b/>
        </w:rPr>
        <w:fldChar w:fldCharType="separate"/>
      </w:r>
      <w:r w:rsidRPr="000D7D3D">
        <w:rPr>
          <w:noProof/>
        </w:rPr>
        <w:t>(Agarwala et al., 2016)</w:t>
      </w:r>
      <w:r w:rsidRPr="000D7D3D">
        <w:rPr>
          <w:b/>
        </w:rPr>
        <w:fldChar w:fldCharType="end"/>
      </w:r>
      <w:r w:rsidRPr="000D7D3D">
        <w:t xml:space="preserve"> together with the annotation on the MycoCosm at the JGI database </w:t>
      </w:r>
      <w:r w:rsidRPr="000D7D3D">
        <w:fldChar w:fldCharType="begin" w:fldLock="1"/>
      </w:r>
      <w:r w:rsidR="00EE33AB">
        <w:instrText>ADDIN CSL_CITATION {"citationItems":[{"id":"ITEM-1","itemData":{"DOI":"10.1093/nar/25.17.3389","ISBN":"0305-1048","ISSN":"13624962","PMID":"9254694","abstract":"The BLAST programs are widely used tools for searching protein and DNA databases for sequence similarities. For protein comparisons, a variety of definitional, algorithmic and statistical refinements described here permits the execution time of the BLAST programs to be decreased substantially while enhancing their sensitivity to weak similarities. A new criterion for triggering the extension of word hits, combined with a new heuristic for generating gapped alignments, yields a gapped BLAST program that runs at approximately three times the speed of the original. In addition, a method is introduced for automatically combining statistically significant alignments produced by BLAST into a position-specific score matrix, and searching the database using this matrix. The resulting Position-Specific Iterated BLAST (PSIBLAST) program runs at approximately the same speed per iteration as gapped BLAST, but in many cases is much more sensitive to weak but biologically relevant sequence similarities. PSI-BLAST is used to uncover several new and interesting members of the BRCT superfamily.","author":[{"dropping-particle":"","family":"Altschul","given":"Stephen F","non-dropping-particle":"","parse-names":false,"suffix":""},{"dropping-particle":"","family":"Madden","given":"Thomas L","non-dropping-particle":"","parse-names":false,"suffix":""},{"dropping-particle":"","family":"Schäffer","given":"Alejandto a","non-dropping-particle":"","parse-names":false,"suffix":""},{"dropping-particle":"","family":"Zhang","given":"Jinghui","non-dropping-particle":"","parse-names":false,"suffix":""},{"dropping-particle":"","family":"Zhang","given":"Zheng","non-dropping-particle":"","parse-names":false,"suffix":""},{"dropping-particle":"","family":"Miller","given":"Webb","non-dropping-particle":"","parse-names":false,"suffix":""},{"dropping-particle":"","family":"Lipman","given":"David J","non-dropping-particle":"","parse-names":false,"suffix":""}],"container-title":"Nucleic Acids Research","id":"ITEM-1","issue":"17","issued":{"date-parts":[["1997"]]},"page":"3389-3402","title":"Gapped BLAST and PSI-BLAST:a new generation of protein database search programs","type":"article-journal","volume":"25"},"uris":["http://www.mendeley.com/documents/?uuid=65c4a1d4-3fb8-4a6a-bb23-1f5f98fcd0e5"]},{"id":"ITEM-2","itemData":{"DOI":"10.1093/nar/gkt1183","ISBN":"1362-4962 (Electronic)\\n0305-1048 (Linking)","ISSN":"03051048","PMID":"24297253","abstract":"MycoCosm is a fungal genomics portal (http://jgi.doe.gov/fungi), developed by the US Department of Energy Joint Genome Institute to support integration, analysis and dissemination of fungal genome sequences and other 'omics' data by providing interactive web-based tools. MycoCosm also promotes and facilitates user community participation through the nomination of new species of fungi for sequencing, and the annotation and analysis of resulting data. By efficiently filling gaps in the Fungal Tree of Life, MycoCosm will help address important problems associated with energy and the environment, taking advantage of growing fungal genomics resources.","author":[{"dropping-particle":"V.","family":"Grigoriev","given":"Igor","non-dropping-particle":"","parse-names":false,"suffix":""},{"dropping-particle":"","family":"Nikitin","given":"Roman","non-dropping-particle":"","parse-names":false,"suffix":""},{"dropping-particle":"","family":"Haridas","given":"Sajeet","non-dropping-particle":"","parse-names":false,"suffix":""},{"dropping-particle":"","family":"Kuo","given":"Alan","non-dropping-particle":"","parse-names":false,"suffix":""},{"dropping-particle":"","family":"Ohm","given":"Robin","non-dropping-particle":"","parse-names":false,"suffix":""},{"dropping-particle":"","family":"Otillar","given":"Robert","non-dropping-particle":"","parse-names":false,"suffix":""},{"dropping-particle":"","family":"Riley","given":"Robert","non-dropping-particle":"","parse-names":false,"suffix":""},{"dropping-particle":"","family":"Salamov","given":"Asaf","non-dropping-particle":"","parse-names":false,"suffix":""},{"dropping-particle":"","family":"Zhao","given":"Xueling","non-dropping-particle":"","parse-names":false,"suffix":""},{"dropping-particle":"","family":"Korzeniewski","given":"Frank","non-dropping-particle":"","parse-names":false,"suffix":""},{"dropping-particle":"","family":"Smirnova","given":"Tatyana","non-dropping-particle":"","parse-names":false,"suffix":""},{"dropping-particle":"","family":"Nordberg","given":"Henrik","non-dropping-particle":"","parse-names":false,"suffix":""},{"dropping-particle":"","family":"Dubchak","given":"Inna","non-dropping-particle":"","parse-names":false,"suffix":""},{"dropping-particle":"","family":"Shabalov","given":"Igor","non-dropping-particle":"","parse-names":false,"suffix":""}],"container-title":"Nucleic Acids Research","id":"ITEM-2","issue":"December 2013","issued":{"date-parts":[["2014"]]},"page":"699-704","title":"MycoCosm portal: Gearing up for 1000 fungal genomes","type":"article-journal","volume":"42"},"uris":["http://www.mendeley.com/documents/?uuid=eee40767-9a6f-492f-9569-bb26ff80c11c"]},{"id":"ITEM-3","itemData":{"DOI":"10.1080/21501203.2011.584577","ISBN":"2150-1203","ISSN":"2150-1203","abstract":"Fungi play important roles across the range of current and future biofuel production processes. From crop/feedstock health to plant biomass saccharification, enzyme production to bioprocesses for producing ethanol, higher alcohols, or future hydrocarbon biofuels, fungi are involved. Research and development are underway to understand the underlying biological processes and improve them to make bioenergy production efficient on an industrial scale. Genomics is the foundation of the systems biology approach that is being used to accelerate the research and development efforts across the spectrum of topic areas that impact biofuels production. In this review, we discuss past, current, and future advances made possible by genomic analyses of the fungi that impact plant/feedstock health, degradation of lignocellulosic biomass, and fermentation of sugars to ethanol, hydrocarbon biofuels, and renewable chemicals.","author":[{"dropping-particle":"V.","family":"Grigoriev","given":"Igor","non-dropping-particle":"","parse-names":false,"suffix":""},{"dropping-particle":"","family":"Cullen","given":"Daniel","non-dropping-particle":"","parse-names":false,"suffix":""},{"dropping-particle":"","family":"Goodwin","given":"Stephen B.","non-dropping-particle":"","parse-names":false,"suffix":""},{"dropping-particle":"","family":"Hibbett","given":"David","non-dropping-particle":"","parse-names":false,"suffix":""},{"dropping-particle":"","family":"Jeffries","given":"Thomas W.","non-dropping-particle":"","parse-names":false,"suffix":""},{"dropping-particle":"","family":"Kubicek","given":"Christian P.","non-dropping-particle":"","parse-names":false,"suffix":""},{"dropping-particle":"","family":"Kuske","given":"Cheryl","non-dropping-particle":"","parse-names":false,"suffix":""},{"dropping-particle":"","family":"Magnuson","given":"Jon K.","non-dropping-particle":"","parse-names":false,"suffix":""},{"dropping-particle":"","family":"Martin","given":"Francis","non-dropping-particle":"","parse-names":false,"suffix":""},{"dropping-particle":"","family":"Spatafora","given":"Joseph W.","non-dropping-particle":"","parse-names":false,"suffix":""},{"dropping-particle":"","family":"Tsang","given":"Adrian","non-dropping-particle":"","parse-names":false,"suffix":""},{"dropping-particle":"","family":"Baker","given":"Scott E.","non-dropping-particle":"","parse-names":false,"suffix":""},{"dropping-particle":"","family":"Cullen","given":"","non-dropping-particle":"","parse-names":false,"suffix":""},{"dropping-particle":"","family":"Sb","given":"Goodwin","non-dropping-particle":"","parse-names":false,"suffix":""},{"dropping-particle":"","family":"D","given":"Hibbett","non-dropping-particle":"","parse-names":false,"suffix":""},{"dropping-particle":"","family":"Tw","given":"Jeffries","non-dropping-particle":"","parse-names":false,"suffix":""},{"dropping-particle":"","family":"Cp","given":"Kubicek","non-dropping-particle":"","parse-names":false,"suffix":""},{"dropping-particle":"","family":"C","given":"Kuske","non-dropping-particle":"","parse-names":false,"suffix":""},{"dropping-particle":"","family":"Jk","given":"Magnuson","non-dropping-particle":"","parse-names":false,"suffix":""},{"dropping-particle":"","family":"F","given":"Martin","non-dropping-particle":"","parse-names":false,"suffix":""},{"dropping-particle":"","family":"Jw","given":"Spatafora","non-dropping-particle":"","parse-names":false,"suffix":""},{"dropping-particle":"","family":"a","given":"Tsang","non-dropping-particle":"","parse-names":false,"suffix":""},{"dropping-particle":"","family":"Se","given":"Baker","non-dropping-particle":"","parse-names":false,"suffix":""}],"container-title":"Mycology: An international journal on fungal biology","id":"ITEM-3","issue":"June 2016","issued":{"date-parts":[["2011"]]},"page":"192-209","title":"Fueling the future with fungal genomics","type":"article-journal","volume":"2"},"uris":["http://www.mendeley.com/documents/?uuid=9a28282a-1011-48a6-9df1-2ef8df068138"]}],"mendeley":{"formattedCitation":"(Altschul et al., 1997; Grigoriev et al., 2014, 2011)","plainTextFormattedCitation":"(Altschul et al., 1997; Grigoriev et al., 2014, 2011)","previouslyFormattedCitation":"(Altschul et al., 1997; Grigoriev et al., 2014, 2011)"},"properties":{"noteIndex":0},"schema":"https://github.com/citation-style-language/schema/raw/master/csl-citation.json"}</w:instrText>
      </w:r>
      <w:r w:rsidRPr="000D7D3D">
        <w:fldChar w:fldCharType="separate"/>
      </w:r>
      <w:r w:rsidRPr="000D7D3D">
        <w:rPr>
          <w:noProof/>
        </w:rPr>
        <w:t>(Altschul et al., 1997; Grigoriev et al., 2014, 2011)</w:t>
      </w:r>
      <w:r w:rsidRPr="000D7D3D">
        <w:fldChar w:fldCharType="end"/>
      </w:r>
      <w:r w:rsidRPr="000D7D3D">
        <w:t xml:space="preserve">, as shown in the Appendix Table 6 and Table 7, respectively. In particular, Figure 3.8 shows the genes which are upregulated by low Pi availability and their expression is further enhanced by </w:t>
      </w:r>
      <w:r w:rsidR="006A7911">
        <w:t xml:space="preserve">EM </w:t>
      </w:r>
      <w:r w:rsidRPr="000D7D3D">
        <w:t>symbiosis. The majority of these genes are ma</w:t>
      </w:r>
      <w:r w:rsidR="00D73348">
        <w:t>i</w:t>
      </w:r>
      <w:r w:rsidRPr="000D7D3D">
        <w:t xml:space="preserve">nly involved in signalling, such as kinases and genes bearing a binding recognition domain for transcription </w:t>
      </w:r>
      <w:r w:rsidR="00096954">
        <w:t>factors such as WD40 or TRP, or</w:t>
      </w:r>
      <w:r w:rsidRPr="000D7D3D">
        <w:t xml:space="preserve"> </w:t>
      </w:r>
      <w:r w:rsidR="00096954">
        <w:t>in</w:t>
      </w:r>
      <w:r w:rsidRPr="000D7D3D">
        <w:t xml:space="preserve"> redox reac</w:t>
      </w:r>
      <w:r w:rsidR="00096954">
        <w:t>tions, such as dioxygenase and c</w:t>
      </w:r>
      <w:r w:rsidRPr="000D7D3D">
        <w:t>ytochrome P450. The list continues with genes involved in amino acid utilisation with amino acid transporters, such as proline transporter genes, and enzymes, such as aspartate transaminase, phospholipid metabolism, such as phosphatidylserine synthase, lipid metabolism, such as alpha/beta hydrolases, carbohydrate metabolism, such as transaldolase and nucleotide metabolism such as nucleoside triphosphate hydrolases. In addition, genes involved in post-translational modification, such as glutathione S-transferases are also present. Moreover, genes involved in secondary metabolite</w:t>
      </w:r>
      <w:r w:rsidR="00096954">
        <w:t>s</w:t>
      </w:r>
      <w:r w:rsidRPr="000D7D3D">
        <w:t xml:space="preserve"> biosynthesis are also involved such as terpenoid synthases. There are also genes that may be involved in the plant-fungus interaction, such as ex</w:t>
      </w:r>
      <w:r w:rsidR="00A470A8">
        <w:t>pansin and lectins. The high-</w:t>
      </w:r>
      <w:r w:rsidRPr="000D7D3D">
        <w:t xml:space="preserve">affinity Pi transporter </w:t>
      </w:r>
      <w:r w:rsidRPr="000D7D3D">
        <w:rPr>
          <w:i/>
        </w:rPr>
        <w:t xml:space="preserve">PiPT4 </w:t>
      </w:r>
      <w:r w:rsidRPr="000D7D3D">
        <w:t xml:space="preserve">is also included in the list of the upregulated genes by low Pi availability and </w:t>
      </w:r>
      <w:r w:rsidR="00096954">
        <w:t xml:space="preserve">EM </w:t>
      </w:r>
      <w:r w:rsidRPr="000D7D3D">
        <w:t xml:space="preserve">symbiosis. Last, </w:t>
      </w:r>
      <w:r w:rsidR="00096954">
        <w:t xml:space="preserve">almost </w:t>
      </w:r>
      <w:r w:rsidRPr="000D7D3D">
        <w:t>40% of the genes found to be upregulated in these conditions</w:t>
      </w:r>
      <w:r w:rsidR="00096954">
        <w:t xml:space="preserve"> have unknown functions</w:t>
      </w:r>
      <w:r w:rsidRPr="000D7D3D">
        <w:t>.</w:t>
      </w:r>
    </w:p>
    <w:p w14:paraId="2AC23D1F" w14:textId="704B0066" w:rsidR="000D7D3D" w:rsidRPr="000D7D3D" w:rsidRDefault="000D7D3D" w:rsidP="00754712">
      <w:pPr>
        <w:ind w:firstLine="720"/>
      </w:pPr>
      <w:r w:rsidRPr="000D7D3D">
        <w:t xml:space="preserve">Figure 3.9 shows the genes which are downregulated by low Pi availability and whose expression is further repressed in </w:t>
      </w:r>
      <w:r w:rsidR="00E17FA9">
        <w:t xml:space="preserve">EM </w:t>
      </w:r>
      <w:r w:rsidRPr="000D7D3D">
        <w:t xml:space="preserve">symbiosis. The majority of these genes are involved in </w:t>
      </w:r>
      <w:r w:rsidR="00E17FA9">
        <w:t>redox reactions, such as c</w:t>
      </w:r>
      <w:r w:rsidRPr="000D7D3D">
        <w:t>ytochrome P450, and amino acid transport and metabolism</w:t>
      </w:r>
      <w:r w:rsidR="00E17FA9">
        <w:t>,</w:t>
      </w:r>
      <w:r w:rsidRPr="000D7D3D">
        <w:t xml:space="preserve"> such as amino acid or polyamine transporter genes and enzymes. In addition, there are genes involved in aminophospholipid metabolism</w:t>
      </w:r>
      <w:r w:rsidR="00E17FA9">
        <w:t>,</w:t>
      </w:r>
      <w:r w:rsidRPr="000D7D3D">
        <w:t xml:space="preserve"> such as </w:t>
      </w:r>
      <w:r w:rsidRPr="000D7D3D">
        <w:lastRenderedPageBreak/>
        <w:t>phosphatidylserine decarboxylase, and genes involved i</w:t>
      </w:r>
      <w:r w:rsidR="00754712">
        <w:t>n signalling, such as G protein-</w:t>
      </w:r>
      <w:r w:rsidRPr="000D7D3D">
        <w:t>encoding genes. Moreover, genes involved in secondary metabolite</w:t>
      </w:r>
      <w:r w:rsidR="00E17FA9">
        <w:t>s</w:t>
      </w:r>
      <w:r w:rsidRPr="000D7D3D">
        <w:t xml:space="preserve"> biosynthesis, such as terpenoid synthase and cysteine desulfurase, which are involved in terpenoid and mycotoxin biosynthesis respectively. A Pi transporter gene, belonging to the PHO family of transporters, has also b</w:t>
      </w:r>
      <w:r w:rsidR="00634533">
        <w:t>een found.</w:t>
      </w:r>
      <w:r w:rsidRPr="000D7D3D">
        <w:br w:type="page"/>
      </w:r>
    </w:p>
    <w:p w14:paraId="78AF9AFC" w14:textId="77777777" w:rsidR="000D7D3D" w:rsidRPr="000D7D3D" w:rsidRDefault="000D7D3D" w:rsidP="007C3C15">
      <w:r w:rsidRPr="000D7D3D">
        <w:rPr>
          <w:noProof/>
          <w:lang w:eastAsia="en-GB"/>
        </w:rPr>
        <w:lastRenderedPageBreak/>
        <w:drawing>
          <wp:inline distT="0" distB="0" distL="0" distR="0" wp14:anchorId="34447B0D" wp14:editId="42318261">
            <wp:extent cx="5943600" cy="28276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3.7AB+.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827655"/>
                    </a:xfrm>
                    <a:prstGeom prst="rect">
                      <a:avLst/>
                    </a:prstGeom>
                  </pic:spPr>
                </pic:pic>
              </a:graphicData>
            </a:graphic>
          </wp:inline>
        </w:drawing>
      </w:r>
    </w:p>
    <w:p w14:paraId="624CFE36" w14:textId="77777777" w:rsidR="002B13CF" w:rsidRDefault="000D7D3D" w:rsidP="00635993">
      <w:pPr>
        <w:pStyle w:val="Subtitle"/>
        <w:pBdr>
          <w:top w:val="single" w:sz="4" w:space="1" w:color="auto"/>
        </w:pBdr>
        <w:rPr>
          <w:b w:val="0"/>
        </w:rPr>
      </w:pPr>
      <w:r w:rsidRPr="000D7D3D">
        <w:t xml:space="preserve">Figure 3.7 </w:t>
      </w:r>
      <w:r w:rsidRPr="00635993">
        <w:rPr>
          <w:b w:val="0"/>
        </w:rPr>
        <w:t xml:space="preserve">Venn diagrams showing the statistical criteria used to select </w:t>
      </w:r>
      <w:r w:rsidRPr="00635993">
        <w:rPr>
          <w:b w:val="0"/>
          <w:i/>
        </w:rPr>
        <w:t xml:space="preserve">P. involutus ATCC 200175 </w:t>
      </w:r>
      <w:r w:rsidRPr="00635993">
        <w:rPr>
          <w:b w:val="0"/>
        </w:rPr>
        <w:t xml:space="preserve">genes showing up- or down-regulation by both Pi low availability and </w:t>
      </w:r>
      <w:r w:rsidR="006A7911" w:rsidRPr="00635993">
        <w:rPr>
          <w:b w:val="0"/>
        </w:rPr>
        <w:t xml:space="preserve">EM </w:t>
      </w:r>
      <w:r w:rsidRPr="00635993">
        <w:rPr>
          <w:b w:val="0"/>
        </w:rPr>
        <w:t>symbiosis (central overlap). Statistically significant differential expression in each pairwise comparison (circles) was assessed by the Wald test (Q-value</w:t>
      </w:r>
      <w:r w:rsidRPr="00635993">
        <w:rPr>
          <w:b w:val="0"/>
          <w:i/>
        </w:rPr>
        <w:t xml:space="preserve"> </w:t>
      </w:r>
      <w:r w:rsidRPr="00635993">
        <w:rPr>
          <w:b w:val="0"/>
        </w:rPr>
        <w:t xml:space="preserve">&lt;0.05) using the R package “DEseq2” using 1.5 fold-change threshold. Numbers indicate the number of </w:t>
      </w:r>
      <w:r w:rsidRPr="00635993">
        <w:rPr>
          <w:b w:val="0"/>
          <w:i/>
        </w:rPr>
        <w:t xml:space="preserve">P. involutus ATCC 200175 </w:t>
      </w:r>
      <w:r w:rsidRPr="00635993">
        <w:rPr>
          <w:b w:val="0"/>
        </w:rPr>
        <w:t>genes showing statistically significant up- or down-regulation in each pairwise comparison or overlap.</w:t>
      </w:r>
    </w:p>
    <w:p w14:paraId="521E587F" w14:textId="3EC13595" w:rsidR="000D7D3D" w:rsidRDefault="000D7D3D" w:rsidP="00635993">
      <w:pPr>
        <w:pStyle w:val="Subtitle"/>
        <w:pBdr>
          <w:top w:val="single" w:sz="4" w:space="1" w:color="auto"/>
        </w:pBdr>
      </w:pPr>
      <w:r w:rsidRPr="00635993">
        <w:rPr>
          <w:b w:val="0"/>
        </w:rPr>
        <w:br w:type="page"/>
      </w:r>
    </w:p>
    <w:p w14:paraId="7135E07E" w14:textId="77777777" w:rsidR="00840605" w:rsidRPr="000D7D3D" w:rsidRDefault="00840605" w:rsidP="003F7054">
      <w:r>
        <w:rPr>
          <w:noProof/>
          <w:lang w:eastAsia="en-GB"/>
        </w:rPr>
        <w:lastRenderedPageBreak/>
        <w:drawing>
          <wp:inline distT="0" distB="0" distL="0" distR="0" wp14:anchorId="0063A938" wp14:editId="75B0DAA2">
            <wp:extent cx="4572000" cy="572135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 3.8 test.png"/>
                    <pic:cNvPicPr/>
                  </pic:nvPicPr>
                  <pic:blipFill>
                    <a:blip r:embed="rId30">
                      <a:extLst>
                        <a:ext uri="{28A0092B-C50C-407E-A947-70E740481C1C}">
                          <a14:useLocalDpi xmlns:a14="http://schemas.microsoft.com/office/drawing/2010/main" val="0"/>
                        </a:ext>
                      </a:extLst>
                    </a:blip>
                    <a:stretch>
                      <a:fillRect/>
                    </a:stretch>
                  </pic:blipFill>
                  <pic:spPr>
                    <a:xfrm>
                      <a:off x="0" y="0"/>
                      <a:ext cx="4591853" cy="5746201"/>
                    </a:xfrm>
                    <a:prstGeom prst="rect">
                      <a:avLst/>
                    </a:prstGeom>
                  </pic:spPr>
                </pic:pic>
              </a:graphicData>
            </a:graphic>
          </wp:inline>
        </w:drawing>
      </w:r>
    </w:p>
    <w:p w14:paraId="085B3BD9" w14:textId="77777777" w:rsidR="00634533" w:rsidRDefault="000D7D3D" w:rsidP="00635993">
      <w:pPr>
        <w:pStyle w:val="Subtitle"/>
        <w:pBdr>
          <w:top w:val="single" w:sz="4" w:space="1" w:color="auto"/>
        </w:pBdr>
        <w:rPr>
          <w:b w:val="0"/>
        </w:rPr>
      </w:pPr>
      <w:r w:rsidRPr="000D7D3D">
        <w:t xml:space="preserve">Figure 3.8 </w:t>
      </w:r>
      <w:r w:rsidRPr="00635993">
        <w:rPr>
          <w:b w:val="0"/>
        </w:rPr>
        <w:t xml:space="preserve">Heat map of z-scores from normalized read counts of selected </w:t>
      </w:r>
      <w:r w:rsidRPr="00635993">
        <w:rPr>
          <w:b w:val="0"/>
          <w:i/>
        </w:rPr>
        <w:t>P. involutus ATCC 200175</w:t>
      </w:r>
      <w:r w:rsidR="00C501AE">
        <w:rPr>
          <w:b w:val="0"/>
        </w:rPr>
        <w:t xml:space="preserve"> genes showing up</w:t>
      </w:r>
      <w:r w:rsidRPr="00635993">
        <w:rPr>
          <w:b w:val="0"/>
        </w:rPr>
        <w:t xml:space="preserve">regulation by low Pi availability and further reinforcement by </w:t>
      </w:r>
      <w:r w:rsidR="006A7911" w:rsidRPr="00635993">
        <w:rPr>
          <w:b w:val="0"/>
        </w:rPr>
        <w:t xml:space="preserve">EM </w:t>
      </w:r>
      <w:r w:rsidRPr="00635993">
        <w:rPr>
          <w:b w:val="0"/>
        </w:rPr>
        <w:t xml:space="preserve">symbiosis. </w:t>
      </w:r>
      <w:r w:rsidRPr="00635993">
        <w:rPr>
          <w:b w:val="0"/>
          <w:i/>
        </w:rPr>
        <w:t>P. involutus ATCC 200175</w:t>
      </w:r>
      <w:r w:rsidRPr="00635993">
        <w:rPr>
          <w:b w:val="0"/>
        </w:rPr>
        <w:t xml:space="preserve"> genes were clustered based on read count distribution in all experimental conditions using the “pheatmap” package of R (Ward method). The top annotation bar represents </w:t>
      </w:r>
      <w:r w:rsidRPr="00635993">
        <w:rPr>
          <w:b w:val="0"/>
          <w:i/>
        </w:rPr>
        <w:t xml:space="preserve">P. involutus ATCC 200175 </w:t>
      </w:r>
      <w:r w:rsidRPr="00635993">
        <w:rPr>
          <w:b w:val="0"/>
        </w:rPr>
        <w:t>hyphae growth conditions (orange: NS condition; green: S condition). The second annotation bar represents the Pi availability (light blue: 0.37 μM of Pi as Low Pi; dark blue: 367 μM of Pi as High Pi). Z-scores of each biological replicate are shown independently.</w:t>
      </w:r>
    </w:p>
    <w:p w14:paraId="787E40B9" w14:textId="2F13B1CD" w:rsidR="000D7D3D" w:rsidRPr="000D7D3D" w:rsidRDefault="000D7D3D" w:rsidP="00635993">
      <w:pPr>
        <w:pStyle w:val="Subtitle"/>
        <w:pBdr>
          <w:top w:val="single" w:sz="4" w:space="1" w:color="auto"/>
        </w:pBdr>
      </w:pPr>
      <w:r w:rsidRPr="000D7D3D">
        <w:br w:type="page"/>
      </w:r>
    </w:p>
    <w:p w14:paraId="1E85EEFF" w14:textId="77777777" w:rsidR="000D7D3D" w:rsidRPr="000D7D3D" w:rsidRDefault="00746B10" w:rsidP="003F7054">
      <w:r>
        <w:rPr>
          <w:noProof/>
          <w:lang w:eastAsia="en-GB"/>
        </w:rPr>
        <w:lastRenderedPageBreak/>
        <w:drawing>
          <wp:inline distT="0" distB="0" distL="0" distR="0" wp14:anchorId="0D7DA7DF" wp14:editId="4859B304">
            <wp:extent cx="4572000" cy="556370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 3.9_NEW+++.png"/>
                    <pic:cNvPicPr/>
                  </pic:nvPicPr>
                  <pic:blipFill>
                    <a:blip r:embed="rId31">
                      <a:extLst>
                        <a:ext uri="{28A0092B-C50C-407E-A947-70E740481C1C}">
                          <a14:useLocalDpi xmlns:a14="http://schemas.microsoft.com/office/drawing/2010/main" val="0"/>
                        </a:ext>
                      </a:extLst>
                    </a:blip>
                    <a:stretch>
                      <a:fillRect/>
                    </a:stretch>
                  </pic:blipFill>
                  <pic:spPr>
                    <a:xfrm>
                      <a:off x="0" y="0"/>
                      <a:ext cx="4584221" cy="5578574"/>
                    </a:xfrm>
                    <a:prstGeom prst="rect">
                      <a:avLst/>
                    </a:prstGeom>
                  </pic:spPr>
                </pic:pic>
              </a:graphicData>
            </a:graphic>
          </wp:inline>
        </w:drawing>
      </w:r>
    </w:p>
    <w:p w14:paraId="2198C145" w14:textId="77777777" w:rsidR="00634533" w:rsidRDefault="000D7D3D" w:rsidP="00635993">
      <w:pPr>
        <w:pStyle w:val="Subtitle"/>
        <w:pBdr>
          <w:top w:val="single" w:sz="4" w:space="1" w:color="auto"/>
        </w:pBdr>
        <w:rPr>
          <w:b w:val="0"/>
        </w:rPr>
      </w:pPr>
      <w:r w:rsidRPr="000D7D3D">
        <w:t xml:space="preserve">Figure 3.9 </w:t>
      </w:r>
      <w:r w:rsidRPr="00635993">
        <w:rPr>
          <w:b w:val="0"/>
        </w:rPr>
        <w:t xml:space="preserve">Heat map of z-scores from normalized read counts of selected </w:t>
      </w:r>
      <w:r w:rsidRPr="00635993">
        <w:rPr>
          <w:b w:val="0"/>
          <w:i/>
        </w:rPr>
        <w:t>P. involutus ATCC 200175</w:t>
      </w:r>
      <w:r w:rsidR="00877B3F">
        <w:rPr>
          <w:b w:val="0"/>
        </w:rPr>
        <w:t xml:space="preserve"> genes showing down</w:t>
      </w:r>
      <w:r w:rsidRPr="00635993">
        <w:rPr>
          <w:b w:val="0"/>
        </w:rPr>
        <w:t xml:space="preserve">regulation by low Pi condition and further repression by </w:t>
      </w:r>
      <w:r w:rsidR="006A7911" w:rsidRPr="00635993">
        <w:rPr>
          <w:b w:val="0"/>
        </w:rPr>
        <w:t xml:space="preserve">EM </w:t>
      </w:r>
      <w:r w:rsidRPr="00635993">
        <w:rPr>
          <w:b w:val="0"/>
        </w:rPr>
        <w:t xml:space="preserve">symbiosis. </w:t>
      </w:r>
      <w:r w:rsidRPr="00635993">
        <w:rPr>
          <w:b w:val="0"/>
          <w:i/>
        </w:rPr>
        <w:t>P. involutus ATCC 200175</w:t>
      </w:r>
      <w:r w:rsidRPr="00635993">
        <w:rPr>
          <w:b w:val="0"/>
        </w:rPr>
        <w:t xml:space="preserve"> genes were clustered based on read count distribution in all experimental conditions using the “pheatmap” package of R (Ward method). The top annotation bar represents </w:t>
      </w:r>
      <w:r w:rsidRPr="00635993">
        <w:rPr>
          <w:b w:val="0"/>
          <w:i/>
        </w:rPr>
        <w:t>P. involutus ATCC 200175</w:t>
      </w:r>
      <w:r w:rsidRPr="00635993">
        <w:rPr>
          <w:b w:val="0"/>
        </w:rPr>
        <w:t xml:space="preserve"> hyphae growth conditions (orange: NS condition; green: S condition). The second annotation bar represents the Pi availability (light blue: 0.37 μM of Pi as Low Pi; dark blue: 367 μM of Pi as High Pi). Z-score values of each biological replicate are shown independently.</w:t>
      </w:r>
    </w:p>
    <w:p w14:paraId="78436683" w14:textId="7C3B2597" w:rsidR="000D7D3D" w:rsidRPr="000D7D3D" w:rsidRDefault="000D7D3D" w:rsidP="00635993">
      <w:pPr>
        <w:pStyle w:val="Subtitle"/>
        <w:pBdr>
          <w:top w:val="single" w:sz="4" w:space="1" w:color="auto"/>
        </w:pBdr>
      </w:pPr>
      <w:r w:rsidRPr="000D7D3D">
        <w:br w:type="page"/>
      </w:r>
    </w:p>
    <w:p w14:paraId="4CC09677" w14:textId="27C07785" w:rsidR="000D7D3D" w:rsidRDefault="000D7D3D" w:rsidP="00635993">
      <w:pPr>
        <w:pStyle w:val="Heading1"/>
      </w:pPr>
      <w:bookmarkStart w:id="278" w:name="_Toc507604022"/>
      <w:bookmarkStart w:id="279" w:name="_Toc507604289"/>
      <w:bookmarkStart w:id="280" w:name="_Toc519016999"/>
      <w:bookmarkStart w:id="281" w:name="_Toc520837904"/>
      <w:r w:rsidRPr="000D7D3D">
        <w:lastRenderedPageBreak/>
        <w:t>3.4 Discussion</w:t>
      </w:r>
      <w:bookmarkEnd w:id="278"/>
      <w:bookmarkEnd w:id="279"/>
      <w:bookmarkEnd w:id="280"/>
      <w:bookmarkEnd w:id="281"/>
    </w:p>
    <w:p w14:paraId="45D99C9E" w14:textId="77777777" w:rsidR="00982D40" w:rsidRPr="00635993" w:rsidRDefault="00982D40" w:rsidP="00635993"/>
    <w:p w14:paraId="13593C35" w14:textId="2F77664F" w:rsidR="000D7D3D" w:rsidRPr="000D7D3D" w:rsidRDefault="000D7D3D" w:rsidP="00635993">
      <w:pPr>
        <w:pStyle w:val="Heading2"/>
      </w:pPr>
      <w:bookmarkStart w:id="282" w:name="_Toc507604023"/>
      <w:bookmarkStart w:id="283" w:name="_Toc507604290"/>
      <w:bookmarkStart w:id="284" w:name="_Toc519017000"/>
      <w:bookmarkStart w:id="285" w:name="_Toc520837905"/>
      <w:r w:rsidRPr="000D7D3D">
        <w:t xml:space="preserve">3.4.1 </w:t>
      </w:r>
      <w:r w:rsidRPr="000D7D3D">
        <w:rPr>
          <w:i/>
        </w:rPr>
        <w:t xml:space="preserve">P. involutus ATCC 200175 </w:t>
      </w:r>
      <w:r w:rsidRPr="000D7D3D">
        <w:t xml:space="preserve">global </w:t>
      </w:r>
      <w:r w:rsidR="003C363A">
        <w:t xml:space="preserve">gene </w:t>
      </w:r>
      <w:r w:rsidRPr="000D7D3D">
        <w:t>transcriptional response to varying Pi availability and EM symbiosis</w:t>
      </w:r>
      <w:bookmarkEnd w:id="282"/>
      <w:bookmarkEnd w:id="283"/>
      <w:bookmarkEnd w:id="284"/>
      <w:bookmarkEnd w:id="285"/>
    </w:p>
    <w:p w14:paraId="61678316" w14:textId="0E52FA80" w:rsidR="000D7D3D" w:rsidRPr="000D7D3D" w:rsidRDefault="000D7D3D" w:rsidP="003F7054">
      <w:r w:rsidRPr="000D7D3D">
        <w:t xml:space="preserve">Differential gene expression analysis confirmed that </w:t>
      </w:r>
      <w:r w:rsidRPr="000D7D3D">
        <w:rPr>
          <w:i/>
        </w:rPr>
        <w:t>P. involutus ATCC 200175</w:t>
      </w:r>
      <w:r w:rsidR="0084070B">
        <w:t xml:space="preserve"> genes are most</w:t>
      </w:r>
      <w:r w:rsidRPr="000D7D3D">
        <w:t xml:space="preserve"> differentially expressed in response to Pi availability and, to a lesser extent, to the effect of </w:t>
      </w:r>
      <w:r w:rsidR="006A7911">
        <w:t xml:space="preserve">EM </w:t>
      </w:r>
      <w:r w:rsidRPr="000D7D3D">
        <w:t xml:space="preserve">symbiosis (Table 3.1). This finding is consistent with the initial exploratory analysis carried </w:t>
      </w:r>
      <w:r w:rsidR="00912271">
        <w:t xml:space="preserve">out </w:t>
      </w:r>
      <w:r w:rsidRPr="000D7D3D">
        <w:t xml:space="preserve">by PCA, which showed that the largest amount of variance (67%) existed between samples in high or low Pi conditions (Figure 3.3). While the presence or absence of EM symbiosis explained almost three times less variance than Pi availability (23%, Figure 3.3), it is yet high </w:t>
      </w:r>
      <w:r w:rsidR="003C363A">
        <w:t>enough to claim</w:t>
      </w:r>
      <w:r w:rsidRPr="000D7D3D">
        <w:t xml:space="preserve"> that symbiotic status plays a major role within the experimental dataset. Indeed, a large amount of differentially expressed genes were found in response to </w:t>
      </w:r>
      <w:r w:rsidR="00906E03">
        <w:t xml:space="preserve">EM </w:t>
      </w:r>
      <w:r w:rsidRPr="000D7D3D">
        <w:t xml:space="preserve">symbiosis alone (Table 3.1). Additionally, further statistical filtering confirmed that a proportion of genes differentially expressed in response to Pi availability are also co-regulated by the presence of EM symbiosis (Figure </w:t>
      </w:r>
      <w:r w:rsidR="0027260E">
        <w:t>3</w:t>
      </w:r>
      <w:r w:rsidRPr="000D7D3D">
        <w:t>.7, central overlap</w:t>
      </w:r>
      <w:r w:rsidR="0027260E">
        <w:t>s</w:t>
      </w:r>
      <w:r w:rsidRPr="000D7D3D">
        <w:t>).</w:t>
      </w:r>
    </w:p>
    <w:p w14:paraId="5B1CC7EB" w14:textId="77777777" w:rsidR="000D7D3D" w:rsidRPr="000D7D3D" w:rsidRDefault="000D7D3D" w:rsidP="007F746A"/>
    <w:p w14:paraId="7A2E75E8" w14:textId="22383159" w:rsidR="000D7D3D" w:rsidRPr="000D7D3D" w:rsidRDefault="000D7D3D" w:rsidP="00635993">
      <w:pPr>
        <w:pStyle w:val="Heading2"/>
      </w:pPr>
      <w:bookmarkStart w:id="286" w:name="_Toc507604024"/>
      <w:bookmarkStart w:id="287" w:name="_Toc507604291"/>
      <w:bookmarkStart w:id="288" w:name="_Toc519017001"/>
      <w:bookmarkStart w:id="289" w:name="_Toc520837906"/>
      <w:r w:rsidRPr="000D7D3D">
        <w:t xml:space="preserve">3.4.2 </w:t>
      </w:r>
      <w:r w:rsidRPr="003F7054">
        <w:rPr>
          <w:i/>
        </w:rPr>
        <w:t xml:space="preserve">P. </w:t>
      </w:r>
      <w:r w:rsidRPr="00635993">
        <w:rPr>
          <w:i/>
        </w:rPr>
        <w:t>involutus</w:t>
      </w:r>
      <w:r w:rsidRPr="000D7D3D">
        <w:t xml:space="preserve"> </w:t>
      </w:r>
      <w:r w:rsidRPr="000D7D3D">
        <w:rPr>
          <w:i/>
        </w:rPr>
        <w:t>ATCC 200175</w:t>
      </w:r>
      <w:r w:rsidRPr="000D7D3D">
        <w:t xml:space="preserve"> genes responsive to Pi availability </w:t>
      </w:r>
      <w:r w:rsidR="001D5364">
        <w:t>in NS or S conditions</w:t>
      </w:r>
      <w:bookmarkEnd w:id="286"/>
      <w:bookmarkEnd w:id="287"/>
      <w:bookmarkEnd w:id="288"/>
      <w:bookmarkEnd w:id="289"/>
    </w:p>
    <w:p w14:paraId="636E48EE" w14:textId="7852A6E3" w:rsidR="000D7D3D" w:rsidRPr="000D7D3D" w:rsidRDefault="000D7D3D" w:rsidP="003F7054">
      <w:r w:rsidRPr="000D7D3D">
        <w:t xml:space="preserve">The </w:t>
      </w:r>
      <w:r w:rsidR="00EF5D34">
        <w:t xml:space="preserve">top 50 </w:t>
      </w:r>
      <w:r w:rsidR="003C363A" w:rsidRPr="000D7D3D">
        <w:t>genes</w:t>
      </w:r>
      <w:r w:rsidR="003C363A">
        <w:t xml:space="preserve"> most significantly</w:t>
      </w:r>
      <w:r w:rsidR="003C363A" w:rsidRPr="000D7D3D">
        <w:t xml:space="preserve"> upregulated </w:t>
      </w:r>
      <w:r w:rsidRPr="000D7D3D">
        <w:t xml:space="preserve">by low Pi availability in the NS condition (Figure 3.4A) are similar to those that have been described in previous studies, </w:t>
      </w:r>
      <w:r w:rsidR="003C363A">
        <w:t>such as</w:t>
      </w:r>
      <w:r w:rsidRPr="000D7D3D">
        <w:t xml:space="preserve"> Pi transporters, phosphatase</w:t>
      </w:r>
      <w:r w:rsidR="003C363A">
        <w:t>s, and phospholipids-</w:t>
      </w:r>
      <w:r w:rsidR="003C363A" w:rsidRPr="000D7D3D">
        <w:t>related</w:t>
      </w:r>
      <w:r w:rsidR="003C363A">
        <w:t xml:space="preserve"> metabolic</w:t>
      </w:r>
      <w:r w:rsidRPr="000D7D3D">
        <w:t xml:space="preserve"> genes </w:t>
      </w:r>
      <w:r w:rsidRPr="000D7D3D">
        <w:fldChar w:fldCharType="begin" w:fldLock="1"/>
      </w:r>
      <w:r w:rsidR="00EE33AB">
        <w:instrText>ADDIN CSL_CITATION {"citationItems":[{"id":"ITEM-1","itemData":{"DOI":"10.1534/genetics.111.133306","ISBN":"0016-6731","ISSN":"00166731","PMID":"22419079","abstract":"Ever since the beginning of biochemical analysis, yeast has been a pioneering model for studying the regulation of eukaryotic metabolism. During the last three decades, the combination of powerful yeast genetics and genome-wide approaches has led to a more integrated view of metabolic regulation. Multiple layers of regulation, from suprapathway control to individual gene responses, have been discovered. Constitutive and dedicated systems that are critical in sensing of the intra- and extracellular environment have been identified, and there is a growing awareness of their involvement in the highly regulated intracellular compartmentalization of proteins and metabolites. This review focuses on recent developments in the field of amino acid, nucleotide, and phosphate metabolism and provides illustrative examples of how yeast cells combine a variety of mechanisms to achieve coordinated regulation of multiple metabolic pathways. Importantly, common schemes have emerged, which reveal mechanisms conserved among various pathways, such as those involved in metabolite sensing and transcriptional regulation by noncoding RNAs or by metabolic intermediates. Thanks to the remarkable sophistication offered by the yeast experimental system, a picture of the intimate connections between the metabolomic and the transcriptome is becoming clear.","author":[{"dropping-particle":"","family":"Ljungdahl","given":"Per O.","non-dropping-particle":"","parse-names":false,"suffix":""},{"dropping-particle":"","family":"Daignan-Fornier","given":"Bertrand","non-dropping-particle":"","parse-names":false,"suffix":""}],"container-title":"Genetics","id":"ITEM-1","issue":"3","issued":{"date-parts":[["2012"]]},"page":"885-929","title":"Regulation of amino acid, nucleotide, and phosphate metabolism in Saccharomyces cerevisiae","type":"article-journal","volume":"190"},"uris":["http://www.mendeley.com/documents/?uuid=867db953-a3a2-4aca-befd-577867e0f322"]},{"id":"ITEM-2","itemData":{"DOI":"10.1007/s00018-012-1090-6","ISBN":"1420-9071 (Electronic)\r1420-682X (Linking)","ISSN":"1420682X","PMID":"22899310","abstract":"Phosphorus (P), an essential macronutrient required for plant growth and development, is often limiting in natural and agro-climatic environments. To cope with heterogeneous or low phosphate (Pi) availability, plants have evolved an array of adaptive responses facilitating optimal acquisition and distribution of Pi. The root system plays a pivotal role in Pi-deficiency-mediated adaptive responses that are regulated by a complex interplay of systemic and local Pi sensing. Cross-talk with sugar, phytohormones, and other nutrient signaling pathways further highlight the intricacies involved in maintaining Pi homeostasis. Transcriptional regulation of Pi-starvation responses is particularly intriguing and involves a host of transcription factors (TFs). Although PHR1 of Arabidopsis is an extensively studied MYB TF regulating subset of Pi-starvation responses, it is not induced during Pi deprivation. Genome-wide analyses of Arabidopsis have shown that low Pi stress triggers spatiotemporal expression of several genes encoding different TFs. Functional characterization of some of these TFs reveals their diverse roles in regulating root system architecture, and acquisition and utilization of Pi. Some of the TFs are also involved in phytohormone-mediated root responses to Pi starvation. The biological roles of these TFs in transcriptional regulation of Pi homeostasis in model plants Arabidopsis thaliana and Oryza sativa are presented in this review.","author":[{"dropping-particle":"","family":"Jain","given":"Ajay","non-dropping-particle":"","parse-names":false,"suffix":""},{"dropping-particle":"","family":"Nagarajan","given":"Vinay K.","non-dropping-particle":"","parse-names":false,"suffix":""},{"dropping-particle":"","family":"Raghothama","given":"Kashchandra G.","non-dropping-particle":"","parse-names":false,"suffix":""}],"container-title":"Cellular and Molecular Life Sciences","id":"ITEM-2","issue":"19","issued":{"date-parts":[["2012"]]},"page":"3207-3224","title":"Transcriptional regulation of phosphate acquisition by higher plants","type":"article-journal","volume":"69"},"uris":["http://www.mendeley.com/documents/?uuid=beb8ec95-5a86-48fe-898c-b3a5c9b787e2"]}],"mendeley":{"formattedCitation":"(Ljungdahl and Daignan-Fornier, 2012; Jain et al., 2012)","plainTextFormattedCitation":"(Ljungdahl and Daignan-Fornier, 2012; Jain et al., 2012)","previouslyFormattedCitation":"(Ljungdahl and Daignan-Fornier, 2012; Jain et al., 2012)"},"properties":{"noteIndex":0},"schema":"https://github.com/citation-style-language/schema/raw/master/csl-citation.json"}</w:instrText>
      </w:r>
      <w:r w:rsidRPr="000D7D3D">
        <w:fldChar w:fldCharType="separate"/>
      </w:r>
      <w:r w:rsidRPr="000D7D3D">
        <w:rPr>
          <w:noProof/>
        </w:rPr>
        <w:t>(Ljungdahl and Daignan-Fornier, 2012; Jain et al., 2012)</w:t>
      </w:r>
      <w:r w:rsidRPr="000D7D3D">
        <w:fldChar w:fldCharType="end"/>
      </w:r>
      <w:r w:rsidRPr="000D7D3D">
        <w:t xml:space="preserve">. However, in this study, genes that are differentially downregulated by low Pi availability in the NS condition (Figure 3.4B) are interestingly related to N metabolism and transport, such as nitrate reductases, N-related transporter genes such as ammonium, or amino acid transporters. This finding may suggest an interplay between P and N uptake by the fungal hyphae at the transcriptional level, indicating that when P-related genes are upregulated due to low </w:t>
      </w:r>
      <w:r w:rsidR="003C363A" w:rsidRPr="000D7D3D">
        <w:t xml:space="preserve">Pi </w:t>
      </w:r>
      <w:r w:rsidRPr="000D7D3D">
        <w:t>availability, then N-related genes are downregulated.</w:t>
      </w:r>
    </w:p>
    <w:p w14:paraId="18F0B1D9" w14:textId="1FAA49D6" w:rsidR="000D7D3D" w:rsidRPr="000D7D3D" w:rsidRDefault="00252667" w:rsidP="007F746A">
      <w:pPr>
        <w:ind w:firstLine="720"/>
      </w:pPr>
      <w:r>
        <w:lastRenderedPageBreak/>
        <w:t>T</w:t>
      </w:r>
      <w:r w:rsidR="00EF5D34">
        <w:t xml:space="preserve">he top 50 </w:t>
      </w:r>
      <w:r w:rsidR="000D7D3D" w:rsidRPr="000D7D3D">
        <w:t>genes most</w:t>
      </w:r>
      <w:r w:rsidR="00955CE0">
        <w:t xml:space="preserve"> significantly </w:t>
      </w:r>
      <w:r w:rsidR="000D7D3D" w:rsidRPr="000D7D3D">
        <w:t xml:space="preserve">upregulated by low Pi availability in the S condition (Figure 3.5A) are similar to those found for the NS condition, but there is also an additional group of genes that are potentially involved in steroid metabolism </w:t>
      </w:r>
      <w:r w:rsidR="000D7D3D" w:rsidRPr="000D7D3D">
        <w:fldChar w:fldCharType="begin" w:fldLock="1"/>
      </w:r>
      <w:r w:rsidR="00EE33AB">
        <w:instrText>ADDIN CSL_CITATION {"citationItems":[{"id":"ITEM-1","itemData":{"DOI":"10.1016/j.jsbmb.2011.08.012","ISBN":"1879-1220 (Electronic)\\n0960-0760 (Linking)","ISSN":"09600760","PMID":"21946531","abstract":"Fungal species are a very important source of many different enzymes, and the ability of fungi to transform steroids has been used for several decades in the production of compounds with a sterane skeleton. Here, we review the characterised and/or purified enzymes for steroid transformations, dividing them into two groups: (i) enzymes of the ergosterol biosynthetic pathway, including data for, e.g. ERG11 (14α-demethylase), ERG6 (C-24 methyltransferase), ERG5 (C-22 desaturase) and ERG4 (C-24 reductase); and (ii) the other steroid-transforming enzymes, including different hydroxylases (7α-, 11α-, 11β-, 14α-hydroxylase), oxidoreductases (5α-reductase, 3β-hydroxysteroid dehydrogenase/isomerase, 17β-hydroxysteroid dehydrogenase, C-1/C-2 dehydrogenase) and C-17-C-20 lyase. The substrate specificities of these enzymes, their cellular localisation, their association with protein super-families, and their potential applications are discussed. Article from a special issue on steroids and microorganisms. © 2010 Elsevier Ltd. All rights reserved.","author":[{"dropping-particle":"","family":"Kristan","given":"Katja","non-dropping-particle":"","parse-names":false,"suffix":""},{"dropping-particle":"","family":"Rižner","given":"Tea Lanišnik","non-dropping-particle":"","parse-names":false,"suffix":""}],"container-title":"Journal of Steroid Biochemistry and Molecular Biology","id":"ITEM-1","issue":"1-2","issued":{"date-parts":[["2012"]]},"page":"79-91","title":"Steroid-transforming enzymes in fungi","type":"article-journal","volume":"129"},"uris":["http://www.mendeley.com/documents/?uuid=408123c4-aecf-47e9-b896-9a2bc33a87e5"]}],"mendeley":{"formattedCitation":"(Kristan and Rižner, 2012)","plainTextFormattedCitation":"(Kristan and Rižner, 2012)","previouslyFormattedCitation":"(Kristan and Rižner, 2012)"},"properties":{"noteIndex":0},"schema":"https://github.com/citation-style-language/schema/raw/master/csl-citation.json"}</w:instrText>
      </w:r>
      <w:r w:rsidR="000D7D3D" w:rsidRPr="000D7D3D">
        <w:fldChar w:fldCharType="separate"/>
      </w:r>
      <w:r w:rsidR="000D7D3D" w:rsidRPr="000D7D3D">
        <w:rPr>
          <w:noProof/>
        </w:rPr>
        <w:t>(Kristan and Rižner, 2012)</w:t>
      </w:r>
      <w:r w:rsidR="000D7D3D" w:rsidRPr="000D7D3D">
        <w:fldChar w:fldCharType="end"/>
      </w:r>
      <w:r w:rsidR="000D7D3D" w:rsidRPr="000D7D3D">
        <w:t xml:space="preserve">. In regard to the AM symbiosis, it has been suggested that steroids could play a role as mycorrhizal signals </w:t>
      </w:r>
      <w:r w:rsidR="000D7D3D" w:rsidRPr="000D7D3D">
        <w:fldChar w:fldCharType="begin" w:fldLock="1"/>
      </w:r>
      <w:r w:rsidR="00EE33AB">
        <w:instrText>ADDIN CSL_CITATION {"citationItems":[{"id":"ITEM-1","itemData":{"DOI":"10.1057/palgrave.jors.2602281","ISBN":"0551008997","author":[{"dropping-particle":"","family":"Bucher","given":"M","non-dropping-particle":"","parse-names":false,"suffix":""}],"container-title":"New Phytologist","id":"ITEM-1","issue":"3","issued":{"date-parts":[["2010"]]},"page":"539-595","title":"A Novel Lipid Signal in the Arbuscular Mycorrhizal Symbiosis within Eyesight?","type":"article-journal","volume":"185"},"uris":["http://www.mendeley.com/documents/?uuid=b349652c-a979-4624-8d48-23449717e8e1"]}],"mendeley":{"formattedCitation":"(Bucher, 2010)","plainTextFormattedCitation":"(Bucher, 2010)","previouslyFormattedCitation":"(Bucher, 2010)"},"properties":{"noteIndex":0},"schema":"https://github.com/citation-style-language/schema/raw/master/csl-citation.json"}</w:instrText>
      </w:r>
      <w:r w:rsidR="000D7D3D" w:rsidRPr="000D7D3D">
        <w:fldChar w:fldCharType="separate"/>
      </w:r>
      <w:r w:rsidR="000D7D3D" w:rsidRPr="000D7D3D">
        <w:rPr>
          <w:noProof/>
        </w:rPr>
        <w:t>(Bucher, 2010)</w:t>
      </w:r>
      <w:r w:rsidR="000D7D3D" w:rsidRPr="000D7D3D">
        <w:fldChar w:fldCharType="end"/>
      </w:r>
      <w:r w:rsidR="005E1516">
        <w:t xml:space="preserve">. </w:t>
      </w:r>
      <w:r w:rsidR="005E1516" w:rsidRPr="000D7D3D">
        <w:t>T</w:t>
      </w:r>
      <w:r w:rsidR="000D7D3D" w:rsidRPr="000D7D3D">
        <w:t>he presen</w:t>
      </w:r>
      <w:r w:rsidR="008A54E2">
        <w:t>ce of steroid-related metabolic genes</w:t>
      </w:r>
      <w:r w:rsidR="000D7D3D" w:rsidRPr="000D7D3D">
        <w:t xml:space="preserve"> found here </w:t>
      </w:r>
      <w:r w:rsidR="005E1516">
        <w:t>may suggest a similar</w:t>
      </w:r>
      <w:r w:rsidR="009F4778">
        <w:t xml:space="preserve"> role during EM symbiosis. G</w:t>
      </w:r>
      <w:r w:rsidR="00906E03">
        <w:t>enes which are most</w:t>
      </w:r>
      <w:r w:rsidR="000D7D3D" w:rsidRPr="000D7D3D">
        <w:t xml:space="preserve"> </w:t>
      </w:r>
      <w:r w:rsidR="00906E03">
        <w:t xml:space="preserve">significantly </w:t>
      </w:r>
      <w:r w:rsidR="000D7D3D" w:rsidRPr="000D7D3D">
        <w:t>downregulated by low Pi availability in the S condition are</w:t>
      </w:r>
      <w:r w:rsidR="00107F39">
        <w:t xml:space="preserve"> mostly</w:t>
      </w:r>
      <w:r w:rsidR="000D7D3D" w:rsidRPr="000D7D3D">
        <w:t xml:space="preserve"> similar </w:t>
      </w:r>
      <w:r w:rsidR="00107F39">
        <w:t>to those downregulated by</w:t>
      </w:r>
      <w:r w:rsidR="000D7D3D" w:rsidRPr="000D7D3D">
        <w:t xml:space="preserve"> low Pi in the NS condition</w:t>
      </w:r>
      <w:r w:rsidR="00906E03">
        <w:t xml:space="preserve"> </w:t>
      </w:r>
      <w:r w:rsidR="00107F39" w:rsidRPr="000D7D3D">
        <w:t>(Figure 3.5B)</w:t>
      </w:r>
      <w:r w:rsidR="00107F39">
        <w:t xml:space="preserve">, and </w:t>
      </w:r>
      <w:r w:rsidR="008A54E2">
        <w:t xml:space="preserve">they </w:t>
      </w:r>
      <w:r w:rsidR="00107F39">
        <w:t>are</w:t>
      </w:r>
      <w:r w:rsidR="008A54E2">
        <w:t xml:space="preserve"> </w:t>
      </w:r>
      <w:r w:rsidR="003C363A">
        <w:t xml:space="preserve">also </w:t>
      </w:r>
      <w:r w:rsidR="008A54E2">
        <w:t>related to N</w:t>
      </w:r>
      <w:r w:rsidR="000D7D3D" w:rsidRPr="000D7D3D">
        <w:t xml:space="preserve"> metabolism and transport, suggesting an interplay between P and N uptake by the fungal hypha</w:t>
      </w:r>
      <w:r w:rsidR="009F4778">
        <w:t>e at the transcriptional level.</w:t>
      </w:r>
    </w:p>
    <w:p w14:paraId="4B5E648B" w14:textId="376A6E45" w:rsidR="000D7D3D" w:rsidRPr="000D7D3D" w:rsidRDefault="000D7D3D" w:rsidP="00350918">
      <w:pPr>
        <w:ind w:firstLine="720"/>
      </w:pPr>
      <w:r w:rsidRPr="000D7D3D">
        <w:t xml:space="preserve">When the comparison is based on the </w:t>
      </w:r>
      <w:r w:rsidR="0084070B">
        <w:t xml:space="preserve">EM </w:t>
      </w:r>
      <w:r w:rsidRPr="000D7D3D">
        <w:t xml:space="preserve">symbiotic status rather than Pi availability, </w:t>
      </w:r>
      <w:r w:rsidR="009F4778">
        <w:t xml:space="preserve">then </w:t>
      </w:r>
      <w:r w:rsidRPr="000D7D3D">
        <w:t xml:space="preserve">the </w:t>
      </w:r>
      <w:r w:rsidR="0084070B">
        <w:t>most significantly up</w:t>
      </w:r>
      <w:r w:rsidR="0084070B" w:rsidRPr="000D7D3D">
        <w:t>regulated</w:t>
      </w:r>
      <w:r w:rsidR="0084070B">
        <w:t xml:space="preserve"> </w:t>
      </w:r>
      <w:r w:rsidRPr="000D7D3D">
        <w:t xml:space="preserve">genes </w:t>
      </w:r>
      <w:r w:rsidR="00670954">
        <w:t>are those</w:t>
      </w:r>
      <w:r w:rsidRPr="000D7D3D">
        <w:t xml:space="preserve"> relate</w:t>
      </w:r>
      <w:r w:rsidR="00C501AE">
        <w:t xml:space="preserve">d to </w:t>
      </w:r>
      <w:r w:rsidR="009F4778">
        <w:t>carbohydrate and secondary metabolism</w:t>
      </w:r>
      <w:r w:rsidR="00C501AE">
        <w:t xml:space="preserve"> </w:t>
      </w:r>
      <w:r w:rsidR="009F4778">
        <w:t>(Figu</w:t>
      </w:r>
      <w:r w:rsidR="00971D44">
        <w:t>re 3.6A)</w:t>
      </w:r>
      <w:r w:rsidRPr="000D7D3D">
        <w:t>. In particular, genes that could potentially be involved in pigment biosynthesis have been f</w:t>
      </w:r>
      <w:r w:rsidR="005E1516">
        <w:t xml:space="preserve">ound to be upregulated. </w:t>
      </w:r>
      <w:r w:rsidRPr="000D7D3D">
        <w:t>It has been noticed during this study that fungal hyphae exhibit</w:t>
      </w:r>
      <w:r w:rsidR="003C363A">
        <w:t>ed</w:t>
      </w:r>
      <w:r w:rsidRPr="000D7D3D">
        <w:t xml:space="preserve"> darker colour during growth in low Pi media and </w:t>
      </w:r>
      <w:r w:rsidR="005E1516">
        <w:t>lighter colour in high Pi media</w:t>
      </w:r>
      <w:r w:rsidRPr="000D7D3D">
        <w:t xml:space="preserve">. This feature can be explained by the fact that low Pi availability may trigger pigment production in the fungal hyphae, as it has been also shown in previous studies for other fungal species </w:t>
      </w:r>
      <w:r w:rsidRPr="000D7D3D">
        <w:fldChar w:fldCharType="begin" w:fldLock="1"/>
      </w:r>
      <w:r w:rsidR="00EE33AB">
        <w:instrText>ADDIN CSL_CITATION {"citationItems":[{"id":"ITEM-1","itemData":{"DOI":"10.1007/s00253-010-2551-1","ISBN":"1432-0614 (Electronic) 0175-7598 (Linking)","ISSN":"01757598","PMID":"20376635","abstract":"Bikaverin is a reddish pigment produced by different fungal species, most of them from the genus Fusarium, with antibiotic properties against certain protozoa and fungi. Chemically, bikaverin is a polyketide with a tetracyclic benzoxanthone structure, resulting from the activity of a specific class I multifunctional polyketide synthase and subsequent group modifications introduced by a monooxygenase and an O-methyltransferase. In some fungi, bikaverin is found with smaller amounts of a precursor molecule, called norbikaverin. Production of these metabolites by different fungal species depends on culture conditions, but it is mainly affected by nitrogen availability and pH. Regulation of the pathway has been investigated in special detail in the gibberellin-producing fungus Fusarium fujikuroi, whose genes and enzymes responsible for bikaverin production have been recently characterized. In this fungus, the synthesis is induced by nitrogen starvation and acidic pH, and it is favored by other factors, such as aeration, sulfate and phosphate starvation, or sucrose availability. Some of these inducing agents increase mRNA levels of the enzymatic genes, organized in a coregulated cluster. The biological properties of bikaverin include antitumoral activity against different cancer cell lines. The diverse biological activities and the increasing information on the biochemical and genetic basis of its production make bikaverin a metabolite of increasing biotechnological interest.","author":[{"dropping-particle":"","family":"Limon","given":"M. Carmen","non-dropping-particle":"","parse-names":false,"suffix":""},{"dropping-particle":"","family":"Rodriguez-Ortiz","given":"Roberto","non-dropping-particle":"","parse-names":false,"suffix":""},{"dropping-particle":"","family":"Avalos","given":"Javier","non-dropping-particle":"","parse-names":false,"suffix":""}],"container-title":"Applied Microbiology and Biotechnology","id":"ITEM-1","issue":"1","issued":{"date-parts":[["2010"]]},"page":"21-29","title":"Bikaverin production and applications","type":"article-journal","volume":"87"},"uris":["http://www.mendeley.com/documents/?uuid=a9c0eefa-40cb-4eea-879b-179f9a7a31ba"]},{"id":"ITEM-2","itemData":{"DOI":"10.3389/fpls.2015.00573","ISBN":"1664-462X","ISSN":"1664-462X","PMID":"26300892","abstract":"Fungi and plants are rich sources of thousands of secondary metabolites. The genetically coded possibilities for secondary metabolite production, the stimuli of the production, and the special phytotoxins basically determine the microscopic fungi-host plant interactions and the pathogenic lifestyle of fungi. The review introduces plant secondary metabolites usually with antifungal effect as well as the importance of signaling molecules in induced systemic resistance and systemic acquired resistance processes. The review also concerns the mimicking of plant effector molecules like auxins, gibberellins and abscisic acid by fungal secondary metabolites that modulate plant growth or even can subvert the plant defense responses such as programmed cell death to gain nutrients for fungal growth and colonization. It also looks through the special secondary metabolite production and host selective toxins of some significant fungal pathogens and the plant response in form of phytoalexin production. New results coming from genome and transcriptional analyses in context of selected fungal pathogens and their hosts are also discussed.","author":[{"dropping-particle":"","family":"Pusztahelyi","given":"Tunde","non-dropping-particle":"","parse-names":false,"suffix":""},{"dropping-particle":"","family":"Holb","given":"Imre J.","non-dropping-particle":"","parse-names":false,"suffix":""},{"dropping-particle":"","family":"Pocsi","given":"Istvan","non-dropping-particle":"","parse-names":false,"suffix":""}],"container-title":"Frontiers in Plant Science","id":"ITEM-2","issue":"August","issued":{"date-parts":[["2015"]]},"page":"1-23","title":"Secondary metabolites in fungus-plant interactions","type":"article-journal","volume":"6"},"uris":["http://www.mendeley.com/documents/?uuid=a0541e32-296f-4015-9ef9-08a9e9bc8f6c"]}],"mendeley":{"formattedCitation":"(Limon et al., 2010; Pusztahelyi et al., 2015)","plainTextFormattedCitation":"(Limon et al., 2010; Pusztahelyi et al., 2015)","previouslyFormattedCitation":"(Limon et al., 2010; Pusztahelyi et al., 2015)"},"properties":{"noteIndex":0},"schema":"https://github.com/citation-style-language/schema/raw/master/csl-citation.json"}</w:instrText>
      </w:r>
      <w:r w:rsidRPr="000D7D3D">
        <w:fldChar w:fldCharType="separate"/>
      </w:r>
      <w:r w:rsidRPr="000D7D3D">
        <w:rPr>
          <w:noProof/>
        </w:rPr>
        <w:t>(Limon et al., 2010; Pusztahelyi et al., 2015)</w:t>
      </w:r>
      <w:r w:rsidRPr="000D7D3D">
        <w:fldChar w:fldCharType="end"/>
      </w:r>
      <w:r w:rsidRPr="000D7D3D">
        <w:t xml:space="preserve">. </w:t>
      </w:r>
      <w:r w:rsidR="005E1516" w:rsidRPr="000D7D3D">
        <w:t>There is also a number of upregulate</w:t>
      </w:r>
      <w:r w:rsidR="005E1516">
        <w:t>d</w:t>
      </w:r>
      <w:r w:rsidR="005E1516" w:rsidRPr="000D7D3D">
        <w:t xml:space="preserve"> genes related to K transport, suggesting that K transport </w:t>
      </w:r>
      <w:r w:rsidR="005E1516">
        <w:t>could play</w:t>
      </w:r>
      <w:r w:rsidR="005E1516" w:rsidRPr="000D7D3D">
        <w:t xml:space="preserve"> a role in EM </w:t>
      </w:r>
      <w:r w:rsidR="005E1516">
        <w:t>symbiosis</w:t>
      </w:r>
      <w:r w:rsidR="005E1516" w:rsidRPr="000D7D3D">
        <w:t xml:space="preserve"> during low Pi availability. Besides, previous studies have </w:t>
      </w:r>
      <w:r w:rsidR="005E1516">
        <w:t>shown</w:t>
      </w:r>
      <w:r w:rsidR="005E1516" w:rsidRPr="000D7D3D">
        <w:t xml:space="preserve"> an interaction between K and P transport in mycorrhizal symbiosis </w:t>
      </w:r>
      <w:r w:rsidR="005E1516" w:rsidRPr="000D7D3D">
        <w:fldChar w:fldCharType="begin" w:fldLock="1"/>
      </w:r>
      <w:r w:rsidR="00EE33AB">
        <w:instrText>ADDIN CSL_CITATION {"citationItems":[{"id":"ITEM-1","itemData":{"DOI":"10.3389/fpls.2014.00337","ISSN":"1664-462X","PMID":"25101097","abstract":"Potassium (K(+)) is one of the most abundant elements of soil composition but it's very low availability limits plant growth and productivity of ecosystems. Because this cation participates in many biological processes, its constitutive uptake from soil solution is crucial for the plant cell machinery. Thus, the understanding of strategies responsible of K(+) nutrition is a major issue in plant science. Mycorrhizal associations occurring between roots and hyphae of underground fungi improve hydro-mineral nutrition of the majority of terrestrial plants. The contribution of this mutualistic symbiosis to the enhancement of plant K(+) nutrition is not well understood and poorly studied so far. This mini-review examines the current knowledge about the impact of both arbuscular mycorrhizal and ectomycorrhizal symbioses on the transfer of K(+) from the soil to the plants. A model summarizing plant and fungal transport systems identified and hypothetically involved in K(+) transport is proposed. In addition, some data related to benefits for plants provided by the improvement of K(+) nutrition thanks to mycorrhizal symbioses are presented.","author":[{"dropping-particle":"","family":"Garcia","given":"Kevin","non-dropping-particle":"","parse-names":false,"suffix":""},{"dropping-particle":"","family":"Zimmermann","given":"Sabine D.","non-dropping-particle":"","parse-names":false,"suffix":""}],"container-title":"Frontiers in Plant Science","id":"ITEM-1","issue":"July","issued":{"date-parts":[["2014"]]},"page":"1-9","title":"The role of mycorrhizal associations in plant potassium nutrition","type":"article-journal","volume":"5"},"uris":["http://www.mendeley.com/documents/?uuid=039946d8-4ed5-4ecc-bfe8-12091ab0339e"]}],"mendeley":{"formattedCitation":"(Garcia and Zimmermann, 2014)","plainTextFormattedCitation":"(Garcia and Zimmermann, 2014)","previouslyFormattedCitation":"(Garcia and Zimmermann, 2014)"},"properties":{"noteIndex":0},"schema":"https://github.com/citation-style-language/schema/raw/master/csl-citation.json"}</w:instrText>
      </w:r>
      <w:r w:rsidR="005E1516" w:rsidRPr="000D7D3D">
        <w:fldChar w:fldCharType="separate"/>
      </w:r>
      <w:r w:rsidR="005E1516" w:rsidRPr="000D7D3D">
        <w:rPr>
          <w:noProof/>
        </w:rPr>
        <w:t>(Garcia and Zimmermann, 2014)</w:t>
      </w:r>
      <w:r w:rsidR="005E1516" w:rsidRPr="000D7D3D">
        <w:fldChar w:fldCharType="end"/>
      </w:r>
      <w:r w:rsidR="005E1516" w:rsidRPr="000D7D3D">
        <w:t>.</w:t>
      </w:r>
      <w:r w:rsidR="005A4DFC">
        <w:t xml:space="preserve"> </w:t>
      </w:r>
      <w:r w:rsidR="008A54E2">
        <w:t xml:space="preserve">Genes which have been found to be most significantly </w:t>
      </w:r>
      <w:r w:rsidR="008A54E2" w:rsidRPr="000D7D3D">
        <w:t xml:space="preserve">downregulated </w:t>
      </w:r>
      <w:r w:rsidRPr="000D7D3D">
        <w:t>involve</w:t>
      </w:r>
      <w:r w:rsidR="005A4DFC">
        <w:t xml:space="preserve"> also genes related to secondary metabolism, such as </w:t>
      </w:r>
      <w:r w:rsidRPr="000D7D3D">
        <w:t xml:space="preserve">terpenoids biosynthesis or mycotoxin production (Figure 3.6B). It has been suggested that fungi are capable of producing secondary metabolic products, such those resembling plant effector molecules or mycotoxins, with the purpose of modulating plant growth and diverting the plant </w:t>
      </w:r>
      <w:r w:rsidR="008A54E2" w:rsidRPr="000D7D3D">
        <w:t>defence</w:t>
      </w:r>
      <w:r w:rsidRPr="000D7D3D">
        <w:t xml:space="preserve"> mechanisms with the ultimate purpose of gaining nutrient access within the plant host </w:t>
      </w:r>
      <w:r w:rsidRPr="000D7D3D">
        <w:fldChar w:fldCharType="begin" w:fldLock="1"/>
      </w:r>
      <w:r w:rsidR="00EE33AB">
        <w:instrText>ADDIN CSL_CITATION {"citationItems":[{"id":"ITEM-1","itemData":{"DOI":"10.3389/fpls.2015.00573","ISBN":"1664-462X","ISSN":"1664-462X","PMID":"26300892","abstract":"Fungi and plants are rich sources of thousands of secondary metabolites. The genetically coded possibilities for secondary metabolite production, the stimuli of the production, and the special phytotoxins basically determine the microscopic fungi-host plant interactions and the pathogenic lifestyle of fungi. The review introduces plant secondary metabolites usually with antifungal effect as well as the importance of signaling molecules in induced systemic resistance and systemic acquired resistance processes. The review also concerns the mimicking of plant effector molecules like auxins, gibberellins and abscisic acid by fungal secondary metabolites that modulate plant growth or even can subvert the plant defense responses such as programmed cell death to gain nutrients for fungal growth and colonization. It also looks through the special secondary metabolite production and host selective toxins of some significant fungal pathogens and the plant response in form of phytoalexin production. New results coming from genome and transcriptional analyses in context of selected fungal pathogens and their hosts are also discussed.","author":[{"dropping-particle":"","family":"Pusztahelyi","given":"Tunde","non-dropping-particle":"","parse-names":false,"suffix":""},{"dropping-particle":"","family":"Holb","given":"Imre J.","non-dropping-particle":"","parse-names":false,"suffix":""},{"dropping-particle":"","family":"Pocsi","given":"Istvan","non-dropping-particle":"","parse-names":false,"suffix":""}],"container-title":"Frontiers in Plant Science","id":"ITEM-1","issue":"August","issued":{"date-parts":[["2015"]]},"page":"1-23","title":"Secondary metabolites in fungus-plant interactions","type":"article-journal","volume":"6"},"uris":["http://www.mendeley.com/documents/?uuid=a0541e32-296f-4015-9ef9-08a9e9bc8f6c"]}],"mendeley":{"formattedCitation":"(Pusztahelyi et al., 2015)","plainTextFormattedCitation":"(Pusztahelyi et al., 2015)","previouslyFormattedCitation":"(Pusztahelyi et al., 2015)"},"properties":{"noteIndex":0},"schema":"https://github.com/citation-style-language/schema/raw/master/csl-citation.json"}</w:instrText>
      </w:r>
      <w:r w:rsidRPr="000D7D3D">
        <w:fldChar w:fldCharType="separate"/>
      </w:r>
      <w:r w:rsidRPr="000D7D3D">
        <w:rPr>
          <w:noProof/>
        </w:rPr>
        <w:t>(Pusztahelyi et al., 2015)</w:t>
      </w:r>
      <w:r w:rsidRPr="000D7D3D">
        <w:fldChar w:fldCharType="end"/>
      </w:r>
      <w:r w:rsidRPr="000D7D3D">
        <w:t xml:space="preserve">. However, in </w:t>
      </w:r>
      <w:r w:rsidRPr="000D7D3D">
        <w:rPr>
          <w:i/>
        </w:rPr>
        <w:t>P. involutus,</w:t>
      </w:r>
      <w:r w:rsidRPr="000D7D3D">
        <w:t xml:space="preserve"> which is a symbiotic fungus, these genes have been found to be downregulated.</w:t>
      </w:r>
      <w:r w:rsidR="00350918">
        <w:br w:type="page"/>
      </w:r>
    </w:p>
    <w:p w14:paraId="49995B71" w14:textId="738DCBCC" w:rsidR="000D7D3D" w:rsidRPr="000D7D3D" w:rsidRDefault="000D7D3D" w:rsidP="00635993">
      <w:pPr>
        <w:pStyle w:val="Heading2"/>
      </w:pPr>
      <w:bookmarkStart w:id="290" w:name="_Toc507604025"/>
      <w:bookmarkStart w:id="291" w:name="_Toc507604292"/>
      <w:bookmarkStart w:id="292" w:name="_Toc519017002"/>
      <w:bookmarkStart w:id="293" w:name="_Toc520837907"/>
      <w:r w:rsidRPr="000D7D3D">
        <w:lastRenderedPageBreak/>
        <w:t xml:space="preserve">3.4.3 </w:t>
      </w:r>
      <w:r w:rsidRPr="000D7D3D">
        <w:rPr>
          <w:i/>
        </w:rPr>
        <w:t>P. involutus</w:t>
      </w:r>
      <w:r w:rsidRPr="000D7D3D">
        <w:t xml:space="preserve"> </w:t>
      </w:r>
      <w:r w:rsidRPr="000D7D3D">
        <w:rPr>
          <w:i/>
        </w:rPr>
        <w:t xml:space="preserve">ATCC 200175 </w:t>
      </w:r>
      <w:r w:rsidRPr="000D7D3D">
        <w:t>genes co-regulated by low Pi availability and EM symbiosis</w:t>
      </w:r>
      <w:bookmarkEnd w:id="290"/>
      <w:bookmarkEnd w:id="291"/>
      <w:bookmarkEnd w:id="292"/>
      <w:bookmarkEnd w:id="293"/>
    </w:p>
    <w:p w14:paraId="1B55D711" w14:textId="350C7E64" w:rsidR="000D7D3D" w:rsidRPr="000D7D3D" w:rsidRDefault="000D7D3D" w:rsidP="003F7054">
      <w:r w:rsidRPr="000D7D3D">
        <w:t xml:space="preserve">To identify fungal genes with a relevant biological role in conditions similar to those prevailing in nature, i.e. low Pi availability and </w:t>
      </w:r>
      <w:r w:rsidR="00107F39">
        <w:t>EM</w:t>
      </w:r>
      <w:r w:rsidRPr="000D7D3D">
        <w:t xml:space="preserve"> symbiosis, analyses were carried out as described in </w:t>
      </w:r>
      <w:r w:rsidR="003F061A">
        <w:t>S</w:t>
      </w:r>
      <w:r w:rsidRPr="000D7D3D">
        <w:t xml:space="preserve">ection 3.3.7. The fact that the majority of </w:t>
      </w:r>
      <w:r w:rsidRPr="000D7D3D">
        <w:rPr>
          <w:i/>
        </w:rPr>
        <w:t>P. involutus ATCC 200175</w:t>
      </w:r>
      <w:r w:rsidRPr="000D7D3D">
        <w:t xml:space="preserve"> genes differentially expressed in low Pi availability appeared to be shared in both NS and S conditions without </w:t>
      </w:r>
      <w:r w:rsidR="00FE7C63">
        <w:t xml:space="preserve">statistically </w:t>
      </w:r>
      <w:r w:rsidRPr="000D7D3D">
        <w:t>significant differences (Figure 3.7, top overlaps) may indicate that EM symbiosis has a limited effect in response to low Pi availability. Nonetheless, a relatively large number of genes co-regulated by both low Pi availability and EM symbiosis were identified</w:t>
      </w:r>
      <w:r w:rsidR="000F4A43">
        <w:t>, both up- and down-regulated</w:t>
      </w:r>
      <w:r w:rsidRPr="000D7D3D">
        <w:t xml:space="preserve"> (Figure 3.7, central overlaps</w:t>
      </w:r>
      <w:r w:rsidR="001555DD">
        <w:t>; Figures 3.8 and 3.9; Appendix, Table 6 and 7</w:t>
      </w:r>
      <w:r w:rsidRPr="000D7D3D">
        <w:t xml:space="preserve">). Identification of such genes could potentially improve our understanding of how Pi uptake </w:t>
      </w:r>
      <w:r w:rsidR="00C00D6C">
        <w:t xml:space="preserve">by EM fungi </w:t>
      </w:r>
      <w:r w:rsidRPr="000D7D3D">
        <w:t xml:space="preserve">is regulated at the transcription level, and this knowledge could be employed in further biotechnological applications for improving soil Pi uptake by </w:t>
      </w:r>
      <w:r w:rsidR="00C00D6C">
        <w:t xml:space="preserve">EM </w:t>
      </w:r>
      <w:r w:rsidRPr="000D7D3D">
        <w:t xml:space="preserve">plants. In respect to the identification of candidate Pi transporters that are involved in the uptake of Pi by the symbiotic hyphae, this has resulted in the identification of one transporter that fulfils the above requirements. This is the PiPT4 transporter, which shares great amino acid similarity, approximately 70%, with a previously identified Pi transporter of </w:t>
      </w:r>
      <w:r w:rsidRPr="000D7D3D">
        <w:rPr>
          <w:i/>
        </w:rPr>
        <w:t>Laccaria bicolor,</w:t>
      </w:r>
      <w:r w:rsidRPr="000D7D3D">
        <w:t xml:space="preserve"> expressed during EM symbiosis </w:t>
      </w:r>
      <w:r w:rsidR="003E0856">
        <w:t xml:space="preserve">with </w:t>
      </w:r>
      <w:r w:rsidR="003E0856" w:rsidRPr="003E0856">
        <w:rPr>
          <w:i/>
        </w:rPr>
        <w:t>Populus trichocarpa</w:t>
      </w:r>
      <w:r w:rsidR="003E0856">
        <w:t xml:space="preserve"> </w:t>
      </w:r>
      <w:r w:rsidRPr="000D7D3D">
        <w:fldChar w:fldCharType="begin" w:fldLock="1"/>
      </w:r>
      <w:r w:rsidR="00EE33AB">
        <w:instrText>ADDIN CSL_CITATION {"citationItems":[{"id":"ITEM-1","itemData":{"DOI":"10.1038/nature06556","ISSN":"1476-4687","PMID":"18322534","abstract":"Mycorrhizal symbioses--the union of roots and soil fungi--are universal in terrestrial ecosystems and may have been fundamental to land colonization by plants. Boreal, temperate and montane forests all depend on ectomycorrhizae. Identification of the primary factors that regulate symbiotic development and metabolic activity will therefore open the door to understanding the role of ectomycorrhizae in plant development and physiology, allowing the full ecological significance of this symbiosis to be explored. Here we report the genome sequence of the ectomycorrhizal basidiomycete Laccaria bicolor (Fig. 1) and highlight gene sets involved in rhizosphere colonization and symbiosis. This 65-megabase genome assembly contains approximately 20,000 predicted protein-encoding genes and a very large number of transposons and repeated sequences. We detected unexpected genomic features, most notably a battery of effector-type small secreted proteins (SSPs) with unknown function, several of which are only expressed in symbiotic tissues. The most highly expressed SSP accumulates in the proliferating hyphae colonizing the host root. The ectomycorrhizae-specific SSPs probably have a decisive role in the establishment of the symbiosis. The unexpected observation that the genome of L. bicolor lacks carbohydrate-active enzymes involved in degradation of plant cell walls, but maintains the ability to degrade non-plant cell wall polysaccharides, reveals the dual saprotrophic and biotrophic lifestyle of the mycorrhizal fungus that enables it to grow within both soil and living plant roots. The predicted gene inventory of the L. bicolor genome, therefore, points to previously unknown mechanisms of symbiosis operating in biotrophic mycorrhizal fungi. The availability of this genome provides an unparalleled opportunity to develop a deeper understanding of the processes by which symbionts interact with plants within their ecosystem to perform vital functions in the carbon and nitrogen cycles that are fundamental to sustainable plant productivity.","author":[{"dropping-particle":"","family":"Martin","given":"F","non-dropping-particle":"","parse-names":false,"suffix":""},{"dropping-particle":"","family":"Aerts","given":"a","non-dropping-particle":"","parse-names":false,"suffix":""},{"dropping-particle":"","family":"Ahrén","given":"D","non-dropping-particle":"","parse-names":false,"suffix":""},{"dropping-particle":"","family":"Brun","given":"a","non-dropping-particle":"","parse-names":false,"suffix":""},{"dropping-particle":"","family":"Danchin","given":"E G J","non-dropping-particle":"","parse-names":false,"suffix":""},{"dropping-particle":"","family":"Duchaussoy","given":"F","non-dropping-particle":"","parse-names":false,"suffix":""},{"dropping-particle":"","family":"Gibon","given":"J","non-dropping-particle":"","parse-names":false,"suffix":""},{"dropping-particle":"","family":"Kohler","given":"a","non-dropping-particle":"","parse-names":false,"suffix":""},{"dropping-particle":"","family":"Lindquist","given":"E","non-dropping-particle":"","parse-names":false,"suffix":""},{"dropping-particle":"","family":"Pereda","given":"V","non-dropping-particle":"","parse-names":false,"suffix":""},{"dropping-particle":"","family":"Salamov","given":"a","non-dropping-particle":"","parse-names":false,"suffix":""},{"dropping-particle":"","family":"Shapiro","given":"H J","non-dropping-particle":"","parse-names":false,"suffix":""},{"dropping-particle":"","family":"Wuyts","given":"J","non-dropping-particle":"","parse-names":false,"suffix":""},{"dropping-particle":"","family":"Blaudez","given":"D","non-dropping-particle":"","parse-names":false,"suffix":""},{"dropping-particle":"","family":"Buée","given":"M","non-dropping-particle":"","parse-names":false,"suffix":""},{"dropping-particle":"","family":"Brokstein","given":"P","non-dropping-particle":"","parse-names":false,"suffix":""},{"dropping-particle":"","family":"Canbäck","given":"B","non-dropping-particle":"","parse-names":false,"suffix":""},{"dropping-particle":"","family":"Cohen","given":"D","non-dropping-particle":"","parse-names":false,"suffix":""},{"dropping-particle":"","family":"Courty","given":"P E","non-dropping-particle":"","parse-names":false,"suffix":""},{"dropping-particle":"","family":"Coutinho","given":"P M","non-dropping-particle":"","parse-names":false,"suffix":""},{"dropping-particle":"","family":"Delaruelle","given":"C","non-dropping-particle":"","parse-names":false,"suffix":""},{"dropping-particle":"","family":"Detter","given":"J C","non-dropping-particle":"","parse-names":false,"suffix":""},{"dropping-particle":"","family":"Deveau","given":"a","non-dropping-particle":"","parse-names":false,"suffix":""},{"dropping-particle":"","family":"DiFazio","given":"S","non-dropping-particle":"","parse-names":false,"suffix":""},{"dropping-particle":"","family":"Duplessis","given":"S","non-dropping-particle":"","parse-names":false,"suffix":""},{"dropping-particle":"","family":"Fraissinet-Tachet","given":"L","non-dropping-particle":"","parse-names":false,"suffix":""},{"dropping-particle":"","family":"Lucic","given":"E","non-dropping-particle":"","parse-names":false,"suffix":""},{"dropping-particle":"","family":"Frey-Klett","given":"P","non-dropping-particle":"","parse-names":false,"suffix":""},{"dropping-particle":"","family":"Fourrey","given":"C","non-dropping-particle":"","parse-names":false,"suffix":""},{"dropping-particle":"","family":"Feussner","given":"I","non-dropping-particle":"","parse-names":false,"suffix":""},{"dropping-particle":"","family":"Gay","given":"G","non-dropping-particle":"","parse-names":false,"suffix":""},{"dropping-particle":"","family":"Grimwood","given":"J","non-dropping-particle":"","parse-names":false,"suffix":""},{"dropping-particle":"","family":"Hoegger","given":"P J","non-dropping-particle":"","parse-names":false,"suffix":""},{"dropping-particle":"","family":"Jain","given":"P","non-dropping-particle":"","parse-names":false,"suffix":""},{"dropping-particle":"","family":"Kilaru","given":"S","non-dropping-particle":"","parse-names":false,"suffix":""},{"dropping-particle":"","family":"Labbé","given":"J","non-dropping-particle":"","parse-names":false,"suffix":""},{"dropping-particle":"","family":"Lin","given":"Y C","non-dropping-particle":"","parse-names":false,"suffix":""},{"dropping-particle":"","family":"Legué","given":"V","non-dropping-particle":"","parse-names":false,"suffix":""},{"dropping-particle":"","family":"Tacon","given":"F","non-dropping-particle":"Le","parse-names":false,"suffix":""},{"dropping-particle":"","family":"Marmeisse","given":"R","non-dropping-particle":"","parse-names":false,"suffix":""},{"dropping-particle":"","family":"Melayah","given":"D","non-dropping-particle":"","parse-names":false,"suffix":""},{"dropping-particle":"","family":"Montanini","given":"B","non-dropping-particle":"","parse-names":false,"suffix":""},{"dropping-particle":"","family":"Muratet","given":"M","non-dropping-particle":"","parse-names":false,"suffix":""},{"dropping-particle":"","family":"Nehls","given":"U","non-dropping-particle":"","parse-names":false,"suffix":""},{"dropping-particle":"","family":"Niculita-Hirzel","given":"H","non-dropping-particle":"","parse-names":false,"suffix":""},{"dropping-particle":"","family":"Oudot-Le Secq","given":"M P","non-dropping-particle":"","parse-names":false,"suffix":""},{"dropping-particle":"","family":"Peter","given":"M","non-dropping-particle":"","parse-names":false,"suffix":""},{"dropping-particle":"","family":"Quesneville","given":"H","non-dropping-particle":"","parse-names":false,"suffix":""},{"dropping-particle":"","family":"Rajashekar","given":"B","non-dropping-particle":"","parse-names":false,"suffix":""},{"dropping-particle":"","family":"Reich","given":"M","non-dropping-particle":"","parse-names":false,"suffix":""},{"dropping-particle":"","family":"Rouhier","given":"N","non-dropping-particle":"","parse-names":false,"suffix":""},{"dropping-particle":"","family":"Schmutz","given":"J","non-dropping-particle":"","parse-names":false,"suffix":""},{"dropping-particle":"","family":"Yin","given":"T","non-dropping-particle":"","parse-names":false,"suffix":""},{"dropping-particle":"","family":"Chalot","given":"M","non-dropping-particle":"","parse-names":false,"suffix":""},{"dropping-particle":"","family":"Henrissat","given":"B","non-dropping-particle":"","parse-names":false,"suffix":""},{"dropping-particle":"","family":"Kües","given":"U","non-dropping-particle":"","parse-names":false,"suffix":""},{"dropping-particle":"","family":"Lucas","given":"S","non-dropping-particle":"","parse-names":false,"suffix":""},{"dropping-particle":"","family":"Peer","given":"Y","non-dropping-particle":"Van de","parse-names":false,"suffix":""},{"dropping-particle":"","family":"Podila","given":"G K","non-dropping-particle":"","parse-names":false,"suffix":""},{"dropping-particle":"","family":"Polle","given":"a","non-dropping-particle":"","parse-names":false,"suffix":""},{"dropping-particle":"","family":"Pukkila","given":"P J","non-dropping-particle":"","parse-names":false,"suffix":""},{"dropping-particle":"","family":"Richardson","given":"P M","non-dropping-particle":"","parse-names":false,"suffix":""},{"dropping-particle":"","family":"Rouzé","given":"P","non-dropping-particle":"","parse-names":false,"suffix":""},{"dropping-particle":"","family":"Sanders","given":"I R","non-dropping-particle":"","parse-names":false,"suffix":""},{"dropping-particle":"","family":"Stajich","given":"J E","non-dropping-particle":"","parse-names":false,"suffix":""},{"dropping-particle":"","family":"Tunlid","given":"a","non-dropping-particle":"","parse-names":false,"suffix":""},{"dropping-particle":"","family":"Tuskan","given":"G","non-dropping-particle":"","parse-names":false,"suffix":""},{"dropping-particle":"V","family":"Grigoriev","given":"I","non-dropping-particle":"","parse-names":false,"suffix":""}],"container-title":"Nature","id":"ITEM-1","issue":"7183","issued":{"date-parts":[["2008","3","6"]]},"page":"88-92","title":"The genome of Laccaria bicolor provides insights into mycorrhizal symbiosis.","type":"article-journal","volume":"452"},"uris":["http://www.mendeley.com/documents/?uuid=772ee733-be88-4e90-81b9-c61bcdd59ee3"]}],"mendeley":{"formattedCitation":"(Martin et al., 2008)","plainTextFormattedCitation":"(Martin et al., 2008)","previouslyFormattedCitation":"(Martin et al., 2008)"},"properties":{"noteIndex":0},"schema":"https://github.com/citation-style-language/schema/raw/master/csl-citation.json"}</w:instrText>
      </w:r>
      <w:r w:rsidRPr="000D7D3D">
        <w:fldChar w:fldCharType="separate"/>
      </w:r>
      <w:r w:rsidRPr="000D7D3D">
        <w:rPr>
          <w:noProof/>
        </w:rPr>
        <w:t>(Martin et al., 2008)</w:t>
      </w:r>
      <w:r w:rsidRPr="000D7D3D">
        <w:fldChar w:fldCharType="end"/>
      </w:r>
      <w:r w:rsidRPr="000D7D3D">
        <w:t xml:space="preserve">. In addition, other interesting upregulated genes that have been identified are genes involved in secondary metabolism pathways, such as terpenoids biosynthesis and auxin production. In particular, genes involved in auxin biosynthesis are very likely to play a positive role in the maintenance of symbiosis, as has been suggested in previous studies </w:t>
      </w:r>
      <w:r w:rsidRPr="000D7D3D">
        <w:fldChar w:fldCharType="begin" w:fldLock="1"/>
      </w:r>
      <w:r w:rsidR="00EE33AB">
        <w:instrText>ADDIN CSL_CITATION {"citationItems":[{"id":"ITEM-1","itemData":{"author":[{"dropping-particle":"","family":"Chanclud","given":"Emilie","non-dropping-particle":"","parse-names":false,"suffix":""},{"dropping-particle":"","family":"Morel","given":"Jean-benoit","non-dropping-particle":"","parse-names":false,"suffix":""}],"id":"ITEM-1","issue":"20 16","issued":{"date-parts":[["2016"]]},"page":"1-9","title":"Review Plant hormones : a fungal point of view","type":"article-journal","volume":"7"},"uris":["http://www.mendeley.com/documents/?uuid=48dbe29b-e130-4388-9edd-2345e7f1fe9a"]}],"mendeley":{"formattedCitation":"(Chanclud and Morel, 2016)","plainTextFormattedCitation":"(Chanclud and Morel, 2016)","previouslyFormattedCitation":"(Chanclud and Morel, 2016)"},"properties":{"noteIndex":0},"schema":"https://github.com/citation-style-language/schema/raw/master/csl-citation.json"}</w:instrText>
      </w:r>
      <w:r w:rsidRPr="000D7D3D">
        <w:fldChar w:fldCharType="separate"/>
      </w:r>
      <w:r w:rsidRPr="000D7D3D">
        <w:rPr>
          <w:noProof/>
        </w:rPr>
        <w:t>(Chanclud and Morel, 2016)</w:t>
      </w:r>
      <w:r w:rsidRPr="000D7D3D">
        <w:fldChar w:fldCharType="end"/>
      </w:r>
      <w:r w:rsidRPr="000D7D3D">
        <w:t>. Moreover, genes that have been previously shown to be involved in cell adhesion are also upregulated, such as expansins, lectins, and von Willebr</w:t>
      </w:r>
      <w:r w:rsidR="00754712">
        <w:t>and A domain-containing protein-</w:t>
      </w:r>
      <w:r w:rsidRPr="000D7D3D">
        <w:t xml:space="preserve">encoding genes </w:t>
      </w:r>
      <w:r w:rsidRPr="000D7D3D">
        <w:fldChar w:fldCharType="begin" w:fldLock="1"/>
      </w:r>
      <w:r w:rsidR="00EE33AB">
        <w:instrText>ADDIN CSL_CITATION {"citationItems":[{"id":"ITEM-1","itemData":{"DOI":"10.1007/s00299-016-1948-4","ISBN":"0721-7714","ISSN":"07217714","PMID":"26888755","abstract":"KEY MESSAGE Results from various expansin related studies have demonstrated that expansins present an opportunity to improve various crops in many different aspects ranging from yield and fruit ripening to improved stress tolerance. The recent advances in expansin studies were reviewed. Besides producing the strength that is needed by the plants, cell walls define cell shape, cell size and cell function. Expansins are cell wall proteins which consist of four sub families; α-expansin, β-expansin, expansin-like A and expansin-like B. These proteins mediate cell wall loosening and they are present in all plants and in some microbial organisms and other organisms like snails. Decades after their initial discovery in cucumber, it is now clear that these small proteins have diverse biological roles in plants. Through their ability to enable the local sliding of wall polymers by reducing adhesion between adjacent wall polysaccharides and the part they play in cell wall remodeling after cytokinesis, it is now clear that expansins are required in almost all plant physiological development aspects from germination to fruiting. This is shown by the various reports from different studies using various molecular biology approaches such as gene achieve these many roles through their non-enzymatic wall loosening ability. This paper reviews and summarizes some of the reported functions of expansins and outlines the potential uses of expansins in crop improvement programs.","author":[{"dropping-particle":"","family":"Marowa","given":"Prince","non-dropping-particle":"","parse-names":false,"suffix":""},{"dropping-particle":"","family":"Ding","given":"Anming","non-dropping-particle":"","parse-names":false,"suffix":""},{"dropping-particle":"","family":"Kong","given":"Yingzhen","non-dropping-particle":"","parse-names":false,"suffix":""}],"container-title":"Plant Cell Reports","id":"ITEM-1","issue":"5","issued":{"date-parts":[["2016"]]},"page":"949-965","publisher":"Springer Berlin Heidelberg","title":"Expansins: roles in plant growth and potential applications in crop improvement","type":"article-journal","volume":"35"},"uris":["http://www.mendeley.com/documents/?uuid=28cbb2c2-8e2b-4063-993c-3ad68b319d0b"]},{"id":"ITEM-2","itemData":{"DOI":"10.1007/s00438-009-0460-8","ISBN":"0043800904","ISSN":"16174615","PMID":"19488786","abstract":"Lectins are a diverse group of carbohydrate-binding proteins that are found within and associated with organisms from all kingdoms of life. Several different classes of plant lectins serve a diverse array of functions. The most prominent of these include participation in plant defense against predators and pathogens and involvement in symbiotic interactions between host plants and symbiotic microbes, including mycorrhizal fungi and nitrogen-fixing rhizobia. Extensive biological, biochemical, and molecular studies have shed light on the functions of plant lectins, and a plethora of uncharacterized lectin genes are being revealed at the genomic scale, suggesting unexplored and novel diversity in plant lectin structure and function. Integration of the results from these different types of research is beginning to yield a more detailed understanding of the function of lectins in symbiosis, defense, and plant biology in general.","author":[{"dropping-particle":"","family":"Hoff","given":"Peter L.","non-dropping-particle":"De","parse-names":false,"suffix":""},{"dropping-particle":"","family":"Brill","given":"Laurence M.","non-dropping-particle":"","parse-names":false,"suffix":""},{"dropping-particle":"","family":"Hirsch","given":"Ann M.","non-dropping-particle":"","parse-names":false,"suffix":""}],"container-title":"Molecular Genetics and Genomics","id":"ITEM-2","issue":"1","issued":{"date-parts":[["2009"]]},"page":"1-15","title":"Plant lectins: The ties that bind in root symbiosis and plant defense","type":"article-journal","volume":"282"},"uris":["http://www.mendeley.com/documents/?uuid=b7141386-d523-4537-99ff-1e8565b0dd91"]}],"mendeley":{"formattedCitation":"(Marowa et al., 2016; De Hoff et al., 2009)","plainTextFormattedCitation":"(Marowa et al., 2016; De Hoff et al., 2009)","previouslyFormattedCitation":"(Marowa et al., 2016; De Hoff et al., 2009)"},"properties":{"noteIndex":0},"schema":"https://github.com/citation-style-language/schema/raw/master/csl-citation.json"}</w:instrText>
      </w:r>
      <w:r w:rsidRPr="000D7D3D">
        <w:fldChar w:fldCharType="separate"/>
      </w:r>
      <w:r w:rsidRPr="000D7D3D">
        <w:rPr>
          <w:noProof/>
        </w:rPr>
        <w:t>(Marowa et al., 2016; De Hoff et al., 2009)</w:t>
      </w:r>
      <w:r w:rsidRPr="000D7D3D">
        <w:fldChar w:fldCharType="end"/>
      </w:r>
      <w:r w:rsidRPr="000D7D3D">
        <w:t xml:space="preserve">, and </w:t>
      </w:r>
      <w:r w:rsidR="00C00D6C">
        <w:t>they are</w:t>
      </w:r>
      <w:r w:rsidRPr="000D7D3D">
        <w:t xml:space="preserve"> very likely to play a role in the maintenance of plant-fungus </w:t>
      </w:r>
      <w:r w:rsidR="000F6B61">
        <w:t xml:space="preserve">interactions during </w:t>
      </w:r>
      <w:r w:rsidRPr="000D7D3D">
        <w:t>EM symbiosis.</w:t>
      </w:r>
    </w:p>
    <w:p w14:paraId="786D21EF" w14:textId="110676DB" w:rsidR="000D7D3D" w:rsidRPr="000D7D3D" w:rsidRDefault="002E14F0" w:rsidP="00634533">
      <w:pPr>
        <w:ind w:firstLine="720"/>
      </w:pPr>
      <w:r w:rsidRPr="000D7D3D">
        <w:t>G</w:t>
      </w:r>
      <w:r w:rsidR="000D7D3D" w:rsidRPr="000D7D3D">
        <w:t xml:space="preserve">enes whose expression is downregulated by low Pi availability and is further suppressed by </w:t>
      </w:r>
      <w:r>
        <w:t xml:space="preserve">EM </w:t>
      </w:r>
      <w:r w:rsidR="000D7D3D" w:rsidRPr="000D7D3D">
        <w:t xml:space="preserve">symbiosis may </w:t>
      </w:r>
      <w:r w:rsidR="00C00D6C">
        <w:t>also</w:t>
      </w:r>
      <w:r w:rsidR="00C00D6C" w:rsidRPr="000D7D3D">
        <w:t xml:space="preserve"> </w:t>
      </w:r>
      <w:r w:rsidR="000D7D3D" w:rsidRPr="000D7D3D">
        <w:t>be involved in facilitating the mainten</w:t>
      </w:r>
      <w:r>
        <w:t xml:space="preserve">ance of EM symbiosis. </w:t>
      </w:r>
      <w:r w:rsidR="000D7D3D" w:rsidRPr="000D7D3D">
        <w:t xml:space="preserve">For instance, cerato-platanins have been previously described to function both </w:t>
      </w:r>
      <w:r w:rsidR="000D7D3D" w:rsidRPr="000D7D3D">
        <w:lastRenderedPageBreak/>
        <w:t xml:space="preserve">either as effector or elicitor proteins present in both pathogenic or beneficial fungal species </w:t>
      </w:r>
      <w:r w:rsidR="000D7D3D" w:rsidRPr="000D7D3D">
        <w:fldChar w:fldCharType="begin" w:fldLock="1"/>
      </w:r>
      <w:r w:rsidR="00EE33AB">
        <w:instrText>ADDIN CSL_CITATION {"citationItems":[{"id":"ITEM-1","itemData":{"DOI":"10.1016/j.plantsci.2014.02.009","ISSN":"18732259","PMID":"25438788","abstract":"Cerato-platanins are an interesting group of small, secreted, cysteine-rich proteins that have been implicated in virulence of certain plant pathogenic fungi. The relatively recent discovery of these proteins in plant beneficial fungi like Trichoderma spp., and their positive role in induction of defense in plants against invading pathogens has raised the question as to whether these proteins are effectors or elicitor molecules. Here we present a comprehensive review on the occurrence of these conserved proteins across the fungal kingdom, their structure-function relationships, and their physiological roles in plant pathogenic and symbiotic fungi. We also discuss the usefulness of these proteins in evolving strategies for crop protection through a transgenic approach or direct application as elicitors.","author":[{"dropping-particle":"","family":"Pazzagli","given":"Luigia","non-dropping-particle":"","parse-names":false,"suffix":""},{"dropping-particle":"","family":"Seidl-Seiboth","given":"Verena","non-dropping-particle":"","parse-names":false,"suffix":""},{"dropping-particle":"","family":"Barsottini","given":"Mario","non-dropping-particle":"","parse-names":false,"suffix":""},{"dropping-particle":"","family":"Vargas","given":"Walter A.","non-dropping-particle":"","parse-names":false,"suffix":""},{"dropping-particle":"","family":"Scala","given":"Aniello","non-dropping-particle":"","parse-names":false,"suffix":""},{"dropping-particle":"","family":"Mukherjee","given":"Prasun K.","non-dropping-particle":"","parse-names":false,"suffix":""}],"container-title":"Plant Science","id":"ITEM-1","issued":{"date-parts":[["2014"]]},"page":"79-87","publisher":"Elsevier Ireland Ltd","title":"Cerato-platanins: Elicitors and effectors","type":"article-journal","volume":"228"},"uris":["http://www.mendeley.com/documents/?uuid=ae14fa97-4442-43df-8f96-8170dd746bf6"]}],"mendeley":{"formattedCitation":"(Pazzagli et al., 2014)","plainTextFormattedCitation":"(Pazzagli et al., 2014)","previouslyFormattedCitation":"(Pazzagli et al., 2014)"},"properties":{"noteIndex":0},"schema":"https://github.com/citation-style-language/schema/raw/master/csl-citation.json"}</w:instrText>
      </w:r>
      <w:r w:rsidR="000D7D3D" w:rsidRPr="000D7D3D">
        <w:fldChar w:fldCharType="separate"/>
      </w:r>
      <w:r w:rsidR="000D7D3D" w:rsidRPr="000D7D3D">
        <w:rPr>
          <w:noProof/>
        </w:rPr>
        <w:t>(Pazzagli et al., 2014)</w:t>
      </w:r>
      <w:r w:rsidR="000D7D3D" w:rsidRPr="000D7D3D">
        <w:fldChar w:fldCharType="end"/>
      </w:r>
      <w:r w:rsidR="000D7D3D" w:rsidRPr="000D7D3D">
        <w:t xml:space="preserve">. Their co-repression by both </w:t>
      </w:r>
      <w:r w:rsidR="003E0856">
        <w:t>low</w:t>
      </w:r>
      <w:r w:rsidR="000D7D3D" w:rsidRPr="000D7D3D">
        <w:t xml:space="preserve"> Pi availability and EM symbiosis may indicate that these genes play a negative role in the maintenance of the EM symbiosis. Interestingly, there have also been </w:t>
      </w:r>
      <w:r>
        <w:t>found</w:t>
      </w:r>
      <w:r w:rsidR="000D7D3D" w:rsidRPr="000D7D3D">
        <w:t xml:space="preserve"> </w:t>
      </w:r>
      <w:r w:rsidRPr="000D7D3D">
        <w:t xml:space="preserve">genes </w:t>
      </w:r>
      <w:r w:rsidR="000D7D3D" w:rsidRPr="000D7D3D">
        <w:t xml:space="preserve">related to polyamine metabolism and transport, such as putative spermidine transporters. Polyamine metabolism has been related to various stress responses in fungi </w:t>
      </w:r>
      <w:r w:rsidR="000D7D3D" w:rsidRPr="000D7D3D">
        <w:fldChar w:fldCharType="begin" w:fldLock="1"/>
      </w:r>
      <w:r w:rsidR="00EE33AB">
        <w:instrText>ADDIN CSL_CITATION {"citationItems":[{"id":"ITEM-1","itemData":{"DOI":"10.3389/fchem.2013.00042","ISSN":"2296-2646","PMID":"24790970","abstract":"Fungi, as well as the rest of living organisms must deal with environmental challenges such as stressful stimuli. Fungi are excellent models to study the general mechanisms of the response to stress, because of their simple, but conserved, signal-transduction and metabolic pathways that are often equivalent to those present in other eukaryotic systems. A factor that has been demonstrated to be involved in these responses is polyamine metabolism, essentially of the three most common polyamines: putrescine, spermidine and spermine. The gathered evidences on this subject suggest that polyamines are able to control cellular signal transduction, as well as to modulate protein-protein interactions. In the present review, we will address the recent advances on the study of fungal metabolism of polyamines, ranging from mutant characterization to potential mechanism of action during different kinds of stress in selected fungal models.","author":[{"dropping-particle":"","family":"Valdés-Santiago","given":"Laura","non-dropping-particle":"","parse-names":false,"suffix":""},{"dropping-particle":"","family":"Ruiz-Herrera","given":"José","non-dropping-particle":"","parse-names":false,"suffix":""}],"container-title":"Frontiers in Chemistry","id":"ITEM-1","issue":"January","issued":{"date-parts":[["2014"]]},"page":"1-10","title":"Stress and polyamine metabolism in fungi","type":"article-journal","volume":"1"},"uris":["http://www.mendeley.com/documents/?uuid=41772de9-42dc-4feb-81cf-83c9441689ad"]}],"mendeley":{"formattedCitation":"(Valdés-Santiago and Ruiz-Herrera, 2014)","plainTextFormattedCitation":"(Valdés-Santiago and Ruiz-Herrera, 2014)","previouslyFormattedCitation":"(Valdés-Santiago and Ruiz-Herrera, 2014)"},"properties":{"noteIndex":0},"schema":"https://github.com/citation-style-language/schema/raw/master/csl-citation.json"}</w:instrText>
      </w:r>
      <w:r w:rsidR="000D7D3D" w:rsidRPr="000D7D3D">
        <w:fldChar w:fldCharType="separate"/>
      </w:r>
      <w:r w:rsidR="000D7D3D" w:rsidRPr="000D7D3D">
        <w:rPr>
          <w:noProof/>
        </w:rPr>
        <w:t>(Valdés-Santiago and Ruiz-Herrera, 2014)</w:t>
      </w:r>
      <w:r w:rsidR="000D7D3D" w:rsidRPr="000D7D3D">
        <w:fldChar w:fldCharType="end"/>
      </w:r>
      <w:r w:rsidR="000D7D3D" w:rsidRPr="000D7D3D">
        <w:t>. However, the fact that these genes are downregulated may suggest a negative role over low Pi availability in EM symbiosis. In addition,</w:t>
      </w:r>
      <w:r>
        <w:t xml:space="preserve"> EM symbiosis negatively regulates</w:t>
      </w:r>
      <w:r w:rsidR="000D7D3D" w:rsidRPr="000D7D3D">
        <w:t xml:space="preserve"> a Pi transporter </w:t>
      </w:r>
      <w:r>
        <w:t xml:space="preserve">gene </w:t>
      </w:r>
      <w:r w:rsidR="000D7D3D" w:rsidRPr="000D7D3D">
        <w:t xml:space="preserve">with similarity to </w:t>
      </w:r>
      <w:r w:rsidR="000D7D3D" w:rsidRPr="002E14F0">
        <w:rPr>
          <w:i/>
        </w:rPr>
        <w:t>PHO91</w:t>
      </w:r>
      <w:r w:rsidR="000D7D3D" w:rsidRPr="000D7D3D">
        <w:t xml:space="preserve"> of yeast, which </w:t>
      </w:r>
      <w:r>
        <w:t>encodes for</w:t>
      </w:r>
      <w:r w:rsidR="000D7D3D" w:rsidRPr="000D7D3D">
        <w:t xml:space="preserve"> a vacuola</w:t>
      </w:r>
      <w:r w:rsidR="00606047">
        <w:t>r polyphosphate (poly-</w:t>
      </w:r>
      <w:r w:rsidR="000D7D3D" w:rsidRPr="000D7D3D">
        <w:t>P</w:t>
      </w:r>
      <w:r w:rsidR="00606047">
        <w:t>i</w:t>
      </w:r>
      <w:r w:rsidR="000D7D3D" w:rsidRPr="000D7D3D">
        <w:t xml:space="preserve">) transporter that exports </w:t>
      </w:r>
      <w:r w:rsidR="00606047">
        <w:t>Pi</w:t>
      </w:r>
      <w:r w:rsidR="000D7D3D" w:rsidRPr="000D7D3D">
        <w:t xml:space="preserve"> from the vacuole </w:t>
      </w:r>
      <w:r w:rsidR="00606047">
        <w:t>in</w:t>
      </w:r>
      <w:r w:rsidR="000D7D3D" w:rsidRPr="000D7D3D">
        <w:t xml:space="preserve">to the cytosol </w:t>
      </w:r>
      <w:r w:rsidR="000D7D3D" w:rsidRPr="000D7D3D">
        <w:fldChar w:fldCharType="begin" w:fldLock="1"/>
      </w:r>
      <w:r w:rsidR="00EE33AB">
        <w:instrText>ADDIN CSL_CITATION {"citationItems":[{"id":"ITEM-1","itemData":{"DOI":"10.1038/embor.2009.105","ISBN":"1469-221x","ISSN":"1469-3178","PMID":"19590579","abstract":"Yeast has two phosphate-uptake systems that complement each other: the high-affinity transporters (Pho84 and Pho89) are active under phosphate starvation, whereas Pho87 and Pho90 are low-affinity transporters that function when phosphate is abundant. Here, we report new regulatory functions of the amino-terminal SPX domain of Pho87 and Pho90. By studying truncated versions of Pho87 and Pho90, we show that the SPX domain limits the phosphate-uptake velocity, suppresses phosphate efflux and affects the regulation of the phosphate signal transduction pathway. Furthermore, split-ubiquitin assays and co-immunoprecipitation suggest that the SPX domain of both Pho90 and Pho87 interacts physically with the regulatory protein Spl2. This work suggests that the SPX domain inhibits low-affinity phosphate transport through a physical interaction with Spl2.","author":[{"dropping-particle":"","family":"Hürlimann","given":"Hans Caspar","non-dropping-particle":"","parse-names":false,"suffix":""},{"dropping-particle":"","family":"Pinson","given":"Benoît","non-dropping-particle":"","parse-names":false,"suffix":""},{"dropping-particle":"","family":"Stadler-Waibel","given":"Martha","non-dropping-particle":"","parse-names":false,"suffix":""},{"dropping-particle":"","family":"Zeeman","given":"Samuel C","non-dropping-particle":"","parse-names":false,"suffix":""},{"dropping-particle":"","family":"Freimoser","given":"Florian M","non-dropping-particle":"","parse-names":false,"suffix":""}],"container-title":"EMBO reports","id":"ITEM-1","issue":"9","issued":{"date-parts":[["2009"]]},"page":"1003-8","title":"The SPX domain of the yeast low-affinity phosphate transporter Pho90 regulates transport activity.","type":"article-journal","volume":"10"},"uris":["http://www.mendeley.com/documents/?uuid=7069fae6-f2db-4eaa-8101-966b7779bb67"]}],"mendeley":{"formattedCitation":"(Hürlimann et al., 2009)","plainTextFormattedCitation":"(Hürlimann et al., 2009)","previouslyFormattedCitation":"(Hürlimann et al., 2009)"},"properties":{"noteIndex":0},"schema":"https://github.com/citation-style-language/schema/raw/master/csl-citation.json"}</w:instrText>
      </w:r>
      <w:r w:rsidR="000D7D3D" w:rsidRPr="000D7D3D">
        <w:fldChar w:fldCharType="separate"/>
      </w:r>
      <w:r w:rsidR="000D7D3D" w:rsidRPr="000D7D3D">
        <w:rPr>
          <w:noProof/>
        </w:rPr>
        <w:t>(Hürlimann et al., 2009)</w:t>
      </w:r>
      <w:r w:rsidR="000D7D3D" w:rsidRPr="000D7D3D">
        <w:fldChar w:fldCharType="end"/>
      </w:r>
      <w:r w:rsidR="000D7D3D" w:rsidRPr="000D7D3D">
        <w:t>. This finding is consistent with the putative role of th</w:t>
      </w:r>
      <w:r w:rsidR="00606047">
        <w:t>is transporter in mobilizing va</w:t>
      </w:r>
      <w:r w:rsidR="000D7D3D" w:rsidRPr="000D7D3D">
        <w:t>cu</w:t>
      </w:r>
      <w:r w:rsidR="00606047">
        <w:t>o</w:t>
      </w:r>
      <w:r w:rsidR="000D7D3D" w:rsidRPr="000D7D3D">
        <w:t>lar Pi reserves, which are most like</w:t>
      </w:r>
      <w:r w:rsidR="00634533">
        <w:t>ly absent in low Pi conditions.</w:t>
      </w:r>
      <w:r w:rsidR="0032207A">
        <w:br w:type="page"/>
      </w:r>
    </w:p>
    <w:p w14:paraId="6C2920D2" w14:textId="4B77A71E" w:rsidR="000D7D3D" w:rsidRPr="000D7D3D" w:rsidRDefault="000D7D3D" w:rsidP="00635993">
      <w:pPr>
        <w:pStyle w:val="Heading1"/>
      </w:pPr>
      <w:bookmarkStart w:id="294" w:name="_Toc507604026"/>
      <w:bookmarkStart w:id="295" w:name="_Toc507604293"/>
      <w:bookmarkStart w:id="296" w:name="_Toc519017003"/>
      <w:bookmarkStart w:id="297" w:name="_Toc520837908"/>
      <w:r w:rsidRPr="000D7D3D">
        <w:lastRenderedPageBreak/>
        <w:t>3.5 Conclusions</w:t>
      </w:r>
      <w:bookmarkEnd w:id="294"/>
      <w:bookmarkEnd w:id="295"/>
      <w:bookmarkEnd w:id="296"/>
      <w:bookmarkEnd w:id="297"/>
    </w:p>
    <w:p w14:paraId="412826D0" w14:textId="77777777" w:rsidR="0069521C" w:rsidRDefault="000D7D3D" w:rsidP="003F7054">
      <w:r w:rsidRPr="000D7D3D">
        <w:t>The results presented in this chapter unravel the</w:t>
      </w:r>
      <w:r w:rsidR="00EE4D07">
        <w:t xml:space="preserve"> gene</w:t>
      </w:r>
      <w:r w:rsidRPr="000D7D3D">
        <w:t xml:space="preserve"> transcriptional response</w:t>
      </w:r>
      <w:r w:rsidR="00EE4D07">
        <w:t>s</w:t>
      </w:r>
      <w:r w:rsidRPr="000D7D3D">
        <w:t xml:space="preserve"> of </w:t>
      </w:r>
      <w:r w:rsidRPr="000D7D3D">
        <w:rPr>
          <w:i/>
        </w:rPr>
        <w:t>P. involutus</w:t>
      </w:r>
      <w:r w:rsidRPr="000D7D3D">
        <w:t xml:space="preserve"> </w:t>
      </w:r>
      <w:r w:rsidR="00EE4D07">
        <w:t>to low Pi availability</w:t>
      </w:r>
      <w:r w:rsidR="00104E8A">
        <w:t>, further supporting the role</w:t>
      </w:r>
      <w:r w:rsidR="00104E8A" w:rsidRPr="000D7D3D">
        <w:t xml:space="preserve"> of EM</w:t>
      </w:r>
      <w:r w:rsidR="00104E8A">
        <w:t xml:space="preserve"> fungal hyphae </w:t>
      </w:r>
      <w:r w:rsidR="00104E8A" w:rsidRPr="000D7D3D">
        <w:t>in Pi uptake and mobilisation</w:t>
      </w:r>
      <w:r w:rsidR="00104E8A">
        <w:t xml:space="preserve"> at the molecular level. </w:t>
      </w:r>
    </w:p>
    <w:p w14:paraId="6ED52A3B" w14:textId="0FFCD29F" w:rsidR="0069521C" w:rsidRDefault="0069521C" w:rsidP="0069521C">
      <w:pPr>
        <w:ind w:firstLine="720"/>
      </w:pPr>
      <w:r>
        <w:t xml:space="preserve">In respect to the initial three </w:t>
      </w:r>
      <w:r w:rsidR="008F430A">
        <w:t>hypothese</w:t>
      </w:r>
      <w:r>
        <w:t>s</w:t>
      </w:r>
      <w:r w:rsidR="00802F88">
        <w:t>, the</w:t>
      </w:r>
      <w:r>
        <w:t xml:space="preserve"> data obtained during this study confirm</w:t>
      </w:r>
      <w:r w:rsidR="00802F88">
        <w:t>ed</w:t>
      </w:r>
      <w:r>
        <w:t xml:space="preserve"> the first one</w:t>
      </w:r>
      <w:r w:rsidR="00E47A3E">
        <w:t xml:space="preserve">, </w:t>
      </w:r>
      <w:r w:rsidR="00802F88">
        <w:t>as</w:t>
      </w:r>
      <w:r w:rsidR="00E47A3E">
        <w:t xml:space="preserve"> the majority of genes</w:t>
      </w:r>
      <w:r w:rsidR="00802F88">
        <w:t xml:space="preserve"> were</w:t>
      </w:r>
      <w:r w:rsidR="00E47A3E">
        <w:t xml:space="preserve"> differentially regulated by Pi availability</w:t>
      </w:r>
      <w:r w:rsidR="00802F88">
        <w:t>,</w:t>
      </w:r>
      <w:r w:rsidR="00E47A3E">
        <w:t xml:space="preserve"> and</w:t>
      </w:r>
      <w:r w:rsidR="00802F88">
        <w:t xml:space="preserve"> only</w:t>
      </w:r>
      <w:r w:rsidR="00E47A3E">
        <w:t xml:space="preserve"> to a lesser extent by the effect of symbiosis (Figure 3.3 and Table 3.1).</w:t>
      </w:r>
    </w:p>
    <w:p w14:paraId="69B2074E" w14:textId="1509E2BA" w:rsidR="0069521C" w:rsidRDefault="0069521C" w:rsidP="0069521C">
      <w:pPr>
        <w:ind w:firstLine="720"/>
      </w:pPr>
      <w:r>
        <w:t>The second hypothesis was also confirmed since many</w:t>
      </w:r>
      <w:r w:rsidR="000D7D3D" w:rsidRPr="000D7D3D">
        <w:t xml:space="preserve"> genes </w:t>
      </w:r>
      <w:r>
        <w:t xml:space="preserve">were </w:t>
      </w:r>
      <w:r w:rsidR="000D7D3D" w:rsidRPr="000D7D3D">
        <w:t xml:space="preserve">differentially expressed in response to </w:t>
      </w:r>
      <w:r w:rsidR="00D674A8">
        <w:t>low</w:t>
      </w:r>
      <w:r w:rsidR="000D7D3D" w:rsidRPr="000D7D3D">
        <w:t xml:space="preserve"> Pi </w:t>
      </w:r>
      <w:r w:rsidR="00D674A8">
        <w:t xml:space="preserve">availability </w:t>
      </w:r>
      <w:r>
        <w:t xml:space="preserve">either in NS or S conditions. These were genes </w:t>
      </w:r>
      <w:r w:rsidR="000D7D3D" w:rsidRPr="000D7D3D">
        <w:t>involve</w:t>
      </w:r>
      <w:r>
        <w:t>d in</w:t>
      </w:r>
      <w:r w:rsidR="000D7D3D" w:rsidRPr="000D7D3D">
        <w:t xml:space="preserve"> Pi transport or</w:t>
      </w:r>
      <w:r>
        <w:t xml:space="preserve"> Pi</w:t>
      </w:r>
      <w:r w:rsidR="00B22241">
        <w:t xml:space="preserve"> metabolism</w:t>
      </w:r>
      <w:r w:rsidR="00D674A8">
        <w:t>, such as Pi transporter and phosphatase</w:t>
      </w:r>
      <w:r w:rsidR="00B22241">
        <w:t xml:space="preserve"> gene</w:t>
      </w:r>
      <w:r w:rsidR="00D674A8">
        <w:t>s</w:t>
      </w:r>
      <w:r w:rsidR="001138E0">
        <w:t>, as shown in Figure 3.4A for the NS and Figure 3.5A for the S condition.</w:t>
      </w:r>
    </w:p>
    <w:p w14:paraId="3AF6430F" w14:textId="2F7DA52A" w:rsidR="000D7D3D" w:rsidRDefault="002840A6" w:rsidP="00D57217">
      <w:pPr>
        <w:ind w:firstLine="720"/>
      </w:pPr>
      <w:r>
        <w:t>Lastly</w:t>
      </w:r>
      <w:r w:rsidR="000D7D3D" w:rsidRPr="000D7D3D">
        <w:t>, the resu</w:t>
      </w:r>
      <w:r>
        <w:t>lts presented in this chapter confirmed the third hypothesis and</w:t>
      </w:r>
      <w:r w:rsidR="000D7D3D" w:rsidRPr="000D7D3D">
        <w:t xml:space="preserve"> g</w:t>
      </w:r>
      <w:r w:rsidR="000F3E8A">
        <w:t>a</w:t>
      </w:r>
      <w:r w:rsidR="000D7D3D" w:rsidRPr="000D7D3D">
        <w:t>ve insight</w:t>
      </w:r>
      <w:r w:rsidR="00D674A8">
        <w:t>s</w:t>
      </w:r>
      <w:r w:rsidR="000D7D3D" w:rsidRPr="000D7D3D">
        <w:t xml:space="preserve"> on how EM symbiosis affect</w:t>
      </w:r>
      <w:r w:rsidR="00D674A8">
        <w:t>s</w:t>
      </w:r>
      <w:r w:rsidR="000D7D3D" w:rsidRPr="000D7D3D">
        <w:t xml:space="preserve"> </w:t>
      </w:r>
      <w:r w:rsidR="00D674A8" w:rsidRPr="000D7D3D">
        <w:rPr>
          <w:i/>
        </w:rPr>
        <w:t>P. involutus</w:t>
      </w:r>
      <w:r w:rsidR="00D674A8" w:rsidRPr="000D7D3D">
        <w:t xml:space="preserve"> </w:t>
      </w:r>
      <w:r w:rsidR="000D7D3D" w:rsidRPr="000D7D3D">
        <w:t xml:space="preserve">hyphal gene expression, by reprogramming components of both primary and secondary metabolism. In particular, EM symbiosis can directly affect certain Pi-responsive fungal genes by enhancing </w:t>
      </w:r>
      <w:r w:rsidR="008F7732">
        <w:t xml:space="preserve">(Figures 3.7A and 3.8; Appendix, Table 6), </w:t>
      </w:r>
      <w:r w:rsidR="000D7D3D" w:rsidRPr="000D7D3D">
        <w:t>or further repressing their expression</w:t>
      </w:r>
      <w:r w:rsidR="00D674A8">
        <w:t xml:space="preserve"> in low Pi availability</w:t>
      </w:r>
      <w:r w:rsidR="008F7732">
        <w:t xml:space="preserve"> (Figures 3.7B and 3.9; Appendix, Table 7)</w:t>
      </w:r>
      <w:r w:rsidR="000D7D3D" w:rsidRPr="000D7D3D">
        <w:t xml:space="preserve">. A key example comes from the finding that EM symbiosis </w:t>
      </w:r>
      <w:r w:rsidR="00B22241">
        <w:t>indu</w:t>
      </w:r>
      <w:r w:rsidR="000D7D3D" w:rsidRPr="000D7D3D">
        <w:t xml:space="preserve">ces the expression of the high-affinity fungal Pi transporter </w:t>
      </w:r>
      <w:r w:rsidR="00C85A9F">
        <w:t xml:space="preserve">gene </w:t>
      </w:r>
      <w:r w:rsidR="000D7D3D" w:rsidRPr="00635993">
        <w:rPr>
          <w:i/>
        </w:rPr>
        <w:t>PiPT4</w:t>
      </w:r>
      <w:r w:rsidR="000D7D3D" w:rsidRPr="000D7D3D">
        <w:t xml:space="preserve">, providing a possible mechanism by which </w:t>
      </w:r>
      <w:r w:rsidR="00D674A8">
        <w:t xml:space="preserve">fungal Pi uptake can be enhanced in </w:t>
      </w:r>
      <w:r w:rsidR="000D7D3D" w:rsidRPr="000D7D3D">
        <w:t>conditions of low Pi availability</w:t>
      </w:r>
      <w:r w:rsidR="00D674A8">
        <w:t xml:space="preserve"> during EM symbiosis</w:t>
      </w:r>
      <w:r w:rsidR="008F7732">
        <w:t xml:space="preserve"> (Appendix, Table 6)</w:t>
      </w:r>
      <w:r w:rsidR="00D57217">
        <w:t>.</w:t>
      </w:r>
      <w:r w:rsidR="000D7D3D" w:rsidRPr="000D7D3D">
        <w:br w:type="page"/>
      </w:r>
    </w:p>
    <w:p w14:paraId="14776594" w14:textId="01A73626" w:rsidR="000D7D3D" w:rsidRPr="000D7D3D" w:rsidRDefault="000D7D3D" w:rsidP="00635993">
      <w:pPr>
        <w:pStyle w:val="Title"/>
        <w:rPr>
          <w:i/>
        </w:rPr>
      </w:pPr>
      <w:bookmarkStart w:id="298" w:name="_Toc507604027"/>
      <w:bookmarkStart w:id="299" w:name="_Toc507604294"/>
      <w:bookmarkStart w:id="300" w:name="_Toc519017004"/>
      <w:bookmarkStart w:id="301" w:name="_Toc520837909"/>
      <w:r w:rsidRPr="000D7D3D">
        <w:lastRenderedPageBreak/>
        <w:t xml:space="preserve">Chapter 4. Evidence for the </w:t>
      </w:r>
      <w:r w:rsidR="001B655A">
        <w:t xml:space="preserve">ectomycorrhizal </w:t>
      </w:r>
      <w:r w:rsidR="00C85A9F">
        <w:t>fungus</w:t>
      </w:r>
      <w:r w:rsidRPr="000D7D3D">
        <w:t xml:space="preserve"> </w:t>
      </w:r>
      <w:r w:rsidRPr="000D7D3D">
        <w:rPr>
          <w:i/>
        </w:rPr>
        <w:t>P</w:t>
      </w:r>
      <w:r w:rsidR="0004792A">
        <w:rPr>
          <w:i/>
        </w:rPr>
        <w:t>axillus</w:t>
      </w:r>
      <w:r w:rsidRPr="000D7D3D">
        <w:rPr>
          <w:i/>
        </w:rPr>
        <w:t xml:space="preserve"> involutus</w:t>
      </w:r>
      <w:r w:rsidRPr="000D7D3D">
        <w:t xml:space="preserve"> solubilizing microcrystalline </w:t>
      </w:r>
      <w:r w:rsidR="001B655A">
        <w:t>hydroxyapatite</w:t>
      </w:r>
      <w:bookmarkEnd w:id="298"/>
      <w:bookmarkEnd w:id="299"/>
      <w:bookmarkEnd w:id="300"/>
      <w:bookmarkEnd w:id="301"/>
      <w:r w:rsidR="00972531" w:rsidRPr="000D7D3D">
        <w:t xml:space="preserve"> </w:t>
      </w:r>
    </w:p>
    <w:p w14:paraId="43809683" w14:textId="77777777" w:rsidR="000D7D3D" w:rsidRPr="000D7D3D" w:rsidRDefault="000D7D3D" w:rsidP="003F7054"/>
    <w:p w14:paraId="371AFED3" w14:textId="175BB2C6" w:rsidR="000D7D3D" w:rsidRPr="000D7D3D" w:rsidRDefault="000D7D3D" w:rsidP="00635993">
      <w:pPr>
        <w:pStyle w:val="Heading1"/>
      </w:pPr>
      <w:bookmarkStart w:id="302" w:name="_Toc507604028"/>
      <w:bookmarkStart w:id="303" w:name="_Toc507604295"/>
      <w:bookmarkStart w:id="304" w:name="_Toc519017005"/>
      <w:bookmarkStart w:id="305" w:name="_Toc520837910"/>
      <w:r w:rsidRPr="000D7D3D">
        <w:t>4.1 Introduction</w:t>
      </w:r>
      <w:bookmarkEnd w:id="302"/>
      <w:bookmarkEnd w:id="303"/>
      <w:bookmarkEnd w:id="304"/>
      <w:bookmarkEnd w:id="305"/>
    </w:p>
    <w:p w14:paraId="21AEB953" w14:textId="3974CDAD" w:rsidR="000D7D3D" w:rsidRPr="000D7D3D" w:rsidRDefault="000D7D3D" w:rsidP="003F7054">
      <w:r w:rsidRPr="000D7D3D">
        <w:t>Calcium</w:t>
      </w:r>
      <w:r w:rsidR="00EA3ED2">
        <w:t xml:space="preserve"> (Ca)</w:t>
      </w:r>
      <w:r w:rsidRPr="000D7D3D">
        <w:t xml:space="preserve"> apatites, particularly hydroxyapatite (HA</w:t>
      </w:r>
      <w:r w:rsidR="00486351">
        <w:t>P</w:t>
      </w:r>
      <w:r w:rsidRPr="000D7D3D">
        <w:t>): Ca</w:t>
      </w:r>
      <w:r w:rsidRPr="000D7D3D">
        <w:rPr>
          <w:vertAlign w:val="subscript"/>
        </w:rPr>
        <w:t>10</w:t>
      </w:r>
      <w:r w:rsidRPr="000D7D3D">
        <w:t>(PO</w:t>
      </w:r>
      <w:r w:rsidRPr="000D7D3D">
        <w:rPr>
          <w:vertAlign w:val="subscript"/>
        </w:rPr>
        <w:t>4</w:t>
      </w:r>
      <w:r w:rsidRPr="000D7D3D">
        <w:t>)</w:t>
      </w:r>
      <w:r w:rsidRPr="000D7D3D">
        <w:rPr>
          <w:vertAlign w:val="subscript"/>
        </w:rPr>
        <w:t>6</w:t>
      </w:r>
      <w:r w:rsidRPr="000D7D3D">
        <w:t>(OH)</w:t>
      </w:r>
      <w:r w:rsidRPr="000D7D3D">
        <w:rPr>
          <w:vertAlign w:val="subscript"/>
        </w:rPr>
        <w:t>2</w:t>
      </w:r>
      <w:r w:rsidR="00DA7615">
        <w:t xml:space="preserve"> and fluorapatite</w:t>
      </w:r>
      <w:r w:rsidRPr="000D7D3D">
        <w:t>: Ca</w:t>
      </w:r>
      <w:r w:rsidRPr="000D7D3D">
        <w:rPr>
          <w:vertAlign w:val="subscript"/>
        </w:rPr>
        <w:t>10</w:t>
      </w:r>
      <w:r w:rsidRPr="000D7D3D">
        <w:t>(PO</w:t>
      </w:r>
      <w:r w:rsidRPr="000D7D3D">
        <w:rPr>
          <w:vertAlign w:val="subscript"/>
        </w:rPr>
        <w:t>4</w:t>
      </w:r>
      <w:r w:rsidRPr="000D7D3D">
        <w:t>)</w:t>
      </w:r>
      <w:r w:rsidRPr="000D7D3D">
        <w:rPr>
          <w:vertAlign w:val="subscript"/>
        </w:rPr>
        <w:t>6</w:t>
      </w:r>
      <w:r w:rsidRPr="000D7D3D">
        <w:t>F</w:t>
      </w:r>
      <w:r w:rsidRPr="000D7D3D">
        <w:rPr>
          <w:vertAlign w:val="subscript"/>
        </w:rPr>
        <w:t>2</w:t>
      </w:r>
      <w:r w:rsidRPr="000D7D3D">
        <w:t xml:space="preserve">, have gained attention in plant sciences because the majority of </w:t>
      </w:r>
      <w:r w:rsidR="00DA7615">
        <w:t>inorganic phosphorus (</w:t>
      </w:r>
      <w:r w:rsidRPr="000D7D3D">
        <w:t>Pi</w:t>
      </w:r>
      <w:r w:rsidR="00DA7615">
        <w:t>)</w:t>
      </w:r>
      <w:r w:rsidRPr="000D7D3D">
        <w:t xml:space="preserve"> within the soil is derived from apatite dissolution </w:t>
      </w:r>
      <w:r w:rsidRPr="000D7D3D">
        <w:fldChar w:fldCharType="begin" w:fldLock="1"/>
      </w:r>
      <w:r w:rsidR="00EE33AB">
        <w:instrText>ADDIN CSL_CITATION {"citationItems":[{"id":"ITEM-1","itemData":{"DOI":"10.5662/wjm.v2.i1.1","ISBN":"9781620819340","ISSN":"2222-0682","PMID":"25237611","abstract":"Eight dissolution models of calcium apatites (both fluorapatite and hydroxyapatite) in acids were drawn from the published literature, analyzed and discussed. Major limitations and drawbacks of the models were conversed in details. The models were shown to deal with different aspects of apatite dissolution phenomenon and none of them was able to describe the dissolution process in general. Therefore, an attempt to combine the findings obtained by different researchers was performed which resulted in creation of the general description of apatite dissolution in acids. For this purpose, eight dissolution models were assumed to complement each other and provide the correct description of the specific aspects of apatite dissolution. The general description considers all possible dissolution stages involved and points out to some missing and unclear phenomena to be experimentally studied and verified in future. This creates a new methodological approach to investigate reaction mechanisms based on sets of affine data, obtained by various research groups under dissimilar experimental conditions.","author":[{"dropping-particle":"V","family":"Dorozhkin","given":"Sergey","non-dropping-particle":"","parse-names":false,"suffix":""}],"container-title":"World Journal of Methodology","id":"ITEM-1","issue":"1","issued":{"date-parts":[["2012"]]},"page":"1","title":"Dissolution mechanism of calcium apatites in acids: A review of literature","type":"article-journal","volume":"2"},"uris":["http://www.mendeley.com/documents/?uuid=06e1f49d-dc50-48f1-bed2-ebc2a804bd22"]}],"mendeley":{"formattedCitation":"(Dorozhkin, 2012)","plainTextFormattedCitation":"(Dorozhkin, 2012)","previouslyFormattedCitation":"(Dorozhkin, 2012)"},"properties":{"noteIndex":0},"schema":"https://github.com/citation-style-language/schema/raw/master/csl-citation.json"}</w:instrText>
      </w:r>
      <w:r w:rsidRPr="000D7D3D">
        <w:fldChar w:fldCharType="separate"/>
      </w:r>
      <w:r w:rsidRPr="000D7D3D">
        <w:rPr>
          <w:noProof/>
        </w:rPr>
        <w:t>(Dorozhkin, 2012)</w:t>
      </w:r>
      <w:r w:rsidRPr="000D7D3D">
        <w:fldChar w:fldCharType="end"/>
      </w:r>
      <w:r w:rsidRPr="000D7D3D">
        <w:t xml:space="preserve">. As has been previously introduced in Chapter 2, </w:t>
      </w:r>
      <w:r w:rsidR="006E0DE4">
        <w:t>phosphor</w:t>
      </w:r>
      <w:r w:rsidR="00EA3ED2">
        <w:t>us (</w:t>
      </w:r>
      <w:r w:rsidRPr="000D7D3D">
        <w:t>P</w:t>
      </w:r>
      <w:r w:rsidR="00EA3ED2">
        <w:t>)</w:t>
      </w:r>
      <w:r w:rsidRPr="000D7D3D">
        <w:t xml:space="preserve"> is an essential element for plant nutrition, but it can only be assimilated as soluble Pi </w:t>
      </w:r>
      <w:r w:rsidRPr="000D7D3D">
        <w:fldChar w:fldCharType="begin" w:fldLock="1"/>
      </w:r>
      <w:r w:rsidR="00EE33AB">
        <w:instrText>ADDIN CSL_CITATION {"citationItems":[{"id":"ITEM-1","itemData":{"DOI":"10.3389/fpls.2011.00083","ISSN":"1664-462X","PMID":"22645553","abstract":"The main source of phosphorus for plants is inorganic phosphate (Pi), which is characterized by its poor availability and low mobility. Uptake of this element from the soil relies heavily upon the PHT1 transporters, a specific family of plant plasma membrane proteins that were identified by homology with the yeast PHO84 Pi transporter. Since the discovery of PHT1 transporters in 1996, various studies have revealed that their function is controlled by a highly complex network of regulation. This review will summarize the current state of research on plant PHT1 multigenic families, including physiological, biochemical, molecular, cellular, and genetics studies.","author":[{"dropping-particle":"","family":"Nussaume","given":"Laurent","non-dropping-particle":"","parse-names":false,"suffix":""},{"dropping-particle":"","family":"Kanno","given":"Satomi","non-dropping-particle":"","parse-names":false,"suffix":""},{"dropping-particle":"","family":"Javot","given":"Hélène","non-dropping-particle":"","parse-names":false,"suffix":""},{"dropping-particle":"","family":"Marin","given":"Elena","non-dropping-particle":"","parse-names":false,"suffix":""},{"dropping-particle":"","family":"Pochon","given":"Nathalie","non-dropping-particle":"","parse-names":false,"suffix":""},{"dropping-particle":"","family":"Ayadi","given":"Amal","non-dropping-particle":"","parse-names":false,"suffix":""},{"dropping-particle":"","family":"Nakanishi","given":"Tomoko M","non-dropping-particle":"","parse-names":false,"suffix":""},{"dropping-particle":"","family":"Thibaud","given":"Marie-Christine","non-dropping-particle":"","parse-names":false,"suffix":""}],"container-title":"Frontiers in plant science","id":"ITEM-1","issue":"November","issued":{"date-parts":[["2011","1"]]},"page":"83","title":"Phosphate Import in Plants: Focus on the PHT1 Transporters.","type":"article-journal","volume":"2"},"uris":["http://www.mendeley.com/documents/?uuid=fb5384d9-785d-4b72-8339-6705015f16b4"]}],"mendeley":{"formattedCitation":"(Nussaume et al., 2011)","plainTextFormattedCitation":"(Nussaume et al., 2011)","previouslyFormattedCitation":"(Nussaume et al., 2011)"},"properties":{"noteIndex":0},"schema":"https://github.com/citation-style-language/schema/raw/master/csl-citation.json"}</w:instrText>
      </w:r>
      <w:r w:rsidRPr="000D7D3D">
        <w:fldChar w:fldCharType="separate"/>
      </w:r>
      <w:r w:rsidRPr="000D7D3D">
        <w:rPr>
          <w:noProof/>
        </w:rPr>
        <w:t>(Nussaume et al., 2011)</w:t>
      </w:r>
      <w:r w:rsidRPr="000D7D3D">
        <w:fldChar w:fldCharType="end"/>
      </w:r>
      <w:r w:rsidRPr="000D7D3D">
        <w:t>. Pi av</w:t>
      </w:r>
      <w:r w:rsidR="00DA7615">
        <w:t xml:space="preserve">ailability in soil is very low, </w:t>
      </w:r>
      <w:r w:rsidRPr="000D7D3D">
        <w:t>ranging from 1–10 μM</w:t>
      </w:r>
      <w:r w:rsidR="00DA7615">
        <w:t>,</w:t>
      </w:r>
      <w:r w:rsidRPr="000D7D3D">
        <w:t xml:space="preserve"> </w:t>
      </w:r>
      <w:r w:rsidR="00DA7615">
        <w:t xml:space="preserve">and also </w:t>
      </w:r>
      <w:r w:rsidRPr="000D7D3D">
        <w:t>has very poor mobility</w:t>
      </w:r>
      <w:r w:rsidR="00DA7615">
        <w:t xml:space="preserve"> </w:t>
      </w:r>
      <w:r w:rsidR="00DA7615" w:rsidRPr="000D7D3D">
        <w:fldChar w:fldCharType="begin" w:fldLock="1"/>
      </w:r>
      <w:r w:rsidR="00EE33AB">
        <w:instrText>ADDIN CSL_CITATION {"citationItems":[{"id":"ITEM-1","itemData":{"author":[{"dropping-particle":"","family":"Bieleski","given":"R L","non-dropping-particle":"","parse-names":false,"suffix":""}],"container-title":"Annual Review of Plant Physiology","id":"ITEM-1","issued":{"date-parts":[["1973"]]},"page":"225-252","title":"Phosphate pools, phosphate transport, and phosphate availability","type":"article-journal","volume":"24"},"uris":["http://www.mendeley.com/documents/?uuid=f05a77d2-78e2-4356-912c-e5663e3eae17"]}],"mendeley":{"formattedCitation":"(Bieleski, 1973)","plainTextFormattedCitation":"(Bieleski, 1973)","previouslyFormattedCitation":"(Bieleski, 1973)"},"properties":{"noteIndex":0},"schema":"https://github.com/citation-style-language/schema/raw/master/csl-citation.json"}</w:instrText>
      </w:r>
      <w:r w:rsidR="00DA7615" w:rsidRPr="000D7D3D">
        <w:fldChar w:fldCharType="separate"/>
      </w:r>
      <w:r w:rsidR="00DA7615" w:rsidRPr="000D7D3D">
        <w:rPr>
          <w:noProof/>
        </w:rPr>
        <w:t>(Bieleski, 1973)</w:t>
      </w:r>
      <w:r w:rsidR="00DA7615" w:rsidRPr="000D7D3D">
        <w:fldChar w:fldCharType="end"/>
      </w:r>
      <w:r w:rsidR="00DA7615">
        <w:t xml:space="preserve">. </w:t>
      </w:r>
      <w:r w:rsidRPr="000D7D3D">
        <w:t>As plants rapidly uptake Pi, this results in the formation of a Pi deple</w:t>
      </w:r>
      <w:r w:rsidR="00DA7615">
        <w:t>tion zone around the root</w:t>
      </w:r>
      <w:r w:rsidRPr="000D7D3D">
        <w:t xml:space="preserve">s </w:t>
      </w:r>
      <w:r w:rsidR="00DA7615">
        <w:t>of the plants</w:t>
      </w:r>
      <w:r w:rsidR="00DA7615" w:rsidRPr="000D7D3D">
        <w:t xml:space="preserve"> </w:t>
      </w:r>
      <w:r w:rsidRPr="000D7D3D">
        <w:fldChar w:fldCharType="begin" w:fldLock="1"/>
      </w:r>
      <w:r w:rsidR="00EE33AB">
        <w:instrText>ADDIN CSL_CITATION {"citationItems":[{"id":"ITEM-1","itemData":{"ISSN":"0032-0781","abstract":"We studied the kinetics of inorganic phosphate (P1) uptake from 0.1-1,000 {micro}M P1 by protoplasts from suspension-cultured cells of Catharanthus roseus (L.) G. Don. Concentration dependence of [32P]P1 uptake revealed two kinetically different uptake systems, a high-affinity system and a low-affinity system, with Km values of 3.0 and 47 {micro}M, respectively. Protoplasts from cells grown in Pi-rich media had a medium level of the low-affinity activity and a very low level of the high-affinity activity. It appeared low-affinity system is expressed constitutively, while the high-affinity system is regulated by the availability of Pi. When cells grown in a Pi-rich media were transferred to Pi-depleted media, the high-affinity activity increased significantly after 2 d, but the low-affinity activity was barely changed. Upon addition of 10 mM Pi, the high level of the high-affinity activity fell to almost undetectable level in 1d. Both uptake systems exhibited maximum activity between pH 5 and 6.\\n","author":[{"dropping-particle":"","family":"Furihata","given":"Takashi","non-dropping-particle":"","parse-names":false,"suffix":""},{"dropping-particle":"","family":"Suzuki","given":"Mikio","non-dropping-particle":"","parse-names":false,"suffix":""},{"dropping-particle":"","family":"Sakurai","given":"Hidehiro","non-dropping-particle":"","parse-names":false,"suffix":""}],"container-title":"Plant Cell Physiol.","id":"ITEM-1","issue":"8","issued":{"date-parts":[["1992"]]},"page":"1151-1157","title":"Kinetic characterization of two phosphate uptake systems with different affinities in suspension-cultured catharanthus roseus protoplasts","type":"article-journal","volume":"33"},"uris":["http://www.mendeley.com/documents/?uuid=b9200009-40e3-4274-a6a9-adc4d38ae33c"]},{"id":"ITEM-2","itemData":{"DOI":"10.1007/BF00951459","ISSN":"1432-2048","abstract":"Phosphate uptake was studied by determining [32P]phosphate influx and by measurements of the electrical membrane potential in duckweed (Lemna gibba L.). Phosphate-induced membrane depolarization (ΔE m ) was controlled by the intracellular phosphate content, thus maximal ΔE m by 1 mM H2PO 4 - was up to 133 mV after 15d of phosphate starvation. The ΔE m was strongly dependent on the extracellular pH, with a sharp optimum at pH 5.7. It is suggested that phosphate uptake is energized by the electrochemical proton gradient, proceeding by a 2H+/H2PO 4 - contransport mechanism. This is supported also by the fusicoccin stimulation of phosphate influx. Kinetics of phosphate influx and of ΔE m , which represent mere plasmalemma transport, are best described by two Michaelis-Menten terms without any linear components.","author":[{"dropping-particle":"","family":"Ullrich-Eberius","given":"C I","non-dropping-particle":"","parse-names":false,"suffix":""},{"dropping-particle":"","family":"Novacky","given":"A","non-dropping-particle":"","parse-names":false,"suffix":""},{"dropping-particle":"","family":"Bel","given":"A J E","non-dropping-particle":"van","parse-names":false,"suffix":""}],"container-title":"Planta","id":"ITEM-2","issue":"1","issued":{"date-parts":[["1984","1"]]},"page":"46-52","title":"Phosphate uptake in Lemna gibba G1: energetics and kinetics","type":"article-journal","volume":"161"},"uris":["http://www.mendeley.com/documents/?uuid=e215a107-93db-4e12-b572-81d48037dcde"]}],"mendeley":{"formattedCitation":"(Furihata et al., 1992; Ullrich-Eberius et al., 1984)","plainTextFormattedCitation":"(Furihata et al., 1992; Ullrich-Eberius et al., 1984)","previouslyFormattedCitation":"(Furihata et al., 1992; Ullrich-Eberius et al., 1984)"},"properties":{"noteIndex":0},"schema":"https://github.com/citation-style-language/schema/raw/master/csl-citation.json"}</w:instrText>
      </w:r>
      <w:r w:rsidRPr="000D7D3D">
        <w:fldChar w:fldCharType="separate"/>
      </w:r>
      <w:r w:rsidRPr="000D7D3D">
        <w:rPr>
          <w:noProof/>
        </w:rPr>
        <w:t>(Furihata et al., 1992; Ullrich-Eberius et al., 1984)</w:t>
      </w:r>
      <w:r w:rsidRPr="000D7D3D">
        <w:fldChar w:fldCharType="end"/>
      </w:r>
      <w:r w:rsidRPr="000D7D3D">
        <w:t>.</w:t>
      </w:r>
    </w:p>
    <w:p w14:paraId="4708625E" w14:textId="436EFE4A" w:rsidR="000D7D3D" w:rsidRPr="000D7D3D" w:rsidRDefault="000D7D3D" w:rsidP="007F746A">
      <w:pPr>
        <w:ind w:firstLine="720"/>
      </w:pPr>
      <w:r w:rsidRPr="000D7D3D">
        <w:t>It is widely known that mycorrhizal fungi can improve plant Pi nutrition</w:t>
      </w:r>
      <w:r w:rsidR="00DA7615">
        <w:t>,</w:t>
      </w:r>
      <w:r w:rsidRPr="000D7D3D">
        <w:t xml:space="preserve"> primarily due to two reasons. First, mycelia are able to bridge the Pi depletion zone</w:t>
      </w:r>
      <w:r w:rsidR="00DA7615">
        <w:t>,</w:t>
      </w:r>
      <w:r w:rsidR="00A470A8">
        <w:t xml:space="preserve"> because they exhibit high-affinity for Pi via high-</w:t>
      </w:r>
      <w:r w:rsidRPr="000D7D3D">
        <w:t xml:space="preserve">affinity Pi transporters operating at the hyphal </w:t>
      </w:r>
      <w:r w:rsidR="004B1A02">
        <w:t xml:space="preserve">plasma </w:t>
      </w:r>
      <w:r w:rsidRPr="000D7D3D">
        <w:t xml:space="preserve">membrane </w:t>
      </w:r>
      <w:r w:rsidRPr="000D7D3D">
        <w:fldChar w:fldCharType="begin" w:fldLock="1"/>
      </w:r>
      <w:r w:rsidR="00EE33AB">
        <w:instrText>ADDIN CSL_CITATION {"citationItems":[{"id":"ITEM-1","itemData":{"DOI":"10.1074/jbc.M110.111021","ISBN":"1083-351X (Electronic)\\r0021-9258 (Linking)","ISSN":"00219258","PMID":"20479005","abstract":"Because pure cultures and a stable transformation system are not available for arbuscular mycorrhizal fungi, the role of their phosphate transporters for the symbiotic interaction with the plant up till now could not be studied. Here we report the cloning and the functional analysis of a gene encoding a phosphate transporter (PiPT) from the root endophytic fungus Piriformospora indica, which can be grown axenically. The PiPT polypeptide belongs to the major facilitator superfamily. Homology modeling reveals that PiPT exhibits twelve transmembrane helices divided into two halves connected by a large hydrophilic loop in the middle. The function of the protein encoded by PiPT was confirmed by complementation of a yeast phosphate transporter mutant. The kinetic analysis of PiPT (K(m) 25 mum) reveals that it belongs to the high affinity phosphate transporter family (Pht1). Expression of PiPT was localized to the external hyphae of P. indica colonized with maize plant root, which suggests that external hyphae are the initial site of phosphate uptake from the soil. To understand the physiological role of PiPT, knockdown transformants of the gene were prepared using electroporation and RNA interference. Knockdown transformants transported a significantly lower amount of phosphate to the host plant than wild-type P. indica. Higher amounts of phosphate were found in plants colonized with wild-type P. indica than that of non-colonized and plants colonized with knockdown PiPT P. indica. These observations suggest that PiPT is actively involved in the phosphate transportation and, in turn, P. indica helps improve the nutritional status of the host plant.","author":[{"dropping-particle":"","family":"Yadav","given":"Vikas","non-dropping-particle":"","parse-names":false,"suffix":""},{"dropping-particle":"","family":"Kumar","given":"Manoj","non-dropping-particle":"","parse-names":false,"suffix":""},{"dropping-particle":"","family":"Deep","given":"Ak Kumar","non-dropping-particle":"","parse-names":false,"suffix":""},{"dropping-particle":"","family":"Kumar","given":"Hemant","non-dropping-particle":"","parse-names":false,"suffix":""},{"dropping-particle":"","family":"Sharma","given":"Ruby","non-dropping-particle":"","parse-names":false,"suffix":""},{"dropping-particle":"","family":"Tripathi","given":"Takshashila","non-dropping-particle":"","parse-names":false,"suffix":""},{"dropping-particle":"","family":"Tuteja","given":"Narendra","non-dropping-particle":"","parse-names":false,"suffix":""},{"dropping-particle":"","family":"Saxena","given":"Ajay Kumar","non-dropping-particle":"","parse-names":false,"suffix":""},{"dropping-particle":"","family":"Johri","given":"Atul Kumar","non-dropping-particle":"","parse-names":false,"suffix":""}],"container-title":"Journal of Biological Chemistry","id":"ITEM-1","issue":"34","issued":{"date-parts":[["2010"]]},"page":"26532-26544","title":"A phosphate transporter from the root endophytic fungus Piriformospora indica plays a role in phosphate transport to the host plant","type":"article-journal","volume":"285"},"uris":["http://www.mendeley.com/documents/?uuid=517a6671-4d0f-4a94-90c3-a9767338473e"]}],"mendeley":{"formattedCitation":"(Yadav et al., 2010)","plainTextFormattedCitation":"(Yadav et al., 2010)","previouslyFormattedCitation":"(Yadav et al., 2010)"},"properties":{"noteIndex":0},"schema":"https://github.com/citation-style-language/schema/raw/master/csl-citation.json"}</w:instrText>
      </w:r>
      <w:r w:rsidRPr="000D7D3D">
        <w:fldChar w:fldCharType="separate"/>
      </w:r>
      <w:r w:rsidRPr="000D7D3D">
        <w:rPr>
          <w:noProof/>
        </w:rPr>
        <w:t>(Yadav et al., 2010)</w:t>
      </w:r>
      <w:r w:rsidRPr="000D7D3D">
        <w:fldChar w:fldCharType="end"/>
      </w:r>
      <w:r w:rsidRPr="000D7D3D">
        <w:t>. In addition, mycorrhizal fungi have high Pi solubilising and mobilising potential, where Pi-rich minerals can be solubilised by the excretion of protons</w:t>
      </w:r>
      <w:r w:rsidR="006769B0">
        <w:t xml:space="preserve"> (H</w:t>
      </w:r>
      <w:r w:rsidR="006769B0" w:rsidRPr="00635993">
        <w:rPr>
          <w:vertAlign w:val="superscript"/>
        </w:rPr>
        <w:t>+</w:t>
      </w:r>
      <w:r w:rsidR="006769B0">
        <w:t>)</w:t>
      </w:r>
      <w:r w:rsidRPr="000D7D3D">
        <w:t xml:space="preserve"> and low molecular weight organic acids (</w:t>
      </w:r>
      <w:r w:rsidR="00486351" w:rsidRPr="00635993">
        <w:t>LMW</w:t>
      </w:r>
      <w:r w:rsidRPr="000D7D3D">
        <w:t xml:space="preserve">OA) by the </w:t>
      </w:r>
      <w:r w:rsidR="00DA7615">
        <w:t>fungal</w:t>
      </w:r>
      <w:r w:rsidRPr="000D7D3D">
        <w:t xml:space="preserve"> mycelia </w:t>
      </w:r>
      <w:r w:rsidRPr="000D7D3D">
        <w:fldChar w:fldCharType="begin" w:fldLock="1"/>
      </w:r>
      <w:r w:rsidR="00EE33AB">
        <w:instrText>ADDIN CSL_CITATION {"citationItems":[{"id":"ITEM-1","itemData":{"DOI":"10.1111/j.1469-8137.1987.tb04797.x","ISSN":"0028-646X","author":[{"dropping-particle":"","family":"Lapeyrie","given":"F.","non-dropping-particle":"","parse-names":false,"suffix":""},{"dropping-particle":"","family":"Chilvers","given":"G. a.","non-dropping-particle":"","parse-names":false,"suffix":""},{"dropping-particle":"","family":"Bhem","given":"C. a.","non-dropping-particle":"","parse-names":false,"suffix":""}],"container-title":"New Phytologist","id":"ITEM-1","issue":"1","issued":{"date-parts":[["1987","5"]]},"page":"139-146","title":"Oxalic Acid Synthesis By the Mycorrhizal Fungus Paxillus Involutus (Batsch. Ex Fr.) Fr.","type":"article-journal","volume":"106"},"uris":["http://www.mendeley.com/documents/?uuid=af3301be-238a-4512-a82b-12216d1c74e8"]},{"id":"ITEM-2","itemData":{"DOI":"10.1139/b91-046","ISSN":"0008-4026","author":[{"dropping-particle":"","family":"Lapeyrie","given":"F","non-dropping-particle":"","parse-names":false,"suffix":""},{"dropping-particle":"","family":"Ranger","given":"J","non-dropping-particle":"","parse-names":false,"suffix":""},{"dropping-particle":"","family":"Vairelles","given":"D","non-dropping-particle":"","parse-names":false,"suffix":""}],"container-title":"Canadian Journal of Botany","id":"ITEM-2","issue":"2","issued":{"date-parts":[["1991","2","1"]]},"note":"doi: 10.1139/b91-046","page":"342-346","publisher":"NRC Research Press","title":"Phosphate-solubilizing activity of ectomycorrhizal fungi in vitro","type":"article-journal","volume":"69"},"uris":["http://www.mendeley.com/documents/?uuid=4906a540-2ecd-4f2f-a297-154ce76ea523"]},{"id":"ITEM-3","itemData":{"DOI":"10.1080/01490450902929324","ISBN":"0149-0451","ISSN":"01490451","abstract":"Ectomycorrhizal fungi are mutualistic symbionts of boreal forest trees and may mediate mineral weathering through their direct access to photosyntentically derived carbon. In soil, fungal mycelia (i) provide a large surface for nutrient uptake; (ii) induce intense colonization of nutrient rich substrates; (iii) cause local acidification and (iv) produce organic acids. Mechanisms of ectomyorrhizal fungi induced weathering in response to nutrient limiting growth conditions remains largely unresolved. This review summarizes how current knowledge on fungal weathering is affected by experimental setup and conditions, i.e., pure or symbiotic growth, nitrogen source, the mean of detecting weathering activity and species examined.","author":[{"dropping-particle":"","family":"Rosling","given":"Anna","non-dropping-particle":"","parse-names":false,"suffix":""}],"container-title":"Geomicrobiology Journal","id":"ITEM-3","issue":"6","issued":{"date-parts":[["2009"]]},"page":"389-401","title":"Trees, mycorrhiza and minerals - field relevance of in vitro experiments","type":"article-journal","volume":"26"},"uris":["http://www.mendeley.com/documents/?uuid=48dd7d54-3fbd-4b85-afd6-8ee329c4b40e"]}],"mendeley":{"formattedCitation":"(Lapeyrie et al., 1987, 1991; Rosling, 2009)","plainTextFormattedCitation":"(Lapeyrie et al., 1987, 1991; Rosling, 2009)","previouslyFormattedCitation":"(Lapeyrie et al., 1987, 1991; Rosling, 2009)"},"properties":{"noteIndex":0},"schema":"https://github.com/citation-style-language/schema/raw/master/csl-citation.json"}</w:instrText>
      </w:r>
      <w:r w:rsidRPr="000D7D3D">
        <w:fldChar w:fldCharType="separate"/>
      </w:r>
      <w:r w:rsidRPr="000D7D3D">
        <w:rPr>
          <w:noProof/>
        </w:rPr>
        <w:t>(Lapeyrie et al., 1987, 1991; Rosling, 2009)</w:t>
      </w:r>
      <w:r w:rsidRPr="000D7D3D">
        <w:fldChar w:fldCharType="end"/>
      </w:r>
      <w:r w:rsidRPr="000D7D3D">
        <w:t>.</w:t>
      </w:r>
    </w:p>
    <w:p w14:paraId="27B29959" w14:textId="50A706DE" w:rsidR="000D7D3D" w:rsidRPr="000D7D3D" w:rsidRDefault="00D55867" w:rsidP="00FB36B8">
      <w:pPr>
        <w:ind w:firstLine="720"/>
      </w:pPr>
      <w:r>
        <w:rPr>
          <w:i/>
        </w:rPr>
        <w:t>Paxillus</w:t>
      </w:r>
      <w:r w:rsidR="000D7D3D" w:rsidRPr="000D7D3D">
        <w:rPr>
          <w:i/>
        </w:rPr>
        <w:t xml:space="preserve"> involutus</w:t>
      </w:r>
      <w:r w:rsidR="000D7D3D" w:rsidRPr="000D7D3D">
        <w:t xml:space="preserve"> is an ectomycorrhizal </w:t>
      </w:r>
      <w:r w:rsidR="00486351">
        <w:t>(EM)-</w:t>
      </w:r>
      <w:r w:rsidR="000D7D3D" w:rsidRPr="000D7D3D">
        <w:t xml:space="preserve">forming fungus which has been extensively used in </w:t>
      </w:r>
      <w:r w:rsidR="000D7D3D" w:rsidRPr="000D7D3D">
        <w:rPr>
          <w:i/>
        </w:rPr>
        <w:t>in vitro</w:t>
      </w:r>
      <w:r w:rsidR="000D7D3D" w:rsidRPr="000D7D3D">
        <w:t xml:space="preserve"> solubilisation studies of Pi-rich minerals </w:t>
      </w:r>
      <w:r w:rsidR="000D7D3D" w:rsidRPr="000D7D3D">
        <w:fldChar w:fldCharType="begin" w:fldLock="1"/>
      </w:r>
      <w:r w:rsidR="00EE33AB">
        <w:instrText>ADDIN CSL_CITATION {"citationItems":[{"id":"ITEM-1","itemData":{"DOI":"10.1139/b91-046","ISSN":"0008-4026","author":[{"dropping-particle":"","family":"Lapeyrie","given":"F","non-dropping-particle":"","parse-names":false,"suffix":""},{"dropping-particle":"","family":"Ranger","given":"J","non-dropping-particle":"","parse-names":false,"suffix":""},{"dropping-particle":"","family":"Vairelles","given":"D","non-dropping-particle":"","parse-names":false,"suffix":""}],"container-title":"Canadian Journal of Botany","id":"ITEM-1","issue":"2","issued":{"date-parts":[["1991","2","1"]]},"note":"doi: 10.1139/b91-046","page":"342-346","publisher":"NRC Research Press","title":"Phosphate-solubilizing activity of ectomycorrhizal fungi in vitro","type":"article-journal","volume":"69"},"uris":["http://www.mendeley.com/documents/?uuid=4906a540-2ecd-4f2f-a297-154ce76ea523"]},{"id":"ITEM-2","itemData":{"DOI":"10.1180/minmag.2008.072.1.85","ISSN":"0026461X","author":[{"dropping-particle":"","family":"Leake","given":"J. R.","non-dropping-particle":"","parse-names":false,"suffix":""},{"dropping-particle":"","family":"Duran","given":"a. L.","non-dropping-particle":"","parse-names":false,"suffix":""},{"dropping-particle":"","family":"Hardy","given":"K. E.","non-dropping-particle":"","parse-names":false,"suffix":""},{"dropping-particle":"","family":"Johnson","given":"I.","non-dropping-particle":"","parse-names":false,"suffix":""},{"dropping-particle":"","family":"Beerling","given":"D. J.","non-dropping-particle":"","parse-names":false,"suffix":""},{"dropping-particle":"","family":"Banwart","given":"S. a.","non-dropping-particle":"","parse-names":false,"suffix":""},{"dropping-particle":"","family":"Smits","given":"M. M.","non-dropping-particle":"","parse-names":false,"suffix":""}],"container-title":"Mineralogical Magazine","id":"ITEM-2","issue":"1","issued":{"date-parts":[["2008","2","1"]]},"page":"85-89","title":"Biological weathering in soil: the role of symbiotic root-associated fungi biosensing minerals and directing photosynthate-energy into grain-scale mineral weathering","type":"article-journal","volume":"72"},"uris":["http://www.mendeley.com/documents/?uuid=8f1f2313-6e4d-45da-85de-8401fda7a19a"]},{"id":"ITEM-3","itemData":{"DOI":"10.1111/j.1472-4669.2012.00331.x","ISSN":"1472-4669","PMID":"22624799","abstract":"Ectomycorrhizal (EcM) fungi are increasingly recognized as important agents of mineral weathering and soil development, with far-reaching impacts on biogeochemical cycles. Because EcM fungi live in a symbiotic relationship with trees and in close contact with bacteria and archaea, it is difficult to distinguish between the weathering effects of the fungus, host tree and other micro-organisms. Here, we quantified mineral weathering by the fungus Paxillus involutus, growing in symbiosis with Pinus sylvestris under sterile conditions. The mycorrhizal trees were grown in specially designed sterile microcosms in which the supply of soluble phosphorus (P) in the bulk media was varied and grains of the calcium phosphate mineral apatite mixed with quartz, or quartz alone, were provided in plastic wells that were only accessed by their fungal partner. Under P limitation, pulse labelling of plants with (14)CO(2) revealed plant-to-fungus allocation of photosynthates, with 17 times more (14)C transferred into the apatite wells compared with wells with only quartz. Fungal colonization increased the release of P from apatite by almost a factor of three, from 7.5 (±1.1) × 10(-10) mol m(-2) s(-1) to 2.2 (±0.52) × 10(-9) mol m(-2) s(-1). On increasing the P supply in the microcosms from no added P, through apatite alone, to both apatite and orthophosphate, the proportion of biomass in roots progressively increased at the expense of the fungus. These three observations, (i) proportionately more plant energy investment in the fungal partner under P limitation, (ii) preferential fungal transport of photosynthate-derived carbon towards patches of apatite grains and (iii) fungal enhancement of weathering rate, reveal the tightly coupled plant-fungal interactions underpinning enhanced EcM weathering of apatite and its utilization as P source.","author":[{"dropping-particle":"","family":"Smits","given":"M M","non-dropping-particle":"","parse-names":false,"suffix":""},{"dropping-particle":"","family":"Bonneville","given":"S","non-dropping-particle":"","parse-names":false,"suffix":""},{"dropping-particle":"","family":"Benning","given":"L G","non-dropping-particle":"","parse-names":false,"suffix":""},{"dropping-particle":"","family":"Banwart","given":"S a","non-dropping-particle":"","parse-names":false,"suffix":""},{"dropping-particle":"","family":"Leake","given":"J R","non-dropping-particle":"","parse-names":false,"suffix":""}],"container-title":"Geobiology","id":"ITEM-3","issue":"5","issued":{"date-parts":[["2012","9"]]},"page":"445-56","title":"Plant-driven weathering of apatite--the role of an ectomycorrhizal fungus.","type":"article-journal","volume":"10"},"uris":["http://www.mendeley.com/documents/?uuid=93facf83-0170-4a2e-bf59-d0cc3badf46e"]}],"mendeley":{"formattedCitation":"(Lapeyrie et al., 1991; Leake et al., 2008; Smits et al., 2012)","plainTextFormattedCitation":"(Lapeyrie et al., 1991; Leake et al., 2008; Smits et al., 2012)","previouslyFormattedCitation":"(Lapeyrie et al., 1991; Leake et al., 2008; Smits et al., 2012)"},"properties":{"noteIndex":0},"schema":"https://github.com/citation-style-language/schema/raw/master/csl-citation.json"}</w:instrText>
      </w:r>
      <w:r w:rsidR="000D7D3D" w:rsidRPr="000D7D3D">
        <w:fldChar w:fldCharType="separate"/>
      </w:r>
      <w:r w:rsidR="000D7D3D" w:rsidRPr="000D7D3D">
        <w:rPr>
          <w:noProof/>
        </w:rPr>
        <w:t>(Lapeyrie et al., 1991; Leake et al., 2008; Smits et al., 2012)</w:t>
      </w:r>
      <w:r w:rsidR="000D7D3D" w:rsidRPr="000D7D3D">
        <w:fldChar w:fldCharType="end"/>
      </w:r>
      <w:r w:rsidR="000D7D3D" w:rsidRPr="000D7D3D">
        <w:t xml:space="preserve">. In particular, Lapeyrie et al. (1991) demonstrated that </w:t>
      </w:r>
      <w:r w:rsidR="000D7D3D" w:rsidRPr="000D7D3D">
        <w:rPr>
          <w:i/>
        </w:rPr>
        <w:t xml:space="preserve">P. involutus </w:t>
      </w:r>
      <w:r w:rsidR="000D7D3D" w:rsidRPr="000D7D3D">
        <w:t xml:space="preserve">exhibits high Pi-solubilising potential, particularly for synthetic calcium phosphate minerals, but not for natural </w:t>
      </w:r>
      <w:r w:rsidR="000D7D3D" w:rsidRPr="000D7D3D">
        <w:fldChar w:fldCharType="begin" w:fldLock="1"/>
      </w:r>
      <w:r w:rsidR="00EE33AB">
        <w:instrText>ADDIN CSL_CITATION {"citationItems":[{"id":"ITEM-1","itemData":{"DOI":"10.1139/b91-046","ISSN":"0008-4026","author":[{"dropping-particle":"","family":"Lapeyrie","given":"F","non-dropping-particle":"","parse-names":false,"suffix":""},{"dropping-particle":"","family":"Ranger","given":"J","non-dropping-particle":"","parse-names":false,"suffix":""},{"dropping-particle":"","family":"Vairelles","given":"D","non-dropping-particle":"","parse-names":false,"suffix":""}],"container-title":"Canadian Journal of Botany","id":"ITEM-1","issue":"2","issued":{"date-parts":[["1991","2","1"]]},"note":"doi: 10.1139/b91-046","page":"342-346","publisher":"NRC Research Press","title":"Phosphate-solubilizing activity of ectomycorrhizal fungi in vitro","type":"article-journal","volume":"69"},"uris":["http://www.mendeley.com/documents/?uuid=4906a540-2ecd-4f2f-a297-154ce76ea523"]}],"mendeley":{"formattedCitation":"(Lapeyrie et al., 1991)","plainTextFormattedCitation":"(Lapeyrie et al., 1991)","previouslyFormattedCitation":"(Lapeyrie et al., 1991)"},"properties":{"noteIndex":0},"schema":"https://github.com/citation-style-language/schema/raw/master/csl-citation.json"}</w:instrText>
      </w:r>
      <w:r w:rsidR="000D7D3D" w:rsidRPr="000D7D3D">
        <w:fldChar w:fldCharType="separate"/>
      </w:r>
      <w:r w:rsidR="000D7D3D" w:rsidRPr="000D7D3D">
        <w:rPr>
          <w:noProof/>
        </w:rPr>
        <w:t>(Lapeyrie et al., 1991)</w:t>
      </w:r>
      <w:r w:rsidR="000D7D3D" w:rsidRPr="000D7D3D">
        <w:fldChar w:fldCharType="end"/>
      </w:r>
      <w:r w:rsidR="000D7D3D" w:rsidRPr="000D7D3D">
        <w:t xml:space="preserve">. However, research on apatite weathering indicates that when </w:t>
      </w:r>
      <w:r w:rsidR="000D7D3D" w:rsidRPr="000D7D3D">
        <w:rPr>
          <w:i/>
        </w:rPr>
        <w:t>P. involutus</w:t>
      </w:r>
      <w:r w:rsidR="000D7D3D" w:rsidRPr="000D7D3D">
        <w:t xml:space="preserve"> is in symbiosis with </w:t>
      </w:r>
      <w:r w:rsidRPr="00D55867">
        <w:rPr>
          <w:i/>
        </w:rPr>
        <w:t>P</w:t>
      </w:r>
      <w:r>
        <w:rPr>
          <w:i/>
        </w:rPr>
        <w:t>inus</w:t>
      </w:r>
      <w:r w:rsidRPr="00D55867">
        <w:rPr>
          <w:i/>
        </w:rPr>
        <w:t xml:space="preserve"> sylvestris</w:t>
      </w:r>
      <w:r w:rsidR="000D7D3D" w:rsidRPr="000D7D3D">
        <w:t xml:space="preserve"> seedlings, natural apatite rock solubilisation occurs. However, rates of dissolution are dependent on mineral grain size, where the finer the grain size the greater the weathering </w:t>
      </w:r>
      <w:r w:rsidR="000D7D3D" w:rsidRPr="000D7D3D">
        <w:lastRenderedPageBreak/>
        <w:t xml:space="preserve">rate </w:t>
      </w:r>
      <w:r w:rsidR="000D7D3D" w:rsidRPr="000D7D3D">
        <w:fldChar w:fldCharType="begin" w:fldLock="1"/>
      </w:r>
      <w:r w:rsidR="00EE33AB">
        <w:instrText>ADDIN CSL_CITATION {"citationItems":[{"id":"ITEM-1","itemData":{"DOI":"10.1180/minmag.2008.072.1.85","ISSN":"0026461X","author":[{"dropping-particle":"","family":"Leake","given":"J. R.","non-dropping-particle":"","parse-names":false,"suffix":""},{"dropping-particle":"","family":"Duran","given":"a. L.","non-dropping-particle":"","parse-names":false,"suffix":""},{"dropping-particle":"","family":"Hardy","given":"K. E.","non-dropping-particle":"","parse-names":false,"suffix":""},{"dropping-particle":"","family":"Johnson","given":"I.","non-dropping-particle":"","parse-names":false,"suffix":""},{"dropping-particle":"","family":"Beerling","given":"D. J.","non-dropping-particle":"","parse-names":false,"suffix":""},{"dropping-particle":"","family":"Banwart","given":"S. a.","non-dropping-particle":"","parse-names":false,"suffix":""},{"dropping-particle":"","family":"Smits","given":"M. M.","non-dropping-particle":"","parse-names":false,"suffix":""}],"container-title":"Mineralogical Magazine","id":"ITEM-1","issue":"1","issued":{"date-parts":[["2008","2","1"]]},"page":"85-89","title":"Biological weathering in soil: the role of symbiotic root-associated fungi biosensing minerals and directing photosynthate-energy into grain-scale mineral weathering","type":"article-journal","volume":"72"},"uris":["http://www.mendeley.com/documents/?uuid=8f1f2313-6e4d-45da-85de-8401fda7a19a"]}],"mendeley":{"formattedCitation":"(Leake et al., 2008)","plainTextFormattedCitation":"(Leake et al., 2008)","previouslyFormattedCitation":"(Leake et al., 2008)"},"properties":{"noteIndex":0},"schema":"https://github.com/citation-style-language/schema/raw/master/csl-citation.json"}</w:instrText>
      </w:r>
      <w:r w:rsidR="000D7D3D" w:rsidRPr="000D7D3D">
        <w:fldChar w:fldCharType="separate"/>
      </w:r>
      <w:r w:rsidR="000D7D3D" w:rsidRPr="000D7D3D">
        <w:rPr>
          <w:noProof/>
        </w:rPr>
        <w:t>(Leake et al., 2008)</w:t>
      </w:r>
      <w:r w:rsidR="000D7D3D" w:rsidRPr="000D7D3D">
        <w:fldChar w:fldCharType="end"/>
      </w:r>
      <w:r w:rsidR="000D7D3D" w:rsidRPr="000D7D3D">
        <w:t xml:space="preserve">. In addition, it has been demonstrated that </w:t>
      </w:r>
      <w:r w:rsidR="000D7D3D" w:rsidRPr="000D7D3D">
        <w:rPr>
          <w:i/>
        </w:rPr>
        <w:t>P. involutus</w:t>
      </w:r>
      <w:r w:rsidR="000D7D3D" w:rsidRPr="000D7D3D">
        <w:t xml:space="preserve"> produces </w:t>
      </w:r>
      <w:r w:rsidR="00972531" w:rsidRPr="00720F46">
        <w:t>LMW</w:t>
      </w:r>
      <w:r w:rsidR="00972531" w:rsidRPr="000D7D3D">
        <w:t>OA</w:t>
      </w:r>
      <w:r w:rsidR="000D7D3D" w:rsidRPr="000D7D3D">
        <w:t xml:space="preserve">, primarily oxalic acid, during its Pi-rich mineral solubilising activity, which in turn results in the formation of secondary minerals such as calcium oxalates </w:t>
      </w:r>
      <w:r w:rsidR="000D7D3D" w:rsidRPr="000D7D3D">
        <w:fldChar w:fldCharType="begin" w:fldLock="1"/>
      </w:r>
      <w:r w:rsidR="00EE33AB">
        <w:instrText>ADDIN CSL_CITATION {"citationItems":[{"id":"ITEM-1","itemData":{"DOI":"10.1139/b91-046","ISSN":"0008-4026","author":[{"dropping-particle":"","family":"Lapeyrie","given":"F","non-dropping-particle":"","parse-names":false,"suffix":""},{"dropping-particle":"","family":"Ranger","given":"J","non-dropping-particle":"","parse-names":false,"suffix":""},{"dropping-particle":"","family":"Vairelles","given":"D","non-dropping-particle":"","parse-names":false,"suffix":""}],"container-title":"Canadian Journal of Botany","id":"ITEM-1","issue":"2","issued":{"date-parts":[["1991","2","1"]]},"note":"doi: 10.1139/b91-046","page":"342-346","publisher":"NRC Research Press","title":"Phosphate-solubilizing activity of ectomycorrhizal fungi in vitro","type":"article-journal","volume":"69"},"uris":["http://www.mendeley.com/documents/?uuid=4906a540-2ecd-4f2f-a297-154ce76ea523"]}],"mendeley":{"formattedCitation":"(Lapeyrie et al., 1991)","plainTextFormattedCitation":"(Lapeyrie et al., 1991)","previouslyFormattedCitation":"(Lapeyrie et al., 1991)"},"properties":{"noteIndex":0},"schema":"https://github.com/citation-style-language/schema/raw/master/csl-citation.json"}</w:instrText>
      </w:r>
      <w:r w:rsidR="000D7D3D" w:rsidRPr="000D7D3D">
        <w:fldChar w:fldCharType="separate"/>
      </w:r>
      <w:r w:rsidR="000D7D3D" w:rsidRPr="000D7D3D">
        <w:rPr>
          <w:noProof/>
        </w:rPr>
        <w:t>(Lapeyrie et al., 1991)</w:t>
      </w:r>
      <w:r w:rsidR="000D7D3D" w:rsidRPr="000D7D3D">
        <w:fldChar w:fldCharType="end"/>
      </w:r>
      <w:r w:rsidR="000D7D3D" w:rsidRPr="000D7D3D">
        <w:t xml:space="preserve">. </w:t>
      </w:r>
    </w:p>
    <w:p w14:paraId="09B1C613" w14:textId="21931D87" w:rsidR="000D7D3D" w:rsidRPr="000D7D3D" w:rsidRDefault="000D7D3D" w:rsidP="00FB36B8">
      <w:pPr>
        <w:ind w:firstLine="720"/>
      </w:pPr>
      <w:r w:rsidRPr="000D7D3D">
        <w:t xml:space="preserve">In the present study, a solubilisation system was designed which uses synthetic </w:t>
      </w:r>
      <w:r w:rsidR="00972531">
        <w:t>HAP</w:t>
      </w:r>
      <w:r w:rsidRPr="000D7D3D">
        <w:t xml:space="preserve">, in order to investigate its solubilisation by the fungal hyphae of </w:t>
      </w:r>
      <w:r w:rsidRPr="000D7D3D">
        <w:rPr>
          <w:i/>
        </w:rPr>
        <w:t>P. involutus</w:t>
      </w:r>
      <w:r w:rsidRPr="000D7D3D">
        <w:t xml:space="preserve">. This system utilises </w:t>
      </w:r>
      <w:r w:rsidR="00972531">
        <w:t>HAP</w:t>
      </w:r>
      <w:r w:rsidRPr="000D7D3D">
        <w:t>-coated polystyrene disc</w:t>
      </w:r>
      <w:r w:rsidR="00D55867">
        <w:t>s</w:t>
      </w:r>
      <w:r w:rsidRPr="000D7D3D">
        <w:t xml:space="preserve"> embedded in a medium depleted of Pi, forcing the fungus to solubilise </w:t>
      </w:r>
      <w:r w:rsidR="00972531">
        <w:t>HAP</w:t>
      </w:r>
      <w:r w:rsidR="00972531" w:rsidRPr="000D7D3D">
        <w:t xml:space="preserve"> </w:t>
      </w:r>
      <w:r w:rsidRPr="000D7D3D">
        <w:t xml:space="preserve">as a source of Pi. </w:t>
      </w:r>
      <w:r w:rsidRPr="000D7D3D">
        <w:rPr>
          <w:i/>
        </w:rPr>
        <w:t>P. involutus</w:t>
      </w:r>
      <w:r w:rsidRPr="000D7D3D">
        <w:t xml:space="preserve"> is a facultative </w:t>
      </w:r>
      <w:r w:rsidR="00972531">
        <w:t>EM</w:t>
      </w:r>
      <w:r w:rsidR="00972531" w:rsidRPr="000D7D3D">
        <w:t xml:space="preserve"> </w:t>
      </w:r>
      <w:r w:rsidR="0035576A">
        <w:t>fungus</w:t>
      </w:r>
      <w:r w:rsidRPr="000D7D3D">
        <w:t xml:space="preserve"> and can grow without forming EM symbiosis with a host plant. In this </w:t>
      </w:r>
      <w:r w:rsidR="003F061A">
        <w:t>c</w:t>
      </w:r>
      <w:r w:rsidRPr="000D7D3D">
        <w:t xml:space="preserve">hapter, the solubilisation experiment will focus on </w:t>
      </w:r>
      <w:r w:rsidRPr="000D7D3D">
        <w:rPr>
          <w:i/>
        </w:rPr>
        <w:t>P. involutus</w:t>
      </w:r>
      <w:r w:rsidRPr="000D7D3D">
        <w:t xml:space="preserve"> geochemical weathering activity in isolation from its usual host trees. Chapter 5, on the other hand, will use a modified version of the experimental systems developed here to investigate how these responses change when the fungus is in symbiosis with the host partner (</w:t>
      </w:r>
      <w:r w:rsidR="00D55867" w:rsidRPr="00D55867">
        <w:rPr>
          <w:i/>
        </w:rPr>
        <w:t>P. sylvestris</w:t>
      </w:r>
      <w:r w:rsidR="00D55867">
        <w:t>).</w:t>
      </w:r>
      <w:r w:rsidRPr="000D7D3D">
        <w:t xml:space="preserve"> Three different strains of </w:t>
      </w:r>
      <w:r w:rsidRPr="000D7D3D">
        <w:rPr>
          <w:i/>
        </w:rPr>
        <w:t>P. involutus</w:t>
      </w:r>
      <w:r w:rsidRPr="000D7D3D">
        <w:t xml:space="preserve"> described before, </w:t>
      </w:r>
      <w:r w:rsidRPr="000D7D3D">
        <w:rPr>
          <w:i/>
        </w:rPr>
        <w:t>P. involutus</w:t>
      </w:r>
      <w:r w:rsidRPr="000D7D3D">
        <w:t xml:space="preserve"> </w:t>
      </w:r>
      <w:r w:rsidRPr="000D7D3D">
        <w:rPr>
          <w:i/>
        </w:rPr>
        <w:t>ATCC 200175</w:t>
      </w:r>
      <w:r w:rsidRPr="000D7D3D">
        <w:t xml:space="preserve">, </w:t>
      </w:r>
      <w:r w:rsidRPr="000D7D3D">
        <w:rPr>
          <w:i/>
        </w:rPr>
        <w:t xml:space="preserve">P. involutus 13 </w:t>
      </w:r>
      <w:r w:rsidRPr="000D7D3D">
        <w:t xml:space="preserve">and </w:t>
      </w:r>
      <w:r w:rsidRPr="000D7D3D">
        <w:rPr>
          <w:i/>
        </w:rPr>
        <w:t>P. involutus DJR1,</w:t>
      </w:r>
      <w:r w:rsidRPr="000D7D3D">
        <w:t xml:space="preserve"> will be used to identify which strain performs best within the </w:t>
      </w:r>
      <w:r w:rsidR="00D55867">
        <w:t xml:space="preserve">HAP </w:t>
      </w:r>
      <w:r w:rsidRPr="000D7D3D">
        <w:t>solubilisation system presented.</w:t>
      </w:r>
    </w:p>
    <w:p w14:paraId="0408791C" w14:textId="7804FC14" w:rsidR="000D7D3D" w:rsidRPr="000D7D3D" w:rsidRDefault="000D7D3D" w:rsidP="007C3C15">
      <w:pPr>
        <w:ind w:firstLine="720"/>
      </w:pPr>
      <w:r w:rsidRPr="000D7D3D">
        <w:t xml:space="preserve">This chapter will investigate four central hypotheses, which were tested within the </w:t>
      </w:r>
      <w:r w:rsidR="00972531">
        <w:t>HAP</w:t>
      </w:r>
      <w:r w:rsidR="00972531" w:rsidRPr="000D7D3D">
        <w:t xml:space="preserve"> </w:t>
      </w:r>
      <w:r w:rsidR="0035576A">
        <w:t>solubilisation system:</w:t>
      </w:r>
    </w:p>
    <w:p w14:paraId="541ACF1C" w14:textId="2DFD3D4F" w:rsidR="000D7D3D" w:rsidRPr="000D7D3D" w:rsidRDefault="00972531" w:rsidP="00635993">
      <w:r>
        <w:t xml:space="preserve">1. </w:t>
      </w:r>
      <w:r w:rsidR="000D7D3D" w:rsidRPr="000D7D3D">
        <w:rPr>
          <w:i/>
        </w:rPr>
        <w:t>P. involutus</w:t>
      </w:r>
      <w:r w:rsidR="000D7D3D" w:rsidRPr="000D7D3D">
        <w:t xml:space="preserve"> hyphae will preferentially colonise and dissolve </w:t>
      </w:r>
      <w:r>
        <w:t xml:space="preserve">microcrystalline </w:t>
      </w:r>
      <w:r w:rsidR="000D7D3D" w:rsidRPr="000D7D3D">
        <w:t>HA</w:t>
      </w:r>
      <w:r>
        <w:t>P</w:t>
      </w:r>
      <w:r w:rsidR="000D7D3D" w:rsidRPr="000D7D3D">
        <w:t xml:space="preserve">, </w:t>
      </w:r>
      <w:r w:rsidR="003C2A80">
        <w:t>decreasing its P content</w:t>
      </w:r>
      <w:r w:rsidR="000D7D3D" w:rsidRPr="000D7D3D">
        <w:t xml:space="preserve">. This hypothesis will be tested by energy-dispersive X-ray (EDX) spectroscopy on colonised or un-colonised </w:t>
      </w:r>
      <w:r>
        <w:t>HAP</w:t>
      </w:r>
      <w:r w:rsidRPr="000D7D3D">
        <w:t xml:space="preserve"> </w:t>
      </w:r>
      <w:r w:rsidR="000D7D3D" w:rsidRPr="000D7D3D">
        <w:t>crystals, visualised through scanning electron microscopy (SEM).</w:t>
      </w:r>
    </w:p>
    <w:p w14:paraId="238837E5" w14:textId="3A62FAF3" w:rsidR="000D7D3D" w:rsidRPr="000D7D3D" w:rsidRDefault="00972531" w:rsidP="00635993">
      <w:r>
        <w:t xml:space="preserve">2. </w:t>
      </w:r>
      <w:r w:rsidR="000D7D3D" w:rsidRPr="000D7D3D">
        <w:t>Release of base-cations (Ca</w:t>
      </w:r>
      <w:r w:rsidR="000D7D3D" w:rsidRPr="000D7D3D">
        <w:rPr>
          <w:vertAlign w:val="superscript"/>
        </w:rPr>
        <w:t>2+</w:t>
      </w:r>
      <w:r w:rsidR="000D7D3D" w:rsidRPr="000D7D3D">
        <w:t>) from HA</w:t>
      </w:r>
      <w:r w:rsidR="00BF3645">
        <w:t>P</w:t>
      </w:r>
      <w:r w:rsidR="000D7D3D" w:rsidRPr="000D7D3D">
        <w:t xml:space="preserve"> solubilisation can cause saturation of the mineral-fungus fluid interface, owing to Ca</w:t>
      </w:r>
      <w:r w:rsidR="000D7D3D" w:rsidRPr="000D7D3D">
        <w:rPr>
          <w:vertAlign w:val="superscript"/>
        </w:rPr>
        <w:t>2+</w:t>
      </w:r>
      <w:r w:rsidR="000D7D3D" w:rsidRPr="000D7D3D">
        <w:t xml:space="preserve"> release by the fungus along the fungal hyphae </w:t>
      </w:r>
      <w:r w:rsidR="000D7D3D" w:rsidRPr="000D7D3D">
        <w:fldChar w:fldCharType="begin" w:fldLock="1"/>
      </w:r>
      <w:r w:rsidR="00EE33AB">
        <w:instrText>ADDIN CSL_CITATION {"citationItems":[{"id":"ITEM-1","itemData":{"DOI":"https://doi.org/10.1016/j.fbr.2014.05.001","ISSN":"1749-4613","author":[{"dropping-particle":"","family":"Gadd","given":"Geoffrey Michael","non-dropping-particle":"","parse-names":false,"suffix":""},{"dropping-particle":"","family":"Bahri-Esfahani","given":"Jaleh","non-dropping-particle":"","parse-names":false,"suffix":""},{"dropping-particle":"","family":"Li","given":"Qianwei","non-dropping-particle":"","parse-names":false,"suffix":""},{"dropping-particle":"","family":"Rhee","given":"Young Joon","non-dropping-particle":"","parse-names":false,"suffix":""},{"dropping-particle":"","family":"Wei","given":"Zhan","non-dropping-particle":"","parse-names":false,"suffix":""},{"dropping-particle":"","family":"Fomina","given":"Marina","non-dropping-particle":"","parse-names":false,"suffix":""},{"dropping-particle":"","family":"Liang","given":"Xinjin","non-dropping-particle":"","parse-names":false,"suffix":""}],"container-title":"Fungal Biology Reviews","id":"ITEM-1","issue":"2","issued":{"date-parts":[["2014"]]},"page":"36-55","title":"Oxalate production by fungi: significance in geomycology, biodeterioration and bioremediation","type":"article-journal","volume":"28"},"uris":["http://www.mendeley.com/documents/?uuid=175ec618-f4cf-43f6-870e-31cd14149a5d"]}],"mendeley":{"formattedCitation":"(Gadd et al., 2014)","plainTextFormattedCitation":"(Gadd et al., 2014)","previouslyFormattedCitation":"(Gadd et al., 2014)"},"properties":{"noteIndex":0},"schema":"https://github.com/citation-style-language/schema/raw/master/csl-citation.json"}</w:instrText>
      </w:r>
      <w:r w:rsidR="000D7D3D" w:rsidRPr="000D7D3D">
        <w:fldChar w:fldCharType="separate"/>
      </w:r>
      <w:r w:rsidR="000D7D3D" w:rsidRPr="000D7D3D">
        <w:rPr>
          <w:noProof/>
        </w:rPr>
        <w:t>(Gadd et al., 2014)</w:t>
      </w:r>
      <w:r w:rsidR="000D7D3D" w:rsidRPr="000D7D3D">
        <w:fldChar w:fldCharType="end"/>
      </w:r>
      <w:r w:rsidR="000D7D3D" w:rsidRPr="000D7D3D">
        <w:t xml:space="preserve">. This in turn may cause secondary minerals such as calcium oxalates to precipitate around the solubilisation area </w:t>
      </w:r>
      <w:r w:rsidR="000D7D3D" w:rsidRPr="000D7D3D">
        <w:fldChar w:fldCharType="begin" w:fldLock="1"/>
      </w:r>
      <w:r w:rsidR="00EE33AB">
        <w:instrText>ADDIN CSL_CITATION {"citationItems":[{"id":"ITEM-1","itemData":{"DOI":"https://doi.org/10.1016/j.fbr.2014.05.001","ISSN":"1749-4613","author":[{"dropping-particle":"","family":"Gadd","given":"Geoffrey Michael","non-dropping-particle":"","parse-names":false,"suffix":""},{"dropping-particle":"","family":"Bahri-Esfahani","given":"Jaleh","non-dropping-particle":"","parse-names":false,"suffix":""},{"dropping-particle":"","family":"Li","given":"Qianwei","non-dropping-particle":"","parse-names":false,"suffix":""},{"dropping-particle":"","family":"Rhee","given":"Young Joon","non-dropping-particle":"","parse-names":false,"suffix":""},{"dropping-particle":"","family":"Wei","given":"Zhan","non-dropping-particle":"","parse-names":false,"suffix":""},{"dropping-particle":"","family":"Fomina","given":"Marina","non-dropping-particle":"","parse-names":false,"suffix":""},{"dropping-particle":"","family":"Liang","given":"Xinjin","non-dropping-particle":"","parse-names":false,"suffix":""}],"container-title":"Fungal Biology Reviews","id":"ITEM-1","issue":"2","issued":{"date-parts":[["2014"]]},"page":"36-55","title":"Oxalate production by fungi: significance in geomycology, biodeterioration and bioremediation","type":"article-journal","volume":"28"},"uris":["http://www.mendeley.com/documents/?uuid=175ec618-f4cf-43f6-870e-31cd14149a5d"]}],"mendeley":{"formattedCitation":"(Gadd et al., 2014)","plainTextFormattedCitation":"(Gadd et al., 2014)","previouslyFormattedCitation":"(Gadd et al., 2014)"},"properties":{"noteIndex":0},"schema":"https://github.com/citation-style-language/schema/raw/master/csl-citation.json"}</w:instrText>
      </w:r>
      <w:r w:rsidR="000D7D3D" w:rsidRPr="000D7D3D">
        <w:fldChar w:fldCharType="separate"/>
      </w:r>
      <w:r w:rsidR="000D7D3D" w:rsidRPr="000D7D3D">
        <w:rPr>
          <w:noProof/>
        </w:rPr>
        <w:t>(Gadd et al., 2014)</w:t>
      </w:r>
      <w:r w:rsidR="000D7D3D" w:rsidRPr="000D7D3D">
        <w:fldChar w:fldCharType="end"/>
      </w:r>
      <w:r w:rsidR="000D7D3D" w:rsidRPr="000D7D3D">
        <w:t>. HA</w:t>
      </w:r>
      <w:r w:rsidR="00BF3645">
        <w:t>P</w:t>
      </w:r>
      <w:r w:rsidR="000D7D3D" w:rsidRPr="000D7D3D">
        <w:t xml:space="preserve"> solubilisation by </w:t>
      </w:r>
      <w:r w:rsidR="000D7D3D" w:rsidRPr="000D7D3D">
        <w:rPr>
          <w:i/>
        </w:rPr>
        <w:t>P. involutus</w:t>
      </w:r>
      <w:r w:rsidR="000D7D3D" w:rsidRPr="000D7D3D">
        <w:t xml:space="preserve"> will precipitate secondary minerals on the surface of </w:t>
      </w:r>
      <w:r w:rsidR="00D55867">
        <w:t>HAP</w:t>
      </w:r>
      <w:r w:rsidR="000D7D3D" w:rsidRPr="000D7D3D">
        <w:t xml:space="preserve">-coated polystyrene discs. The formation of secondary crystals will be visualised through microscopy, and their atomic composition will be assessed through SEM-EDX </w:t>
      </w:r>
      <w:r w:rsidR="00D55867">
        <w:t>analysis</w:t>
      </w:r>
      <w:r w:rsidR="000D7D3D" w:rsidRPr="000D7D3D">
        <w:t>.</w:t>
      </w:r>
    </w:p>
    <w:p w14:paraId="3BD5140C" w14:textId="3DCE6AFB" w:rsidR="000D7D3D" w:rsidRPr="000D7D3D" w:rsidRDefault="00BF3645" w:rsidP="00635993">
      <w:r>
        <w:lastRenderedPageBreak/>
        <w:t xml:space="preserve">3. </w:t>
      </w:r>
      <w:r w:rsidR="000D7D3D" w:rsidRPr="000D7D3D">
        <w:t>Fungal H</w:t>
      </w:r>
      <w:r w:rsidR="000D7D3D" w:rsidRPr="000D7D3D">
        <w:rPr>
          <w:vertAlign w:val="superscript"/>
        </w:rPr>
        <w:t>+</w:t>
      </w:r>
      <w:r w:rsidR="000D7D3D" w:rsidRPr="000D7D3D">
        <w:t>-ATPase and LMWOA transporter gen</w:t>
      </w:r>
      <w:r w:rsidR="00C501AE">
        <w:t>es will be transcriptionally up</w:t>
      </w:r>
      <w:r w:rsidR="000D7D3D" w:rsidRPr="000D7D3D">
        <w:t>regulated on contacting HA</w:t>
      </w:r>
      <w:r>
        <w:t>P</w:t>
      </w:r>
      <w:r w:rsidR="000D7D3D" w:rsidRPr="000D7D3D">
        <w:t>, due to the primary role of LMWOA and H</w:t>
      </w:r>
      <w:r w:rsidR="000D7D3D" w:rsidRPr="000D7D3D">
        <w:rPr>
          <w:vertAlign w:val="superscript"/>
        </w:rPr>
        <w:t>+</w:t>
      </w:r>
      <w:r w:rsidR="000D7D3D" w:rsidRPr="000D7D3D">
        <w:t xml:space="preserve"> in </w:t>
      </w:r>
      <w:r>
        <w:t>HAP</w:t>
      </w:r>
      <w:r w:rsidRPr="000D7D3D">
        <w:t xml:space="preserve"> </w:t>
      </w:r>
      <w:r w:rsidR="000D7D3D" w:rsidRPr="000D7D3D">
        <w:t xml:space="preserve">solubilisation </w:t>
      </w:r>
      <w:r w:rsidR="000D7D3D" w:rsidRPr="000D7D3D">
        <w:fldChar w:fldCharType="begin" w:fldLock="1"/>
      </w:r>
      <w:r w:rsidR="00EE33AB">
        <w:instrText>ADDIN CSL_CITATION {"citationItems":[{"id":"ITEM-1","itemData":{"DOI":"10.1007/s11104-007-9513-0","ISSN":"0032-079X","author":[{"dropping-particle":"","family":"Schöll","given":"Laura","non-dropping-particle":"van","parse-names":false,"suffix":""},{"dropping-particle":"","family":"Kuyper","given":"Thomas W.","non-dropping-particle":"","parse-names":false,"suffix":""},{"dropping-particle":"","family":"Smits","given":"Mark M.","non-dropping-particle":"","parse-names":false,"suffix":""},{"dropping-particle":"","family":"Landeweert","given":"Renske","non-dropping-particle":"","parse-names":false,"suffix":""},{"dropping-particle":"","family":"Hoffland","given":"Ellis","non-dropping-particle":"","parse-names":false,"suffix":""},{"dropping-particle":"Van","family":"Breemen","given":"Nico","non-dropping-particle":"","parse-names":false,"suffix":""}],"container-title":"Plant and Soil","id":"ITEM-1","issue":"1-2","issued":{"date-parts":[["2007","12","21"]]},"page":"35-47","title":"Rock-eating mycorrhizas: their role in plant nutrition and biogeochemical cycles","type":"article-journal","volume":"303"},"uris":["http://www.mendeley.com/documents/?uuid=874583c9-16c0-4aea-84ab-1c03a951fb02"]},{"id":"ITEM-2","itemData":{"DOI":"10.1111/j.1469-8137.2006.01649.x","ISSN":"0028-646X","PMID":"16539612","abstract":"Low molecular weight organic anions (LMWOA) can enhance weathering of mineral grains. We tested the hypothesis that ectomycorrhizal (EcM) fungi and tree seedlings increase their exudation of LMWOA when supply of magnesium, potassium and phosphorus is low to enhance the mobilization of Mg, K and P from mineral grains. Ectomycorrhizal fungi and Pinus sylvestris seedlings were cultured in symbiosis and in isolation on glass beads with nutrient solution or with sand as a rooting medium, with a complete nutrient supply or with Mg, K, P or N in low supply. Concentrations of all dicarboxylic LMWOA in the rooting medium were measured. Nonmycorrhizal seedlings released predominantly malonate. Colonization with Hebeloma longicaudum decreased the amount of organic anions exuded, whereas Paxillus involutus and Piloderma croceum increased the concentration of oxalate but not the total amount of LMWOA. Phosphorus deficiency increased the concentration of LMWOA by nonmycorrhizal and EcM seedlings. Magnesium deficiency increased the concentration of oxalate by nonmycorrhizal and EcM seedlings, but not the concentration of total LMWOA. Paxillus involutus grown in pure culture responded differently to low nutrient supply compared with symbiotic growth. Ectomycorrhizal fungi did not increase the total concentration of LMWOA compared with nonmycorrhizal seedlings but, depending on the fungal species, they affected the type of LMWOA found.","author":[{"dropping-particle":"","family":"Schöll","given":"Laura","non-dropping-particle":"van","parse-names":false,"suffix":""},{"dropping-particle":"","family":"Hoffland","given":"Ellis","non-dropping-particle":"","parse-names":false,"suffix":""},{"dropping-particle":"","family":"Breemen","given":"Nico","non-dropping-particle":"van","parse-names":false,"suffix":""}],"container-title":"The New phytologist","id":"ITEM-2","issue":"1","issued":{"date-parts":[["2006","1"]]},"page":"153-63","title":"Organic anion exudation by ectomycorrhizal fungi and Pinus sylvestris in response to nutrient deficiencies.","type":"article-journal","volume":"170"},"uris":["http://www.mendeley.com/documents/?uuid=108984f8-a009-4d3f-9a3c-fab934dea47a"]}],"mendeley":{"formattedCitation":"(van Schöll et al., 2007, 2006a)","plainTextFormattedCitation":"(van Schöll et al., 2007, 2006a)","previouslyFormattedCitation":"(van Schöll et al., 2007, 2006a)"},"properties":{"noteIndex":0},"schema":"https://github.com/citation-style-language/schema/raw/master/csl-citation.json"}</w:instrText>
      </w:r>
      <w:r w:rsidR="000D7D3D" w:rsidRPr="000D7D3D">
        <w:fldChar w:fldCharType="separate"/>
      </w:r>
      <w:r w:rsidR="000D7D3D" w:rsidRPr="000D7D3D">
        <w:rPr>
          <w:noProof/>
        </w:rPr>
        <w:t>(van Schöll et al., 2007, 2006a)</w:t>
      </w:r>
      <w:r w:rsidR="000D7D3D" w:rsidRPr="000D7D3D">
        <w:fldChar w:fldCharType="end"/>
      </w:r>
      <w:r w:rsidR="000D7D3D" w:rsidRPr="000D7D3D">
        <w:t xml:space="preserve">. This hypothesis will be tested by </w:t>
      </w:r>
      <w:r w:rsidR="00D55867">
        <w:t>semi-quantitative reverse transcription polymerase chain reaction</w:t>
      </w:r>
      <w:r w:rsidR="00D55867" w:rsidRPr="000D7D3D">
        <w:t xml:space="preserve"> </w:t>
      </w:r>
      <w:r w:rsidR="00D55867">
        <w:t>(</w:t>
      </w:r>
      <w:r w:rsidR="00D55867" w:rsidRPr="000D7D3D">
        <w:t>q</w:t>
      </w:r>
      <w:r w:rsidR="000D7D3D" w:rsidRPr="000D7D3D">
        <w:t>RT-PCR</w:t>
      </w:r>
      <w:r w:rsidR="00D55867">
        <w:t>)</w:t>
      </w:r>
      <w:r w:rsidR="000D7D3D" w:rsidRPr="000D7D3D">
        <w:t xml:space="preserve"> performed on </w:t>
      </w:r>
      <w:r w:rsidR="000D7D3D" w:rsidRPr="000D7D3D">
        <w:rPr>
          <w:i/>
        </w:rPr>
        <w:t>mRNA</w:t>
      </w:r>
      <w:r w:rsidR="000D7D3D" w:rsidRPr="000D7D3D">
        <w:t xml:space="preserve"> from fungal hyphae growing on </w:t>
      </w:r>
      <w:r>
        <w:t>HAP-</w:t>
      </w:r>
      <w:r w:rsidR="000D7D3D" w:rsidRPr="000D7D3D">
        <w:t>coated or uncoated polystyrene discs.</w:t>
      </w:r>
    </w:p>
    <w:p w14:paraId="53380B65" w14:textId="2338AD87" w:rsidR="000D7D3D" w:rsidRPr="000D7D3D" w:rsidRDefault="00BF3645" w:rsidP="003F7054">
      <w:r>
        <w:t xml:space="preserve">4. </w:t>
      </w:r>
      <w:r w:rsidR="00A470A8">
        <w:t>High-</w:t>
      </w:r>
      <w:r w:rsidR="000D7D3D" w:rsidRPr="000D7D3D">
        <w:t xml:space="preserve">affinity Pi transporter genes will be regulated accordingly to the availability of the free Pi released from the weathered </w:t>
      </w:r>
      <w:r>
        <w:t>HAP</w:t>
      </w:r>
      <w:r w:rsidR="00A470A8">
        <w:t>. In particular, high-</w:t>
      </w:r>
      <w:r w:rsidR="000D7D3D" w:rsidRPr="000D7D3D">
        <w:t>affinity P</w:t>
      </w:r>
      <w:r w:rsidR="00C501AE">
        <w:t>i transporter genes will be up</w:t>
      </w:r>
      <w:r w:rsidR="000D7D3D" w:rsidRPr="000D7D3D">
        <w:t>regulated under Pi starvation in the control plates (i.e. uncoat</w:t>
      </w:r>
      <w:r w:rsidR="00877B3F">
        <w:t>ed polystyrene discs), but down</w:t>
      </w:r>
      <w:r w:rsidR="000D7D3D" w:rsidRPr="000D7D3D">
        <w:t xml:space="preserve">regulated in the </w:t>
      </w:r>
      <w:r>
        <w:t>HAP</w:t>
      </w:r>
      <w:r w:rsidRPr="000D7D3D">
        <w:t xml:space="preserve"> </w:t>
      </w:r>
      <w:r w:rsidR="000D7D3D" w:rsidRPr="000D7D3D">
        <w:t xml:space="preserve">plates after acquisition of the released Pi. This hypothesis will also be tested by </w:t>
      </w:r>
      <w:r w:rsidR="00D55867" w:rsidRPr="000D7D3D">
        <w:t>q</w:t>
      </w:r>
      <w:r w:rsidR="000D7D3D" w:rsidRPr="000D7D3D">
        <w:t>RT-PCR.</w:t>
      </w:r>
      <w:r w:rsidR="000D7D3D" w:rsidRPr="000D7D3D">
        <w:br w:type="page"/>
      </w:r>
    </w:p>
    <w:p w14:paraId="281A092B" w14:textId="19978319" w:rsidR="000D7D3D" w:rsidRPr="000D7D3D" w:rsidRDefault="000D7D3D" w:rsidP="00635993">
      <w:pPr>
        <w:pStyle w:val="Heading1"/>
      </w:pPr>
      <w:bookmarkStart w:id="306" w:name="_Toc507604029"/>
      <w:bookmarkStart w:id="307" w:name="_Toc507604296"/>
      <w:bookmarkStart w:id="308" w:name="_Toc519017006"/>
      <w:bookmarkStart w:id="309" w:name="_Toc520837911"/>
      <w:r w:rsidRPr="000D7D3D">
        <w:lastRenderedPageBreak/>
        <w:t>4.2 Materials and Methods</w:t>
      </w:r>
      <w:bookmarkEnd w:id="306"/>
      <w:bookmarkEnd w:id="307"/>
      <w:bookmarkEnd w:id="308"/>
      <w:bookmarkEnd w:id="309"/>
    </w:p>
    <w:p w14:paraId="09DE8A8B" w14:textId="77777777" w:rsidR="000D7D3D" w:rsidRPr="000D7D3D" w:rsidRDefault="000D7D3D" w:rsidP="003F7054"/>
    <w:p w14:paraId="3975BAC2" w14:textId="2D1EF375" w:rsidR="000D7D3D" w:rsidRPr="000D7D3D" w:rsidRDefault="000D7D3D" w:rsidP="00635993">
      <w:pPr>
        <w:pStyle w:val="Heading2"/>
      </w:pPr>
      <w:bookmarkStart w:id="310" w:name="_Toc507604030"/>
      <w:bookmarkStart w:id="311" w:name="_Toc507604297"/>
      <w:bookmarkStart w:id="312" w:name="_Toc519017007"/>
      <w:bookmarkStart w:id="313" w:name="_Toc520837912"/>
      <w:r w:rsidRPr="000D7D3D">
        <w:t xml:space="preserve">4.2.1 Preparation of synthetic </w:t>
      </w:r>
      <w:r w:rsidR="00E17DA7">
        <w:t>HAP</w:t>
      </w:r>
      <w:r w:rsidRPr="000D7D3D">
        <w:t>-coated discs</w:t>
      </w:r>
      <w:bookmarkEnd w:id="310"/>
      <w:bookmarkEnd w:id="311"/>
      <w:bookmarkEnd w:id="312"/>
      <w:bookmarkEnd w:id="313"/>
    </w:p>
    <w:p w14:paraId="748A6A28" w14:textId="6F46C2CA" w:rsidR="000D7D3D" w:rsidRPr="000D7D3D" w:rsidRDefault="000D7D3D" w:rsidP="003F7054">
      <w:r w:rsidRPr="000D7D3D">
        <w:t xml:space="preserve">Tissue-culture-treated, </w:t>
      </w:r>
      <w:r w:rsidRPr="000D7D3D">
        <w:rPr>
          <w:lang w:eastAsia="en-GB"/>
        </w:rPr>
        <w:t xml:space="preserve">flat-bottomed </w:t>
      </w:r>
      <w:r w:rsidRPr="000D7D3D">
        <w:t>24</w:t>
      </w:r>
      <w:r w:rsidRPr="000D7D3D">
        <w:rPr>
          <w:lang w:eastAsia="en-GB"/>
        </w:rPr>
        <w:t xml:space="preserve"> round</w:t>
      </w:r>
      <w:r w:rsidR="00F532A3">
        <w:t>-well</w:t>
      </w:r>
      <w:r w:rsidRPr="000D7D3D">
        <w:t xml:space="preserve"> polystyrene plates were filled (480 </w:t>
      </w:r>
      <w:r w:rsidRPr="000D7D3D">
        <w:rPr>
          <w:lang w:val="el-GR"/>
        </w:rPr>
        <w:t>μ</w:t>
      </w:r>
      <w:r w:rsidRPr="000D7D3D">
        <w:t xml:space="preserve">l per well) with a calcifying solution containing </w:t>
      </w:r>
      <w:r w:rsidRPr="000D7D3D">
        <w:rPr>
          <w:lang w:eastAsia="en-GB"/>
        </w:rPr>
        <w:t>5 mM CaCl</w:t>
      </w:r>
      <w:r w:rsidRPr="000D7D3D">
        <w:rPr>
          <w:vertAlign w:val="subscript"/>
          <w:lang w:eastAsia="en-GB"/>
        </w:rPr>
        <w:t>2</w:t>
      </w:r>
      <w:r w:rsidRPr="000D7D3D">
        <w:rPr>
          <w:lang w:eastAsia="en-GB"/>
        </w:rPr>
        <w:t>*2H</w:t>
      </w:r>
      <w:r w:rsidRPr="000D7D3D">
        <w:rPr>
          <w:vertAlign w:val="subscript"/>
          <w:lang w:eastAsia="en-GB"/>
        </w:rPr>
        <w:t>2</w:t>
      </w:r>
      <w:r w:rsidRPr="000D7D3D">
        <w:rPr>
          <w:lang w:eastAsia="en-GB"/>
        </w:rPr>
        <w:t>O</w:t>
      </w:r>
      <w:r w:rsidRPr="000D7D3D">
        <w:t xml:space="preserve">, </w:t>
      </w:r>
      <w:r w:rsidRPr="000D7D3D">
        <w:rPr>
          <w:lang w:eastAsia="en-GB"/>
        </w:rPr>
        <w:t>15 mM KH</w:t>
      </w:r>
      <w:r w:rsidRPr="000D7D3D">
        <w:rPr>
          <w:vertAlign w:val="subscript"/>
          <w:lang w:eastAsia="en-GB"/>
        </w:rPr>
        <w:t>2</w:t>
      </w:r>
      <w:r w:rsidRPr="000D7D3D">
        <w:rPr>
          <w:lang w:eastAsia="en-GB"/>
        </w:rPr>
        <w:t>PO</w:t>
      </w:r>
      <w:r w:rsidRPr="000D7D3D">
        <w:rPr>
          <w:vertAlign w:val="subscript"/>
          <w:lang w:eastAsia="en-GB"/>
        </w:rPr>
        <w:t>4</w:t>
      </w:r>
      <w:r w:rsidRPr="000D7D3D">
        <w:t xml:space="preserve"> and </w:t>
      </w:r>
      <w:r w:rsidRPr="000D7D3D">
        <w:rPr>
          <w:lang w:eastAsia="en-GB"/>
        </w:rPr>
        <w:t>500 mM</w:t>
      </w:r>
      <w:r w:rsidRPr="000D7D3D">
        <w:t xml:space="preserve"> triethanolamine, at pH 7.4. Plates were incubated at 80°C for 1.5 h with the lid off, after which they were emptied, refilled with </w:t>
      </w:r>
      <w:r w:rsidR="00455213">
        <w:t xml:space="preserve">the </w:t>
      </w:r>
      <w:r w:rsidRPr="000D7D3D">
        <w:t>calcifying solution and re-incubated. Following four 1.5 h precipitation cycles, the plates were rinsed three times with distilled water and allowed to air dry at room temperature. The method for the HA</w:t>
      </w:r>
      <w:r w:rsidR="00B14398">
        <w:t>P</w:t>
      </w:r>
      <w:r w:rsidRPr="000D7D3D">
        <w:t xml:space="preserve"> synthesis was adapted from Schilling et al. (1994)</w:t>
      </w:r>
      <w:r w:rsidR="00F532A3">
        <w:t xml:space="preserve"> </w:t>
      </w:r>
      <w:r w:rsidR="00F532A3">
        <w:fldChar w:fldCharType="begin" w:fldLock="1"/>
      </w:r>
      <w:r w:rsidR="00EE33AB">
        <w:instrText>ADDIN CSL_CITATION {"citationItems":[{"id":"ITEM-1","itemData":{"DOI":"10.1016/0927-7765(93)01120-G","ISSN":"0927-7765","abstract":"The aim of the present study was to develop a microassay for bacterial adherence to hydroxyapatite (HA) which is more convenient, reduces the required amounts of materials, and removes artifactual tube “wall effects”. To form HA in situ on 96-well plates, the wells were filled with 2.5 mmol l −1 calcium chloride, 7.5 mmol l −1 potassium phosphate, 250 mmol l −1 triethanolamine (pH 7.4) and the plates were incubated for 1.5 h at 75°C. The solution was decanted and the entire procedure was repeated three more times. Analysis of the mineral composition showed the Ca/P ratio to be 1.63. X-ray and electron diffraction analyses indicated that all the mineral formed was HA. Scanning electron microscopy showed a continuous layer of HA crystallites with occasional aggregates and no exposed polystyrene. Salivary pellicles were formed on the HA surfaces either with or without the in situ synthesis of glucans. The pelliclecoated HA plates were incubated with radiolabelled bacteria for 1.0 h at 37°C. Adherent bacteria were digested with 10 mmol l −1 EDTA/1 N NaOH for 1.0 h at 37°C and were quantitated by scintillation counting. The results showed that Streptococcus gordonii , Actinomyces naeslundii ( Actinomyces viscosus ), and Streptococcus mutans bound to HA plates coated with saliva or saliva plus glucans in a stereospecific manner. The relative levels of bacteria which attached to HA plates paralleled the results found with spheroidal whitlockite beads. The HA plates eliminate wall effects, simplify sample processing and scintillation counting, require smaller amounts of reagents, and reduce radioactive and other waste. Accordingly, HA-coated microtitre plates represent an improved format for studying oral bacterial adhesion.","author":[{"dropping-particle":"","family":"Schilling","given":"K M","non-dropping-particle":"","parse-names":false,"suffix":""},{"dropping-particle":"","family":"Carson","given":"R G","non-dropping-particle":"","parse-names":false,"suffix":""},{"dropping-particle":"","family":"Bosko","given":"C A","non-dropping-particle":"","parse-names":false,"suffix":""},{"dropping-particle":"","family":"Golikeri","given":"G D","non-dropping-particle":"","parse-names":false,"suffix":""},{"dropping-particle":"","family":"Bruinooge","given":"A","non-dropping-particle":"","parse-names":false,"suffix":""},{"dropping-particle":"","family":"Hoyberg","given":"K","non-dropping-particle":"","parse-names":false,"suffix":""},{"dropping-particle":"","family":"Waller","given":"A M","non-dropping-particle":"","parse-names":false,"suffix":""},{"dropping-particle":"","family":"Hughes","given":"N P","non-dropping-particle":"","parse-names":false,"suffix":""}],"container-title":"Colloids and Surfaces B: Biointerfaces","id":"ITEM-1","issue":"1","issued":{"date-parts":[["1994"]]},"page":"31-38","title":"A microassay for bacterial adherence to hydroxyapatite","type":"article-journal","volume":"3"},"uris":["http://www.mendeley.com/documents/?uuid=3f31908c-cf76-408f-a81d-ee7898a3f7b2"]}],"mendeley":{"formattedCitation":"(Schilling et al., 1994)","plainTextFormattedCitation":"(Schilling et al., 1994)","previouslyFormattedCitation":"(Schilling et al., 1994)"},"properties":{"noteIndex":0},"schema":"https://github.com/citation-style-language/schema/raw/master/csl-citation.json"}</w:instrText>
      </w:r>
      <w:r w:rsidR="00F532A3">
        <w:fldChar w:fldCharType="separate"/>
      </w:r>
      <w:r w:rsidR="00F532A3" w:rsidRPr="00F532A3">
        <w:rPr>
          <w:noProof/>
        </w:rPr>
        <w:t>(Schilling et al., 1994)</w:t>
      </w:r>
      <w:r w:rsidR="00F532A3">
        <w:fldChar w:fldCharType="end"/>
      </w:r>
      <w:r w:rsidRPr="000D7D3D">
        <w:t xml:space="preserve">. </w:t>
      </w:r>
    </w:p>
    <w:p w14:paraId="7D177DE2" w14:textId="34C6E57F" w:rsidR="000D7D3D" w:rsidRPr="000D7D3D" w:rsidRDefault="000D7D3D" w:rsidP="007F746A">
      <w:pPr>
        <w:ind w:firstLine="720"/>
      </w:pPr>
      <w:r w:rsidRPr="000D7D3D">
        <w:t>Lastly, the wells were excised from each plate with a 16 mm cork borer, which was preheated until it was able to excise the wells by instant melti</w:t>
      </w:r>
      <w:r w:rsidR="00F532A3">
        <w:t xml:space="preserve">ng of the polystyrene, </w:t>
      </w:r>
      <w:r w:rsidRPr="000D7D3D">
        <w:t xml:space="preserve">in </w:t>
      </w:r>
      <w:r w:rsidR="00F532A3">
        <w:t>order to obtain the</w:t>
      </w:r>
      <w:r w:rsidRPr="000D7D3D">
        <w:t xml:space="preserve"> </w:t>
      </w:r>
      <w:r w:rsidR="00B14398">
        <w:t>HAP</w:t>
      </w:r>
      <w:r w:rsidRPr="000D7D3D">
        <w:t>-coated polystyrene disc</w:t>
      </w:r>
      <w:r w:rsidR="00F532A3">
        <w:t>s</w:t>
      </w:r>
      <w:r w:rsidRPr="000D7D3D">
        <w:t xml:space="preserve"> (diameter </w:t>
      </w:r>
      <w:r w:rsidRPr="000D7D3D">
        <w:rPr>
          <w:rFonts w:cs="Arial"/>
        </w:rPr>
        <w:t>~</w:t>
      </w:r>
      <w:r w:rsidRPr="000D7D3D">
        <w:t>10 mm) (</w:t>
      </w:r>
      <w:r w:rsidR="00F532A3" w:rsidRPr="000D7D3D">
        <w:t>Appendix</w:t>
      </w:r>
      <w:r w:rsidR="00F532A3">
        <w:t>, Figure 2A</w:t>
      </w:r>
      <w:r w:rsidRPr="000D7D3D">
        <w:t xml:space="preserve">). For obtaining </w:t>
      </w:r>
      <w:r w:rsidR="00420C18">
        <w:t>the uncoated</w:t>
      </w:r>
      <w:r w:rsidRPr="000D7D3D">
        <w:t xml:space="preserve"> polystyrene discs (diameter </w:t>
      </w:r>
      <w:r w:rsidRPr="000D7D3D">
        <w:rPr>
          <w:rFonts w:cs="Arial"/>
        </w:rPr>
        <w:t>~</w:t>
      </w:r>
      <w:r w:rsidR="00F532A3">
        <w:t xml:space="preserve">10 mm), </w:t>
      </w:r>
      <w:r w:rsidRPr="000D7D3D">
        <w:t xml:space="preserve">i.e. without any </w:t>
      </w:r>
      <w:r w:rsidR="00B14398">
        <w:t>HAP</w:t>
      </w:r>
      <w:r w:rsidR="00B14398" w:rsidRPr="000D7D3D">
        <w:t xml:space="preserve"> </w:t>
      </w:r>
      <w:r w:rsidRPr="000D7D3D">
        <w:t>coating (</w:t>
      </w:r>
      <w:r w:rsidR="00F532A3" w:rsidRPr="000D7D3D">
        <w:t>Appendix</w:t>
      </w:r>
      <w:r w:rsidR="00F532A3">
        <w:t>, Figure 1B)</w:t>
      </w:r>
      <w:r w:rsidRPr="000D7D3D">
        <w:t xml:space="preserve">, the hot cork borer method was also used for excising the wells of a </w:t>
      </w:r>
      <w:r w:rsidRPr="000D7D3D">
        <w:rPr>
          <w:lang w:eastAsia="en-GB"/>
        </w:rPr>
        <w:t xml:space="preserve">flat-bottomed </w:t>
      </w:r>
      <w:r w:rsidRPr="000D7D3D">
        <w:t>24</w:t>
      </w:r>
      <w:r w:rsidRPr="000D7D3D">
        <w:rPr>
          <w:lang w:eastAsia="en-GB"/>
        </w:rPr>
        <w:t xml:space="preserve"> round</w:t>
      </w:r>
      <w:r w:rsidRPr="000D7D3D">
        <w:t xml:space="preserve">-well polystyrene plate </w:t>
      </w:r>
      <w:r w:rsidR="00420C18">
        <w:t>which</w:t>
      </w:r>
      <w:r w:rsidRPr="000D7D3D">
        <w:t xml:space="preserve"> were not filled with any of the calcifyi</w:t>
      </w:r>
      <w:r w:rsidR="00420C18">
        <w:t>ng solution.</w:t>
      </w:r>
    </w:p>
    <w:p w14:paraId="094542F6" w14:textId="77777777" w:rsidR="000D7D3D" w:rsidRPr="000D7D3D" w:rsidRDefault="000D7D3D" w:rsidP="00FB36B8"/>
    <w:p w14:paraId="41269495" w14:textId="4AEC716F" w:rsidR="000D7D3D" w:rsidRPr="000D7D3D" w:rsidRDefault="000D7D3D" w:rsidP="00635993">
      <w:pPr>
        <w:pStyle w:val="Heading2"/>
      </w:pPr>
      <w:bookmarkStart w:id="314" w:name="_Toc507604031"/>
      <w:bookmarkStart w:id="315" w:name="_Toc507604298"/>
      <w:bookmarkStart w:id="316" w:name="_Toc519017008"/>
      <w:bookmarkStart w:id="317" w:name="_Toc520837913"/>
      <w:r w:rsidRPr="000D7D3D">
        <w:t xml:space="preserve">4.2.2 Experimental design of the </w:t>
      </w:r>
      <w:r w:rsidR="00B14398">
        <w:t>HAP</w:t>
      </w:r>
      <w:r w:rsidR="00B14398" w:rsidRPr="000D7D3D">
        <w:t xml:space="preserve"> </w:t>
      </w:r>
      <w:r w:rsidRPr="000D7D3D">
        <w:t>solubilisation experimental system</w:t>
      </w:r>
      <w:bookmarkEnd w:id="314"/>
      <w:bookmarkEnd w:id="315"/>
      <w:bookmarkEnd w:id="316"/>
      <w:bookmarkEnd w:id="317"/>
    </w:p>
    <w:p w14:paraId="001F0155" w14:textId="32F85BA6" w:rsidR="000D7D3D" w:rsidRPr="000D7D3D" w:rsidRDefault="000D7D3D" w:rsidP="003F7054">
      <w:r w:rsidRPr="000D7D3D">
        <w:t xml:space="preserve">The experimental design for studying </w:t>
      </w:r>
      <w:r w:rsidR="00B14398">
        <w:t>HAP</w:t>
      </w:r>
      <w:r w:rsidR="00B14398" w:rsidRPr="000D7D3D">
        <w:t xml:space="preserve"> </w:t>
      </w:r>
      <w:r w:rsidRPr="000D7D3D">
        <w:t xml:space="preserve">solubilisation by the hyphae of </w:t>
      </w:r>
      <w:r w:rsidRPr="000D7D3D">
        <w:rPr>
          <w:i/>
        </w:rPr>
        <w:t>P. involutus</w:t>
      </w:r>
      <w:r w:rsidRPr="000D7D3D">
        <w:t xml:space="preserve"> comprised a split (two-compartment) 90 mm Petri dish, where one of the two compartments is used as the fungal inoculation site, while the other is used as the </w:t>
      </w:r>
      <w:r w:rsidR="00B14398">
        <w:t>HAP</w:t>
      </w:r>
      <w:r w:rsidR="00B14398" w:rsidRPr="000D7D3D">
        <w:t xml:space="preserve"> </w:t>
      </w:r>
      <w:r w:rsidRPr="000D7D3D">
        <w:t xml:space="preserve">solubilisation study site (Figure 4.3A </w:t>
      </w:r>
      <w:r w:rsidR="0027260E">
        <w:t>and</w:t>
      </w:r>
      <w:r w:rsidR="0027260E" w:rsidRPr="000D7D3D">
        <w:t xml:space="preserve"> </w:t>
      </w:r>
      <w:r w:rsidRPr="000D7D3D">
        <w:t xml:space="preserve">B). In detail, within the fungal inoculation site (shown as the left compartment of the plate in Figure 4.3A </w:t>
      </w:r>
      <w:r w:rsidR="0027260E">
        <w:t>and</w:t>
      </w:r>
      <w:r w:rsidRPr="000D7D3D">
        <w:t xml:space="preserve"> B) is placed a fungal plug of 6 mm diameter (Figure 4.3C </w:t>
      </w:r>
      <w:r w:rsidR="0027260E">
        <w:t>and</w:t>
      </w:r>
      <w:r w:rsidRPr="000D7D3D">
        <w:t xml:space="preserve"> E), and within the </w:t>
      </w:r>
      <w:r w:rsidR="00B14398">
        <w:t>HAP</w:t>
      </w:r>
      <w:r w:rsidR="00B14398" w:rsidRPr="000D7D3D">
        <w:t xml:space="preserve"> </w:t>
      </w:r>
      <w:r w:rsidRPr="000D7D3D">
        <w:t xml:space="preserve">solubilisation site (shown as the right compartment of the plate in Figure 4.3A) is placed the source of </w:t>
      </w:r>
      <w:r w:rsidR="00B14398">
        <w:t>HAP</w:t>
      </w:r>
      <w:r w:rsidR="00B14398" w:rsidRPr="000D7D3D">
        <w:t xml:space="preserve"> </w:t>
      </w:r>
      <w:r w:rsidRPr="000D7D3D">
        <w:t xml:space="preserve">(i.e. the </w:t>
      </w:r>
      <w:r w:rsidR="00B14398">
        <w:t>HAP</w:t>
      </w:r>
      <w:r w:rsidRPr="000D7D3D">
        <w:t>-coated polystyrene disc) (Figure 4.3D). These system</w:t>
      </w:r>
      <w:r w:rsidR="001371F9">
        <w:t>s are noted as +Hydroxyapatite or +HAP</w:t>
      </w:r>
      <w:r w:rsidRPr="000D7D3D">
        <w:t xml:space="preserve"> in</w:t>
      </w:r>
      <w:r w:rsidR="001371F9">
        <w:t xml:space="preserve"> the following Sections 4.3.2, </w:t>
      </w:r>
      <w:r w:rsidRPr="000D7D3D">
        <w:t>4.3.3 and 4.3.5, respectively.</w:t>
      </w:r>
    </w:p>
    <w:p w14:paraId="4082CE41" w14:textId="6C5F3E88" w:rsidR="000D7D3D" w:rsidRPr="000D7D3D" w:rsidRDefault="000D7D3D" w:rsidP="003F7054">
      <w:pPr>
        <w:ind w:firstLine="720"/>
      </w:pPr>
      <w:r w:rsidRPr="000D7D3D">
        <w:lastRenderedPageBreak/>
        <w:t xml:space="preserve">The control experimental condition for studying </w:t>
      </w:r>
      <w:r w:rsidR="00B14398">
        <w:t>HAP</w:t>
      </w:r>
      <w:r w:rsidR="00B14398" w:rsidRPr="000D7D3D">
        <w:t xml:space="preserve"> </w:t>
      </w:r>
      <w:r w:rsidRPr="000D7D3D">
        <w:t xml:space="preserve">solubilisation is composed of the same split 90 mm Petri dish experimental design, </w:t>
      </w:r>
      <w:r w:rsidR="001371F9">
        <w:t xml:space="preserve">with </w:t>
      </w:r>
      <w:r w:rsidRPr="000D7D3D">
        <w:t xml:space="preserve">the only difference being that within the </w:t>
      </w:r>
      <w:r w:rsidR="00B14398">
        <w:t>HAP</w:t>
      </w:r>
      <w:r w:rsidR="00B14398" w:rsidRPr="000D7D3D">
        <w:t xml:space="preserve"> </w:t>
      </w:r>
      <w:r w:rsidRPr="000D7D3D">
        <w:t xml:space="preserve">solubilisation study site is placed a blank polystyrene disc (i.e. its surface is not coated with </w:t>
      </w:r>
      <w:r w:rsidR="00B14398">
        <w:t>HAP</w:t>
      </w:r>
      <w:r w:rsidRPr="000D7D3D">
        <w:t>), with a diameter</w:t>
      </w:r>
      <w:r w:rsidRPr="000D7D3D">
        <w:rPr>
          <w:rFonts w:cs="Arial"/>
        </w:rPr>
        <w:t xml:space="preserve"> of ~</w:t>
      </w:r>
      <w:r w:rsidRPr="000D7D3D">
        <w:t xml:space="preserve">10 mm (Figure 4.3B </w:t>
      </w:r>
      <w:r w:rsidR="0027260E">
        <w:t>and</w:t>
      </w:r>
      <w:r w:rsidRPr="000D7D3D">
        <w:t xml:space="preserve"> F). These system</w:t>
      </w:r>
      <w:r w:rsidR="001371F9">
        <w:t>s are noted as -Hydroxyapatite or -HAP</w:t>
      </w:r>
      <w:r w:rsidRPr="000D7D3D">
        <w:t xml:space="preserve"> in</w:t>
      </w:r>
      <w:r w:rsidR="001371F9">
        <w:t xml:space="preserve"> the following Sections 4.3.2, </w:t>
      </w:r>
      <w:r w:rsidRPr="000D7D3D">
        <w:t>4.3.3 and 4.3.5, respectively.</w:t>
      </w:r>
    </w:p>
    <w:p w14:paraId="752F6C2D" w14:textId="61034C27" w:rsidR="000D7D3D" w:rsidRPr="000D7D3D" w:rsidRDefault="000D7D3D" w:rsidP="007F746A">
      <w:pPr>
        <w:ind w:firstLine="720"/>
      </w:pPr>
      <w:r w:rsidRPr="000D7D3D">
        <w:t xml:space="preserve">The media composition for each compartment of the </w:t>
      </w:r>
      <w:r w:rsidR="00B14398">
        <w:t>HAP</w:t>
      </w:r>
      <w:r w:rsidR="00B14398" w:rsidRPr="000D7D3D">
        <w:t xml:space="preserve"> </w:t>
      </w:r>
      <w:r w:rsidRPr="000D7D3D">
        <w:t>solubilisation experimental system differs in terms of Pi content (</w:t>
      </w:r>
      <w:r w:rsidR="001371F9" w:rsidRPr="000D7D3D">
        <w:t>Appendix</w:t>
      </w:r>
      <w:r w:rsidR="001371F9">
        <w:t>,</w:t>
      </w:r>
      <w:r w:rsidR="001371F9" w:rsidRPr="000D7D3D">
        <w:t xml:space="preserve"> </w:t>
      </w:r>
      <w:r w:rsidRPr="000D7D3D">
        <w:t>Table 8). In particular, the media of the fungal inoculation site are supplied with a minimal Pi content</w:t>
      </w:r>
      <w:r w:rsidRPr="000D7D3D">
        <w:rPr>
          <w:vertAlign w:val="subscript"/>
        </w:rPr>
        <w:t xml:space="preserve"> </w:t>
      </w:r>
      <w:r w:rsidRPr="000D7D3D">
        <w:t xml:space="preserve">in order to support the growth of the fungal inoculum at the time of initial inoculation. The amount of the minimal Pi content has been defined through experimental trials (see Sections 4.3.2 and 4.3.3) together with data gathered from the Pi varying experiment in Chapter 2. On the other hand, the media of the </w:t>
      </w:r>
      <w:r w:rsidR="001371F9">
        <w:t>HAP</w:t>
      </w:r>
      <w:r w:rsidRPr="000D7D3D">
        <w:t xml:space="preserve"> solubilisation study site are not provided with any Pi source, so that the only Pi source within the </w:t>
      </w:r>
      <w:r w:rsidR="001371F9">
        <w:t xml:space="preserve">+Hydroxyapatite systems is the HAP </w:t>
      </w:r>
      <w:r w:rsidRPr="000D7D3D">
        <w:t xml:space="preserve">on the surface of the </w:t>
      </w:r>
      <w:r w:rsidR="00B14398">
        <w:t>HAP</w:t>
      </w:r>
      <w:r w:rsidRPr="000D7D3D">
        <w:t>-coated polystyrene disc</w:t>
      </w:r>
      <w:r w:rsidR="001371F9">
        <w:t>s</w:t>
      </w:r>
      <w:r w:rsidRPr="000D7D3D">
        <w:t xml:space="preserve">, while for the -Hydroxyapatite systems there is not any Pi source at all because the polystyrene discs are not coated with </w:t>
      </w:r>
      <w:r w:rsidR="00B14398">
        <w:t>HAP</w:t>
      </w:r>
      <w:r w:rsidR="00B14398" w:rsidRPr="000D7D3D">
        <w:t xml:space="preserve"> </w:t>
      </w:r>
      <w:r w:rsidRPr="000D7D3D">
        <w:t>(i.e. they are blank).</w:t>
      </w:r>
    </w:p>
    <w:p w14:paraId="3755FD66" w14:textId="77777777" w:rsidR="000D7D3D" w:rsidRPr="000D7D3D" w:rsidRDefault="000D7D3D" w:rsidP="00FB36B8"/>
    <w:p w14:paraId="78E7000D" w14:textId="2574B300" w:rsidR="000D7D3D" w:rsidRPr="000D7D3D" w:rsidRDefault="000D7D3D" w:rsidP="00635993">
      <w:pPr>
        <w:pStyle w:val="Heading2"/>
      </w:pPr>
      <w:bookmarkStart w:id="318" w:name="_Toc507604032"/>
      <w:bookmarkStart w:id="319" w:name="_Toc507604299"/>
      <w:bookmarkStart w:id="320" w:name="_Toc519017009"/>
      <w:bookmarkStart w:id="321" w:name="_Toc520837914"/>
      <w:r w:rsidRPr="000D7D3D">
        <w:t>4.2.3 Fungal material</w:t>
      </w:r>
      <w:bookmarkEnd w:id="318"/>
      <w:bookmarkEnd w:id="319"/>
      <w:bookmarkEnd w:id="320"/>
      <w:bookmarkEnd w:id="321"/>
      <w:r w:rsidRPr="000D7D3D">
        <w:t xml:space="preserve"> </w:t>
      </w:r>
    </w:p>
    <w:p w14:paraId="25E52179" w14:textId="14CD9FFF" w:rsidR="000D7D3D" w:rsidRPr="000D7D3D" w:rsidRDefault="000D7D3D" w:rsidP="003F7054">
      <w:r w:rsidRPr="000D7D3D">
        <w:rPr>
          <w:i/>
        </w:rPr>
        <w:t>P. involutus</w:t>
      </w:r>
      <w:r w:rsidRPr="000D7D3D">
        <w:t xml:space="preserve"> </w:t>
      </w:r>
      <w:r w:rsidRPr="000D7D3D">
        <w:rPr>
          <w:i/>
        </w:rPr>
        <w:t>ATCC 200175</w:t>
      </w:r>
      <w:r w:rsidRPr="000D7D3D">
        <w:t xml:space="preserve">, </w:t>
      </w:r>
      <w:r w:rsidRPr="000D7D3D">
        <w:rPr>
          <w:i/>
        </w:rPr>
        <w:t xml:space="preserve">P. involutus 13 </w:t>
      </w:r>
      <w:r w:rsidRPr="000D7D3D">
        <w:t xml:space="preserve">and </w:t>
      </w:r>
      <w:r w:rsidRPr="000D7D3D">
        <w:rPr>
          <w:i/>
        </w:rPr>
        <w:t>P. involutus DJR1</w:t>
      </w:r>
      <w:r w:rsidRPr="000D7D3D">
        <w:t xml:space="preserve"> which were grown in 10% </w:t>
      </w:r>
      <w:r w:rsidR="0060623C">
        <w:t xml:space="preserve">strength </w:t>
      </w:r>
      <w:r w:rsidRPr="000D7D3D">
        <w:t>MMN fungal culture media (</w:t>
      </w:r>
      <w:r w:rsidR="007E0FDE" w:rsidRPr="000D7D3D">
        <w:t>Appendix</w:t>
      </w:r>
      <w:r w:rsidR="007E0FDE">
        <w:t>,</w:t>
      </w:r>
      <w:r w:rsidR="007E0FDE" w:rsidRPr="000D7D3D">
        <w:t xml:space="preserve"> </w:t>
      </w:r>
      <w:r w:rsidR="007E0FDE">
        <w:t>Table 1</w:t>
      </w:r>
      <w:r w:rsidRPr="000D7D3D">
        <w:t xml:space="preserve">) provided fungal inoculum to the </w:t>
      </w:r>
      <w:r w:rsidR="007E0FDE">
        <w:t>HAP</w:t>
      </w:r>
      <w:r w:rsidR="0060623C" w:rsidRPr="000D7D3D">
        <w:t xml:space="preserve"> </w:t>
      </w:r>
      <w:r w:rsidRPr="000D7D3D">
        <w:t xml:space="preserve">solubilisation system. A fungal plug of 6 mm diameter was inoculated onto the fungal inoculation site of the </w:t>
      </w:r>
      <w:r w:rsidR="0060623C">
        <w:t>HAP</w:t>
      </w:r>
      <w:r w:rsidR="0060623C" w:rsidRPr="000D7D3D">
        <w:t xml:space="preserve"> </w:t>
      </w:r>
      <w:r w:rsidRPr="000D7D3D">
        <w:t xml:space="preserve">solubilisation system, as described in Section 4.2.2. </w:t>
      </w:r>
      <w:r w:rsidRPr="000D7D3D">
        <w:rPr>
          <w:i/>
        </w:rPr>
        <w:t>P. involutus</w:t>
      </w:r>
      <w:r w:rsidRPr="000D7D3D">
        <w:t xml:space="preserve"> </w:t>
      </w:r>
      <w:r w:rsidRPr="000D7D3D">
        <w:rPr>
          <w:i/>
        </w:rPr>
        <w:t xml:space="preserve">ATCC 200175, P. involutus 13 </w:t>
      </w:r>
      <w:r w:rsidRPr="000D7D3D">
        <w:t xml:space="preserve">and </w:t>
      </w:r>
      <w:r w:rsidRPr="000D7D3D">
        <w:rPr>
          <w:i/>
        </w:rPr>
        <w:t xml:space="preserve">P. involutus DJR1 </w:t>
      </w:r>
      <w:r w:rsidRPr="000D7D3D">
        <w:t>were kindly provided by Dr Francis M. Martin (INRA, France), Professor David Johnson (University of Aberdeen, UK) and Professor David J. Read (The University of Sheffield, UK), respectively.</w:t>
      </w:r>
      <w:r w:rsidR="002B13CF">
        <w:br w:type="page"/>
      </w:r>
    </w:p>
    <w:p w14:paraId="206A99F4" w14:textId="02D394B4" w:rsidR="000D7D3D" w:rsidRPr="000D7D3D" w:rsidRDefault="000D7D3D" w:rsidP="00635993">
      <w:pPr>
        <w:pStyle w:val="Heading2"/>
      </w:pPr>
      <w:bookmarkStart w:id="322" w:name="_Toc507604033"/>
      <w:bookmarkStart w:id="323" w:name="_Toc507604300"/>
      <w:bookmarkStart w:id="324" w:name="_Toc519017010"/>
      <w:bookmarkStart w:id="325" w:name="_Toc520837915"/>
      <w:r w:rsidRPr="000D7D3D">
        <w:lastRenderedPageBreak/>
        <w:t xml:space="preserve">4.2.4 </w:t>
      </w:r>
      <w:r w:rsidR="00BD4ADD">
        <w:t>SEM-EDX analysis</w:t>
      </w:r>
      <w:bookmarkEnd w:id="322"/>
      <w:bookmarkEnd w:id="323"/>
      <w:bookmarkEnd w:id="324"/>
      <w:bookmarkEnd w:id="325"/>
    </w:p>
    <w:p w14:paraId="34A0DF09" w14:textId="411E1F2D" w:rsidR="000D7D3D" w:rsidRPr="00E55916" w:rsidRDefault="00E55916" w:rsidP="00E55916">
      <w:r w:rsidRPr="000D7D3D">
        <w:t xml:space="preserve">The SEM-EDX analysis </w:t>
      </w:r>
      <w:r>
        <w:t xml:space="preserve">was </w:t>
      </w:r>
      <w:r w:rsidRPr="000D7D3D">
        <w:t xml:space="preserve">performed </w:t>
      </w:r>
      <w:r>
        <w:t>by</w:t>
      </w:r>
      <w:r w:rsidRPr="000D7D3D">
        <w:t xml:space="preserve"> Dr Richard B. Pearce at the Univer</w:t>
      </w:r>
      <w:r>
        <w:t xml:space="preserve">sity of Southampton as follows. </w:t>
      </w:r>
      <w:r w:rsidR="000D7D3D" w:rsidRPr="000D7D3D">
        <w:t>The morphology of the HA</w:t>
      </w:r>
      <w:r w:rsidR="0060623C">
        <w:t>P</w:t>
      </w:r>
      <w:r w:rsidR="000D7D3D" w:rsidRPr="000D7D3D">
        <w:t>-coated polystyrene discs in Section 4.3.1 was characterised with SEM (Leo1450VP, manufacturer</w:t>
      </w:r>
      <w:r>
        <w:t xml:space="preserve"> Carl Zeiss SMT Ltd), where the</w:t>
      </w:r>
      <w:r w:rsidR="000D7D3D" w:rsidRPr="000D7D3D">
        <w:t xml:space="preserve"> operating conditions were</w:t>
      </w:r>
      <w:r w:rsidR="00C25243">
        <w:t>:</w:t>
      </w:r>
      <w:r w:rsidR="000D7D3D" w:rsidRPr="000D7D3D">
        <w:t xml:space="preserve"> </w:t>
      </w:r>
      <w:r w:rsidR="00C25243" w:rsidRPr="00C25243">
        <w:t xml:space="preserve">electron high tension </w:t>
      </w:r>
      <w:r w:rsidR="00C25243">
        <w:t>(</w:t>
      </w:r>
      <w:r w:rsidR="000D7D3D" w:rsidRPr="000D7D3D">
        <w:t>EHT</w:t>
      </w:r>
      <w:r w:rsidR="00C25243">
        <w:t>) of 20 kV,</w:t>
      </w:r>
      <w:r w:rsidR="000D7D3D" w:rsidRPr="000D7D3D">
        <w:t xml:space="preserve"> variable probe current of</w:t>
      </w:r>
      <w:r w:rsidR="00C25243">
        <w:t xml:space="preserve"> 60-500 pA,</w:t>
      </w:r>
      <w:r>
        <w:t xml:space="preserve"> working distance (</w:t>
      </w:r>
      <w:r w:rsidR="000D7D3D" w:rsidRPr="000D7D3D">
        <w:t>WD</w:t>
      </w:r>
      <w:r>
        <w:t>)</w:t>
      </w:r>
      <w:r w:rsidR="000D7D3D" w:rsidRPr="000D7D3D">
        <w:t xml:space="preserve"> of 9-15 mm, and variable pressure (VP) mode (not standard high vacuum operation). </w:t>
      </w:r>
      <w:r w:rsidR="00685D72" w:rsidRPr="000D7D3D">
        <w:t>Samples were coated with 20nm Au.</w:t>
      </w:r>
      <w:r w:rsidR="00685D72">
        <w:t xml:space="preserve"> </w:t>
      </w:r>
      <w:r w:rsidR="000D7D3D" w:rsidRPr="000D7D3D">
        <w:t>Imaging was undertaken with a backscatter</w:t>
      </w:r>
      <w:r w:rsidR="00C25243">
        <w:t>ed</w:t>
      </w:r>
      <w:r w:rsidR="000D7D3D" w:rsidRPr="000D7D3D">
        <w:t xml:space="preserve"> </w:t>
      </w:r>
      <w:r w:rsidR="00C25243">
        <w:t xml:space="preserve">electron (BSE) </w:t>
      </w:r>
      <w:r w:rsidR="000D7D3D" w:rsidRPr="000D7D3D">
        <w:t xml:space="preserve">detector. </w:t>
      </w:r>
      <w:r w:rsidR="000D7D3D" w:rsidRPr="000D7D3D">
        <w:rPr>
          <w:rFonts w:eastAsia="AdvTT08640291"/>
        </w:rPr>
        <w:t xml:space="preserve">Element quantification was performed by EDX </w:t>
      </w:r>
      <w:r w:rsidR="000D7D3D" w:rsidRPr="000D7D3D">
        <w:t>(Oxford Instruments X-Act 10mm</w:t>
      </w:r>
      <w:r w:rsidR="000D7D3D" w:rsidRPr="000D7D3D">
        <w:rPr>
          <w:vertAlign w:val="superscript"/>
        </w:rPr>
        <w:t>2</w:t>
      </w:r>
      <w:r w:rsidR="000D7D3D" w:rsidRPr="000D7D3D">
        <w:t xml:space="preserve"> area Silicon Drift Detector, using the AZtec Energy software system) </w:t>
      </w:r>
      <w:r w:rsidR="000D7D3D" w:rsidRPr="000D7D3D">
        <w:rPr>
          <w:rFonts w:eastAsia="AdvTT08640291"/>
        </w:rPr>
        <w:t xml:space="preserve">with the same </w:t>
      </w:r>
      <w:r w:rsidR="00C25243">
        <w:rPr>
          <w:rFonts w:eastAsia="AdvTT08640291"/>
        </w:rPr>
        <w:t>SEM instrument</w:t>
      </w:r>
      <w:r w:rsidR="000D7D3D" w:rsidRPr="000D7D3D">
        <w:rPr>
          <w:rFonts w:eastAsia="AdvTT08640291"/>
        </w:rPr>
        <w:t>.</w:t>
      </w:r>
    </w:p>
    <w:p w14:paraId="1A993B5B" w14:textId="28AD41FF" w:rsidR="000D7D3D" w:rsidRPr="000D7D3D" w:rsidRDefault="000D7D3D" w:rsidP="007F746A">
      <w:pPr>
        <w:ind w:firstLine="720"/>
      </w:pPr>
      <w:r w:rsidRPr="000D7D3D">
        <w:t xml:space="preserve">SEM images were acquired after the hyphae of </w:t>
      </w:r>
      <w:r w:rsidRPr="000D7D3D">
        <w:rPr>
          <w:i/>
        </w:rPr>
        <w:t>P. involutus</w:t>
      </w:r>
      <w:r w:rsidRPr="000D7D3D">
        <w:t xml:space="preserve"> had colonised the surface of the HA</w:t>
      </w:r>
      <w:r w:rsidR="001E09FE">
        <w:t>P</w:t>
      </w:r>
      <w:r w:rsidRPr="000D7D3D">
        <w:t>-coated polystyrene disc</w:t>
      </w:r>
      <w:r w:rsidR="00C25243">
        <w:t>s</w:t>
      </w:r>
      <w:r w:rsidRPr="000D7D3D">
        <w:t xml:space="preserve"> from three </w:t>
      </w:r>
      <w:r w:rsidR="00C25243">
        <w:t xml:space="preserve">different </w:t>
      </w:r>
      <w:r w:rsidR="001E09FE">
        <w:t>HAP</w:t>
      </w:r>
      <w:r w:rsidR="001E09FE" w:rsidRPr="000D7D3D">
        <w:t xml:space="preserve"> </w:t>
      </w:r>
      <w:r w:rsidRPr="000D7D3D">
        <w:t xml:space="preserve">solubilisation experimental systems, as described in Section 4.3.2. Each system analysed by SEM-EDX differed in terms of </w:t>
      </w:r>
      <w:r w:rsidRPr="000D7D3D">
        <w:rPr>
          <w:i/>
        </w:rPr>
        <w:t>P. involutus</w:t>
      </w:r>
      <w:r w:rsidRPr="000D7D3D">
        <w:t xml:space="preserve"> growth period (after reaching the disc), </w:t>
      </w:r>
      <w:r w:rsidRPr="000D7D3D">
        <w:rPr>
          <w:i/>
        </w:rPr>
        <w:t xml:space="preserve">P. involutus </w:t>
      </w:r>
      <w:r w:rsidRPr="000D7D3D">
        <w:t>strain and amount of Pi provided in the media of the fungal inoculation site. In partic</w:t>
      </w:r>
      <w:r w:rsidR="00C25243">
        <w:t>ular, images were taken from: (a)</w:t>
      </w:r>
      <w:r w:rsidRPr="000D7D3D">
        <w:t xml:space="preserve"> a system where </w:t>
      </w:r>
      <w:r w:rsidRPr="000D7D3D">
        <w:rPr>
          <w:i/>
        </w:rPr>
        <w:t>P. involutus ATCC 200175</w:t>
      </w:r>
      <w:r w:rsidRPr="000D7D3D">
        <w:t xml:space="preserve"> hyphae had colonised the </w:t>
      </w:r>
      <w:r w:rsidR="001E09FE">
        <w:t>HAP</w:t>
      </w:r>
      <w:r w:rsidRPr="000D7D3D">
        <w:t xml:space="preserve">-coated disc for six months and the fungal inoculation site was provided with 1.84 </w:t>
      </w:r>
      <w:r w:rsidRPr="000D7D3D">
        <w:rPr>
          <w:lang w:val="el-GR"/>
        </w:rPr>
        <w:t>μ</w:t>
      </w:r>
      <w:r w:rsidR="000B2587">
        <w:t>M Pi (</w:t>
      </w:r>
      <w:r w:rsidRPr="000D7D3D">
        <w:t xml:space="preserve">Figure 4.2E and F, in Section 4.3.2), </w:t>
      </w:r>
      <w:r w:rsidR="00C25243">
        <w:t xml:space="preserve">(b) </w:t>
      </w:r>
      <w:r w:rsidRPr="000D7D3D">
        <w:t xml:space="preserve">a system where </w:t>
      </w:r>
      <w:r w:rsidRPr="000D7D3D">
        <w:rPr>
          <w:i/>
        </w:rPr>
        <w:t xml:space="preserve">P. involutus DJR1 </w:t>
      </w:r>
      <w:r w:rsidRPr="000D7D3D">
        <w:t xml:space="preserve">mycelia had colonised the </w:t>
      </w:r>
      <w:r w:rsidR="001E09FE">
        <w:t>HAP</w:t>
      </w:r>
      <w:r w:rsidRPr="000D7D3D">
        <w:t xml:space="preserve">-coated disc for two months and the fungal inoculation site was provided with 1.84 </w:t>
      </w:r>
      <w:r w:rsidRPr="000D7D3D">
        <w:rPr>
          <w:lang w:val="el-GR"/>
        </w:rPr>
        <w:t>μ</w:t>
      </w:r>
      <w:r w:rsidR="000B2587">
        <w:t>M Pi (</w:t>
      </w:r>
      <w:r w:rsidRPr="000D7D3D">
        <w:t xml:space="preserve">Figure 4.2I and J, in Section 4.3.2) and </w:t>
      </w:r>
      <w:r w:rsidR="00C25243">
        <w:t>(c)</w:t>
      </w:r>
      <w:r w:rsidRPr="000D7D3D">
        <w:t xml:space="preserve"> a system where </w:t>
      </w:r>
      <w:r w:rsidRPr="000D7D3D">
        <w:rPr>
          <w:i/>
        </w:rPr>
        <w:t xml:space="preserve">P. involutus DJR1 </w:t>
      </w:r>
      <w:r w:rsidRPr="000D7D3D">
        <w:t xml:space="preserve">hyphae had colonised the </w:t>
      </w:r>
      <w:r w:rsidR="001E09FE">
        <w:t>HAP</w:t>
      </w:r>
      <w:r w:rsidRPr="000D7D3D">
        <w:t xml:space="preserve">-coated disc for seven months and the fungal inoculation site was provided with 0.15 </w:t>
      </w:r>
      <w:r w:rsidRPr="000D7D3D">
        <w:rPr>
          <w:lang w:val="el-GR"/>
        </w:rPr>
        <w:t>μ</w:t>
      </w:r>
      <w:r w:rsidR="000B2587">
        <w:t>M Pi (</w:t>
      </w:r>
      <w:r w:rsidRPr="000D7D3D">
        <w:t>Figure 4.3A, in Section 4.3.2).</w:t>
      </w:r>
    </w:p>
    <w:p w14:paraId="0386D8CB" w14:textId="666BAF3F" w:rsidR="000D7D3D" w:rsidRPr="000D7D3D" w:rsidRDefault="000D7D3D" w:rsidP="00FB36B8">
      <w:pPr>
        <w:ind w:firstLine="720"/>
      </w:pPr>
      <w:r w:rsidRPr="000D7D3D">
        <w:t xml:space="preserve">SEM images shown in Figure 4.6 were taken from two different weathering systems: </w:t>
      </w:r>
      <w:r w:rsidR="000B2587">
        <w:t>(a) a</w:t>
      </w:r>
      <w:r w:rsidRPr="000D7D3D">
        <w:t xml:space="preserve"> two-month</w:t>
      </w:r>
      <w:r w:rsidR="000B2587">
        <w:t>s</w:t>
      </w:r>
      <w:r w:rsidRPr="000D7D3D">
        <w:t xml:space="preserve">-old system inoculated with </w:t>
      </w:r>
      <w:r w:rsidRPr="000D7D3D">
        <w:rPr>
          <w:i/>
        </w:rPr>
        <w:t>P. involutus DJR1</w:t>
      </w:r>
      <w:r w:rsidRPr="000D7D3D">
        <w:t xml:space="preserve"> (Figure 4.6E</w:t>
      </w:r>
      <w:r w:rsidR="004B1A02">
        <w:t>-G, I-K</w:t>
      </w:r>
      <w:r w:rsidRPr="000D7D3D">
        <w:t xml:space="preserve">) and </w:t>
      </w:r>
      <w:r w:rsidR="000B2587">
        <w:t xml:space="preserve">(b) </w:t>
      </w:r>
      <w:r w:rsidRPr="000D7D3D">
        <w:t>a six-month</w:t>
      </w:r>
      <w:r w:rsidR="000B2587">
        <w:t>s</w:t>
      </w:r>
      <w:r w:rsidRPr="000D7D3D">
        <w:t xml:space="preserve">-old system inoculated with </w:t>
      </w:r>
      <w:r w:rsidRPr="000D7D3D">
        <w:rPr>
          <w:i/>
        </w:rPr>
        <w:t>P. involutus ATCC 200175</w:t>
      </w:r>
      <w:r w:rsidRPr="000D7D3D">
        <w:t xml:space="preserve"> (Figure 4.6M-</w:t>
      </w:r>
      <w:r w:rsidR="004B1A02">
        <w:t>O, Q-S</w:t>
      </w:r>
      <w:r w:rsidRPr="000D7D3D">
        <w:t>)</w:t>
      </w:r>
      <w:r w:rsidRPr="000D7D3D">
        <w:rPr>
          <w:i/>
        </w:rPr>
        <w:t xml:space="preserve">. </w:t>
      </w:r>
      <w:r w:rsidRPr="000D7D3D">
        <w:t xml:space="preserve">For each system, two different areas of </w:t>
      </w:r>
      <w:r w:rsidR="000B2587">
        <w:t>the colonised</w:t>
      </w:r>
      <w:r w:rsidRPr="000D7D3D">
        <w:t xml:space="preserve"> </w:t>
      </w:r>
      <w:r w:rsidR="001E09FE">
        <w:t>HAP</w:t>
      </w:r>
      <w:r w:rsidRPr="000D7D3D">
        <w:t xml:space="preserve">-coated discs were analysed: </w:t>
      </w:r>
      <w:r w:rsidR="000B2587">
        <w:t xml:space="preserve">(a) </w:t>
      </w:r>
      <w:r w:rsidRPr="000D7D3D">
        <w:t xml:space="preserve">an area where no fungal hyphae were present and </w:t>
      </w:r>
      <w:r w:rsidR="000B2587">
        <w:t xml:space="preserve">(b) </w:t>
      </w:r>
      <w:r w:rsidRPr="000D7D3D">
        <w:t>an area with clear colonisation by fungal hyphae. Additionally, as a negative control</w:t>
      </w:r>
      <w:r w:rsidR="00455213">
        <w:t>,</w:t>
      </w:r>
      <w:r w:rsidRPr="000D7D3D">
        <w:t xml:space="preserve"> SEM images were also taken on the surface of a </w:t>
      </w:r>
      <w:r w:rsidR="001E09FE">
        <w:t>HAP</w:t>
      </w:r>
      <w:r w:rsidRPr="000D7D3D">
        <w:t>-coated polystyrene disc</w:t>
      </w:r>
      <w:r w:rsidR="00455213">
        <w:t>s</w:t>
      </w:r>
      <w:r w:rsidRPr="000D7D3D">
        <w:t xml:space="preserve"> </w:t>
      </w:r>
      <w:r w:rsidR="00455213">
        <w:t>which have</w:t>
      </w:r>
      <w:r w:rsidR="000B2587">
        <w:t xml:space="preserve"> </w:t>
      </w:r>
      <w:r w:rsidRPr="000D7D3D">
        <w:t xml:space="preserve">not </w:t>
      </w:r>
      <w:r w:rsidR="000B2587">
        <w:t xml:space="preserve">been </w:t>
      </w:r>
      <w:r w:rsidRPr="000D7D3D">
        <w:t xml:space="preserve">used </w:t>
      </w:r>
      <w:r w:rsidRPr="000D7D3D">
        <w:lastRenderedPageBreak/>
        <w:t>within the experimental system, and described as abiotic</w:t>
      </w:r>
      <w:r w:rsidR="000B2587">
        <w:t xml:space="preserve"> discs</w:t>
      </w:r>
      <w:r w:rsidRPr="000D7D3D">
        <w:t xml:space="preserve"> (Figure 4.6A, B and C). EDX spectra were taken from specific </w:t>
      </w:r>
      <w:r w:rsidR="001E09FE">
        <w:t>HAP</w:t>
      </w:r>
      <w:r w:rsidR="001E09FE" w:rsidRPr="000D7D3D">
        <w:t xml:space="preserve"> </w:t>
      </w:r>
      <w:r w:rsidRPr="000D7D3D">
        <w:t xml:space="preserve">nucleates </w:t>
      </w:r>
      <w:r w:rsidR="004B1A02">
        <w:t>(Figure 4.6D, H, L, P &amp; T)</w:t>
      </w:r>
      <w:r w:rsidRPr="000D7D3D">
        <w:t>, and the exact location is marked with a red cross.</w:t>
      </w:r>
    </w:p>
    <w:p w14:paraId="6737A934" w14:textId="3D0B6F9F" w:rsidR="000D7D3D" w:rsidRPr="000D7D3D" w:rsidRDefault="000D7D3D" w:rsidP="00FB36B8">
      <w:pPr>
        <w:ind w:firstLine="720"/>
      </w:pPr>
      <w:r w:rsidRPr="000D7D3D">
        <w:t xml:space="preserve">In addition, SEM images shown in Figure 4.7 were taken from three different areas of the </w:t>
      </w:r>
      <w:r w:rsidR="000B2587">
        <w:t>colonised</w:t>
      </w:r>
      <w:r w:rsidRPr="000D7D3D">
        <w:t xml:space="preserve"> </w:t>
      </w:r>
      <w:r w:rsidR="001E09FE">
        <w:t>HAP</w:t>
      </w:r>
      <w:r w:rsidR="000B2587">
        <w:t>-coated discs:</w:t>
      </w:r>
      <w:r w:rsidRPr="000D7D3D">
        <w:t xml:space="preserve"> </w:t>
      </w:r>
      <w:r w:rsidR="000B2587">
        <w:t xml:space="preserve">(a) </w:t>
      </w:r>
      <w:r w:rsidRPr="000D7D3D">
        <w:t xml:space="preserve">an area which was not colonised by the </w:t>
      </w:r>
      <w:r w:rsidRPr="000D7D3D">
        <w:rPr>
          <w:i/>
        </w:rPr>
        <w:t xml:space="preserve">P. involutus DJR1 </w:t>
      </w:r>
      <w:r w:rsidRPr="000D7D3D">
        <w:t xml:space="preserve">hyphae, </w:t>
      </w:r>
      <w:r w:rsidR="000B2587">
        <w:t xml:space="preserve">(b) </w:t>
      </w:r>
      <w:r w:rsidRPr="000D7D3D">
        <w:t xml:space="preserve">an area which was lightly colonised by the </w:t>
      </w:r>
      <w:r w:rsidRPr="000D7D3D">
        <w:rPr>
          <w:i/>
        </w:rPr>
        <w:t xml:space="preserve">P. involutus DJR1 </w:t>
      </w:r>
      <w:r w:rsidRPr="000D7D3D">
        <w:t xml:space="preserve">hyphae and </w:t>
      </w:r>
      <w:r w:rsidR="000B2587">
        <w:t xml:space="preserve">(c) </w:t>
      </w:r>
      <w:r w:rsidRPr="000D7D3D">
        <w:t xml:space="preserve">an area which was heavily colonised by the </w:t>
      </w:r>
      <w:r w:rsidRPr="000D7D3D">
        <w:rPr>
          <w:i/>
        </w:rPr>
        <w:t xml:space="preserve">P. involutus DJR1 </w:t>
      </w:r>
      <w:r w:rsidRPr="000D7D3D">
        <w:t xml:space="preserve">hyphae (Figure 4.7E-G, Figure 4.7I-N and Figure 4.7O-T), respectively. EDX spectra were taken from the </w:t>
      </w:r>
      <w:r w:rsidR="001E09FE">
        <w:t>HAP</w:t>
      </w:r>
      <w:r w:rsidR="001E09FE" w:rsidRPr="000D7D3D">
        <w:t xml:space="preserve"> </w:t>
      </w:r>
      <w:r w:rsidRPr="000D7D3D">
        <w:t xml:space="preserve">nucleates or secondary minerals formed at those areas, and the exact location of the EDX spectra taken is marked with a red cross for the </w:t>
      </w:r>
      <w:r w:rsidR="001E09FE">
        <w:t>HAP</w:t>
      </w:r>
      <w:r w:rsidR="001E09FE" w:rsidRPr="000D7D3D">
        <w:t xml:space="preserve"> </w:t>
      </w:r>
      <w:r w:rsidRPr="000D7D3D">
        <w:t>nucleates and with a yellow or blue cross for the secondary minerals (Figure 4.7D, H and U</w:t>
      </w:r>
      <w:r w:rsidR="0027260E">
        <w:t xml:space="preserve">; </w:t>
      </w:r>
      <w:r w:rsidRPr="000D7D3D">
        <w:t>Figure 4.7V and W), respectively.</w:t>
      </w:r>
    </w:p>
    <w:p w14:paraId="5D631857" w14:textId="77777777" w:rsidR="000D7D3D" w:rsidRPr="000D7D3D" w:rsidRDefault="000D7D3D" w:rsidP="007C3C15"/>
    <w:p w14:paraId="3DA9A363" w14:textId="65DD89D2" w:rsidR="000D7D3D" w:rsidRPr="000D7D3D" w:rsidRDefault="000D7D3D" w:rsidP="00635993">
      <w:pPr>
        <w:pStyle w:val="Heading2"/>
      </w:pPr>
      <w:bookmarkStart w:id="326" w:name="_Toc507604034"/>
      <w:bookmarkStart w:id="327" w:name="_Toc507604301"/>
      <w:bookmarkStart w:id="328" w:name="_Toc519017011"/>
      <w:bookmarkStart w:id="329" w:name="_Toc520837916"/>
      <w:r w:rsidRPr="000D7D3D">
        <w:t xml:space="preserve">4.2.5 </w:t>
      </w:r>
      <w:r w:rsidR="00E55916">
        <w:t>Optical m</w:t>
      </w:r>
      <w:r w:rsidRPr="000D7D3D">
        <w:t>icroscopy and imaging</w:t>
      </w:r>
      <w:bookmarkEnd w:id="326"/>
      <w:bookmarkEnd w:id="327"/>
      <w:bookmarkEnd w:id="328"/>
      <w:bookmarkEnd w:id="329"/>
    </w:p>
    <w:p w14:paraId="607D8A51" w14:textId="33F47D61" w:rsidR="000D7D3D" w:rsidRPr="000D7D3D" w:rsidRDefault="000D7D3D" w:rsidP="004F60BA">
      <w:r w:rsidRPr="000D7D3D">
        <w:t>For studying fungal morphology, microscopy images were taken with a Leica stereosco</w:t>
      </w:r>
      <w:r w:rsidR="004F60BA">
        <w:t xml:space="preserve">pe using SPOT advanced software. </w:t>
      </w:r>
      <w:r w:rsidRPr="000D7D3D">
        <w:t xml:space="preserve">For studying secondary mineral formation in response to </w:t>
      </w:r>
      <w:r w:rsidR="001E09FE">
        <w:t>HAP</w:t>
      </w:r>
      <w:r w:rsidR="001E09FE" w:rsidRPr="000D7D3D">
        <w:t xml:space="preserve"> </w:t>
      </w:r>
      <w:r w:rsidRPr="000D7D3D">
        <w:t xml:space="preserve">solubilisation (Section 4.3.3) on the surface of the </w:t>
      </w:r>
      <w:r w:rsidR="001E09FE">
        <w:t>HAP</w:t>
      </w:r>
      <w:r w:rsidRPr="000D7D3D">
        <w:t>-</w:t>
      </w:r>
      <w:r w:rsidR="001E09FE">
        <w:t>coated</w:t>
      </w:r>
      <w:r w:rsidRPr="000D7D3D">
        <w:t xml:space="preserve"> or </w:t>
      </w:r>
      <w:r w:rsidR="004F60BA">
        <w:t>un</w:t>
      </w:r>
      <w:r w:rsidRPr="000D7D3D">
        <w:t>coated polystyrene discs, microscopy images were taken with an Olympus BX51 m</w:t>
      </w:r>
      <w:r w:rsidR="004F60BA">
        <w:t>icroscope using Cell^B software</w:t>
      </w:r>
      <w:r w:rsidRPr="000D7D3D">
        <w:t>. Any other standard images were taken with a Canon E</w:t>
      </w:r>
      <w:r w:rsidR="004F60BA">
        <w:t>OS500 camera on automatic mode.</w:t>
      </w:r>
    </w:p>
    <w:p w14:paraId="4B3041E2" w14:textId="77777777" w:rsidR="000D7D3D" w:rsidRPr="000D7D3D" w:rsidRDefault="000D7D3D" w:rsidP="00FB36B8"/>
    <w:p w14:paraId="155C49A1" w14:textId="4AFF9084" w:rsidR="000D7D3D" w:rsidRPr="000D7D3D" w:rsidRDefault="000D7D3D" w:rsidP="00635993">
      <w:pPr>
        <w:pStyle w:val="Heading2"/>
      </w:pPr>
      <w:bookmarkStart w:id="330" w:name="_Toc507604035"/>
      <w:bookmarkStart w:id="331" w:name="_Toc507604302"/>
      <w:bookmarkStart w:id="332" w:name="_Toc519017012"/>
      <w:bookmarkStart w:id="333" w:name="_Toc520837917"/>
      <w:r w:rsidRPr="000D7D3D">
        <w:t xml:space="preserve">4.2.6 Identification of </w:t>
      </w:r>
      <w:r w:rsidRPr="000D7D3D">
        <w:rPr>
          <w:i/>
        </w:rPr>
        <w:t>P. involutus</w:t>
      </w:r>
      <w:r w:rsidRPr="000D7D3D">
        <w:t xml:space="preserve"> candidate </w:t>
      </w:r>
      <w:r w:rsidR="001E09FE">
        <w:t>HAP</w:t>
      </w:r>
      <w:r w:rsidR="001E09FE" w:rsidRPr="000D7D3D">
        <w:t xml:space="preserve"> </w:t>
      </w:r>
      <w:r w:rsidRPr="000D7D3D">
        <w:t>solubilisation genes</w:t>
      </w:r>
      <w:bookmarkEnd w:id="330"/>
      <w:bookmarkEnd w:id="331"/>
      <w:bookmarkEnd w:id="332"/>
      <w:bookmarkEnd w:id="333"/>
    </w:p>
    <w:p w14:paraId="108166C1" w14:textId="0628F838" w:rsidR="000D7D3D" w:rsidRPr="000D7D3D" w:rsidRDefault="000D7D3D" w:rsidP="003F7054">
      <w:r w:rsidRPr="000D7D3D">
        <w:t xml:space="preserve">In order to investigate </w:t>
      </w:r>
      <w:r w:rsidR="004B1A02">
        <w:t>the third hypothesis</w:t>
      </w:r>
      <w:r w:rsidRPr="000D7D3D">
        <w:t xml:space="preserve">, it </w:t>
      </w:r>
      <w:r w:rsidR="00D82E78">
        <w:t>was</w:t>
      </w:r>
      <w:r w:rsidRPr="000D7D3D">
        <w:t xml:space="preserve"> first necessary to identify genes potentially involved in weathering, and likely to respond to hyphal contact with HA</w:t>
      </w:r>
      <w:r w:rsidR="001E09FE">
        <w:t>P</w:t>
      </w:r>
      <w:r w:rsidRPr="000D7D3D">
        <w:t xml:space="preserve">. Therefore, the </w:t>
      </w:r>
      <w:r w:rsidRPr="000D7D3D">
        <w:rPr>
          <w:i/>
        </w:rPr>
        <w:t>P. involutus</w:t>
      </w:r>
      <w:r w:rsidRPr="000D7D3D">
        <w:t xml:space="preserve"> </w:t>
      </w:r>
      <w:r w:rsidR="00D82E78" w:rsidRPr="00D82E78">
        <w:rPr>
          <w:i/>
        </w:rPr>
        <w:t>ATCC 200175</w:t>
      </w:r>
      <w:r w:rsidR="00D82E78">
        <w:t xml:space="preserve"> </w:t>
      </w:r>
      <w:r w:rsidRPr="000D7D3D">
        <w:t>genome was used to identify candidate weathering genes listed below, based on sequence similarity with previously characterised genes from other fungal species.</w:t>
      </w:r>
    </w:p>
    <w:p w14:paraId="4F4FB59B" w14:textId="253064BE" w:rsidR="000D7D3D" w:rsidRPr="000D7D3D" w:rsidRDefault="000D7D3D" w:rsidP="00635993">
      <w:pPr>
        <w:ind w:firstLine="720"/>
      </w:pPr>
      <w:r w:rsidRPr="000D7D3D">
        <w:lastRenderedPageBreak/>
        <w:t xml:space="preserve">A </w:t>
      </w:r>
      <w:r w:rsidRPr="000D7D3D">
        <w:rPr>
          <w:i/>
        </w:rPr>
        <w:t>H</w:t>
      </w:r>
      <w:r w:rsidRPr="000D7D3D">
        <w:rPr>
          <w:i/>
          <w:vertAlign w:val="superscript"/>
        </w:rPr>
        <w:t>+</w:t>
      </w:r>
      <w:r w:rsidRPr="000D7D3D">
        <w:rPr>
          <w:i/>
        </w:rPr>
        <w:t>-ATPase</w:t>
      </w:r>
      <w:r w:rsidRPr="000D7D3D">
        <w:t xml:space="preserve"> gene of </w:t>
      </w:r>
      <w:r w:rsidRPr="000D7D3D">
        <w:rPr>
          <w:i/>
        </w:rPr>
        <w:t>Paxillus involutus</w:t>
      </w:r>
      <w:r w:rsidRPr="000D7D3D">
        <w:t>,</w:t>
      </w:r>
      <w:r w:rsidRPr="000D7D3D">
        <w:rPr>
          <w:i/>
        </w:rPr>
        <w:t xml:space="preserve"> PiPMA</w:t>
      </w:r>
      <w:r w:rsidRPr="000D7D3D">
        <w:t>,</w:t>
      </w:r>
      <w:r w:rsidRPr="000D7D3D">
        <w:rPr>
          <w:i/>
        </w:rPr>
        <w:t xml:space="preserve"> </w:t>
      </w:r>
      <w:r w:rsidRPr="000D7D3D">
        <w:t xml:space="preserve">was retrieved from MycoCosm on the JGI database </w:t>
      </w:r>
      <w:r w:rsidRPr="000D7D3D">
        <w:fldChar w:fldCharType="begin" w:fldLock="1"/>
      </w:r>
      <w:r w:rsidR="00EE33AB">
        <w:instrText>ADDIN CSL_CITATION {"citationItems":[{"id":"ITEM-1","itemData":{"DOI":"10.1093/nar/gkt1069","ISBN":"1362-4962","ISSN":"03051048","PMID":"22110030","abstract":"The Department of Energy (DOE) Joint Genome Institute (JGI) is a national user facility with massive-scale DNA sequencing and analysis capabilities dedicated to advancing genomics for bioenergy and environmental applications. Beyond generating tens of trillions of DNA bases annually, the Institute develops and maintains data management systems and specialized analytical capabilities to manage and interpret complex genomic data sets, and to enable an expanding community of users around the world to analyze these data in different contexts over the web. The JGI Genome Portal (http://genome.jgi.doe.gov) provides a unified access point to all JGI genomic databases and analytical tools. A user can find all DOE JGI sequencing projects and their status, search for and download assemblies and annotations of sequenced genomes, and interactively explore those genomes and compare them with other sequenced microbes, fungi, plants or metagenomes using specialized systems tailored to each particular class of organisms. We describe here the general organization of the Genome Portal and the most recent addition, MycoCosm (http://jgi.doe.gov/fungi), a new integrated fungal genomics resource.","author":[{"dropping-particle":"","family":"Nordberg","given":"Henrik","non-dropping-particle":"","parse-names":false,"suffix":""},{"dropping-particle":"","family":"Cantor","given":"Michael","non-dropping-particle":"","parse-names":false,"suffix":""},{"dropping-particle":"","family":"Dusheyko","given":"Serge","non-dropping-particle":"","parse-names":false,"suffix":""},{"dropping-particle":"","family":"Hua","given":"Susan","non-dropping-particle":"","parse-names":false,"suffix":""},{"dropping-particle":"","family":"Poliakov","given":"Alexander","non-dropping-particle":"","parse-names":false,"suffix":""},{"dropping-particle":"","family":"Shabalov","given":"Igor","non-dropping-particle":"","parse-names":false,"suffix":""},{"dropping-particle":"","family":"Smirnova","given":"Tatyana","non-dropping-particle":"","parse-names":false,"suffix":""},{"dropping-particle":"V.","family":"Grigoriev","given":"Igor","non-dropping-particle":"","parse-names":false,"suffix":""},{"dropping-particle":"","family":"Dubchak","given":"Inna","non-dropping-particle":"","parse-names":false,"suffix":""}],"container-title":"Nucleic Acids Research","id":"ITEM-1","issue":"November 2013","issued":{"date-parts":[["2014"]]},"page":"26-31","title":"The genome portal of the Department of Energy Joint Genome Institute: 2014 updates","type":"article-journal","volume":"42"},"uris":["http://www.mendeley.com/documents/?uuid=b21f0d97-1a2b-4cf5-ba5d-15ca56906cc5"]},{"id":"ITEM-2","itemData":{"DOI":"10.1093/nar/gkt1183","ISBN":"1362-4962 (Electronic)\\n0305-1048 (Linking)","ISSN":"03051048","PMID":"24297253","abstract":"MycoCosm is a fungal genomics portal (http://jgi.doe.gov/fungi), developed by the US Department of Energy Joint Genome Institute to support integration, analysis and dissemination of fungal genome sequences and other 'omics' data by providing interactive web-based tools. MycoCosm also promotes and facilitates user community participation through the nomination of new species of fungi for sequencing, and the annotation and analysis of resulting data. By efficiently filling gaps in the Fungal Tree of Life, MycoCosm will help address important problems associated with energy and the environment, taking advantage of growing fungal genomics resources.","author":[{"dropping-particle":"V.","family":"Grigoriev","given":"Igor","non-dropping-particle":"","parse-names":false,"suffix":""},{"dropping-particle":"","family":"Nikitin","given":"Roman","non-dropping-particle":"","parse-names":false,"suffix":""},{"dropping-particle":"","family":"Haridas","given":"Sajeet","non-dropping-particle":"","parse-names":false,"suffix":""},{"dropping-particle":"","family":"Kuo","given":"Alan","non-dropping-particle":"","parse-names":false,"suffix":""},{"dropping-particle":"","family":"Ohm","given":"Robin","non-dropping-particle":"","parse-names":false,"suffix":""},{"dropping-particle":"","family":"Otillar","given":"Robert","non-dropping-particle":"","parse-names":false,"suffix":""},{"dropping-particle":"","family":"Riley","given":"Robert","non-dropping-particle":"","parse-names":false,"suffix":""},{"dropping-particle":"","family":"Salamov","given":"Asaf","non-dropping-particle":"","parse-names":false,"suffix":""},{"dropping-particle":"","family":"Zhao","given":"Xueling","non-dropping-particle":"","parse-names":false,"suffix":""},{"dropping-particle":"","family":"Korzeniewski","given":"Frank","non-dropping-particle":"","parse-names":false,"suffix":""},{"dropping-particle":"","family":"Smirnova","given":"Tatyana","non-dropping-particle":"","parse-names":false,"suffix":""},{"dropping-particle":"","family":"Nordberg","given":"Henrik","non-dropping-particle":"","parse-names":false,"suffix":""},{"dropping-particle":"","family":"Dubchak","given":"Inna","non-dropping-particle":"","parse-names":false,"suffix":""},{"dropping-particle":"","family":"Shabalov","given":"Igor","non-dropping-particle":"","parse-names":false,"suffix":""}],"container-title":"Nucleic Acids Research","id":"ITEM-2","issue":"December 2013","issued":{"date-parts":[["2014"]]},"page":"699-704","title":"MycoCosm portal: Gearing up for 1000 fungal genomes","type":"article-journal","volume":"42"},"uris":["http://www.mendeley.com/documents/?uuid=eee40767-9a6f-492f-9569-bb26ff80c11c"]}],"mendeley":{"formattedCitation":"(Nordberg et al., 2014; Grigoriev et al., 2014)","plainTextFormattedCitation":"(Nordberg et al., 2014; Grigoriev et al., 2014)","previouslyFormattedCitation":"(Nordberg et al., 2014; Grigoriev et al., 2014)"},"properties":{"noteIndex":0},"schema":"https://github.com/citation-style-language/schema/raw/master/csl-citation.json"}</w:instrText>
      </w:r>
      <w:r w:rsidRPr="000D7D3D">
        <w:fldChar w:fldCharType="separate"/>
      </w:r>
      <w:r w:rsidRPr="000D7D3D">
        <w:rPr>
          <w:noProof/>
        </w:rPr>
        <w:t>(Nordberg et al., 2014; Grigoriev et al., 2014)</w:t>
      </w:r>
      <w:r w:rsidRPr="000D7D3D">
        <w:fldChar w:fldCharType="end"/>
      </w:r>
      <w:r w:rsidRPr="000D7D3D">
        <w:t xml:space="preserve"> using the amino acid sequence of </w:t>
      </w:r>
      <w:r w:rsidRPr="000D7D3D">
        <w:rPr>
          <w:i/>
        </w:rPr>
        <w:t xml:space="preserve">Saccharomyces cerevisiae </w:t>
      </w:r>
      <w:r w:rsidRPr="000D7D3D">
        <w:t>PMA1, a functional H</w:t>
      </w:r>
      <w:r w:rsidRPr="000D7D3D">
        <w:rPr>
          <w:vertAlign w:val="superscript"/>
        </w:rPr>
        <w:t>+</w:t>
      </w:r>
      <w:r w:rsidRPr="000D7D3D">
        <w:t xml:space="preserve">-ATPase localised in the plasma membrane of yeast </w:t>
      </w:r>
      <w:r w:rsidRPr="000D7D3D">
        <w:fldChar w:fldCharType="begin" w:fldLock="1"/>
      </w:r>
      <w:r w:rsidR="00EE33AB">
        <w:instrText>ADDIN CSL_CITATION {"citationItems":[{"id":"ITEM-1","itemData":{"DOI":"10.1534/g3.113.008995","ISSN":"2160-1836","PMID":"24374639","abstract":"The genome of the budding yeast Saccharomyces cerevisiae was the first completely sequenced from a eukaryote. It was released in 1996 as the work of a worldwide effort of hundreds of researchers. In the time since, the yeast genome has been intensively studied by geneticists, molecular biologists, and computational scientists all over the world. Maintenance and annotation of the genome sequence have long been provided by the Saccharomyces Genome Database, one of the original model organism databases. To deepen our understanding of the eukaryotic genome, the S. cerevisiae strain S288C reference genome sequence was updated recently in its first major update since 1996. The new version, called \"S288C 2010,\" was determined from a single yeast colony using modern sequencing technologies and serves as the anchor for further innovations in yeast genomic science.","author":[{"dropping-particle":"","family":"Engel","given":"Stacia R.","non-dropping-particle":"","parse-names":false,"suffix":""},{"dropping-particle":"","family":"Dietrich","given":"Fred S.","non-dropping-particle":"","parse-names":false,"suffix":""},{"dropping-particle":"","family":"Fisk","given":"Dianna G.","non-dropping-particle":"","parse-names":false,"suffix":""},{"dropping-particle":"","family":"Binkley","given":"Gail","non-dropping-particle":"","parse-names":false,"suffix":""},{"dropping-particle":"","family":"Balakrishnan","given":"Rama","non-dropping-particle":"","parse-names":false,"suffix":""},{"dropping-particle":"","family":"Costanzo","given":"Maria C.","non-dropping-particle":"","parse-names":false,"suffix":""},{"dropping-particle":"","family":"Dwight","given":"Selina S.","non-dropping-particle":"","parse-names":false,"suffix":""},{"dropping-particle":"","family":"Hitz","given":"Benjamin C.","non-dropping-particle":"","parse-names":false,"suffix":""},{"dropping-particle":"","family":"Karra","given":"Kalpana","non-dropping-particle":"","parse-names":false,"suffix":""},{"dropping-particle":"","family":"Nash","given":"Robert S.","non-dropping-particle":"","parse-names":false,"suffix":""},{"dropping-particle":"","family":"Weng","given":"Shuai","non-dropping-particle":"","parse-names":false,"suffix":""},{"dropping-particle":"","family":"Wong","given":"Edith D.","non-dropping-particle":"","parse-names":false,"suffix":""},{"dropping-particle":"","family":"Lloyd","given":"Paul","non-dropping-particle":"","parse-names":false,"suffix":""},{"dropping-particle":"","family":"Skrzypek","given":"Marek S.","non-dropping-particle":"","parse-names":false,"suffix":""},{"dropping-particle":"","family":"Miyasato","given":"Stuart R.","non-dropping-particle":"","parse-names":false,"suffix":""},{"dropping-particle":"","family":"Simison","given":"Matt","non-dropping-particle":"","parse-names":false,"suffix":""},{"dropping-particle":"","family":"Cherry","given":"J. Michael","non-dropping-particle":"","parse-names":false,"suffix":""}],"container-title":"G3: Genes|Genomes|Genetics","id":"ITEM-1","issue":"March","issued":{"date-parts":[["2014"]]},"page":"389-398","title":"The Reference Genome Sequence of Saccharomyces cerevisiae : Then and Now","type":"article-journal","volume":"4"},"uris":["http://www.mendeley.com/documents/?uuid=a8647a0e-3f25-4edd-bc10-76a99186ea88"]}],"mendeley":{"formattedCitation":"(Engel et al., 2014)","plainTextFormattedCitation":"(Engel et al., 2014)","previouslyFormattedCitation":"(Engel et al., 2014)"},"properties":{"noteIndex":0},"schema":"https://github.com/citation-style-language/schema/raw/master/csl-citation.json"}</w:instrText>
      </w:r>
      <w:r w:rsidRPr="000D7D3D">
        <w:fldChar w:fldCharType="separate"/>
      </w:r>
      <w:r w:rsidRPr="000D7D3D">
        <w:rPr>
          <w:noProof/>
        </w:rPr>
        <w:t>(Engel et al., 2014)</w:t>
      </w:r>
      <w:r w:rsidRPr="000D7D3D">
        <w:fldChar w:fldCharType="end"/>
      </w:r>
      <w:r w:rsidRPr="000D7D3D">
        <w:t>.</w:t>
      </w:r>
      <w:r w:rsidR="004B1A02">
        <w:t xml:space="preserve"> In yeast, PMA1 generates a H</w:t>
      </w:r>
      <w:r w:rsidR="004B1A02" w:rsidRPr="004B1A02">
        <w:rPr>
          <w:vertAlign w:val="superscript"/>
        </w:rPr>
        <w:t>+</w:t>
      </w:r>
      <w:r w:rsidR="004B1A02">
        <w:t xml:space="preserve"> </w:t>
      </w:r>
      <w:r w:rsidR="005E10F0">
        <w:t>gradient that is essential for both pH homeostasis and nutrient transport via H</w:t>
      </w:r>
      <w:r w:rsidR="005E10F0" w:rsidRPr="005E10F0">
        <w:rPr>
          <w:vertAlign w:val="superscript"/>
        </w:rPr>
        <w:t>+</w:t>
      </w:r>
      <w:r w:rsidR="005E10F0">
        <w:t xml:space="preserve"> symport</w:t>
      </w:r>
      <w:r w:rsidR="00EE33AB">
        <w:t xml:space="preserve"> </w:t>
      </w:r>
      <w:r w:rsidR="00EE33AB">
        <w:fldChar w:fldCharType="begin" w:fldLock="1"/>
      </w:r>
      <w:r w:rsidR="00DF0AA5">
        <w:instrText>ADDIN CSL_CITATION {"citationItems":[{"id":"ITEM-1","itemData":{"DOI":"10.1186/s13321-018-0261-3","ISSN":"1758-2946","abstract":"Given that many antifungal medications are susceptible to evolved resistance, there is a need for novel drugs with unique mechanisms of action. Inhibiting the essential proton pump Pma1p, a P-type ATPase, is a potentially effective therapeutic approach that is orthogonal to existing treatments. We identify NSC11668 and hitachimycin as structurally distinct antifungals that inhibit yeast ScPma1p. These compounds provide new opportunities for drug discovery aimed at this important target. ELECTRONIC SUPPLEMENTARY MATERIAL: The online version of this article (10.1186/s13321-018-0261-3) contains supplementary material, which is available to authorized users. ","author":[{"dropping-particle":"","family":"Ottilie","given":"Sabine","non-dropping-particle":"","parse-names":false,"suffix":""},{"dropping-particle":"","family":"Goldgof","given":"Gregory M","non-dropping-particle":"","parse-names":false,"suffix":""},{"dropping-particle":"","family":"Cheung","given":"Andrea L","non-dropping-particle":"","parse-names":false,"suffix":""},{"dropping-particle":"","family":"Walker","given":"Jennifer L","non-dropping-particle":"","parse-names":false,"suffix":""},{"dropping-particle":"","family":"Vigil","given":"Edgar","non-dropping-particle":"","parse-names":false,"suffix":""},{"dropping-particle":"","family":"Allen","given":"Kenneth E","non-dropping-particle":"","parse-names":false,"suffix":""},{"dropping-particle":"","family":"Antonova-Koch","given":"Yevgeniya","non-dropping-particle":"","parse-names":false,"suffix":""},{"dropping-particle":"","family":"Slayman","given":"Carolyn W","non-dropping-particle":"","parse-names":false,"suffix":""},{"dropping-particle":"","family":"Suzuki","given":"Yo","non-dropping-particle":"","parse-names":false,"suffix":""},{"dropping-particle":"","family":"Durrant","given":"Jacob D","non-dropping-particle":"","parse-names":false,"suffix":""}],"container-title":"Journal of Cheminformatics","id":"ITEM-1","issued":{"date-parts":[["2018","2","20"]]},"page":"6","publisher":"Springer International Publishing","publisher-place":"Cham","title":"Two inhibitors of yeast plasma membrane ATPase 1 (ScPma1p): toward the development of novel antifungal therapies","type":"article-journal","volume":"10"},"uris":["http://www.mendeley.com/documents/?uuid=45345ad9-44a8-475a-a3f6-976d57b75d00"]}],"mendeley":{"formattedCitation":"(Ottilie et al., 2018)","plainTextFormattedCitation":"(Ottilie et al., 2018)","previouslyFormattedCitation":"(Ottilie et al., 2018)"},"properties":{"noteIndex":0},"schema":"https://github.com/citation-style-language/schema/raw/master/csl-citation.json"}</w:instrText>
      </w:r>
      <w:r w:rsidR="00EE33AB">
        <w:fldChar w:fldCharType="separate"/>
      </w:r>
      <w:r w:rsidR="00EE33AB" w:rsidRPr="00EE33AB">
        <w:rPr>
          <w:noProof/>
        </w:rPr>
        <w:t>(Ottilie et al., 2018)</w:t>
      </w:r>
      <w:r w:rsidR="00EE33AB">
        <w:fldChar w:fldCharType="end"/>
      </w:r>
      <w:r w:rsidR="00AB3B1B">
        <w:t>.</w:t>
      </w:r>
    </w:p>
    <w:p w14:paraId="3FF6DDB1" w14:textId="3BD9F87D" w:rsidR="000D7D3D" w:rsidRPr="000D7D3D" w:rsidRDefault="000D7D3D" w:rsidP="003F7054">
      <w:pPr>
        <w:ind w:firstLine="720"/>
      </w:pPr>
      <w:r w:rsidRPr="000D7D3D">
        <w:t xml:space="preserve">A putative </w:t>
      </w:r>
      <w:r w:rsidRPr="000D7D3D">
        <w:rPr>
          <w:i/>
        </w:rPr>
        <w:t>P. involutus</w:t>
      </w:r>
      <w:r w:rsidRPr="000D7D3D">
        <w:t xml:space="preserve"> citric acid efflux transporter gene </w:t>
      </w:r>
      <w:r w:rsidRPr="000D7D3D">
        <w:rPr>
          <w:i/>
        </w:rPr>
        <w:t xml:space="preserve">PiBEST </w:t>
      </w:r>
      <w:r w:rsidRPr="000D7D3D">
        <w:t xml:space="preserve">was identified using the protein sequence of </w:t>
      </w:r>
      <w:r w:rsidRPr="000D7D3D">
        <w:rPr>
          <w:i/>
        </w:rPr>
        <w:t xml:space="preserve">Aspergillus nidulans </w:t>
      </w:r>
      <w:r w:rsidRPr="000D7D3D">
        <w:t xml:space="preserve">BEST1 (AnBEST1), a previously characterised citrate channel localised in the plasma membrane of the fungal hyphae </w:t>
      </w:r>
      <w:r w:rsidRPr="000D7D3D">
        <w:fldChar w:fldCharType="begin" w:fldLock="1"/>
      </w:r>
      <w:r w:rsidR="00EE33AB">
        <w:instrText>ADDIN CSL_CITATION {"citationItems":[{"id":"ITEM-1","itemData":{"DOI":"10.1016/j.fgb.2011.05.004","ISSN":"1096-0937","PMID":"21596151","abstract":"Two distant homologues of the bestrophin gene family have been identified in the filamentous fungus, Aspergillus nidulans (anbest1 and anbest2). AnBEST1 was functionally characterised using the patch clamp technique and was shown to be an anion selective channel permeable to citrate. Furthermore, AnBEST1 restored the growth of the pdr12Δ yeast mutant on inhibitory concentrations of extracellular propionate, benzoate and sorbate, also consistent with carboxylated organic anion permeation of AnBEST1. Similar to its animal counterparts, AnBEST1 currents were activated by elevated cytosolic Ca(2+) with a K(d) of 1.60μM. Single channel currents showed long (&gt;10s) open and closed times with a unitary conductance of 16.3pS. Transformation of A. nidulans with GFP-tagged AnBEST1 revealed that AnBEST1 localised to the plasma membrane. An anbest1 null mutant was generated to investigate the possibility that AnBEST1 mediated organic anion efflux across the plasma membrane. Although organic anion efflux was reduced from anbest1 null mutants, this phenotype was linked to the restoration of uracil/uridine-requiring A. nidulans strains to uracil/uridine prototrophy. In conclusion, this study identifies a new family of organic anion-permeable channels in filamentous fungi. We also reveal that uracil/uridine-requiring Aspergillus strains exhibit altered organic anion metabolism which could have implications for the interpretation of physiological studies using auxotrophic Aspergillus strains.","author":[{"dropping-particle":"","family":"Roberts","given":"Stephen K","non-dropping-particle":"","parse-names":false,"suffix":""},{"dropping-particle":"","family":"Milnes","given":"James","non-dropping-particle":"","parse-names":false,"suffix":""},{"dropping-particle":"","family":"Caddick","given":"Mark","non-dropping-particle":"","parse-names":false,"suffix":""}],"container-title":"Fungal genetics and biology : FG &amp; B","id":"ITEM-1","issue":"9","issued":{"date-parts":[["2011","9"]]},"page":"928-38","publisher":"Elsevier Inc.","title":"Characterisation of AnBEST1, a functional anion channel in the plasma membrane of the filamentous fungus, Aspergillus nidulans.","type":"article-journal","volume":"48"},"uris":["http://www.mendeley.com/documents/?uuid=517458e1-c1c2-41b5-90b9-c25c73570503"]}],"mendeley":{"formattedCitation":"(Roberts et al., 2011)","plainTextFormattedCitation":"(Roberts et al., 2011)","previouslyFormattedCitation":"(Roberts et al., 2011)"},"properties":{"noteIndex":0},"schema":"https://github.com/citation-style-language/schema/raw/master/csl-citation.json"}</w:instrText>
      </w:r>
      <w:r w:rsidRPr="000D7D3D">
        <w:fldChar w:fldCharType="separate"/>
      </w:r>
      <w:r w:rsidRPr="000D7D3D">
        <w:rPr>
          <w:noProof/>
        </w:rPr>
        <w:t>(Roberts et al., 2011)</w:t>
      </w:r>
      <w:r w:rsidRPr="000D7D3D">
        <w:fldChar w:fldCharType="end"/>
      </w:r>
      <w:r w:rsidRPr="000D7D3D">
        <w:t xml:space="preserve">. In addition, a putative </w:t>
      </w:r>
      <w:r w:rsidRPr="000D7D3D">
        <w:rPr>
          <w:i/>
        </w:rPr>
        <w:t>P. involutus</w:t>
      </w:r>
      <w:r w:rsidRPr="000D7D3D">
        <w:t xml:space="preserve"> oxalate efflux transporter gene </w:t>
      </w:r>
      <w:r w:rsidRPr="000D7D3D">
        <w:rPr>
          <w:i/>
        </w:rPr>
        <w:t>PiOAR</w:t>
      </w:r>
      <w:r w:rsidRPr="000D7D3D">
        <w:t xml:space="preserve"> was identified based on the amino acid sequence of a previously characterised oxalate efflux transporter of </w:t>
      </w:r>
      <w:r w:rsidRPr="000D7D3D">
        <w:rPr>
          <w:i/>
        </w:rPr>
        <w:t xml:space="preserve">Fomitopsis palustris </w:t>
      </w:r>
      <w:r w:rsidRPr="000D7D3D">
        <w:t xml:space="preserve">FpOAR </w:t>
      </w:r>
      <w:r w:rsidRPr="000D7D3D">
        <w:fldChar w:fldCharType="begin" w:fldLock="1"/>
      </w:r>
      <w:r w:rsidR="00EE33AB">
        <w:instrText>ADDIN CSL_CITATION {"citationItems":[{"id":"ITEM-1","itemData":{"DOI":"10.1128/AEM.00829-10","ISSN":"1098-5336","PMID":"20889782","abstract":"An oxalate-fermenting brown rot fungus, Fomitopsis palustris, secretes large amounts of oxalic acid during wood decay. Secretion of oxalic acid is indispensable for the degradation of wood cell walls, but almost nothing is known about the transport mechanism by which oxalic acid is secreted from F. palustris hyphal cells. We characterized the mechanism for oxalate transport using membrane vesicles of F. palustris. Oxalate transport in F. palustris was ATP dependent and was strongly inhibited by several inhibitors, such as valinomycin and NH(4)(+), suggesting the presence of a secondary oxalate transporter in this fungus. We then isolated a cDNA, FpOAR (Fomitopsis palustris oxalic acid resistance), from F. palustris by functional screening of yeast transformants with cDNAs grown on oxalic acid-containing plates. FpOAR is predicted to be a membrane protein that possesses six transmembrane domains but shows no similarity with known oxalate transporters. The yeast transformant possessing FpOAR (FpOAR-transformant) acquired resistance to oxalic acid and contained less oxalate than the control transformant. Biochemical analyses using membrane vesicles of the FpOAR-transformant showed that the oxalate transport property of FpOAR was consistent with that observed in membrane vesicles of F. palustris. The quantity of FpOAR transcripts was correlated with increasing oxalic acid accumulation in the culture medium and was induced when exogenous oxalate was added to the medium. These results strongly suggest that FpOAR plays an important role in wood decay by acting as a secondary transporter responsible for secretion of oxalate by F. palustris.","author":[{"dropping-particle":"","family":"Watanabe","given":"Tomoki","non-dropping-particle":"","parse-names":false,"suffix":""},{"dropping-particle":"","family":"Shitan","given":"Nobukazu","non-dropping-particle":"","parse-names":false,"suffix":""},{"dropping-particle":"","family":"Suzuki","given":"Shiro","non-dropping-particle":"","parse-names":false,"suffix":""},{"dropping-particle":"","family":"Umezawa","given":"Toshiaki","non-dropping-particle":"","parse-names":false,"suffix":""},{"dropping-particle":"","family":"Shimada","given":"Mikio","non-dropping-particle":"","parse-names":false,"suffix":""},{"dropping-particle":"","family":"Yazaki","given":"Kazufumi","non-dropping-particle":"","parse-names":false,"suffix":""},{"dropping-particle":"","family":"Hattori","given":"Takefumi","non-dropping-particle":"","parse-names":false,"suffix":""}],"container-title":"Applied and environmental microbiology","id":"ITEM-1","issue":"23","issued":{"date-parts":[["2010","12"]]},"page":"7683-90","title":"Oxalate efflux transporter from the brown rot fungus Fomitopsis palustris.","type":"article-journal","volume":"76"},"uris":["http://www.mendeley.com/documents/?uuid=cded04f9-6da1-4bca-9c24-c102b1c41a40"]}],"mendeley":{"formattedCitation":"(Watanabe et al., 2010)","plainTextFormattedCitation":"(Watanabe et al., 2010)","previouslyFormattedCitation":"(Watanabe et al., 2010)"},"properties":{"noteIndex":0},"schema":"https://github.com/citation-style-language/schema/raw/master/csl-citation.json"}</w:instrText>
      </w:r>
      <w:r w:rsidRPr="000D7D3D">
        <w:fldChar w:fldCharType="separate"/>
      </w:r>
      <w:r w:rsidRPr="000D7D3D">
        <w:rPr>
          <w:noProof/>
        </w:rPr>
        <w:t>(Watanabe et al., 2010)</w:t>
      </w:r>
      <w:r w:rsidRPr="000D7D3D">
        <w:fldChar w:fldCharType="end"/>
      </w:r>
      <w:r w:rsidRPr="000D7D3D">
        <w:t>.</w:t>
      </w:r>
    </w:p>
    <w:p w14:paraId="7CA395BB" w14:textId="62CD9605" w:rsidR="000D7D3D" w:rsidRPr="000D7D3D" w:rsidRDefault="000D7D3D" w:rsidP="007F746A">
      <w:pPr>
        <w:ind w:firstLine="720"/>
      </w:pPr>
      <w:r w:rsidRPr="000D7D3D">
        <w:t xml:space="preserve">The genomic sequences of the </w:t>
      </w:r>
      <w:r w:rsidR="00D82E78">
        <w:rPr>
          <w:i/>
        </w:rPr>
        <w:t xml:space="preserve">P. involutus </w:t>
      </w:r>
      <w:r w:rsidR="00D82E78">
        <w:t>putative weathering genes</w:t>
      </w:r>
      <w:r w:rsidRPr="000D7D3D">
        <w:t xml:space="preserve"> were retrieved from the MycoCosm database and are listed in the Appendix (Supplementary Data 3). The putative amino acid sequences for PiPMA, PiBEST and </w:t>
      </w:r>
      <w:r w:rsidRPr="000D7D3D">
        <w:rPr>
          <w:sz w:val="23"/>
          <w:szCs w:val="23"/>
        </w:rPr>
        <w:t>PiOAR</w:t>
      </w:r>
      <w:r w:rsidRPr="000D7D3D">
        <w:t xml:space="preserve"> were retrieved according to their nucleotide transcript sequence listed on MycoCosm using the ExPASy translate tool </w:t>
      </w:r>
      <w:r w:rsidRPr="000D7D3D">
        <w:fldChar w:fldCharType="begin" w:fldLock="1"/>
      </w:r>
      <w:r w:rsidR="00EE33AB">
        <w:instrText>ADDIN CSL_CITATION {"citationItems":[{"id":"ITEM-1","itemData":{"DOI":"10.1093/nar/gks400","ISBN":"1362-4962","ISSN":"03051048","PMID":"22661580","abstract":"ExPASy (http://www.expasy.org) has worldwide reputation as one of the main bioinformatics resources for proteomics. It has now evolved, becoming an extensible and integrative portal accessing many scientific resources, databases and software tools in different areas of life sciences. Scientists can henceforth access seamlessly a wide range of resources in many different domains, such as proteomics, genomics, phylogeny/evolution, systems biology, population genetics, transcriptomics, etc. The individual resources (databases, web-based and downloadable software tools) are hosted in a 'decentralized' way by different groups of the SIB Swiss Institute of Bioinformatics and partner institutions. Specifically, a single web portal provides a common entry point to a wide range of resources developed and operated by different SIB groups and external institutions. The portal features a search function across 'selected' resources. Additionally, the availability and usage of resources are monitored. The portal is aimed for both expert users and people who are not familiar with a specific domain in life sciences. The new web interface provides, in particular, visual guidance for newcomers to ExPASy.","author":[{"dropping-particle":"","family":"Artimo","given":"Panu","non-dropping-particle":"","parse-names":false,"suffix":""},{"dropping-particle":"","family":"Jonnalagedda","given":"Manohar","non-dropping-particle":"","parse-names":false,"suffix":""},{"dropping-particle":"","family":"Arnold","given":"Konstantin","non-dropping-particle":"","parse-names":false,"suffix":""},{"dropping-particle":"","family":"Baratin","given":"Delphine","non-dropping-particle":"","parse-names":false,"suffix":""},{"dropping-particle":"","family":"Csardi","given":"Gabor","non-dropping-particle":"","parse-names":false,"suffix":""},{"dropping-particle":"","family":"Castro","given":"Edouard","non-dropping-particle":"De","parse-names":false,"suffix":""},{"dropping-particle":"","family":"Duvaud","given":"Séverine","non-dropping-particle":"","parse-names":false,"suffix":""},{"dropping-particle":"","family":"Flegel","given":"Volker","non-dropping-particle":"","parse-names":false,"suffix":""},{"dropping-particle":"","family":"Fortier","given":"Arnaud","non-dropping-particle":"","parse-names":false,"suffix":""},{"dropping-particle":"","family":"Gasteiger","given":"Elisabeth","non-dropping-particle":"","parse-names":false,"suffix":""},{"dropping-particle":"","family":"Grosdidier","given":"Aurélien","non-dropping-particle":"","parse-names":false,"suffix":""},{"dropping-particle":"","family":"Hernandez","given":"Céline","non-dropping-particle":"","parse-names":false,"suffix":""},{"dropping-particle":"","family":"Ioannidis","given":"Vassilios","non-dropping-particle":"","parse-names":false,"suffix":""},{"dropping-particle":"","family":"Kuznetsov","given":"Dmitry","non-dropping-particle":"","parse-names":false,"suffix":""},{"dropping-particle":"","family":"Liechti","given":"Robin","non-dropping-particle":"","parse-names":false,"suffix":""},{"dropping-particle":"","family":"Moretti","given":"Sébastien","non-dropping-particle":"","parse-names":false,"suffix":""},{"dropping-particle":"","family":"Mostaguir","given":"Khaled","non-dropping-particle":"","parse-names":false,"suffix":""},{"dropping-particle":"","family":"Redaschi","given":"Nicole","non-dropping-particle":"","parse-names":false,"suffix":""},{"dropping-particle":"","family":"Rossier","given":"Grégoire","non-dropping-particle":"","parse-names":false,"suffix":""},{"dropping-particle":"","family":"Xenarios","given":"Ioannis","non-dropping-particle":"","parse-names":false,"suffix":""},{"dropping-particle":"","family":"Stockinger","given":"Heinz","non-dropping-particle":"","parse-names":false,"suffix":""}],"container-title":"Nucleic Acids Research","id":"ITEM-1","issue":"May","issued":{"date-parts":[["2012"]]},"page":"597-603","title":"ExPASy: SIB bioinformatics resource portal","type":"article-journal","volume":"40"},"uris":["http://www.mendeley.com/documents/?uuid=f2177573-b99d-4187-8720-1584613475ff"]}],"mendeley":{"formattedCitation":"(Artimo et al., 2012)","plainTextFormattedCitation":"(Artimo et al., 2012)","previouslyFormattedCitation":"(Artimo et al., 2012)"},"properties":{"noteIndex":0},"schema":"https://github.com/citation-style-language/schema/raw/master/csl-citation.json"}</w:instrText>
      </w:r>
      <w:r w:rsidRPr="000D7D3D">
        <w:fldChar w:fldCharType="separate"/>
      </w:r>
      <w:r w:rsidRPr="000D7D3D">
        <w:rPr>
          <w:noProof/>
        </w:rPr>
        <w:t>(Artimo et al., 2012)</w:t>
      </w:r>
      <w:r w:rsidRPr="000D7D3D">
        <w:fldChar w:fldCharType="end"/>
      </w:r>
      <w:r w:rsidRPr="000D7D3D">
        <w:t xml:space="preserve"> and are listed in the Appendix (Supplementary Data 4). Table 9 (Appendix) summarizes some of the characteristics of the </w:t>
      </w:r>
      <w:r w:rsidR="00D82E78">
        <w:rPr>
          <w:i/>
        </w:rPr>
        <w:t xml:space="preserve">P. involutus </w:t>
      </w:r>
      <w:r w:rsidR="00D82E78">
        <w:t>putative weathering genes</w:t>
      </w:r>
      <w:r w:rsidR="00D82E78" w:rsidRPr="000D7D3D">
        <w:t xml:space="preserve"> </w:t>
      </w:r>
      <w:r w:rsidRPr="000D7D3D">
        <w:t>and their corresponding proteins, such as the number of exons</w:t>
      </w:r>
      <w:r w:rsidRPr="000D7D3D">
        <w:rPr>
          <w:i/>
        </w:rPr>
        <w:t>,</w:t>
      </w:r>
      <w:r w:rsidRPr="000D7D3D">
        <w:t xml:space="preserve"> </w:t>
      </w:r>
      <w:r w:rsidR="00D82E78">
        <w:t xml:space="preserve">as </w:t>
      </w:r>
      <w:r w:rsidRPr="000D7D3D">
        <w:t xml:space="preserve">extracted from the MycoCosm website, the theoretical protein isoelectric point (pI) and molecular weight (Mw), which </w:t>
      </w:r>
      <w:r w:rsidR="00D82E78">
        <w:t>were</w:t>
      </w:r>
      <w:r w:rsidRPr="000D7D3D">
        <w:t xml:space="preserve"> calculated according to the ExPASy compute pI/Mw tool, and subcellular localisation, which was predicted by using the WoLF PSORT server </w:t>
      </w:r>
      <w:r w:rsidRPr="000D7D3D">
        <w:fldChar w:fldCharType="begin" w:fldLock="1"/>
      </w:r>
      <w:r w:rsidR="00EE33AB">
        <w:instrText>ADDIN CSL_CITATION {"citationItems":[{"id":"ITEM-1","itemData":{"DOI":"10.1093/nar/gkm259","ISBN":"1362-4962 (Electronic) 0305-1048 (Linking)","ISSN":"03051048","PMID":"17517783","abstract":"WoLF PSORT is an extension of the PSORT II program for protein subcellular location prediction. WoLF PSORT converts protein amino acid sequences into numerical localization features; based on sorting signals, amino acid composition and functional motifs such as DNA-binding motifs. After conversion, a simple k-nearest neighbor classifier is used for prediction. Using html, the evidence for each prediction is shown in two ways: (i) a list of proteins of known localization with the most similar localization features to the query, and (ii) tables with detailed information about individual localization features. For convenience, sequence alignments of the query to similar proteins and links to UniProt and Gene Ontology are provided. Taken together, this information allows a user to understand the evidence (or lack thereof) behind the predictions made for particular proteins. WoLF PSORT is available at wolfpsort.org.","author":[{"dropping-particle":"","family":"Horton","given":"Paul","non-dropping-particle":"","parse-names":false,"suffix":""},{"dropping-particle":"","family":"Park","given":"Keun Joon","non-dropping-particle":"","parse-names":false,"suffix":""},{"dropping-particle":"","family":"Obayashi","given":"Takeshi","non-dropping-particle":"","parse-names":false,"suffix":""},{"dropping-particle":"","family":"Fujita","given":"Naoya","non-dropping-particle":"","parse-names":false,"suffix":""},{"dropping-particle":"","family":"Harada","given":"Hajime","non-dropping-particle":"","parse-names":false,"suffix":""},{"dropping-particle":"","family":"Adams-Collier","given":"C. J.","non-dropping-particle":"","parse-names":false,"suffix":""},{"dropping-particle":"","family":"Nakai","given":"Kenta","non-dropping-particle":"","parse-names":false,"suffix":""}],"container-title":"Nucleic Acids Research","id":"ITEM-1","issue":"17","issued":{"date-parts":[["2007"]]},"page":"585-587","title":"WoLF PSORT: Protein localization predictor","type":"article-journal","volume":"35"},"uris":["http://www.mendeley.com/documents/?uuid=8ba0a70f-d34c-4fbd-8a03-cd2f3cdce813"]}],"mendeley":{"formattedCitation":"(Horton et al., 2007)","plainTextFormattedCitation":"(Horton et al., 2007)","previouslyFormattedCitation":"(Horton et al., 2007)"},"properties":{"noteIndex":0},"schema":"https://github.com/citation-style-language/schema/raw/master/csl-citation.json"}</w:instrText>
      </w:r>
      <w:r w:rsidRPr="000D7D3D">
        <w:fldChar w:fldCharType="separate"/>
      </w:r>
      <w:r w:rsidRPr="000D7D3D">
        <w:rPr>
          <w:noProof/>
        </w:rPr>
        <w:t>(Horton et al., 2007)</w:t>
      </w:r>
      <w:r w:rsidRPr="000D7D3D">
        <w:fldChar w:fldCharType="end"/>
      </w:r>
      <w:r w:rsidRPr="000D7D3D">
        <w:t>.</w:t>
      </w:r>
    </w:p>
    <w:p w14:paraId="2AB41D3F" w14:textId="2126A385" w:rsidR="000D7D3D" w:rsidRPr="000D7D3D" w:rsidRDefault="000D7D3D" w:rsidP="007F746A">
      <w:pPr>
        <w:rPr>
          <w:rFonts w:cs="Arial"/>
          <w:szCs w:val="28"/>
        </w:rPr>
      </w:pPr>
    </w:p>
    <w:p w14:paraId="5AD2CC88" w14:textId="1218A723" w:rsidR="000D7D3D" w:rsidRPr="000D7D3D" w:rsidRDefault="000D7D3D" w:rsidP="00635993">
      <w:pPr>
        <w:pStyle w:val="Heading2"/>
      </w:pPr>
      <w:bookmarkStart w:id="334" w:name="_Toc507604036"/>
      <w:bookmarkStart w:id="335" w:name="_Toc507604303"/>
      <w:bookmarkStart w:id="336" w:name="_Toc519017013"/>
      <w:bookmarkStart w:id="337" w:name="_Toc520837918"/>
      <w:r w:rsidRPr="000D7D3D">
        <w:t xml:space="preserve">4.2.7 RNA extraction and </w:t>
      </w:r>
      <w:r w:rsidR="00591D2E">
        <w:t>qRT-PCR analysis</w:t>
      </w:r>
      <w:bookmarkEnd w:id="334"/>
      <w:bookmarkEnd w:id="335"/>
      <w:bookmarkEnd w:id="336"/>
      <w:bookmarkEnd w:id="337"/>
    </w:p>
    <w:p w14:paraId="63FD64A8" w14:textId="19B6C146" w:rsidR="000D7D3D" w:rsidRPr="000D7D3D" w:rsidRDefault="000D7D3D" w:rsidP="003F7054">
      <w:r w:rsidRPr="000D7D3D">
        <w:t xml:space="preserve">Total fungal RNA was extracted using the E.Z.N.A. ® Fungal RNA Kit according to the manufacturer’s protocol. For the qRT-PCR analysis, 250 ng of total RNA were used for cDNA first strand synthesis (SuperScript® III First-Strand Synthesis SuperMix). For qRT-PCR reactions the Rotor-Gene SYBR Green PCR Kit (Qiagen) was used in conjunction </w:t>
      </w:r>
      <w:r w:rsidRPr="000D7D3D">
        <w:lastRenderedPageBreak/>
        <w:t xml:space="preserve">with a Rotor-Gene Q (Qiagen) real-time PCR cycler, according to the manufacturer’s instructions. The reaction conditions (2-step with </w:t>
      </w:r>
      <w:r w:rsidR="00EB1740">
        <w:t xml:space="preserve">a </w:t>
      </w:r>
      <w:r w:rsidRPr="000D7D3D">
        <w:t xml:space="preserve">melt curve) were 95°C for 10 min, 35 cycles of 95°C for 10 sec and 60°C for 55 sec. High resolution melting analysis was carried out to detect primer dimers or other non-specific amplification products. Relative gene expression was quantified using a modified Livak’s ΔΔCT method </w:t>
      </w:r>
      <w:r w:rsidRPr="000D7D3D">
        <w:fldChar w:fldCharType="begin" w:fldLock="1"/>
      </w:r>
      <w:r w:rsidR="00EE33AB">
        <w:instrText>ADDIN CSL_CITATION {"citationItems":[{"id":"ITEM-1","itemData":{"DOI":"10.1006/meth.2001.1262","ISBN":"10462023 (ISSN)","ISSN":"1046-2023","PMID":"11846609","abstract":"The two most commonly used methods to analyze data from real-time, quantitative PCR experiments are absolute quantification and relative quantification. Absolute quantification determines the input copy number, usually by relating the PCR signal to a standard curve. Relative quantification relates the PCR signal of the target transcript in a treatment group to that of another sample such as an untreated control. The 2-ÄÄCT method is a convenient way to analyze the relative changes in gene expression from real-time quantitative PCR experiments. The purpose of this report is to present the derivation, assumptions, and applications of the 2-ÄÄCT method. In addition, we present the derivation and applications of two variations of the 2-ÄÄCT method that may be useful in the analysis of real-time, quantitative PCR data.","author":[{"dropping-particle":"","family":"Livak","given":"K J","non-dropping-particle":"","parse-names":false,"suffix":""},{"dropping-particle":"","family":"Schmittgen","given":"T D","non-dropping-particle":"","parse-names":false,"suffix":""}],"container-title":"Methods","id":"ITEM-1","issued":{"date-parts":[["2001"]]},"page":"402-408","title":"Analysis of relative gene expression data using real-time quantitative PCR and the 2-ΔΔCT method.","type":"article-journal","volume":"25"},"uris":["http://www.mendeley.com/documents/?uuid=cc008f39-152f-49e7-89c2-050e4f65ee55"]}],"mendeley":{"formattedCitation":"(Livak and Schmittgen, 2001)","plainTextFormattedCitation":"(Livak and Schmittgen, 2001)","previouslyFormattedCitation":"(Livak and Schmittgen, 2001)"},"properties":{"noteIndex":0},"schema":"https://github.com/citation-style-language/schema/raw/master/csl-citation.json"}</w:instrText>
      </w:r>
      <w:r w:rsidRPr="000D7D3D">
        <w:fldChar w:fldCharType="separate"/>
      </w:r>
      <w:r w:rsidRPr="000D7D3D">
        <w:rPr>
          <w:noProof/>
        </w:rPr>
        <w:t>(Livak and Schmittgen, 2001)</w:t>
      </w:r>
      <w:r w:rsidRPr="000D7D3D">
        <w:fldChar w:fldCharType="end"/>
      </w:r>
      <w:r w:rsidRPr="000D7D3D">
        <w:t xml:space="preserve"> with correction for reaction efficiency of each sample </w:t>
      </w:r>
      <w:r w:rsidRPr="000D7D3D">
        <w:fldChar w:fldCharType="begin" w:fldLock="1"/>
      </w:r>
      <w:r w:rsidR="00EE33AB">
        <w:instrText>ADDIN CSL_CITATION {"citationItems":[{"id":"ITEM-1","itemData":{"author":[{"dropping-particle":"","family":"Pfaffl","given":"Michael W","non-dropping-particle":"","parse-names":false,"suffix":""}],"container-title":"Nucleic Acids Research","id":"ITEM-1","issue":"9","issued":{"date-parts":[["2001"]]},"page":"16-21","title":"A new mathematical model for relative quantification in real-time RT–PCR","type":"article-journal","volume":"29"},"uris":["http://www.mendeley.com/documents/?uuid=99bf4957-90ed-4afa-a10b-94c8fac4d343"]}],"mendeley":{"formattedCitation":"(Pfaffl, 2001)","plainTextFormattedCitation":"(Pfaffl, 2001)","previouslyFormattedCitation":"(Pfaffl, 2001)"},"properties":{"noteIndex":0},"schema":"https://github.com/citation-style-language/schema/raw/master/csl-citation.json"}</w:instrText>
      </w:r>
      <w:r w:rsidRPr="000D7D3D">
        <w:fldChar w:fldCharType="separate"/>
      </w:r>
      <w:r w:rsidRPr="000D7D3D">
        <w:rPr>
          <w:noProof/>
        </w:rPr>
        <w:t>(Pfaffl, 2001)</w:t>
      </w:r>
      <w:r w:rsidRPr="000D7D3D">
        <w:fldChar w:fldCharType="end"/>
      </w:r>
      <w:r w:rsidRPr="000D7D3D">
        <w:t>. Relative gene expression was normalized against average expression values of the housekeeping genes UBIQUITIN and GAPDH. For each qRT-PCR reaction, three biological replicates were analysed.</w:t>
      </w:r>
    </w:p>
    <w:p w14:paraId="0B0B666A" w14:textId="77777777" w:rsidR="000D7D3D" w:rsidRPr="000D7D3D" w:rsidRDefault="000D7D3D" w:rsidP="007F746A"/>
    <w:p w14:paraId="4F649AC4" w14:textId="70586AE7" w:rsidR="000D7D3D" w:rsidRPr="000D7D3D" w:rsidRDefault="000D7D3D" w:rsidP="00635993">
      <w:pPr>
        <w:pStyle w:val="Heading2"/>
      </w:pPr>
      <w:bookmarkStart w:id="338" w:name="_Toc507604037"/>
      <w:bookmarkStart w:id="339" w:name="_Toc507604304"/>
      <w:bookmarkStart w:id="340" w:name="_Toc519017014"/>
      <w:bookmarkStart w:id="341" w:name="_Toc520837919"/>
      <w:r w:rsidRPr="000D7D3D">
        <w:t>4.2.8 Statistical analysis</w:t>
      </w:r>
      <w:bookmarkEnd w:id="338"/>
      <w:bookmarkEnd w:id="339"/>
      <w:bookmarkEnd w:id="340"/>
      <w:bookmarkEnd w:id="341"/>
    </w:p>
    <w:p w14:paraId="4219792F" w14:textId="6C12A495" w:rsidR="000D7D3D" w:rsidRPr="000D7D3D" w:rsidRDefault="000D7D3D" w:rsidP="007F746A">
      <w:r w:rsidRPr="000D7D3D">
        <w:t xml:space="preserve">Statistically significant differences in atomic percentages of </w:t>
      </w:r>
      <w:r w:rsidR="00676BF1">
        <w:t>carbon (</w:t>
      </w:r>
      <w:r w:rsidRPr="000D7D3D">
        <w:t>C</w:t>
      </w:r>
      <w:r w:rsidR="00676BF1">
        <w:t>)</w:t>
      </w:r>
      <w:r w:rsidRPr="000D7D3D">
        <w:t>, P and Ca</w:t>
      </w:r>
      <w:r w:rsidR="00676BF1">
        <w:t xml:space="preserve"> per site of EDX measurement (</w:t>
      </w:r>
      <w:r w:rsidRPr="000D7D3D">
        <w:t>Sections 4.3.1 and 4.3.4</w:t>
      </w:r>
      <w:r w:rsidR="00676BF1">
        <w:t xml:space="preserve">), as well as </w:t>
      </w:r>
      <w:r w:rsidRPr="000D7D3D">
        <w:t xml:space="preserve">relative </w:t>
      </w:r>
      <w:r w:rsidRPr="00676BF1">
        <w:rPr>
          <w:i/>
        </w:rPr>
        <w:t>mRNA</w:t>
      </w:r>
      <w:r w:rsidRPr="000D7D3D">
        <w:t xml:space="preserve"> expression between hyphae growing in </w:t>
      </w:r>
      <w:r w:rsidR="002F058A">
        <w:t>HAP</w:t>
      </w:r>
      <w:r w:rsidRPr="000D7D3D">
        <w:t xml:space="preserve">-coated (HAP+) and </w:t>
      </w:r>
      <w:r w:rsidR="00676BF1">
        <w:t>un</w:t>
      </w:r>
      <w:r w:rsidRPr="000D7D3D">
        <w:t xml:space="preserve">coated (HAP-) polystyrene discs </w:t>
      </w:r>
      <w:r w:rsidR="00676BF1">
        <w:t>(</w:t>
      </w:r>
      <w:r w:rsidRPr="000D7D3D">
        <w:t>Section 4.3.5</w:t>
      </w:r>
      <w:r w:rsidR="00676BF1">
        <w:t>), were assessed by one-way ANOVA</w:t>
      </w:r>
      <w:r w:rsidRPr="000D7D3D">
        <w:t xml:space="preserve"> followed by Tukey’s post-hoc analysis for multiple comparisons </w:t>
      </w:r>
      <w:r w:rsidR="00BF4CCF" w:rsidRPr="000D7D3D">
        <w:t>(</w:t>
      </w:r>
      <w:r w:rsidR="00BF4CCF" w:rsidRPr="000D7D3D">
        <w:rPr>
          <w:i/>
        </w:rPr>
        <w:t>α</w:t>
      </w:r>
      <w:r w:rsidR="00BF4CCF" w:rsidRPr="000D7D3D">
        <w:t>=0.05)</w:t>
      </w:r>
      <w:r w:rsidR="00634533">
        <w:t>.</w:t>
      </w:r>
      <w:r w:rsidRPr="000D7D3D">
        <w:br w:type="page"/>
      </w:r>
    </w:p>
    <w:p w14:paraId="664AC694" w14:textId="2F4E1BB3" w:rsidR="000D7D3D" w:rsidRPr="000D7D3D" w:rsidRDefault="000D7D3D" w:rsidP="00635993">
      <w:pPr>
        <w:pStyle w:val="Heading1"/>
      </w:pPr>
      <w:bookmarkStart w:id="342" w:name="_Toc507604038"/>
      <w:bookmarkStart w:id="343" w:name="_Toc507604305"/>
      <w:bookmarkStart w:id="344" w:name="_Toc519017015"/>
      <w:bookmarkStart w:id="345" w:name="_Toc520837920"/>
      <w:r w:rsidRPr="000D7D3D">
        <w:lastRenderedPageBreak/>
        <w:t>4.3 Results</w:t>
      </w:r>
      <w:bookmarkEnd w:id="342"/>
      <w:bookmarkEnd w:id="343"/>
      <w:bookmarkEnd w:id="344"/>
      <w:bookmarkEnd w:id="345"/>
    </w:p>
    <w:p w14:paraId="5DB1190B" w14:textId="77777777" w:rsidR="000D7D3D" w:rsidRPr="000D7D3D" w:rsidRDefault="000D7D3D" w:rsidP="003F7054"/>
    <w:p w14:paraId="6E1AAFCF" w14:textId="28E9A04A" w:rsidR="000D7D3D" w:rsidRPr="000D7D3D" w:rsidRDefault="000D7D3D" w:rsidP="00635993">
      <w:pPr>
        <w:pStyle w:val="Heading2"/>
      </w:pPr>
      <w:bookmarkStart w:id="346" w:name="_Toc507604039"/>
      <w:bookmarkStart w:id="347" w:name="_Toc507604306"/>
      <w:bookmarkStart w:id="348" w:name="_Toc519017016"/>
      <w:bookmarkStart w:id="349" w:name="_Toc520837921"/>
      <w:r w:rsidRPr="000D7D3D">
        <w:t xml:space="preserve">4.3.1 Characterisation of </w:t>
      </w:r>
      <w:r w:rsidR="00553792">
        <w:t>HAP</w:t>
      </w:r>
      <w:r w:rsidRPr="000D7D3D">
        <w:t>-coated polystyrene discs with SEM-EDX</w:t>
      </w:r>
      <w:bookmarkEnd w:id="346"/>
      <w:bookmarkEnd w:id="347"/>
      <w:bookmarkEnd w:id="348"/>
      <w:bookmarkEnd w:id="349"/>
    </w:p>
    <w:p w14:paraId="10D778DC" w14:textId="55364CC5" w:rsidR="000D7D3D" w:rsidRPr="000D7D3D" w:rsidRDefault="000D7D3D" w:rsidP="003F7054">
      <w:pPr>
        <w:rPr>
          <w:rFonts w:eastAsia="AdvTT08640291"/>
        </w:rPr>
      </w:pPr>
      <w:r w:rsidRPr="000D7D3D">
        <w:rPr>
          <w:bCs/>
        </w:rPr>
        <w:t>Overall</w:t>
      </w:r>
      <w:r w:rsidRPr="000D7D3D">
        <w:rPr>
          <w:b/>
          <w:bCs/>
        </w:rPr>
        <w:t xml:space="preserve">, </w:t>
      </w:r>
      <w:r w:rsidRPr="000D7D3D">
        <w:t xml:space="preserve">SEM revealed a continuous layer of </w:t>
      </w:r>
      <w:r w:rsidR="00553792">
        <w:t>HAP</w:t>
      </w:r>
      <w:r w:rsidR="00553792" w:rsidRPr="000D7D3D">
        <w:t xml:space="preserve"> </w:t>
      </w:r>
      <w:r w:rsidRPr="000D7D3D">
        <w:t xml:space="preserve">crystallites, but with occasional </w:t>
      </w:r>
      <w:r w:rsidR="00553792">
        <w:t>HAP</w:t>
      </w:r>
      <w:r w:rsidR="00553792" w:rsidRPr="000D7D3D">
        <w:t xml:space="preserve"> </w:t>
      </w:r>
      <w:r w:rsidRPr="000D7D3D">
        <w:t>aggregates (Fig</w:t>
      </w:r>
      <w:r w:rsidR="0027260E">
        <w:t>ure</w:t>
      </w:r>
      <w:r w:rsidRPr="000D7D3D">
        <w:t xml:space="preserve"> 4.1A-D). Detailed </w:t>
      </w:r>
      <w:r w:rsidRPr="000D7D3D">
        <w:rPr>
          <w:rFonts w:eastAsia="AdvTT08640291"/>
        </w:rPr>
        <w:t xml:space="preserve">SEM analysis showed that the </w:t>
      </w:r>
      <w:r w:rsidR="00553792">
        <w:rPr>
          <w:rFonts w:eastAsia="AdvTT08640291"/>
        </w:rPr>
        <w:t>HAP</w:t>
      </w:r>
      <w:r w:rsidR="00553792" w:rsidRPr="000D7D3D">
        <w:rPr>
          <w:rFonts w:eastAsia="AdvTT08640291"/>
        </w:rPr>
        <w:t xml:space="preserve"> </w:t>
      </w:r>
      <w:r w:rsidRPr="000D7D3D">
        <w:rPr>
          <w:rFonts w:eastAsia="AdvTT08640291"/>
        </w:rPr>
        <w:t xml:space="preserve">aggregates, </w:t>
      </w:r>
      <w:r w:rsidRPr="000D7D3D">
        <w:t xml:space="preserve">reported in the literature as nucleated apatite </w:t>
      </w:r>
      <w:r w:rsidRPr="000D7D3D">
        <w:fldChar w:fldCharType="begin" w:fldLock="1"/>
      </w:r>
      <w:r w:rsidR="00EE33AB">
        <w:instrText>ADDIN CSL_CITATION {"citationItems":[{"id":"ITEM-1","itemData":{"DOI":"10.1002/jbm.b.32831","ISBN":"1552-4981","ISSN":"15524973","PMID":"23152082","abstract":"Polymer-ceramic composites obtained as the result of a mineralization process hold great promise for the future of tissue engineering. Simulated body fluids (SBFs) are widely used for the mineralization of polymer scaffolds. In this work an exhaustive study with the aim of optimizing the mineralization process on a poly(L-lactic acid) (PLLA) macroporous scaffold has been performed. We observed that when an air plasma treatment is applied to the PLLA scaffold its hydroxyapatite nucleation ability is considerably improved. However, plasma treatment only allows apatite deposition on the surface of the scaffold but not in its interior. When a 5 wt % of synthetic hydroxyapatite (HAp) nanoparticles is mixed with PLLA a more abundant biomimetic hydroxyapatite layer grows inside the scaffold in SBF. The morphology, amount, and composition of the generated biomimetic hydroxyapatite layer on the pores' surface have been analyzed. Large mineralization times are harmful to pure PLLA as it rapidly degrades and its elastic compression modulus significantly decreases. Degradation is retarded in the composite scaffolds because of the faster and extensive biomimetic apatite deposition and the role of HAp to control the pH. Mineralized scaffolds, covered by an apatite layer in SBF, were implanted in osteochondral lesions performed in the medial femoral condyle of healthy sheep. We observed that the presence of biomimetic hydroxyapatite on the pore's surface of the composite scaffold produces a better integration in the subchondral bone, in comparison to bare PLLA scaffolds.","author":[{"dropping-particle":"","family":"Deplaine","given":"H.","non-dropping-particle":"","parse-names":false,"suffix":""},{"dropping-particle":"","family":"Lebourg","given":"M.","non-dropping-particle":"","parse-names":false,"suffix":""},{"dropping-particle":"","family":"Ripalda","given":"P.","non-dropping-particle":"","parse-names":false,"suffix":""},{"dropping-particle":"","family":"Vidaurre","given":"a.","non-dropping-particle":"","parse-names":false,"suffix":""},{"dropping-particle":"","family":"Sanz-Ramos","given":"P.","non-dropping-particle":"","parse-names":false,"suffix":""},{"dropping-particle":"","family":"Mora","given":"G.","non-dropping-particle":"","parse-names":false,"suffix":""},{"dropping-particle":"","family":"Prõsper","given":"F.","non-dropping-particle":"","parse-names":false,"suffix":""},{"dropping-particle":"","family":"Ochoa","given":"I.","non-dropping-particle":"","parse-names":false,"suffix":""},{"dropping-particle":"","family":"Doblaré","given":"M.","non-dropping-particle":"","parse-names":false,"suffix":""},{"dropping-particle":"","family":"Gõmez Ribelles","given":"J. L.","non-dropping-particle":"","parse-names":false,"suffix":""},{"dropping-particle":"","family":"Izal-Azcárate","given":"I.","non-dropping-particle":"","parse-names":false,"suffix":""},{"dropping-particle":"","family":"Gallego Ferrer","given":"G.","non-dropping-particle":"","parse-names":false,"suffix":""}],"container-title":"Journal of Biomedical Materials Research - Part B Applied Biomaterials","id":"ITEM-1","issue":"January 2013","issued":{"date-parts":[["2013"]]},"page":"173-186","title":"Biomimetic hydroxyapatite coating on pore walls improves osteointegration of poly(L-lactic acid) scaffolds","type":"article-journal","volume":"101 B"},"uris":["http://www.mendeley.com/documents/?uuid=9ea6256a-7d27-490e-bc52-82e496d8be1c"]}],"mendeley":{"formattedCitation":"(Deplaine et al., 2013)","plainTextFormattedCitation":"(Deplaine et al., 2013)","previouslyFormattedCitation":"(Deplaine et al., 2013)"},"properties":{"noteIndex":0},"schema":"https://github.com/citation-style-language/schema/raw/master/csl-citation.json"}</w:instrText>
      </w:r>
      <w:r w:rsidRPr="000D7D3D">
        <w:fldChar w:fldCharType="separate"/>
      </w:r>
      <w:r w:rsidRPr="000D7D3D">
        <w:rPr>
          <w:noProof/>
        </w:rPr>
        <w:t>(Deplaine et al., 2013)</w:t>
      </w:r>
      <w:r w:rsidRPr="000D7D3D">
        <w:fldChar w:fldCharType="end"/>
      </w:r>
      <w:r w:rsidRPr="000D7D3D">
        <w:rPr>
          <w:rFonts w:eastAsia="AdvTT08640291"/>
        </w:rPr>
        <w:t>, show the typical cauliflower shape of</w:t>
      </w:r>
      <w:r w:rsidRPr="000D7D3D">
        <w:t xml:space="preserve"> </w:t>
      </w:r>
      <w:r w:rsidRPr="000D7D3D">
        <w:rPr>
          <w:rFonts w:eastAsia="AdvTT08640291"/>
        </w:rPr>
        <w:t xml:space="preserve">hemispherical apatite granules characteristic of </w:t>
      </w:r>
      <w:r w:rsidR="002F20FD">
        <w:rPr>
          <w:rFonts w:eastAsia="AdvTT08640291"/>
        </w:rPr>
        <w:t>synthetic</w:t>
      </w:r>
      <w:r w:rsidRPr="000D7D3D">
        <w:rPr>
          <w:rFonts w:eastAsia="AdvTT08640291"/>
        </w:rPr>
        <w:t xml:space="preserve"> </w:t>
      </w:r>
      <w:r w:rsidR="00553792">
        <w:rPr>
          <w:rFonts w:eastAsia="AdvTT08640291"/>
        </w:rPr>
        <w:t>HAP</w:t>
      </w:r>
      <w:r w:rsidRPr="000D7D3D">
        <w:rPr>
          <w:rFonts w:eastAsia="AdvTT08640291"/>
        </w:rPr>
        <w:t>, where the granules contain numerous needle-shaped apatite crystals (Fig</w:t>
      </w:r>
      <w:r w:rsidR="0027260E">
        <w:rPr>
          <w:rFonts w:eastAsia="AdvTT08640291"/>
        </w:rPr>
        <w:t>ure</w:t>
      </w:r>
      <w:r w:rsidR="002F20FD">
        <w:rPr>
          <w:rFonts w:eastAsia="AdvTT08640291"/>
        </w:rPr>
        <w:t xml:space="preserve"> 4.1C-D).</w:t>
      </w:r>
    </w:p>
    <w:p w14:paraId="18B1DC85" w14:textId="2CD650CE" w:rsidR="000D7D3D" w:rsidRPr="00634533" w:rsidRDefault="002F20FD" w:rsidP="00634533">
      <w:pPr>
        <w:ind w:firstLine="720"/>
        <w:rPr>
          <w:rFonts w:eastAsia="AdvTT08640291"/>
        </w:rPr>
      </w:pPr>
      <w:r>
        <w:t>Ca</w:t>
      </w:r>
      <w:r w:rsidR="000D7D3D" w:rsidRPr="000D7D3D">
        <w:t xml:space="preserve"> and </w:t>
      </w:r>
      <w:r>
        <w:t>P</w:t>
      </w:r>
      <w:r w:rsidR="000D7D3D" w:rsidRPr="000D7D3D">
        <w:t xml:space="preserve"> were quantified on the </w:t>
      </w:r>
      <w:r w:rsidR="00553792">
        <w:t>HAP</w:t>
      </w:r>
      <w:r w:rsidR="000D7D3D" w:rsidRPr="000D7D3D">
        <w:t>-coated polystyrene discs, and the Ca/P rat</w:t>
      </w:r>
      <w:r>
        <w:t>io was found equal to 1.64 (n=</w:t>
      </w:r>
      <w:r w:rsidR="000D7D3D" w:rsidRPr="000D7D3D">
        <w:t>52</w:t>
      </w:r>
      <w:r>
        <w:t>,</w:t>
      </w:r>
      <w:r w:rsidR="000D7D3D" w:rsidRPr="000D7D3D">
        <w:t xml:space="preserve"> measurements</w:t>
      </w:r>
      <w:r w:rsidR="000D7D3D" w:rsidRPr="000D7D3D">
        <w:rPr>
          <w:rFonts w:eastAsia="AdvTT08640291"/>
        </w:rPr>
        <w:t xml:space="preserve"> made with spectra readings on both crystalline substrate and granules</w:t>
      </w:r>
      <w:r w:rsidR="000D7D3D" w:rsidRPr="000D7D3D">
        <w:t xml:space="preserve">), a value similar to that reported for synthetic </w:t>
      </w:r>
      <w:r w:rsidR="00553792">
        <w:t>HAP</w:t>
      </w:r>
      <w:r w:rsidR="00553792" w:rsidRPr="000D7D3D">
        <w:t xml:space="preserve"> </w:t>
      </w:r>
      <w:r w:rsidR="000D7D3D" w:rsidRPr="000D7D3D">
        <w:fldChar w:fldCharType="begin" w:fldLock="1"/>
      </w:r>
      <w:r w:rsidR="00EE33AB">
        <w:instrText>ADDIN CSL_CITATION {"citationItems":[{"id":"ITEM-1","itemData":{"author":[{"dropping-particle":"","family":"Raynaud","given":"S","non-dropping-particle":"","parse-names":false,"suffix":""},{"dropping-particle":"","family":"Champion","given":"E","non-dropping-particle":"","parse-names":false,"suffix":""}],"container-title":"Biomaterials","id":"ITEM-1","issue":"3","issued":{"date-parts":[["2002"]]},"page":"1073-1080","title":"Calcium phosphate apatites with variable Ca / P atomic ratio II . Calcination and sintering","type":"article-journal","volume":"23"},"uris":["http://www.mendeley.com/documents/?uuid=ec8992e0-9711-4ef9-9982-02d0b4323434"]}],"mendeley":{"formattedCitation":"(Raynaud and Champion, 2002)","plainTextFormattedCitation":"(Raynaud and Champion, 2002)","previouslyFormattedCitation":"(Raynaud and Champion, 2002)"},"properties":{"noteIndex":0},"schema":"https://github.com/citation-style-language/schema/raw/master/csl-citation.json"}</w:instrText>
      </w:r>
      <w:r w:rsidR="000D7D3D" w:rsidRPr="000D7D3D">
        <w:fldChar w:fldCharType="separate"/>
      </w:r>
      <w:r w:rsidR="000D7D3D" w:rsidRPr="000D7D3D">
        <w:rPr>
          <w:noProof/>
        </w:rPr>
        <w:t>(Raynaud and Champion, 2002)</w:t>
      </w:r>
      <w:r w:rsidR="000D7D3D" w:rsidRPr="000D7D3D">
        <w:fldChar w:fldCharType="end"/>
      </w:r>
      <w:r w:rsidR="000D7D3D" w:rsidRPr="000D7D3D">
        <w:rPr>
          <w:b/>
          <w:bCs/>
        </w:rPr>
        <w:t xml:space="preserve">. </w:t>
      </w:r>
      <w:r w:rsidR="000D7D3D" w:rsidRPr="000D7D3D">
        <w:rPr>
          <w:rFonts w:eastAsia="AdvTT08640291"/>
        </w:rPr>
        <w:t xml:space="preserve">Figure 4.1E illustrates </w:t>
      </w:r>
      <w:r w:rsidRPr="000D7D3D">
        <w:rPr>
          <w:rFonts w:eastAsia="AdvTT08640291"/>
        </w:rPr>
        <w:t xml:space="preserve">the atomic </w:t>
      </w:r>
      <w:r>
        <w:rPr>
          <w:rFonts w:eastAsia="AdvTT08640291"/>
        </w:rPr>
        <w:t xml:space="preserve">percentages of P and Ca, together with the </w:t>
      </w:r>
      <w:r w:rsidRPr="000D7D3D">
        <w:rPr>
          <w:rFonts w:eastAsia="AdvTT08640291"/>
        </w:rPr>
        <w:t>Ca/P ratio</w:t>
      </w:r>
      <w:r>
        <w:rPr>
          <w:rFonts w:eastAsia="AdvTT08640291"/>
        </w:rPr>
        <w:t>,</w:t>
      </w:r>
      <w:r w:rsidRPr="000D7D3D">
        <w:rPr>
          <w:rFonts w:eastAsia="AdvTT08640291"/>
        </w:rPr>
        <w:t xml:space="preserve"> </w:t>
      </w:r>
      <w:r>
        <w:rPr>
          <w:rFonts w:eastAsia="AdvTT08640291"/>
        </w:rPr>
        <w:t xml:space="preserve">of </w:t>
      </w:r>
      <w:r w:rsidR="000D7D3D" w:rsidRPr="000D7D3D">
        <w:rPr>
          <w:rFonts w:eastAsia="AdvTT08640291"/>
        </w:rPr>
        <w:t xml:space="preserve">the </w:t>
      </w:r>
      <w:r w:rsidR="00553792">
        <w:rPr>
          <w:rFonts w:eastAsia="AdvTT08640291"/>
        </w:rPr>
        <w:t>HAP</w:t>
      </w:r>
      <w:r w:rsidR="00634533">
        <w:rPr>
          <w:rFonts w:eastAsia="AdvTT08640291"/>
        </w:rPr>
        <w:t>-coated discs.</w:t>
      </w:r>
      <w:r w:rsidR="000D7D3D" w:rsidRPr="000D7D3D">
        <w:br w:type="page"/>
      </w:r>
    </w:p>
    <w:p w14:paraId="7A659C06" w14:textId="77777777" w:rsidR="000D7D3D" w:rsidRPr="000D7D3D" w:rsidRDefault="000D7D3D" w:rsidP="003F061A">
      <w:r w:rsidRPr="000D7D3D">
        <w:rPr>
          <w:noProof/>
          <w:lang w:eastAsia="en-GB"/>
        </w:rPr>
        <w:lastRenderedPageBreak/>
        <w:drawing>
          <wp:inline distT="0" distB="0" distL="0" distR="0" wp14:anchorId="464A6D00" wp14:editId="69420541">
            <wp:extent cx="5257800" cy="62756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ure 4.2 A-E.png"/>
                    <pic:cNvPicPr/>
                  </pic:nvPicPr>
                  <pic:blipFill>
                    <a:blip r:embed="rId32">
                      <a:extLst>
                        <a:ext uri="{28A0092B-C50C-407E-A947-70E740481C1C}">
                          <a14:useLocalDpi xmlns:a14="http://schemas.microsoft.com/office/drawing/2010/main" val="0"/>
                        </a:ext>
                      </a:extLst>
                    </a:blip>
                    <a:stretch>
                      <a:fillRect/>
                    </a:stretch>
                  </pic:blipFill>
                  <pic:spPr>
                    <a:xfrm>
                      <a:off x="0" y="0"/>
                      <a:ext cx="5269938" cy="6290107"/>
                    </a:xfrm>
                    <a:prstGeom prst="rect">
                      <a:avLst/>
                    </a:prstGeom>
                  </pic:spPr>
                </pic:pic>
              </a:graphicData>
            </a:graphic>
          </wp:inline>
        </w:drawing>
      </w:r>
    </w:p>
    <w:p w14:paraId="271F9DD9" w14:textId="2CD229B5" w:rsidR="002D60C9" w:rsidRPr="00B46FB7" w:rsidRDefault="000D7D3D" w:rsidP="00635993">
      <w:pPr>
        <w:pStyle w:val="Subtitle"/>
        <w:pBdr>
          <w:top w:val="single" w:sz="4" w:space="1" w:color="auto"/>
        </w:pBdr>
      </w:pPr>
      <w:r w:rsidRPr="000D7D3D">
        <w:rPr>
          <w:rFonts w:cs="Arial"/>
        </w:rPr>
        <w:t xml:space="preserve">Figure 4.1 </w:t>
      </w:r>
      <w:r w:rsidRPr="003F7054">
        <w:t>A-D.</w:t>
      </w:r>
      <w:r w:rsidRPr="00635993">
        <w:rPr>
          <w:b w:val="0"/>
        </w:rPr>
        <w:t xml:space="preserve"> SEM images of the </w:t>
      </w:r>
      <w:r w:rsidR="00553792" w:rsidRPr="00635993">
        <w:rPr>
          <w:b w:val="0"/>
        </w:rPr>
        <w:t>HAP</w:t>
      </w:r>
      <w:r w:rsidRPr="00635993">
        <w:rPr>
          <w:b w:val="0"/>
        </w:rPr>
        <w:t xml:space="preserve">-coated polystyrene discs showing </w:t>
      </w:r>
      <w:r w:rsidRPr="00635993">
        <w:rPr>
          <w:rFonts w:cs="Arial"/>
          <w:b w:val="0"/>
        </w:rPr>
        <w:t xml:space="preserve">a continuous layer of </w:t>
      </w:r>
      <w:r w:rsidR="00553792" w:rsidRPr="00635993">
        <w:rPr>
          <w:rFonts w:cs="Arial"/>
          <w:b w:val="0"/>
        </w:rPr>
        <w:t xml:space="preserve">HAP </w:t>
      </w:r>
      <w:r w:rsidRPr="00635993">
        <w:rPr>
          <w:rFonts w:cs="Arial"/>
          <w:b w:val="0"/>
        </w:rPr>
        <w:t>crystallites</w:t>
      </w:r>
      <w:r w:rsidRPr="00635993">
        <w:rPr>
          <w:b w:val="0"/>
        </w:rPr>
        <w:t xml:space="preserve"> together with nucleated </w:t>
      </w:r>
      <w:r w:rsidR="00553792" w:rsidRPr="00635993">
        <w:rPr>
          <w:b w:val="0"/>
        </w:rPr>
        <w:t xml:space="preserve">HAP </w:t>
      </w:r>
      <w:r w:rsidRPr="00635993">
        <w:rPr>
          <w:b w:val="0"/>
        </w:rPr>
        <w:t xml:space="preserve">granules. Scale bars 10 </w:t>
      </w:r>
      <w:r w:rsidRPr="00635993">
        <w:rPr>
          <w:b w:val="0"/>
          <w:lang w:val="el-GR"/>
        </w:rPr>
        <w:t>μ</w:t>
      </w:r>
      <w:r w:rsidRPr="00635993">
        <w:rPr>
          <w:b w:val="0"/>
        </w:rPr>
        <w:t xml:space="preserve">m in A and B, 3 </w:t>
      </w:r>
      <w:r w:rsidRPr="00635993">
        <w:rPr>
          <w:b w:val="0"/>
          <w:lang w:val="el-GR"/>
        </w:rPr>
        <w:t>μ</w:t>
      </w:r>
      <w:r w:rsidRPr="00635993">
        <w:rPr>
          <w:b w:val="0"/>
        </w:rPr>
        <w:t xml:space="preserve">m in C and 1 </w:t>
      </w:r>
      <w:r w:rsidRPr="00635993">
        <w:rPr>
          <w:b w:val="0"/>
          <w:lang w:val="el-GR"/>
        </w:rPr>
        <w:t>μ</w:t>
      </w:r>
      <w:r w:rsidRPr="00635993">
        <w:rPr>
          <w:b w:val="0"/>
        </w:rPr>
        <w:t xml:space="preserve">m in D. </w:t>
      </w:r>
      <w:r w:rsidRPr="003F7054">
        <w:t>E.</w:t>
      </w:r>
      <w:r w:rsidRPr="00635993">
        <w:rPr>
          <w:b w:val="0"/>
        </w:rPr>
        <w:t xml:space="preserve"> EDX spectra showing the </w:t>
      </w:r>
      <w:r w:rsidR="009A4A84">
        <w:rPr>
          <w:b w:val="0"/>
        </w:rPr>
        <w:t xml:space="preserve">P and Ca </w:t>
      </w:r>
      <w:r w:rsidRPr="00635993">
        <w:rPr>
          <w:b w:val="0"/>
        </w:rPr>
        <w:t xml:space="preserve">composition of the </w:t>
      </w:r>
      <w:r w:rsidR="00553792" w:rsidRPr="00635993">
        <w:rPr>
          <w:b w:val="0"/>
        </w:rPr>
        <w:t xml:space="preserve">HAP </w:t>
      </w:r>
      <w:r w:rsidRPr="00635993">
        <w:rPr>
          <w:b w:val="0"/>
        </w:rPr>
        <w:t>coating on the surface of the polystyrene disc.</w:t>
      </w:r>
    </w:p>
    <w:p w14:paraId="02F7577E" w14:textId="77777777" w:rsidR="000D7D3D" w:rsidRPr="000D7D3D" w:rsidRDefault="000D7D3D">
      <w:r w:rsidRPr="000D7D3D">
        <w:br w:type="page"/>
      </w:r>
    </w:p>
    <w:p w14:paraId="65E41F17" w14:textId="6513F25B" w:rsidR="000D7D3D" w:rsidRPr="000D7D3D" w:rsidRDefault="000D7D3D" w:rsidP="00635993">
      <w:pPr>
        <w:pStyle w:val="Heading2"/>
      </w:pPr>
      <w:bookmarkStart w:id="350" w:name="_Toc507604040"/>
      <w:bookmarkStart w:id="351" w:name="_Toc507604307"/>
      <w:bookmarkStart w:id="352" w:name="_Toc519017017"/>
      <w:bookmarkStart w:id="353" w:name="_Toc520837922"/>
      <w:r w:rsidRPr="000D7D3D">
        <w:lastRenderedPageBreak/>
        <w:t xml:space="preserve">4.3.2 Growth and hyphal morphology responses of </w:t>
      </w:r>
      <w:r w:rsidRPr="000D7D3D">
        <w:rPr>
          <w:i/>
        </w:rPr>
        <w:t>P. involutus</w:t>
      </w:r>
      <w:r w:rsidRPr="000D7D3D">
        <w:t xml:space="preserve"> within the </w:t>
      </w:r>
      <w:r w:rsidR="00596A3E">
        <w:t>HAP</w:t>
      </w:r>
      <w:r w:rsidR="00596A3E" w:rsidRPr="000D7D3D">
        <w:t xml:space="preserve"> </w:t>
      </w:r>
      <w:r w:rsidRPr="000D7D3D">
        <w:t>solubilisation system</w:t>
      </w:r>
      <w:bookmarkEnd w:id="350"/>
      <w:bookmarkEnd w:id="351"/>
      <w:bookmarkEnd w:id="352"/>
      <w:bookmarkEnd w:id="353"/>
    </w:p>
    <w:p w14:paraId="7B899689" w14:textId="70FAD5D2" w:rsidR="000D7D3D" w:rsidRPr="000D7D3D" w:rsidRDefault="000D7D3D" w:rsidP="003F7054">
      <w:r w:rsidRPr="000D7D3D">
        <w:t xml:space="preserve">Initially, the </w:t>
      </w:r>
      <w:r w:rsidR="00596A3E">
        <w:t>HAP</w:t>
      </w:r>
      <w:r w:rsidR="00596A3E" w:rsidRPr="000D7D3D">
        <w:t xml:space="preserve"> </w:t>
      </w:r>
      <w:r w:rsidRPr="000D7D3D">
        <w:t xml:space="preserve">solubilisation system was used to observe the growth behaviour and developing morphology of the fungal hyphae in response to the presence or absence of </w:t>
      </w:r>
      <w:r w:rsidR="00596A3E">
        <w:t>HAP</w:t>
      </w:r>
      <w:r w:rsidRPr="000D7D3D">
        <w:t xml:space="preserve">. The experimental system was initially tested where the media of the fungal inoculation site were provided with 1.84 </w:t>
      </w:r>
      <w:r w:rsidRPr="000D7D3D">
        <w:rPr>
          <w:lang w:val="el-GR"/>
        </w:rPr>
        <w:t>μ</w:t>
      </w:r>
      <w:r w:rsidRPr="000D7D3D">
        <w:t xml:space="preserve">M of Pi. The three different </w:t>
      </w:r>
      <w:r w:rsidRPr="000D7D3D">
        <w:rPr>
          <w:i/>
        </w:rPr>
        <w:t>P. involutus</w:t>
      </w:r>
      <w:r w:rsidRPr="000D7D3D">
        <w:t xml:space="preserve"> strains used to inoculate the </w:t>
      </w:r>
      <w:r w:rsidR="00596A3E">
        <w:t>HAP</w:t>
      </w:r>
      <w:r w:rsidR="00596A3E" w:rsidRPr="000D7D3D">
        <w:t xml:space="preserve"> </w:t>
      </w:r>
      <w:r w:rsidRPr="000D7D3D">
        <w:t>solubilisation system were monitored for their growth behaviour and hyphal morphologies for a period of four months (</w:t>
      </w:r>
      <w:r w:rsidRPr="000D7D3D">
        <w:rPr>
          <w:i/>
        </w:rPr>
        <w:t xml:space="preserve">P. involutus </w:t>
      </w:r>
      <w:r w:rsidRPr="00635993">
        <w:rPr>
          <w:i/>
        </w:rPr>
        <w:t>13</w:t>
      </w:r>
      <w:r w:rsidRPr="000D7D3D">
        <w:t>), six months</w:t>
      </w:r>
      <w:r w:rsidRPr="000D7D3D">
        <w:rPr>
          <w:i/>
        </w:rPr>
        <w:t xml:space="preserve"> </w:t>
      </w:r>
      <w:r w:rsidRPr="000D7D3D">
        <w:t>(</w:t>
      </w:r>
      <w:r w:rsidRPr="000D7D3D">
        <w:rPr>
          <w:i/>
        </w:rPr>
        <w:t xml:space="preserve">P. involutus </w:t>
      </w:r>
      <w:r w:rsidRPr="00635993">
        <w:rPr>
          <w:i/>
        </w:rPr>
        <w:t>ATCC 200175</w:t>
      </w:r>
      <w:r w:rsidRPr="000D7D3D">
        <w:t>)</w:t>
      </w:r>
      <w:r w:rsidRPr="000D7D3D">
        <w:rPr>
          <w:i/>
        </w:rPr>
        <w:t xml:space="preserve"> </w:t>
      </w:r>
      <w:r w:rsidRPr="000D7D3D">
        <w:t>and two months</w:t>
      </w:r>
      <w:r w:rsidRPr="000D7D3D">
        <w:rPr>
          <w:i/>
        </w:rPr>
        <w:t xml:space="preserve"> </w:t>
      </w:r>
      <w:r w:rsidRPr="000D7D3D">
        <w:t>(</w:t>
      </w:r>
      <w:r w:rsidRPr="000D7D3D">
        <w:rPr>
          <w:i/>
        </w:rPr>
        <w:t xml:space="preserve">P. involutus </w:t>
      </w:r>
      <w:r w:rsidRPr="00635993">
        <w:rPr>
          <w:i/>
        </w:rPr>
        <w:t>DJR1</w:t>
      </w:r>
      <w:r w:rsidRPr="000D7D3D">
        <w:t>) respectively (Figure 4.2).</w:t>
      </w:r>
    </w:p>
    <w:p w14:paraId="68610D2A" w14:textId="7EE41D82" w:rsidR="000D7D3D" w:rsidRPr="000D7D3D" w:rsidRDefault="000D7D3D" w:rsidP="007F746A">
      <w:pPr>
        <w:ind w:firstLine="720"/>
      </w:pPr>
      <w:r w:rsidRPr="000D7D3D">
        <w:rPr>
          <w:i/>
        </w:rPr>
        <w:t xml:space="preserve">P. involutus </w:t>
      </w:r>
      <w:r w:rsidRPr="00635993">
        <w:rPr>
          <w:i/>
        </w:rPr>
        <w:t>13</w:t>
      </w:r>
      <w:r w:rsidRPr="000D7D3D">
        <w:rPr>
          <w:i/>
        </w:rPr>
        <w:t xml:space="preserve"> </w:t>
      </w:r>
      <w:r w:rsidRPr="000D7D3D">
        <w:t xml:space="preserve">and </w:t>
      </w:r>
      <w:r w:rsidRPr="000D7D3D">
        <w:rPr>
          <w:i/>
        </w:rPr>
        <w:t xml:space="preserve">P. involutus </w:t>
      </w:r>
      <w:r w:rsidRPr="00635993">
        <w:rPr>
          <w:i/>
        </w:rPr>
        <w:t>ATCC 200175</w:t>
      </w:r>
      <w:r w:rsidRPr="000D7D3D">
        <w:rPr>
          <w:i/>
        </w:rPr>
        <w:t xml:space="preserve"> </w:t>
      </w:r>
      <w:r w:rsidRPr="000D7D3D">
        <w:t xml:space="preserve">exhibited similar </w:t>
      </w:r>
      <w:r w:rsidR="00EE33AB">
        <w:t xml:space="preserve">growth </w:t>
      </w:r>
      <w:r w:rsidRPr="000D7D3D">
        <w:t xml:space="preserve">behaviour with respect to the </w:t>
      </w:r>
      <w:r w:rsidR="00596A3E">
        <w:t>HAP</w:t>
      </w:r>
      <w:r w:rsidR="00596A3E" w:rsidRPr="000D7D3D">
        <w:t xml:space="preserve"> </w:t>
      </w:r>
      <w:r w:rsidRPr="000D7D3D">
        <w:t xml:space="preserve">solubilisation system. In particular, in the presence of </w:t>
      </w:r>
      <w:r w:rsidR="00596A3E">
        <w:t>HAP</w:t>
      </w:r>
      <w:r w:rsidRPr="000D7D3D">
        <w:t>, both</w:t>
      </w:r>
      <w:r w:rsidR="00654413">
        <w:t xml:space="preserve"> strains</w:t>
      </w:r>
      <w:r w:rsidRPr="000D7D3D">
        <w:t xml:space="preserve"> exhibited richer growth than in the absence of </w:t>
      </w:r>
      <w:r w:rsidR="00596A3E">
        <w:t>HAP</w:t>
      </w:r>
      <w:r w:rsidR="00596A3E" w:rsidRPr="000D7D3D">
        <w:t xml:space="preserve"> </w:t>
      </w:r>
      <w:r w:rsidRPr="000D7D3D">
        <w:t>(Figure 4.2A</w:t>
      </w:r>
      <w:r w:rsidR="00654413">
        <w:t xml:space="preserve"> and</w:t>
      </w:r>
      <w:r w:rsidRPr="000D7D3D">
        <w:t xml:space="preserve"> E</w:t>
      </w:r>
      <w:r w:rsidR="00654413">
        <w:t>;</w:t>
      </w:r>
      <w:r w:rsidR="00654413" w:rsidRPr="000D7D3D">
        <w:t xml:space="preserve"> </w:t>
      </w:r>
      <w:r w:rsidRPr="000D7D3D">
        <w:t>Figure 4.2C</w:t>
      </w:r>
      <w:r w:rsidR="00654413">
        <w:t xml:space="preserve"> and</w:t>
      </w:r>
      <w:r w:rsidRPr="000D7D3D">
        <w:t xml:space="preserve"> G, respectively). It appeared that when the mycelia encounter the </w:t>
      </w:r>
      <w:r w:rsidR="00596A3E">
        <w:t>HAP</w:t>
      </w:r>
      <w:r w:rsidR="00596A3E" w:rsidRPr="000D7D3D">
        <w:t xml:space="preserve"> </w:t>
      </w:r>
      <w:r w:rsidRPr="000D7D3D">
        <w:t>source, their growth becomes restricted around it (Figure 4.2A</w:t>
      </w:r>
      <w:r w:rsidR="00654413">
        <w:t xml:space="preserve"> and</w:t>
      </w:r>
      <w:r w:rsidR="009A4A84">
        <w:t xml:space="preserve"> E</w:t>
      </w:r>
      <w:r w:rsidRPr="000D7D3D">
        <w:t xml:space="preserve">), developing a thick mycelial layer, particularly in the case of </w:t>
      </w:r>
      <w:r w:rsidRPr="000D7D3D">
        <w:rPr>
          <w:i/>
        </w:rPr>
        <w:t xml:space="preserve">P. involutus </w:t>
      </w:r>
      <w:r w:rsidRPr="00635993">
        <w:rPr>
          <w:i/>
        </w:rPr>
        <w:t>13</w:t>
      </w:r>
      <w:r w:rsidRPr="000D7D3D">
        <w:t xml:space="preserve"> (Figure 4.2A). In contrast, when mycelia did not encounter any source of </w:t>
      </w:r>
      <w:r w:rsidR="00596A3E">
        <w:t>HAP</w:t>
      </w:r>
      <w:r w:rsidRPr="000D7D3D">
        <w:t>, their growth is less restrictive and rather more expansive (Figure 4.2C</w:t>
      </w:r>
      <w:r w:rsidR="00654413">
        <w:t xml:space="preserve"> and</w:t>
      </w:r>
      <w:r w:rsidRPr="000D7D3D">
        <w:t xml:space="preserve"> G).</w:t>
      </w:r>
    </w:p>
    <w:p w14:paraId="6E42E6C9" w14:textId="006BA6CF" w:rsidR="000D7D3D" w:rsidRPr="000D7D3D" w:rsidRDefault="000D7D3D" w:rsidP="00FB36B8">
      <w:pPr>
        <w:ind w:firstLine="720"/>
      </w:pPr>
      <w:r w:rsidRPr="000D7D3D">
        <w:t xml:space="preserve">In addition, the coloration of its fungal hyphae appeared darker in the absence of </w:t>
      </w:r>
      <w:r w:rsidR="00596A3E">
        <w:t>HAP</w:t>
      </w:r>
      <w:r w:rsidR="00EB1740">
        <w:t>, where hyphae exhibit</w:t>
      </w:r>
      <w:r w:rsidRPr="000D7D3D">
        <w:t xml:space="preserve"> a yellowish colour (Figure 4.2C</w:t>
      </w:r>
      <w:r w:rsidR="00654413">
        <w:t xml:space="preserve"> and</w:t>
      </w:r>
      <w:r w:rsidRPr="000D7D3D">
        <w:t xml:space="preserve"> G), in comparison with the lighter ecru colour of the hyphae in the presence of </w:t>
      </w:r>
      <w:r w:rsidR="00596A3E">
        <w:t>HAP</w:t>
      </w:r>
      <w:r w:rsidR="00596A3E" w:rsidRPr="000D7D3D">
        <w:t xml:space="preserve"> </w:t>
      </w:r>
      <w:r w:rsidRPr="000D7D3D">
        <w:t>(Figure 4.2A</w:t>
      </w:r>
      <w:r w:rsidR="00654413">
        <w:t xml:space="preserve"> and</w:t>
      </w:r>
      <w:r w:rsidRPr="000D7D3D">
        <w:t xml:space="preserve"> E). Besides, in the absence of the </w:t>
      </w:r>
      <w:r w:rsidR="00596A3E">
        <w:t>HAP</w:t>
      </w:r>
      <w:r w:rsidRPr="000D7D3D">
        <w:t>, the media of the solubilisation study site appeared less transparent (Figure 4.2C</w:t>
      </w:r>
      <w:r w:rsidR="00654413">
        <w:t xml:space="preserve"> and</w:t>
      </w:r>
      <w:r w:rsidRPr="000D7D3D">
        <w:t xml:space="preserve"> G) than the media where a source of </w:t>
      </w:r>
      <w:r w:rsidR="00596A3E">
        <w:t>HAP</w:t>
      </w:r>
      <w:r w:rsidR="00596A3E" w:rsidRPr="000D7D3D">
        <w:t xml:space="preserve"> </w:t>
      </w:r>
      <w:r w:rsidRPr="000D7D3D">
        <w:t>was present (Figure 4.2A</w:t>
      </w:r>
      <w:r w:rsidR="00654413">
        <w:t xml:space="preserve"> and</w:t>
      </w:r>
      <w:r w:rsidRPr="000D7D3D">
        <w:t xml:space="preserve"> E). In regard to the colonisation behaviour of the fungal mycelia, when these encountered the source of the </w:t>
      </w:r>
      <w:r w:rsidR="00596A3E">
        <w:t>HAP</w:t>
      </w:r>
      <w:r w:rsidR="009A4A84">
        <w:t>,</w:t>
      </w:r>
      <w:r w:rsidR="00596A3E" w:rsidRPr="000D7D3D">
        <w:t xml:space="preserve"> </w:t>
      </w:r>
      <w:r w:rsidRPr="000D7D3D">
        <w:t>it appeared that the fungal hypha</w:t>
      </w:r>
      <w:r w:rsidR="009A4A84">
        <w:t xml:space="preserve">e were partially enclosing </w:t>
      </w:r>
      <w:r w:rsidRPr="000D7D3D">
        <w:t xml:space="preserve">the </w:t>
      </w:r>
      <w:r w:rsidR="00596A3E">
        <w:t>HAP</w:t>
      </w:r>
      <w:r w:rsidRPr="000D7D3D">
        <w:t>-coated polystyrene disc (Figure 4.2B</w:t>
      </w:r>
      <w:r w:rsidR="009A4A84">
        <w:t xml:space="preserve"> and F</w:t>
      </w:r>
      <w:r w:rsidRPr="000D7D3D">
        <w:t>). However, the fungal mycelia did not exhibit the aforementioned behaviour towards the blank polystyrene disc (Figure 4.2D</w:t>
      </w:r>
      <w:r w:rsidR="009A4A84">
        <w:t xml:space="preserve"> and H</w:t>
      </w:r>
      <w:r w:rsidRPr="000D7D3D">
        <w:t>).</w:t>
      </w:r>
    </w:p>
    <w:p w14:paraId="179CA7C1" w14:textId="47D4C1A1" w:rsidR="000D7D3D" w:rsidRPr="000D7D3D" w:rsidRDefault="000D7D3D" w:rsidP="00FB36B8">
      <w:pPr>
        <w:ind w:firstLine="720"/>
      </w:pPr>
      <w:r w:rsidRPr="000D7D3D">
        <w:rPr>
          <w:i/>
        </w:rPr>
        <w:t xml:space="preserve">P. involutus </w:t>
      </w:r>
      <w:r w:rsidRPr="00635993">
        <w:rPr>
          <w:i/>
        </w:rPr>
        <w:t>DJR1</w:t>
      </w:r>
      <w:r w:rsidRPr="000D7D3D">
        <w:t xml:space="preserve"> exhibited different behaviour in comparison to the other two strains tested. The main difference was that the growth period for the mycelia to fully occupy and colonise the </w:t>
      </w:r>
      <w:r w:rsidR="00596A3E">
        <w:t>HAP</w:t>
      </w:r>
      <w:r w:rsidR="00596A3E" w:rsidRPr="000D7D3D">
        <w:t xml:space="preserve"> </w:t>
      </w:r>
      <w:r w:rsidRPr="000D7D3D">
        <w:t xml:space="preserve">source was at least half of the time taken for the other two </w:t>
      </w:r>
      <w:r w:rsidRPr="000D7D3D">
        <w:lastRenderedPageBreak/>
        <w:t xml:space="preserve">strains. Another striking difference was that </w:t>
      </w:r>
      <w:r w:rsidRPr="000D7D3D">
        <w:rPr>
          <w:i/>
        </w:rPr>
        <w:t xml:space="preserve">P. involutus </w:t>
      </w:r>
      <w:r w:rsidRPr="00635993">
        <w:rPr>
          <w:i/>
        </w:rPr>
        <w:t>DJR1</w:t>
      </w:r>
      <w:r w:rsidRPr="000D7D3D">
        <w:rPr>
          <w:i/>
        </w:rPr>
        <w:t xml:space="preserve"> </w:t>
      </w:r>
      <w:r w:rsidRPr="000D7D3D">
        <w:t xml:space="preserve">mycelia fully enclosed the </w:t>
      </w:r>
      <w:r w:rsidR="00596A3E">
        <w:t>HAP</w:t>
      </w:r>
      <w:r w:rsidRPr="000D7D3D">
        <w:t xml:space="preserve">-coated polystyrene disc (Figure 4.2J) and still sparsely covered the top surface of the blank polystyrene disc (Figure 4.2L). In addition, at the fungal inoculation site of the experimental system, </w:t>
      </w:r>
      <w:r w:rsidRPr="000D7D3D">
        <w:rPr>
          <w:i/>
        </w:rPr>
        <w:t xml:space="preserve">P. involutus </w:t>
      </w:r>
      <w:r w:rsidRPr="00635993">
        <w:rPr>
          <w:i/>
        </w:rPr>
        <w:t>DJR1</w:t>
      </w:r>
      <w:r w:rsidRPr="000D7D3D">
        <w:rPr>
          <w:i/>
        </w:rPr>
        <w:t xml:space="preserve"> </w:t>
      </w:r>
      <w:r w:rsidRPr="000D7D3D">
        <w:t xml:space="preserve">mycelia developed sclerotia at both </w:t>
      </w:r>
      <w:r w:rsidR="00596A3E">
        <w:t>HAP</w:t>
      </w:r>
      <w:r w:rsidR="00596A3E" w:rsidRPr="000D7D3D">
        <w:t xml:space="preserve"> </w:t>
      </w:r>
      <w:r w:rsidRPr="000D7D3D">
        <w:t>and control systems (Figure 4.2I</w:t>
      </w:r>
      <w:r w:rsidR="00654413">
        <w:t xml:space="preserve"> and</w:t>
      </w:r>
      <w:r w:rsidRPr="000D7D3D">
        <w:t xml:space="preserve"> K). The only similarity that </w:t>
      </w:r>
      <w:r w:rsidRPr="000D7D3D">
        <w:rPr>
          <w:i/>
        </w:rPr>
        <w:t xml:space="preserve">P. involutus </w:t>
      </w:r>
      <w:r w:rsidRPr="00635993">
        <w:rPr>
          <w:i/>
        </w:rPr>
        <w:t>DJR1</w:t>
      </w:r>
      <w:r w:rsidRPr="000D7D3D">
        <w:rPr>
          <w:i/>
        </w:rPr>
        <w:t xml:space="preserve"> </w:t>
      </w:r>
      <w:r w:rsidRPr="000D7D3D">
        <w:t xml:space="preserve">shared with the other two strains tested is that all of them exhibited a darker coloration in their fungal hyphae while growing in the control plates, in comparison to the </w:t>
      </w:r>
      <w:r w:rsidR="00596A3E">
        <w:t>HAP</w:t>
      </w:r>
      <w:r w:rsidR="00596A3E" w:rsidRPr="000D7D3D">
        <w:t xml:space="preserve"> </w:t>
      </w:r>
      <w:r w:rsidRPr="000D7D3D">
        <w:t xml:space="preserve">ones. Overall, </w:t>
      </w:r>
      <w:r w:rsidRPr="000D7D3D">
        <w:rPr>
          <w:i/>
        </w:rPr>
        <w:t xml:space="preserve">P. involutus </w:t>
      </w:r>
      <w:r w:rsidRPr="00635993">
        <w:rPr>
          <w:i/>
        </w:rPr>
        <w:t>DJR1</w:t>
      </w:r>
      <w:r w:rsidRPr="000D7D3D">
        <w:rPr>
          <w:i/>
        </w:rPr>
        <w:t xml:space="preserve"> </w:t>
      </w:r>
      <w:r w:rsidRPr="000D7D3D">
        <w:t xml:space="preserve">showed the most interactive behaviour towards the </w:t>
      </w:r>
      <w:r w:rsidR="00596A3E">
        <w:t>HAP</w:t>
      </w:r>
      <w:r w:rsidR="00596A3E" w:rsidRPr="000D7D3D">
        <w:t xml:space="preserve"> </w:t>
      </w:r>
      <w:r w:rsidRPr="000D7D3D">
        <w:t xml:space="preserve">source in comparison to </w:t>
      </w:r>
      <w:r w:rsidRPr="000D7D3D">
        <w:rPr>
          <w:i/>
        </w:rPr>
        <w:t xml:space="preserve">P. involutus </w:t>
      </w:r>
      <w:r w:rsidRPr="00635993">
        <w:rPr>
          <w:i/>
        </w:rPr>
        <w:t>13</w:t>
      </w:r>
      <w:r w:rsidRPr="000D7D3D">
        <w:rPr>
          <w:i/>
        </w:rPr>
        <w:t xml:space="preserve"> </w:t>
      </w:r>
      <w:r w:rsidRPr="000D7D3D">
        <w:t xml:space="preserve">and </w:t>
      </w:r>
      <w:r w:rsidRPr="000D7D3D">
        <w:rPr>
          <w:i/>
        </w:rPr>
        <w:t xml:space="preserve">P. involutus </w:t>
      </w:r>
      <w:r w:rsidRPr="00635993">
        <w:rPr>
          <w:i/>
        </w:rPr>
        <w:t>ATCC 200175</w:t>
      </w:r>
      <w:r w:rsidRPr="000D7D3D">
        <w:t xml:space="preserve">. </w:t>
      </w:r>
    </w:p>
    <w:p w14:paraId="6FDC5EF8" w14:textId="6CF5FA22" w:rsidR="000D7D3D" w:rsidRPr="000D7D3D" w:rsidRDefault="000D7D3D" w:rsidP="007C3C15">
      <w:pPr>
        <w:ind w:firstLine="720"/>
      </w:pPr>
      <w:r w:rsidRPr="000D7D3D">
        <w:t xml:space="preserve">However, the 1.84 </w:t>
      </w:r>
      <w:r w:rsidRPr="000D7D3D">
        <w:rPr>
          <w:lang w:val="el-GR"/>
        </w:rPr>
        <w:t>μ</w:t>
      </w:r>
      <w:r w:rsidRPr="000D7D3D">
        <w:t xml:space="preserve">M Pi provided in the media of the fungal inoculation site exceeded the minimal amount required for sustaining growth at the site of inoculation. For this reason, the amount of Pi within the media of the fungal inoculation site of the system was lowered to 0.15 </w:t>
      </w:r>
      <w:r w:rsidRPr="000D7D3D">
        <w:rPr>
          <w:lang w:val="el-GR"/>
        </w:rPr>
        <w:t>μ</w:t>
      </w:r>
      <w:r w:rsidRPr="000D7D3D">
        <w:t xml:space="preserve">M. Figure 4.3 shows the </w:t>
      </w:r>
      <w:r w:rsidR="00596A3E">
        <w:t>HAP</w:t>
      </w:r>
      <w:r w:rsidR="00596A3E" w:rsidRPr="000D7D3D">
        <w:t xml:space="preserve"> </w:t>
      </w:r>
      <w:r w:rsidRPr="000D7D3D">
        <w:t xml:space="preserve">solubilisation experimental system where </w:t>
      </w:r>
      <w:r w:rsidRPr="000D7D3D">
        <w:rPr>
          <w:i/>
        </w:rPr>
        <w:t xml:space="preserve">P. involutus </w:t>
      </w:r>
      <w:r w:rsidRPr="00635993">
        <w:rPr>
          <w:i/>
        </w:rPr>
        <w:t>DJR1</w:t>
      </w:r>
      <w:r w:rsidRPr="000D7D3D">
        <w:t xml:space="preserve"> has been inoculated within the fungal inoculation site, with the media being supplemented with 0.15 </w:t>
      </w:r>
      <w:r w:rsidRPr="000D7D3D">
        <w:rPr>
          <w:lang w:val="el-GR"/>
        </w:rPr>
        <w:t>μ</w:t>
      </w:r>
      <w:r w:rsidRPr="000D7D3D">
        <w:t>M Pi as the minimal amount of Pi. Growth was monitored after six months.</w:t>
      </w:r>
    </w:p>
    <w:p w14:paraId="11561AD9" w14:textId="137F941A" w:rsidR="000D7D3D" w:rsidRPr="000D7D3D" w:rsidRDefault="000D7D3D" w:rsidP="00634533">
      <w:pPr>
        <w:ind w:firstLine="720"/>
      </w:pPr>
      <w:r w:rsidRPr="000D7D3D">
        <w:rPr>
          <w:i/>
        </w:rPr>
        <w:t xml:space="preserve">P. involutus </w:t>
      </w:r>
      <w:r w:rsidRPr="00635993">
        <w:rPr>
          <w:i/>
        </w:rPr>
        <w:t>DJR1</w:t>
      </w:r>
      <w:r w:rsidRPr="000D7D3D">
        <w:t xml:space="preserve"> mycelia exhibited richer growth in the </w:t>
      </w:r>
      <w:r w:rsidR="00596A3E">
        <w:t>HAP</w:t>
      </w:r>
      <w:r w:rsidR="00596A3E" w:rsidRPr="000D7D3D">
        <w:t xml:space="preserve"> </w:t>
      </w:r>
      <w:r w:rsidRPr="000D7D3D">
        <w:t xml:space="preserve">systems than the control (Figure 4.3A </w:t>
      </w:r>
      <w:r w:rsidR="00654413" w:rsidRPr="000D7D3D">
        <w:t>compare</w:t>
      </w:r>
      <w:r w:rsidR="00654413">
        <w:t>d</w:t>
      </w:r>
      <w:r w:rsidR="00654413" w:rsidRPr="000D7D3D">
        <w:t xml:space="preserve"> </w:t>
      </w:r>
      <w:r w:rsidRPr="000D7D3D">
        <w:t xml:space="preserve">with Figure 4.3B), with a clear colonisation of the </w:t>
      </w:r>
      <w:r w:rsidR="00596A3E">
        <w:t>HAP</w:t>
      </w:r>
      <w:r w:rsidRPr="000D7D3D">
        <w:t>-coated polystyrene disc (Figures 4.3</w:t>
      </w:r>
      <w:r w:rsidR="00213F8E">
        <w:t xml:space="preserve">A, </w:t>
      </w:r>
      <w:r w:rsidRPr="000D7D3D">
        <w:t xml:space="preserve">D </w:t>
      </w:r>
      <w:r w:rsidR="00654413">
        <w:t>and</w:t>
      </w:r>
      <w:r w:rsidRPr="000D7D3D">
        <w:t xml:space="preserve"> H). In particular, a thick mycelial layer formed around the </w:t>
      </w:r>
      <w:r w:rsidR="00596A3E">
        <w:t>HAP</w:t>
      </w:r>
      <w:r w:rsidRPr="000D7D3D">
        <w:t xml:space="preserve">-coated disc (Figure 4.3A </w:t>
      </w:r>
      <w:r w:rsidR="00654413">
        <w:t>and</w:t>
      </w:r>
      <w:r w:rsidRPr="000D7D3D">
        <w:t xml:space="preserve"> D), with the mycelia anchored on the surface of the </w:t>
      </w:r>
      <w:r w:rsidR="00596A3E">
        <w:t>HAP</w:t>
      </w:r>
      <w:r w:rsidR="00596A3E" w:rsidRPr="000D7D3D">
        <w:t xml:space="preserve"> </w:t>
      </w:r>
      <w:r w:rsidRPr="000D7D3D">
        <w:t>discs from which mycelial cords extended throughout the experimental system (Figure 4.3</w:t>
      </w:r>
      <w:r w:rsidR="00213F8E" w:rsidRPr="000D7D3D">
        <w:t>G</w:t>
      </w:r>
      <w:r w:rsidR="00213F8E">
        <w:t xml:space="preserve"> </w:t>
      </w:r>
      <w:r w:rsidR="00654413">
        <w:t>and</w:t>
      </w:r>
      <w:r w:rsidRPr="000D7D3D">
        <w:t xml:space="preserve"> </w:t>
      </w:r>
      <w:r w:rsidR="00213F8E" w:rsidRPr="000D7D3D">
        <w:t>H</w:t>
      </w:r>
      <w:r w:rsidRPr="000D7D3D">
        <w:t xml:space="preserve">). In contrast, this strain showed no mycelia colonisation on the blank disc, and the mycelial cord formations </w:t>
      </w:r>
      <w:r w:rsidR="00213F8E">
        <w:t>were</w:t>
      </w:r>
      <w:r w:rsidRPr="000D7D3D">
        <w:t xml:space="preserve"> absent in the systems not supplied with </w:t>
      </w:r>
      <w:r w:rsidR="00596A3E">
        <w:t>HAP</w:t>
      </w:r>
      <w:r w:rsidR="00596A3E" w:rsidRPr="000D7D3D">
        <w:t xml:space="preserve"> </w:t>
      </w:r>
      <w:r w:rsidR="00213F8E">
        <w:t>(Figure 4.3</w:t>
      </w:r>
      <w:r w:rsidRPr="000D7D3D">
        <w:t xml:space="preserve">B, F and J). These results suggest that </w:t>
      </w:r>
      <w:r w:rsidR="00DF7264">
        <w:rPr>
          <w:i/>
        </w:rPr>
        <w:t>P. involutus</w:t>
      </w:r>
      <w:r w:rsidRPr="000D7D3D">
        <w:t xml:space="preserve"> hyphae preferably colonise </w:t>
      </w:r>
      <w:r w:rsidR="00596A3E">
        <w:t>HAP</w:t>
      </w:r>
      <w:r w:rsidRPr="000D7D3D">
        <w:t>-coated discs as a potential source of Pi, resulting i</w:t>
      </w:r>
      <w:r w:rsidR="00634533">
        <w:t>n more extensive hyphal growth.</w:t>
      </w:r>
      <w:r w:rsidRPr="000D7D3D">
        <w:br w:type="page"/>
      </w:r>
    </w:p>
    <w:p w14:paraId="2F509F85" w14:textId="77777777" w:rsidR="000D7D3D" w:rsidRPr="000D7D3D" w:rsidRDefault="000D7D3D" w:rsidP="007C3C15">
      <w:r w:rsidRPr="000D7D3D">
        <w:rPr>
          <w:noProof/>
          <w:lang w:eastAsia="en-GB"/>
        </w:rPr>
        <w:lastRenderedPageBreak/>
        <w:drawing>
          <wp:inline distT="0" distB="0" distL="0" distR="0" wp14:anchorId="4A4EA266" wp14:editId="45B90F7A">
            <wp:extent cx="5943600" cy="39725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e 4.3.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972560"/>
                    </a:xfrm>
                    <a:prstGeom prst="rect">
                      <a:avLst/>
                    </a:prstGeom>
                  </pic:spPr>
                </pic:pic>
              </a:graphicData>
            </a:graphic>
          </wp:inline>
        </w:drawing>
      </w:r>
    </w:p>
    <w:p w14:paraId="43047CFE" w14:textId="6D1A0CCA" w:rsidR="000D7D3D" w:rsidRPr="00B46FB7" w:rsidRDefault="000D7D3D" w:rsidP="00635993">
      <w:pPr>
        <w:pStyle w:val="Subtitle"/>
        <w:pBdr>
          <w:top w:val="single" w:sz="4" w:space="1" w:color="auto"/>
        </w:pBdr>
      </w:pPr>
      <w:r w:rsidRPr="000D7D3D">
        <w:t xml:space="preserve">Figure 4.2 </w:t>
      </w:r>
      <w:r w:rsidRPr="00635993">
        <w:rPr>
          <w:b w:val="0"/>
        </w:rPr>
        <w:t xml:space="preserve">Growth of three </w:t>
      </w:r>
      <w:r w:rsidRPr="00635993">
        <w:rPr>
          <w:b w:val="0"/>
          <w:i/>
        </w:rPr>
        <w:t>P. involutus</w:t>
      </w:r>
      <w:r w:rsidRPr="00635993">
        <w:rPr>
          <w:b w:val="0"/>
        </w:rPr>
        <w:t xml:space="preserve"> strains within the </w:t>
      </w:r>
      <w:r w:rsidR="00596A3E" w:rsidRPr="00635993">
        <w:rPr>
          <w:b w:val="0"/>
        </w:rPr>
        <w:t xml:space="preserve">HAP </w:t>
      </w:r>
      <w:r w:rsidRPr="00635993">
        <w:rPr>
          <w:b w:val="0"/>
        </w:rPr>
        <w:t xml:space="preserve">solubilisation system in the presence or absence of </w:t>
      </w:r>
      <w:r w:rsidR="00596A3E" w:rsidRPr="00635993">
        <w:rPr>
          <w:b w:val="0"/>
        </w:rPr>
        <w:t xml:space="preserve">HAP </w:t>
      </w:r>
      <w:r w:rsidRPr="00635993">
        <w:rPr>
          <w:b w:val="0"/>
        </w:rPr>
        <w:t xml:space="preserve">(+Hydroxyapatite or –Hydroxyapatite). </w:t>
      </w:r>
      <w:r w:rsidRPr="003F7054">
        <w:t>A</w:t>
      </w:r>
      <w:r w:rsidRPr="007F746A">
        <w:t>.</w:t>
      </w:r>
      <w:r w:rsidRPr="00635993">
        <w:rPr>
          <w:b w:val="0"/>
        </w:rPr>
        <w:t xml:space="preserve"> </w:t>
      </w:r>
      <w:r w:rsidRPr="00635993">
        <w:rPr>
          <w:b w:val="0"/>
          <w:i/>
        </w:rPr>
        <w:t xml:space="preserve">P. involutus </w:t>
      </w:r>
      <w:r w:rsidRPr="00213F8E">
        <w:rPr>
          <w:b w:val="0"/>
          <w:i/>
        </w:rPr>
        <w:t>13</w:t>
      </w:r>
      <w:r w:rsidRPr="00635993">
        <w:rPr>
          <w:b w:val="0"/>
        </w:rPr>
        <w:t xml:space="preserve"> growth in the presence of </w:t>
      </w:r>
      <w:r w:rsidR="00596A3E" w:rsidRPr="00635993">
        <w:rPr>
          <w:b w:val="0"/>
        </w:rPr>
        <w:t>HAP</w:t>
      </w:r>
      <w:r w:rsidR="00156289">
        <w:rPr>
          <w:b w:val="0"/>
        </w:rPr>
        <w:t>.</w:t>
      </w:r>
      <w:r w:rsidRPr="00635993">
        <w:rPr>
          <w:b w:val="0"/>
        </w:rPr>
        <w:t xml:space="preserve"> </w:t>
      </w:r>
      <w:r w:rsidRPr="003F7054">
        <w:t>B.</w:t>
      </w:r>
      <w:r w:rsidRPr="00635993">
        <w:rPr>
          <w:b w:val="0"/>
        </w:rPr>
        <w:t xml:space="preserve"> Detail of hyphae growing on </w:t>
      </w:r>
      <w:r w:rsidR="00596A3E" w:rsidRPr="00635993">
        <w:rPr>
          <w:b w:val="0"/>
        </w:rPr>
        <w:t>HAP</w:t>
      </w:r>
      <w:r w:rsidRPr="00635993">
        <w:rPr>
          <w:b w:val="0"/>
        </w:rPr>
        <w:t>-coated p</w:t>
      </w:r>
      <w:r w:rsidR="00357445" w:rsidRPr="00635993">
        <w:rPr>
          <w:b w:val="0"/>
        </w:rPr>
        <w:t>olystyrene</w:t>
      </w:r>
      <w:r w:rsidRPr="00635993">
        <w:rPr>
          <w:b w:val="0"/>
        </w:rPr>
        <w:t xml:space="preserve"> disc. </w:t>
      </w:r>
      <w:r w:rsidRPr="003F7054">
        <w:t>C.</w:t>
      </w:r>
      <w:r w:rsidRPr="00635993">
        <w:rPr>
          <w:b w:val="0"/>
        </w:rPr>
        <w:t xml:space="preserve"> </w:t>
      </w:r>
      <w:r w:rsidRPr="00635993">
        <w:rPr>
          <w:b w:val="0"/>
          <w:i/>
        </w:rPr>
        <w:t>P. involutus</w:t>
      </w:r>
      <w:r w:rsidRPr="00635993">
        <w:rPr>
          <w:b w:val="0"/>
        </w:rPr>
        <w:t xml:space="preserve"> </w:t>
      </w:r>
      <w:r w:rsidRPr="00213F8E">
        <w:rPr>
          <w:b w:val="0"/>
          <w:i/>
        </w:rPr>
        <w:t>13</w:t>
      </w:r>
      <w:r w:rsidRPr="00635993">
        <w:rPr>
          <w:b w:val="0"/>
        </w:rPr>
        <w:t xml:space="preserve"> growth in the absence of </w:t>
      </w:r>
      <w:r w:rsidR="00596A3E" w:rsidRPr="00635993">
        <w:rPr>
          <w:b w:val="0"/>
        </w:rPr>
        <w:t>HAP</w:t>
      </w:r>
      <w:r w:rsidR="00156289">
        <w:rPr>
          <w:b w:val="0"/>
        </w:rPr>
        <w:t>.</w:t>
      </w:r>
      <w:r w:rsidRPr="00635993">
        <w:rPr>
          <w:b w:val="0"/>
        </w:rPr>
        <w:t xml:space="preserve"> </w:t>
      </w:r>
      <w:r w:rsidRPr="003F7054">
        <w:t>D.</w:t>
      </w:r>
      <w:r w:rsidRPr="00635993">
        <w:rPr>
          <w:b w:val="0"/>
        </w:rPr>
        <w:t xml:space="preserve"> detail of hyphae growing on p</w:t>
      </w:r>
      <w:r w:rsidR="00357445" w:rsidRPr="00635993">
        <w:rPr>
          <w:b w:val="0"/>
        </w:rPr>
        <w:t>olystyrene</w:t>
      </w:r>
      <w:r w:rsidRPr="00635993">
        <w:rPr>
          <w:b w:val="0"/>
        </w:rPr>
        <w:t xml:space="preserve"> disc. </w:t>
      </w:r>
      <w:r w:rsidRPr="003F7054">
        <w:t>E.</w:t>
      </w:r>
      <w:r w:rsidRPr="00635993">
        <w:rPr>
          <w:b w:val="0"/>
        </w:rPr>
        <w:t xml:space="preserve"> </w:t>
      </w:r>
      <w:r w:rsidRPr="00635993">
        <w:rPr>
          <w:b w:val="0"/>
          <w:i/>
        </w:rPr>
        <w:t>P. involutus ATCC 200175</w:t>
      </w:r>
      <w:r w:rsidRPr="00635993">
        <w:rPr>
          <w:b w:val="0"/>
        </w:rPr>
        <w:t xml:space="preserve"> growth in the presence of </w:t>
      </w:r>
      <w:r w:rsidR="00596A3E" w:rsidRPr="00635993">
        <w:rPr>
          <w:b w:val="0"/>
        </w:rPr>
        <w:t>HAP</w:t>
      </w:r>
      <w:r w:rsidR="00156289">
        <w:rPr>
          <w:b w:val="0"/>
        </w:rPr>
        <w:t>.</w:t>
      </w:r>
      <w:r w:rsidRPr="00635993">
        <w:rPr>
          <w:b w:val="0"/>
        </w:rPr>
        <w:t xml:space="preserve"> </w:t>
      </w:r>
      <w:r w:rsidRPr="003F7054">
        <w:t>F.</w:t>
      </w:r>
      <w:r w:rsidRPr="00635993">
        <w:rPr>
          <w:b w:val="0"/>
        </w:rPr>
        <w:t xml:space="preserve"> Detail of hyphae growing on </w:t>
      </w:r>
      <w:r w:rsidR="00596A3E" w:rsidRPr="00635993">
        <w:rPr>
          <w:b w:val="0"/>
        </w:rPr>
        <w:t>HAP</w:t>
      </w:r>
      <w:r w:rsidRPr="00635993">
        <w:rPr>
          <w:b w:val="0"/>
        </w:rPr>
        <w:t>-coated p</w:t>
      </w:r>
      <w:r w:rsidR="00357445" w:rsidRPr="00635993">
        <w:rPr>
          <w:b w:val="0"/>
        </w:rPr>
        <w:t>olystyrene</w:t>
      </w:r>
      <w:r w:rsidRPr="00635993">
        <w:rPr>
          <w:b w:val="0"/>
        </w:rPr>
        <w:t xml:space="preserve"> disc. </w:t>
      </w:r>
      <w:r w:rsidRPr="003F7054">
        <w:t>G.</w:t>
      </w:r>
      <w:r w:rsidRPr="00635993">
        <w:rPr>
          <w:b w:val="0"/>
        </w:rPr>
        <w:t xml:space="preserve"> </w:t>
      </w:r>
      <w:r w:rsidRPr="00635993">
        <w:rPr>
          <w:b w:val="0"/>
          <w:i/>
        </w:rPr>
        <w:t>P. involutus ATCC 200175</w:t>
      </w:r>
      <w:r w:rsidRPr="00635993">
        <w:rPr>
          <w:b w:val="0"/>
        </w:rPr>
        <w:t xml:space="preserve"> growth in the absence of </w:t>
      </w:r>
      <w:r w:rsidR="00596A3E" w:rsidRPr="00635993">
        <w:rPr>
          <w:b w:val="0"/>
        </w:rPr>
        <w:t>HAP</w:t>
      </w:r>
      <w:r w:rsidR="00156289">
        <w:rPr>
          <w:b w:val="0"/>
        </w:rPr>
        <w:t>.</w:t>
      </w:r>
      <w:r w:rsidRPr="00635993">
        <w:rPr>
          <w:b w:val="0"/>
        </w:rPr>
        <w:t xml:space="preserve"> </w:t>
      </w:r>
      <w:r w:rsidRPr="003F7054">
        <w:t>H.</w:t>
      </w:r>
      <w:r w:rsidRPr="00635993">
        <w:rPr>
          <w:b w:val="0"/>
        </w:rPr>
        <w:t xml:space="preserve"> Detail of hyphae growing on p</w:t>
      </w:r>
      <w:r w:rsidR="00357445" w:rsidRPr="00635993">
        <w:rPr>
          <w:b w:val="0"/>
        </w:rPr>
        <w:t>olystyrene</w:t>
      </w:r>
      <w:r w:rsidRPr="00635993">
        <w:rPr>
          <w:b w:val="0"/>
        </w:rPr>
        <w:t xml:space="preserve"> disc. </w:t>
      </w:r>
      <w:r w:rsidRPr="003F7054">
        <w:t>I.</w:t>
      </w:r>
      <w:r w:rsidRPr="00635993">
        <w:rPr>
          <w:b w:val="0"/>
        </w:rPr>
        <w:t xml:space="preserve"> </w:t>
      </w:r>
      <w:r w:rsidRPr="00635993">
        <w:rPr>
          <w:b w:val="0"/>
          <w:i/>
        </w:rPr>
        <w:t>P. involutus</w:t>
      </w:r>
      <w:r w:rsidRPr="00635993">
        <w:rPr>
          <w:b w:val="0"/>
        </w:rPr>
        <w:t xml:space="preserve"> </w:t>
      </w:r>
      <w:r w:rsidRPr="00635993">
        <w:rPr>
          <w:b w:val="0"/>
          <w:i/>
        </w:rPr>
        <w:t>DJR1</w:t>
      </w:r>
      <w:r w:rsidRPr="00635993">
        <w:rPr>
          <w:b w:val="0"/>
        </w:rPr>
        <w:t xml:space="preserve"> growth in the presence of </w:t>
      </w:r>
      <w:r w:rsidR="00596A3E" w:rsidRPr="00635993">
        <w:rPr>
          <w:b w:val="0"/>
        </w:rPr>
        <w:t>HAP</w:t>
      </w:r>
      <w:r w:rsidR="00156289">
        <w:rPr>
          <w:b w:val="0"/>
        </w:rPr>
        <w:t>.</w:t>
      </w:r>
      <w:r w:rsidRPr="00635993">
        <w:rPr>
          <w:b w:val="0"/>
        </w:rPr>
        <w:t xml:space="preserve"> </w:t>
      </w:r>
      <w:r w:rsidRPr="003F7054">
        <w:t>J.</w:t>
      </w:r>
      <w:r w:rsidRPr="00635993">
        <w:rPr>
          <w:b w:val="0"/>
        </w:rPr>
        <w:t xml:space="preserve"> Detail of hyphae growing on </w:t>
      </w:r>
      <w:r w:rsidR="00596A3E" w:rsidRPr="00635993">
        <w:rPr>
          <w:b w:val="0"/>
        </w:rPr>
        <w:t>HAP</w:t>
      </w:r>
      <w:r w:rsidRPr="00635993">
        <w:rPr>
          <w:b w:val="0"/>
        </w:rPr>
        <w:t>-coated p</w:t>
      </w:r>
      <w:r w:rsidR="00357445" w:rsidRPr="00635993">
        <w:rPr>
          <w:b w:val="0"/>
        </w:rPr>
        <w:t>olystyrene</w:t>
      </w:r>
      <w:r w:rsidRPr="00635993">
        <w:rPr>
          <w:b w:val="0"/>
        </w:rPr>
        <w:t xml:space="preserve"> disc. </w:t>
      </w:r>
      <w:r w:rsidRPr="003F7054">
        <w:t>K.</w:t>
      </w:r>
      <w:r w:rsidRPr="00635993">
        <w:rPr>
          <w:b w:val="0"/>
        </w:rPr>
        <w:t xml:space="preserve"> </w:t>
      </w:r>
      <w:r w:rsidRPr="00635993">
        <w:rPr>
          <w:b w:val="0"/>
          <w:i/>
        </w:rPr>
        <w:t>P. involutus</w:t>
      </w:r>
      <w:r w:rsidRPr="00635993">
        <w:rPr>
          <w:b w:val="0"/>
        </w:rPr>
        <w:t xml:space="preserve"> </w:t>
      </w:r>
      <w:r w:rsidRPr="00635993">
        <w:rPr>
          <w:b w:val="0"/>
          <w:i/>
        </w:rPr>
        <w:t>DJR1</w:t>
      </w:r>
      <w:r w:rsidRPr="00635993">
        <w:rPr>
          <w:b w:val="0"/>
        </w:rPr>
        <w:t xml:space="preserve"> growth in the absence of </w:t>
      </w:r>
      <w:r w:rsidR="00596A3E" w:rsidRPr="00635993">
        <w:rPr>
          <w:b w:val="0"/>
        </w:rPr>
        <w:t>HAP</w:t>
      </w:r>
      <w:r w:rsidR="00156289">
        <w:rPr>
          <w:b w:val="0"/>
        </w:rPr>
        <w:t>.</w:t>
      </w:r>
      <w:r w:rsidRPr="00635993">
        <w:rPr>
          <w:b w:val="0"/>
        </w:rPr>
        <w:t xml:space="preserve"> </w:t>
      </w:r>
      <w:r w:rsidRPr="003F7054">
        <w:t>L.</w:t>
      </w:r>
      <w:r w:rsidRPr="00635993">
        <w:rPr>
          <w:b w:val="0"/>
        </w:rPr>
        <w:t xml:space="preserve"> Detail of hyphae growing on p</w:t>
      </w:r>
      <w:r w:rsidR="00357445" w:rsidRPr="00635993">
        <w:rPr>
          <w:b w:val="0"/>
        </w:rPr>
        <w:t>olystyrene</w:t>
      </w:r>
      <w:r w:rsidRPr="00635993">
        <w:rPr>
          <w:b w:val="0"/>
        </w:rPr>
        <w:t xml:space="preserve"> disc. Images were taken after the period of four, six and two months of growth for </w:t>
      </w:r>
      <w:r w:rsidRPr="00635993">
        <w:rPr>
          <w:b w:val="0"/>
          <w:i/>
        </w:rPr>
        <w:t>P. involutus</w:t>
      </w:r>
      <w:r w:rsidRPr="00635993">
        <w:rPr>
          <w:b w:val="0"/>
        </w:rPr>
        <w:t xml:space="preserve"> </w:t>
      </w:r>
      <w:r w:rsidRPr="00635993">
        <w:rPr>
          <w:b w:val="0"/>
          <w:i/>
        </w:rPr>
        <w:t>13</w:t>
      </w:r>
      <w:r w:rsidRPr="00635993">
        <w:rPr>
          <w:b w:val="0"/>
        </w:rPr>
        <w:t xml:space="preserve">, </w:t>
      </w:r>
      <w:r w:rsidRPr="00635993">
        <w:rPr>
          <w:b w:val="0"/>
          <w:i/>
        </w:rPr>
        <w:t>P. involutus</w:t>
      </w:r>
      <w:r w:rsidRPr="00635993">
        <w:rPr>
          <w:b w:val="0"/>
        </w:rPr>
        <w:t xml:space="preserve"> </w:t>
      </w:r>
      <w:r w:rsidRPr="00635993">
        <w:rPr>
          <w:b w:val="0"/>
          <w:i/>
        </w:rPr>
        <w:t>ATCC200175</w:t>
      </w:r>
      <w:r w:rsidRPr="00635993">
        <w:rPr>
          <w:b w:val="0"/>
        </w:rPr>
        <w:t xml:space="preserve"> and </w:t>
      </w:r>
      <w:r w:rsidRPr="00635993">
        <w:rPr>
          <w:b w:val="0"/>
          <w:i/>
        </w:rPr>
        <w:t>P. involutus</w:t>
      </w:r>
      <w:r w:rsidRPr="00635993">
        <w:rPr>
          <w:b w:val="0"/>
        </w:rPr>
        <w:t xml:space="preserve"> </w:t>
      </w:r>
      <w:r w:rsidRPr="00635993">
        <w:rPr>
          <w:b w:val="0"/>
          <w:i/>
        </w:rPr>
        <w:t>DJR1</w:t>
      </w:r>
      <w:r w:rsidRPr="00635993">
        <w:rPr>
          <w:b w:val="0"/>
        </w:rPr>
        <w:t>, respectively. Scale bars 1 mm.</w:t>
      </w:r>
    </w:p>
    <w:p w14:paraId="1E3C07A6" w14:textId="77777777" w:rsidR="000D7D3D" w:rsidRPr="000D7D3D" w:rsidRDefault="000D7D3D">
      <w:r w:rsidRPr="000D7D3D">
        <w:br w:type="page"/>
      </w:r>
    </w:p>
    <w:p w14:paraId="7FFE29F1" w14:textId="77777777" w:rsidR="000D7D3D" w:rsidRPr="000D7D3D" w:rsidRDefault="000D7D3D">
      <w:r w:rsidRPr="000D7D3D">
        <w:rPr>
          <w:noProof/>
          <w:lang w:eastAsia="en-GB"/>
        </w:rPr>
        <w:lastRenderedPageBreak/>
        <w:drawing>
          <wp:inline distT="0" distB="0" distL="0" distR="0" wp14:anchorId="67938ECA" wp14:editId="22D9C290">
            <wp:extent cx="5943600" cy="5562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 4.1.png"/>
                    <pic:cNvPicPr/>
                  </pic:nvPicPr>
                  <pic:blipFill>
                    <a:blip r:embed="rId34">
                      <a:extLst>
                        <a:ext uri="{28A0092B-C50C-407E-A947-70E740481C1C}">
                          <a14:useLocalDpi xmlns:a14="http://schemas.microsoft.com/office/drawing/2010/main" val="0"/>
                        </a:ext>
                      </a:extLst>
                    </a:blip>
                    <a:stretch>
                      <a:fillRect/>
                    </a:stretch>
                  </pic:blipFill>
                  <pic:spPr>
                    <a:xfrm>
                      <a:off x="0" y="0"/>
                      <a:ext cx="5943600" cy="5562600"/>
                    </a:xfrm>
                    <a:prstGeom prst="rect">
                      <a:avLst/>
                    </a:prstGeom>
                  </pic:spPr>
                </pic:pic>
              </a:graphicData>
            </a:graphic>
          </wp:inline>
        </w:drawing>
      </w:r>
    </w:p>
    <w:p w14:paraId="7EEF4A72" w14:textId="4DF48CBD" w:rsidR="00730F74" w:rsidRPr="00635993" w:rsidRDefault="000D7D3D" w:rsidP="00635993">
      <w:pPr>
        <w:pStyle w:val="Subtitle"/>
        <w:pBdr>
          <w:top w:val="single" w:sz="4" w:space="1" w:color="auto"/>
        </w:pBdr>
        <w:rPr>
          <w:b w:val="0"/>
        </w:rPr>
      </w:pPr>
      <w:r w:rsidRPr="000D7D3D">
        <w:t xml:space="preserve">Figure 4.3 </w:t>
      </w:r>
      <w:r w:rsidR="00730F74" w:rsidRPr="00635993">
        <w:rPr>
          <w:b w:val="0"/>
        </w:rPr>
        <w:t xml:space="preserve">HAP </w:t>
      </w:r>
      <w:r w:rsidRPr="00635993">
        <w:rPr>
          <w:b w:val="0"/>
        </w:rPr>
        <w:t xml:space="preserve">solubilisation experimental system showing </w:t>
      </w:r>
      <w:r w:rsidRPr="00635993">
        <w:rPr>
          <w:b w:val="0"/>
          <w:i/>
        </w:rPr>
        <w:t>P. involutus</w:t>
      </w:r>
      <w:r w:rsidRPr="00635993">
        <w:rPr>
          <w:b w:val="0"/>
        </w:rPr>
        <w:t xml:space="preserve"> </w:t>
      </w:r>
      <w:r w:rsidRPr="00635993">
        <w:rPr>
          <w:b w:val="0"/>
          <w:i/>
        </w:rPr>
        <w:t>DJR1</w:t>
      </w:r>
      <w:r w:rsidRPr="00635993">
        <w:rPr>
          <w:b w:val="0"/>
        </w:rPr>
        <w:t xml:space="preserve"> growth for seven months. </w:t>
      </w:r>
      <w:r w:rsidRPr="00B46FB7">
        <w:t>A.</w:t>
      </w:r>
      <w:r w:rsidRPr="00635993">
        <w:rPr>
          <w:b w:val="0"/>
        </w:rPr>
        <w:t xml:space="preserve"> </w:t>
      </w:r>
      <w:r w:rsidRPr="00635993">
        <w:rPr>
          <w:b w:val="0"/>
          <w:i/>
        </w:rPr>
        <w:t>P. involutus DJR1</w:t>
      </w:r>
      <w:r w:rsidRPr="00635993">
        <w:rPr>
          <w:b w:val="0"/>
        </w:rPr>
        <w:t xml:space="preserve"> hyphae, where fungal plug is inoculated at the left compartment, in the presence of a </w:t>
      </w:r>
      <w:r w:rsidR="00730F74" w:rsidRPr="00635993">
        <w:rPr>
          <w:b w:val="0"/>
        </w:rPr>
        <w:t>HAP</w:t>
      </w:r>
      <w:r w:rsidRPr="00635993">
        <w:rPr>
          <w:b w:val="0"/>
        </w:rPr>
        <w:t>-co</w:t>
      </w:r>
      <w:r w:rsidR="00CC03DF" w:rsidRPr="00635993">
        <w:rPr>
          <w:b w:val="0"/>
        </w:rPr>
        <w:t xml:space="preserve">ated </w:t>
      </w:r>
      <w:r w:rsidRPr="00635993">
        <w:rPr>
          <w:b w:val="0"/>
        </w:rPr>
        <w:t xml:space="preserve">polystyrene disc placed at the right compartment. </w:t>
      </w:r>
      <w:r w:rsidRPr="00B46FB7">
        <w:t>B.</w:t>
      </w:r>
      <w:r w:rsidRPr="00635993">
        <w:rPr>
          <w:b w:val="0"/>
        </w:rPr>
        <w:t xml:space="preserve"> </w:t>
      </w:r>
      <w:r w:rsidRPr="00635993">
        <w:rPr>
          <w:b w:val="0"/>
          <w:i/>
        </w:rPr>
        <w:t>P. involutus DJR1</w:t>
      </w:r>
      <w:r w:rsidRPr="00635993">
        <w:rPr>
          <w:b w:val="0"/>
        </w:rPr>
        <w:t xml:space="preserve"> hyphae, where the fungal plug is inoculated at the left compartment, in the presence of a</w:t>
      </w:r>
      <w:r w:rsidR="00280AC4">
        <w:rPr>
          <w:b w:val="0"/>
        </w:rPr>
        <w:t>n</w:t>
      </w:r>
      <w:r w:rsidRPr="00635993">
        <w:rPr>
          <w:b w:val="0"/>
        </w:rPr>
        <w:t xml:space="preserve"> </w:t>
      </w:r>
      <w:r w:rsidR="00280AC4">
        <w:rPr>
          <w:b w:val="0"/>
        </w:rPr>
        <w:t>un</w:t>
      </w:r>
      <w:r w:rsidRPr="00635993">
        <w:rPr>
          <w:b w:val="0"/>
        </w:rPr>
        <w:t>co</w:t>
      </w:r>
      <w:r w:rsidR="00CC03DF" w:rsidRPr="00635993">
        <w:rPr>
          <w:b w:val="0"/>
        </w:rPr>
        <w:t>ated</w:t>
      </w:r>
      <w:r w:rsidRPr="00635993">
        <w:rPr>
          <w:b w:val="0"/>
        </w:rPr>
        <w:t xml:space="preserve"> polystyrene disc placed at the right compartment. </w:t>
      </w:r>
      <w:r w:rsidRPr="00B46FB7">
        <w:t>C</w:t>
      </w:r>
      <w:r w:rsidR="001F4FAB">
        <w:t>-H</w:t>
      </w:r>
      <w:r w:rsidRPr="00B46FB7">
        <w:t>.</w:t>
      </w:r>
      <w:r w:rsidRPr="00635993">
        <w:rPr>
          <w:b w:val="0"/>
        </w:rPr>
        <w:t xml:space="preserve"> </w:t>
      </w:r>
      <w:r w:rsidR="001F4FAB">
        <w:rPr>
          <w:b w:val="0"/>
        </w:rPr>
        <w:t xml:space="preserve">Details of the </w:t>
      </w:r>
      <w:r w:rsidR="001F4FAB" w:rsidRPr="00635993">
        <w:rPr>
          <w:b w:val="0"/>
          <w:i/>
        </w:rPr>
        <w:t>P. involutus DJR1</w:t>
      </w:r>
      <w:r w:rsidR="001F4FAB" w:rsidRPr="00635993">
        <w:rPr>
          <w:b w:val="0"/>
        </w:rPr>
        <w:t xml:space="preserve"> hyphae </w:t>
      </w:r>
      <w:r w:rsidR="001F4FAB">
        <w:rPr>
          <w:b w:val="0"/>
        </w:rPr>
        <w:t xml:space="preserve">developed in response to the </w:t>
      </w:r>
      <w:r w:rsidR="00730F74" w:rsidRPr="00635993">
        <w:rPr>
          <w:b w:val="0"/>
        </w:rPr>
        <w:t>HAP</w:t>
      </w:r>
      <w:r w:rsidRPr="00635993">
        <w:rPr>
          <w:b w:val="0"/>
        </w:rPr>
        <w:t>-</w:t>
      </w:r>
      <w:r w:rsidR="00CC03DF" w:rsidRPr="00635993">
        <w:rPr>
          <w:b w:val="0"/>
        </w:rPr>
        <w:t xml:space="preserve">coated </w:t>
      </w:r>
      <w:r w:rsidRPr="00635993">
        <w:rPr>
          <w:b w:val="0"/>
        </w:rPr>
        <w:t xml:space="preserve">polystyrene disc. </w:t>
      </w:r>
      <w:r w:rsidR="001F4FAB">
        <w:t>E-J</w:t>
      </w:r>
      <w:r w:rsidRPr="00B46FB7">
        <w:t>.</w:t>
      </w:r>
      <w:r w:rsidRPr="00635993">
        <w:rPr>
          <w:b w:val="0"/>
        </w:rPr>
        <w:t xml:space="preserve"> </w:t>
      </w:r>
      <w:r w:rsidR="001F4FAB">
        <w:rPr>
          <w:b w:val="0"/>
        </w:rPr>
        <w:t xml:space="preserve">Details of the </w:t>
      </w:r>
      <w:r w:rsidR="001F4FAB" w:rsidRPr="00635993">
        <w:rPr>
          <w:b w:val="0"/>
          <w:i/>
        </w:rPr>
        <w:t>P. involutus DJR1</w:t>
      </w:r>
      <w:r w:rsidR="001F4FAB" w:rsidRPr="00635993">
        <w:rPr>
          <w:b w:val="0"/>
        </w:rPr>
        <w:t xml:space="preserve"> hyphae </w:t>
      </w:r>
      <w:r w:rsidR="001F4FAB">
        <w:rPr>
          <w:b w:val="0"/>
        </w:rPr>
        <w:t>developed in response to the absence of HAP</w:t>
      </w:r>
      <w:r w:rsidRPr="00635993">
        <w:rPr>
          <w:b w:val="0"/>
        </w:rPr>
        <w:t>. Scale bars 1 mm.</w:t>
      </w:r>
    </w:p>
    <w:p w14:paraId="7F4801AF" w14:textId="77777777" w:rsidR="000D7D3D" w:rsidRPr="000D7D3D" w:rsidRDefault="000D7D3D">
      <w:r w:rsidRPr="000D7D3D">
        <w:br w:type="page"/>
      </w:r>
    </w:p>
    <w:p w14:paraId="0875A398" w14:textId="2D32EF29" w:rsidR="000D7D3D" w:rsidRPr="000D7D3D" w:rsidRDefault="000D7D3D" w:rsidP="00635993">
      <w:pPr>
        <w:pStyle w:val="Heading2"/>
      </w:pPr>
      <w:bookmarkStart w:id="354" w:name="_Toc507604041"/>
      <w:bookmarkStart w:id="355" w:name="_Toc507604308"/>
      <w:bookmarkStart w:id="356" w:name="_Toc519017018"/>
      <w:bookmarkStart w:id="357" w:name="_Toc520837923"/>
      <w:r w:rsidRPr="000D7D3D">
        <w:lastRenderedPageBreak/>
        <w:t xml:space="preserve">4.3.3 Formation of secondary minerals in response to </w:t>
      </w:r>
      <w:r w:rsidR="00901158">
        <w:t>HAP</w:t>
      </w:r>
      <w:r w:rsidR="00901158" w:rsidRPr="000D7D3D">
        <w:t xml:space="preserve"> </w:t>
      </w:r>
      <w:r w:rsidRPr="000D7D3D">
        <w:t xml:space="preserve">solubilisation by the hyphae of </w:t>
      </w:r>
      <w:r w:rsidRPr="000D7D3D">
        <w:rPr>
          <w:i/>
        </w:rPr>
        <w:t>P. involutus</w:t>
      </w:r>
      <w:bookmarkEnd w:id="354"/>
      <w:bookmarkEnd w:id="355"/>
      <w:bookmarkEnd w:id="356"/>
      <w:bookmarkEnd w:id="357"/>
      <w:r w:rsidRPr="000D7D3D">
        <w:t xml:space="preserve"> </w:t>
      </w:r>
    </w:p>
    <w:p w14:paraId="2411AC01" w14:textId="66AC9257" w:rsidR="000D7D3D" w:rsidRPr="000D7D3D" w:rsidRDefault="000D7D3D" w:rsidP="003F7054">
      <w:r w:rsidRPr="000D7D3D">
        <w:t xml:space="preserve">On the surface of </w:t>
      </w:r>
      <w:r w:rsidR="00901158">
        <w:t>HAP</w:t>
      </w:r>
      <w:r w:rsidRPr="000D7D3D">
        <w:t xml:space="preserve">-coated discs from experimental systems supplied with 1.84 </w:t>
      </w:r>
      <w:r w:rsidRPr="000D7D3D">
        <w:rPr>
          <w:lang w:val="el-GR"/>
        </w:rPr>
        <w:t>μ</w:t>
      </w:r>
      <w:r w:rsidRPr="000D7D3D">
        <w:t xml:space="preserve">M of Pi on the fungal inoculation site, no secondary mineral precipitates were formed in response to </w:t>
      </w:r>
      <w:r w:rsidR="002D70BE">
        <w:t>HAP</w:t>
      </w:r>
      <w:r w:rsidR="002D70BE" w:rsidRPr="000D7D3D">
        <w:t xml:space="preserve"> </w:t>
      </w:r>
      <w:r w:rsidRPr="000D7D3D">
        <w:t>dissolution</w:t>
      </w:r>
      <w:r w:rsidR="00500DA7">
        <w:t xml:space="preserve"> (Figure 4.4)</w:t>
      </w:r>
      <w:r w:rsidRPr="000D7D3D">
        <w:t xml:space="preserve">. The absence of secondary minerals was observed after colonisation by both the hyphae of </w:t>
      </w:r>
      <w:r w:rsidRPr="000D7D3D">
        <w:rPr>
          <w:i/>
        </w:rPr>
        <w:t xml:space="preserve">P. involutus </w:t>
      </w:r>
      <w:r w:rsidRPr="00635993">
        <w:rPr>
          <w:i/>
        </w:rPr>
        <w:t>13</w:t>
      </w:r>
      <w:r w:rsidRPr="000D7D3D">
        <w:rPr>
          <w:i/>
        </w:rPr>
        <w:t xml:space="preserve">, P. involutus </w:t>
      </w:r>
      <w:r w:rsidRPr="00635993">
        <w:rPr>
          <w:i/>
        </w:rPr>
        <w:t>ATCC 200175</w:t>
      </w:r>
      <w:r w:rsidRPr="000D7D3D">
        <w:rPr>
          <w:i/>
        </w:rPr>
        <w:t xml:space="preserve"> </w:t>
      </w:r>
      <w:r w:rsidRPr="00DF7264">
        <w:t>and</w:t>
      </w:r>
      <w:r w:rsidRPr="000D7D3D">
        <w:rPr>
          <w:i/>
        </w:rPr>
        <w:t xml:space="preserve"> </w:t>
      </w:r>
      <w:r w:rsidRPr="00DF7264">
        <w:rPr>
          <w:i/>
        </w:rPr>
        <w:t>P</w:t>
      </w:r>
      <w:r w:rsidRPr="000D7D3D">
        <w:rPr>
          <w:i/>
        </w:rPr>
        <w:t xml:space="preserve">. involutus </w:t>
      </w:r>
      <w:r w:rsidRPr="00635993">
        <w:rPr>
          <w:i/>
        </w:rPr>
        <w:t>DJR1</w:t>
      </w:r>
      <w:r w:rsidRPr="000D7D3D">
        <w:t xml:space="preserve"> for the period of four, six and two months, respectively (Figure 4.4A, C and E). In addition, secondary mineral formation was also absent on the surface of the blank polystyrene discs in the control experimental systems, shown in Figure 4.4B, D and F.</w:t>
      </w:r>
    </w:p>
    <w:p w14:paraId="08D00BF2" w14:textId="53C069B0" w:rsidR="000D7D3D" w:rsidRPr="000D7D3D" w:rsidRDefault="000D7D3D" w:rsidP="00634533">
      <w:pPr>
        <w:ind w:firstLine="720"/>
      </w:pPr>
      <w:r w:rsidRPr="000D7D3D">
        <w:t xml:space="preserve">However, microscopy data from experimental systems where the media of the fungal inoculation site was supplied with very low Pi (0.15 </w:t>
      </w:r>
      <w:r w:rsidRPr="000D7D3D">
        <w:rPr>
          <w:lang w:val="el-GR"/>
        </w:rPr>
        <w:t>μ</w:t>
      </w:r>
      <w:r w:rsidRPr="000D7D3D">
        <w:t xml:space="preserve">M), showed that </w:t>
      </w:r>
      <w:r w:rsidRPr="000D7D3D">
        <w:rPr>
          <w:i/>
        </w:rPr>
        <w:t xml:space="preserve">P. involutus </w:t>
      </w:r>
      <w:r w:rsidRPr="000D7D3D">
        <w:t>is able to produce</w:t>
      </w:r>
      <w:r w:rsidRPr="000D7D3D">
        <w:rPr>
          <w:i/>
        </w:rPr>
        <w:t xml:space="preserve"> </w:t>
      </w:r>
      <w:r w:rsidRPr="000D7D3D">
        <w:t xml:space="preserve">secondary mineral precipitates. In particular, Figure 4.5A shows the formation of secondary minerals by </w:t>
      </w:r>
      <w:r w:rsidRPr="000D7D3D">
        <w:rPr>
          <w:i/>
        </w:rPr>
        <w:t>P. involutus DJR1</w:t>
      </w:r>
      <w:r w:rsidRPr="000D7D3D">
        <w:t xml:space="preserve"> hyphae growing on the surface of the </w:t>
      </w:r>
      <w:r w:rsidR="002D70BE">
        <w:t>HAP</w:t>
      </w:r>
      <w:r w:rsidRPr="000D7D3D">
        <w:t xml:space="preserve">-coated polystyrene discs, after seven months of colonisation. This type of crystals is morphologically similar to that found in previous studies, and are most likely to be calcium oxalate, in particular weddellite </w:t>
      </w:r>
      <w:r w:rsidRPr="000D7D3D">
        <w:fldChar w:fldCharType="begin" w:fldLock="1"/>
      </w:r>
      <w:r w:rsidR="00EE33AB">
        <w:instrText>ADDIN CSL_CITATION {"citationItems":[{"id":"ITEM-1","itemData":{"DOI":"10.1139/b91-046","ISSN":"0008-4026","author":[{"dropping-particle":"","family":"Lapeyrie","given":"F","non-dropping-particle":"","parse-names":false,"suffix":""},{"dropping-particle":"","family":"Ranger","given":"J","non-dropping-particle":"","parse-names":false,"suffix":""},{"dropping-particle":"","family":"Vairelles","given":"D","non-dropping-particle":"","parse-names":false,"suffix":""}],"container-title":"Canadian Journal of Botany","id":"ITEM-1","issue":"2","issued":{"date-parts":[["1991","2","1"]]},"note":"doi: 10.1139/b91-046","page":"342-346","publisher":"NRC Research Press","title":"Phosphate-solubilizing activity of ectomycorrhizal fungi in vitro","type":"article-journal","volume":"69"},"uris":["http://www.mendeley.com/documents/?uuid=4906a540-2ecd-4f2f-a297-154ce76ea523"]},{"id":"ITEM-2","itemData":{"author":[{"dropping-particle":"","family":"Gadd","given":"G. M.","non-dropping-particle":"","parse-names":false,"suffix":""}],"container-title":"Mycologist","id":"ITEM-2","issued":{"date-parts":[["2004"]]},"page":"60-70","title":"Mycotransformation of organic and inorganic substrates","type":"article-journal","volume":"18"},"uris":["http://www.mendeley.com/documents/?uuid=2286a973-6a12-4276-8fb8-8fe2364172d1"]}],"mendeley":{"formattedCitation":"(Lapeyrie et al., 1991; Gadd, 2004)","plainTextFormattedCitation":"(Lapeyrie et al., 1991; Gadd, 2004)","previouslyFormattedCitation":"(Lapeyrie et al., 1991; Gadd, 2004)"},"properties":{"noteIndex":0},"schema":"https://github.com/citation-style-language/schema/raw/master/csl-citation.json"}</w:instrText>
      </w:r>
      <w:r w:rsidRPr="000D7D3D">
        <w:fldChar w:fldCharType="separate"/>
      </w:r>
      <w:r w:rsidRPr="000D7D3D">
        <w:rPr>
          <w:noProof/>
        </w:rPr>
        <w:t>(Lapeyrie et al., 1991; Gadd, 2004)</w:t>
      </w:r>
      <w:r w:rsidRPr="000D7D3D">
        <w:fldChar w:fldCharType="end"/>
      </w:r>
      <w:r w:rsidRPr="000D7D3D">
        <w:t>. Secondary mineral precipitates did not form on the surface of the blank polystyrene discs in the control expe</w:t>
      </w:r>
      <w:r w:rsidR="00634533">
        <w:t>rimental systems (Figure 4.5B).</w:t>
      </w:r>
      <w:r w:rsidRPr="000D7D3D">
        <w:br w:type="page"/>
      </w:r>
    </w:p>
    <w:p w14:paraId="3066F4AB" w14:textId="77777777" w:rsidR="000D7D3D" w:rsidRPr="000D7D3D" w:rsidRDefault="000D7D3D" w:rsidP="003F061A">
      <w:r w:rsidRPr="000D7D3D">
        <w:rPr>
          <w:noProof/>
          <w:lang w:eastAsia="en-GB"/>
        </w:rPr>
        <w:lastRenderedPageBreak/>
        <w:drawing>
          <wp:inline distT="0" distB="0" distL="0" distR="0" wp14:anchorId="1709C65D" wp14:editId="6D0B8C2A">
            <wp:extent cx="5943600" cy="68033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e 4.4.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6803390"/>
                    </a:xfrm>
                    <a:prstGeom prst="rect">
                      <a:avLst/>
                    </a:prstGeom>
                  </pic:spPr>
                </pic:pic>
              </a:graphicData>
            </a:graphic>
          </wp:inline>
        </w:drawing>
      </w:r>
    </w:p>
    <w:p w14:paraId="78C50EF9" w14:textId="77777777" w:rsidR="000D7D3D" w:rsidRPr="000D7D3D" w:rsidRDefault="000D7D3D" w:rsidP="00635993">
      <w:r w:rsidRPr="000D7D3D">
        <w:br w:type="page"/>
      </w:r>
    </w:p>
    <w:p w14:paraId="17A36932" w14:textId="77777777" w:rsidR="00634533" w:rsidRDefault="000D7D3D" w:rsidP="00635993">
      <w:pPr>
        <w:pStyle w:val="Subtitle"/>
        <w:pBdr>
          <w:top w:val="single" w:sz="4" w:space="1" w:color="auto"/>
        </w:pBdr>
        <w:rPr>
          <w:b w:val="0"/>
        </w:rPr>
      </w:pPr>
      <w:r w:rsidRPr="000D7D3D">
        <w:lastRenderedPageBreak/>
        <w:t xml:space="preserve">Figure 4.4 </w:t>
      </w:r>
      <w:r w:rsidRPr="00635993">
        <w:rPr>
          <w:b w:val="0"/>
        </w:rPr>
        <w:t xml:space="preserve">Microscopy images taken on the surface of </w:t>
      </w:r>
      <w:r w:rsidR="002D70BE" w:rsidRPr="00635993">
        <w:rPr>
          <w:b w:val="0"/>
        </w:rPr>
        <w:t>HAP</w:t>
      </w:r>
      <w:r w:rsidRPr="00635993">
        <w:rPr>
          <w:b w:val="0"/>
        </w:rPr>
        <w:t xml:space="preserve">-coated or </w:t>
      </w:r>
      <w:r w:rsidR="00500DA7">
        <w:rPr>
          <w:b w:val="0"/>
        </w:rPr>
        <w:t>un</w:t>
      </w:r>
      <w:r w:rsidRPr="00635993">
        <w:rPr>
          <w:b w:val="0"/>
        </w:rPr>
        <w:t xml:space="preserve">coated polystyrene discs after colonisation of </w:t>
      </w:r>
      <w:r w:rsidRPr="00635993">
        <w:rPr>
          <w:b w:val="0"/>
          <w:i/>
        </w:rPr>
        <w:t>P. involutus</w:t>
      </w:r>
      <w:r w:rsidRPr="00635993">
        <w:rPr>
          <w:b w:val="0"/>
        </w:rPr>
        <w:t xml:space="preserve">. </w:t>
      </w:r>
      <w:r w:rsidRPr="003F7054">
        <w:t>A.</w:t>
      </w:r>
      <w:r w:rsidRPr="00635993">
        <w:rPr>
          <w:b w:val="0"/>
        </w:rPr>
        <w:t xml:space="preserve"> Hyphae of </w:t>
      </w:r>
      <w:r w:rsidRPr="00635993">
        <w:rPr>
          <w:b w:val="0"/>
          <w:i/>
        </w:rPr>
        <w:t>P. involutus 13</w:t>
      </w:r>
      <w:r w:rsidR="00500DA7">
        <w:rPr>
          <w:b w:val="0"/>
        </w:rPr>
        <w:t xml:space="preserve"> growing on</w:t>
      </w:r>
      <w:r w:rsidRPr="00635993">
        <w:rPr>
          <w:b w:val="0"/>
        </w:rPr>
        <w:t xml:space="preserve"> </w:t>
      </w:r>
      <w:r w:rsidR="002D70BE" w:rsidRPr="00635993">
        <w:rPr>
          <w:b w:val="0"/>
        </w:rPr>
        <w:t>HAP</w:t>
      </w:r>
      <w:r w:rsidRPr="00635993">
        <w:rPr>
          <w:b w:val="0"/>
        </w:rPr>
        <w:t xml:space="preserve">-coated polystyrene disc. </w:t>
      </w:r>
      <w:r w:rsidRPr="003F7054">
        <w:t>B.</w:t>
      </w:r>
      <w:r w:rsidRPr="00635993">
        <w:rPr>
          <w:b w:val="0"/>
        </w:rPr>
        <w:t xml:space="preserve"> Hyphae of </w:t>
      </w:r>
      <w:r w:rsidRPr="00635993">
        <w:rPr>
          <w:b w:val="0"/>
          <w:i/>
        </w:rPr>
        <w:t xml:space="preserve">P. involutus </w:t>
      </w:r>
      <w:r w:rsidR="00500DA7">
        <w:rPr>
          <w:b w:val="0"/>
        </w:rPr>
        <w:t>13 growing on</w:t>
      </w:r>
      <w:r w:rsidRPr="00635993">
        <w:rPr>
          <w:b w:val="0"/>
        </w:rPr>
        <w:t xml:space="preserve"> uncoated polystyrene disc. </w:t>
      </w:r>
      <w:r w:rsidRPr="003F7054">
        <w:t>C.</w:t>
      </w:r>
      <w:r w:rsidRPr="00635993">
        <w:rPr>
          <w:b w:val="0"/>
        </w:rPr>
        <w:t xml:space="preserve"> Hyphae of </w:t>
      </w:r>
      <w:r w:rsidRPr="00635993">
        <w:rPr>
          <w:b w:val="0"/>
          <w:i/>
        </w:rPr>
        <w:t xml:space="preserve">P. involutus ATCC 200175 </w:t>
      </w:r>
      <w:r w:rsidR="00500DA7">
        <w:rPr>
          <w:b w:val="0"/>
        </w:rPr>
        <w:t xml:space="preserve">growing on </w:t>
      </w:r>
      <w:r w:rsidR="002D70BE" w:rsidRPr="00635993">
        <w:rPr>
          <w:b w:val="0"/>
        </w:rPr>
        <w:t>HAP</w:t>
      </w:r>
      <w:r w:rsidRPr="00635993">
        <w:rPr>
          <w:b w:val="0"/>
        </w:rPr>
        <w:t xml:space="preserve">-coated polystyrene disc. </w:t>
      </w:r>
      <w:r w:rsidRPr="003F7054">
        <w:t>D.</w:t>
      </w:r>
      <w:r w:rsidRPr="00635993">
        <w:rPr>
          <w:b w:val="0"/>
        </w:rPr>
        <w:t xml:space="preserve"> Hyphae of </w:t>
      </w:r>
      <w:r w:rsidRPr="00635993">
        <w:rPr>
          <w:b w:val="0"/>
          <w:i/>
        </w:rPr>
        <w:t xml:space="preserve">P. involutus ATCC 200175 </w:t>
      </w:r>
      <w:r w:rsidR="00500DA7">
        <w:rPr>
          <w:b w:val="0"/>
        </w:rPr>
        <w:t>growing on</w:t>
      </w:r>
      <w:r w:rsidRPr="00635993">
        <w:rPr>
          <w:b w:val="0"/>
        </w:rPr>
        <w:t xml:space="preserve"> uncoated polystyrene disc. </w:t>
      </w:r>
      <w:r w:rsidRPr="003F7054">
        <w:t>E.</w:t>
      </w:r>
      <w:r w:rsidRPr="00635993">
        <w:rPr>
          <w:b w:val="0"/>
        </w:rPr>
        <w:t xml:space="preserve"> Hyphae of </w:t>
      </w:r>
      <w:r w:rsidRPr="00635993">
        <w:rPr>
          <w:b w:val="0"/>
          <w:i/>
        </w:rPr>
        <w:t>P. involutus DJR1</w:t>
      </w:r>
      <w:r w:rsidR="00500DA7">
        <w:rPr>
          <w:b w:val="0"/>
        </w:rPr>
        <w:t xml:space="preserve"> growing on </w:t>
      </w:r>
      <w:r w:rsidR="002D70BE" w:rsidRPr="00635993">
        <w:rPr>
          <w:b w:val="0"/>
        </w:rPr>
        <w:t>HAP</w:t>
      </w:r>
      <w:r w:rsidRPr="00635993">
        <w:rPr>
          <w:b w:val="0"/>
        </w:rPr>
        <w:t xml:space="preserve">-coated polystyrene disc. </w:t>
      </w:r>
      <w:r w:rsidRPr="003F7054">
        <w:t>F.</w:t>
      </w:r>
      <w:r w:rsidRPr="00635993">
        <w:rPr>
          <w:b w:val="0"/>
        </w:rPr>
        <w:t xml:space="preserve"> Hyphae of </w:t>
      </w:r>
      <w:r w:rsidRPr="00635993">
        <w:rPr>
          <w:b w:val="0"/>
          <w:i/>
        </w:rPr>
        <w:t>P. involutus DJR1</w:t>
      </w:r>
      <w:r w:rsidR="00500DA7">
        <w:rPr>
          <w:b w:val="0"/>
        </w:rPr>
        <w:t xml:space="preserve"> growing on</w:t>
      </w:r>
      <w:r w:rsidRPr="00635993">
        <w:rPr>
          <w:b w:val="0"/>
        </w:rPr>
        <w:t xml:space="preserve"> uncoated polystyrene disc. The growth period for each strain varies between four, six and two months, for </w:t>
      </w:r>
      <w:r w:rsidRPr="00635993">
        <w:rPr>
          <w:b w:val="0"/>
          <w:i/>
        </w:rPr>
        <w:t>P. involutus 13</w:t>
      </w:r>
      <w:r w:rsidRPr="00635993">
        <w:rPr>
          <w:b w:val="0"/>
        </w:rPr>
        <w:t xml:space="preserve">, </w:t>
      </w:r>
      <w:r w:rsidRPr="00635993">
        <w:rPr>
          <w:b w:val="0"/>
          <w:i/>
        </w:rPr>
        <w:t>P. involutus ATCC 200175</w:t>
      </w:r>
      <w:r w:rsidRPr="00635993">
        <w:rPr>
          <w:b w:val="0"/>
        </w:rPr>
        <w:t xml:space="preserve"> and </w:t>
      </w:r>
      <w:r w:rsidRPr="00635993">
        <w:rPr>
          <w:b w:val="0"/>
          <w:i/>
        </w:rPr>
        <w:t>P. involutus DJR1</w:t>
      </w:r>
      <w:r w:rsidRPr="00635993">
        <w:rPr>
          <w:b w:val="0"/>
        </w:rPr>
        <w:t xml:space="preserve">, respectively. Scale bars A.-D. 50 </w:t>
      </w:r>
      <w:r w:rsidRPr="00635993">
        <w:rPr>
          <w:b w:val="0"/>
          <w:lang w:val="el-GR"/>
        </w:rPr>
        <w:t>μΜ</w:t>
      </w:r>
      <w:r w:rsidRPr="00635993">
        <w:rPr>
          <w:b w:val="0"/>
        </w:rPr>
        <w:t xml:space="preserve">, E. and F. 20 </w:t>
      </w:r>
      <w:r w:rsidRPr="00635993">
        <w:rPr>
          <w:b w:val="0"/>
          <w:lang w:val="el-GR"/>
        </w:rPr>
        <w:t>μΜ</w:t>
      </w:r>
      <w:r w:rsidRPr="00635993">
        <w:rPr>
          <w:b w:val="0"/>
        </w:rPr>
        <w:t>.</w:t>
      </w:r>
    </w:p>
    <w:p w14:paraId="3ADC51E8" w14:textId="730757FC" w:rsidR="009438AB" w:rsidRPr="00B46FB7" w:rsidRDefault="000D7D3D" w:rsidP="00635993">
      <w:pPr>
        <w:pStyle w:val="Subtitle"/>
        <w:pBdr>
          <w:top w:val="single" w:sz="4" w:space="1" w:color="auto"/>
        </w:pBdr>
      </w:pPr>
      <w:r w:rsidRPr="00635993">
        <w:rPr>
          <w:b w:val="0"/>
        </w:rPr>
        <w:br w:type="page"/>
      </w:r>
    </w:p>
    <w:p w14:paraId="313EF70A" w14:textId="77777777" w:rsidR="009438AB" w:rsidRDefault="009438AB">
      <w:r w:rsidRPr="000D7D3D">
        <w:rPr>
          <w:noProof/>
          <w:lang w:eastAsia="en-GB"/>
        </w:rPr>
        <w:lastRenderedPageBreak/>
        <w:drawing>
          <wp:inline distT="0" distB="0" distL="0" distR="0" wp14:anchorId="6F0D11CE" wp14:editId="1768B092">
            <wp:extent cx="5943600" cy="251333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e 4.5_+.png"/>
                    <pic:cNvPicPr/>
                  </pic:nvPicPr>
                  <pic:blipFill>
                    <a:blip r:embed="rId36">
                      <a:extLst>
                        <a:ext uri="{28A0092B-C50C-407E-A947-70E740481C1C}">
                          <a14:useLocalDpi xmlns:a14="http://schemas.microsoft.com/office/drawing/2010/main" val="0"/>
                        </a:ext>
                      </a:extLst>
                    </a:blip>
                    <a:stretch>
                      <a:fillRect/>
                    </a:stretch>
                  </pic:blipFill>
                  <pic:spPr>
                    <a:xfrm>
                      <a:off x="0" y="0"/>
                      <a:ext cx="6009113" cy="2541034"/>
                    </a:xfrm>
                    <a:prstGeom prst="rect">
                      <a:avLst/>
                    </a:prstGeom>
                  </pic:spPr>
                </pic:pic>
              </a:graphicData>
            </a:graphic>
          </wp:inline>
        </w:drawing>
      </w:r>
    </w:p>
    <w:p w14:paraId="57981897" w14:textId="2A404429" w:rsidR="009438AB" w:rsidRPr="00B46FB7" w:rsidRDefault="009438AB" w:rsidP="00635993">
      <w:pPr>
        <w:pStyle w:val="Subtitle"/>
        <w:pBdr>
          <w:top w:val="single" w:sz="4" w:space="1" w:color="auto"/>
        </w:pBdr>
      </w:pPr>
      <w:r w:rsidRPr="009438AB">
        <w:t xml:space="preserve">Figure 4.5 </w:t>
      </w:r>
      <w:r w:rsidRPr="00635993">
        <w:rPr>
          <w:b w:val="0"/>
        </w:rPr>
        <w:t xml:space="preserve">Microscopy images taken on the surface of </w:t>
      </w:r>
      <w:r w:rsidR="002D70BE" w:rsidRPr="00635993">
        <w:rPr>
          <w:b w:val="0"/>
        </w:rPr>
        <w:t>HAP</w:t>
      </w:r>
      <w:r w:rsidRPr="00635993">
        <w:rPr>
          <w:b w:val="0"/>
        </w:rPr>
        <w:t>-</w:t>
      </w:r>
      <w:r w:rsidR="002D70BE" w:rsidRPr="00635993">
        <w:rPr>
          <w:b w:val="0"/>
        </w:rPr>
        <w:t>coated</w:t>
      </w:r>
      <w:r w:rsidRPr="00635993">
        <w:rPr>
          <w:b w:val="0"/>
        </w:rPr>
        <w:t xml:space="preserve"> or </w:t>
      </w:r>
      <w:r w:rsidR="00500DA7">
        <w:rPr>
          <w:b w:val="0"/>
        </w:rPr>
        <w:t>un</w:t>
      </w:r>
      <w:r w:rsidRPr="00635993">
        <w:rPr>
          <w:b w:val="0"/>
        </w:rPr>
        <w:t xml:space="preserve">coated polystyrene discs after colonisation by </w:t>
      </w:r>
      <w:r w:rsidRPr="00635993">
        <w:rPr>
          <w:b w:val="0"/>
          <w:i/>
        </w:rPr>
        <w:t>P. involutus DJR1</w:t>
      </w:r>
      <w:r w:rsidRPr="00635993">
        <w:rPr>
          <w:b w:val="0"/>
        </w:rPr>
        <w:t xml:space="preserve">. </w:t>
      </w:r>
      <w:r w:rsidRPr="003F7054">
        <w:t>A.</w:t>
      </w:r>
      <w:r w:rsidRPr="00635993">
        <w:rPr>
          <w:b w:val="0"/>
        </w:rPr>
        <w:t xml:space="preserve"> Secondary minerals formed along hyphae of </w:t>
      </w:r>
      <w:r w:rsidRPr="00635993">
        <w:rPr>
          <w:b w:val="0"/>
          <w:i/>
        </w:rPr>
        <w:t>P. involutus DJR1</w:t>
      </w:r>
      <w:r w:rsidRPr="00635993">
        <w:rPr>
          <w:b w:val="0"/>
        </w:rPr>
        <w:t xml:space="preserve"> after growth on the surface of the </w:t>
      </w:r>
      <w:r w:rsidR="002D70BE" w:rsidRPr="00635993">
        <w:rPr>
          <w:b w:val="0"/>
        </w:rPr>
        <w:t>HAP</w:t>
      </w:r>
      <w:r w:rsidRPr="00635993">
        <w:rPr>
          <w:b w:val="0"/>
        </w:rPr>
        <w:t xml:space="preserve">-coated polystyrene disc </w:t>
      </w:r>
      <w:r w:rsidRPr="003F7054">
        <w:t>B.</w:t>
      </w:r>
      <w:r w:rsidRPr="00635993">
        <w:rPr>
          <w:b w:val="0"/>
        </w:rPr>
        <w:t xml:space="preserve"> </w:t>
      </w:r>
      <w:r w:rsidRPr="00635993">
        <w:rPr>
          <w:b w:val="0"/>
          <w:i/>
        </w:rPr>
        <w:t>P. involutus DJR1</w:t>
      </w:r>
      <w:r w:rsidRPr="00635993">
        <w:rPr>
          <w:b w:val="0"/>
        </w:rPr>
        <w:t xml:space="preserve"> hyphae growing on the surface of the uncoated polystyrene disc. Growth period </w:t>
      </w:r>
      <w:r w:rsidR="00500DA7">
        <w:rPr>
          <w:b w:val="0"/>
        </w:rPr>
        <w:t>of</w:t>
      </w:r>
      <w:r w:rsidRPr="00635993">
        <w:rPr>
          <w:b w:val="0"/>
        </w:rPr>
        <w:t xml:space="preserve"> seven months. Scale bars 50 μΜ.</w:t>
      </w:r>
    </w:p>
    <w:p w14:paraId="00F45085" w14:textId="77777777" w:rsidR="000D7D3D" w:rsidRPr="000D7D3D" w:rsidRDefault="000D7D3D">
      <w:r w:rsidRPr="000D7D3D">
        <w:br w:type="page"/>
      </w:r>
    </w:p>
    <w:p w14:paraId="37C1B4DD" w14:textId="233137AC" w:rsidR="000D7D3D" w:rsidRPr="000D7D3D" w:rsidRDefault="000D7D3D" w:rsidP="00635993">
      <w:pPr>
        <w:pStyle w:val="Heading2"/>
      </w:pPr>
      <w:bookmarkStart w:id="358" w:name="_Toc507604042"/>
      <w:bookmarkStart w:id="359" w:name="_Toc507604309"/>
      <w:bookmarkStart w:id="360" w:name="_Toc519017019"/>
      <w:bookmarkStart w:id="361" w:name="_Toc520837924"/>
      <w:r w:rsidRPr="000D7D3D">
        <w:lastRenderedPageBreak/>
        <w:t xml:space="preserve">4.3.4 Elemental analysis and microscopy of </w:t>
      </w:r>
      <w:r w:rsidR="0079451F">
        <w:t>HAP</w:t>
      </w:r>
      <w:r w:rsidRPr="000D7D3D">
        <w:t xml:space="preserve">-coated polystyrene discs post colonisation by </w:t>
      </w:r>
      <w:r w:rsidR="007020F1">
        <w:t xml:space="preserve">the </w:t>
      </w:r>
      <w:r w:rsidRPr="000D7D3D">
        <w:t xml:space="preserve">hyphae of </w:t>
      </w:r>
      <w:r w:rsidRPr="000D7D3D">
        <w:rPr>
          <w:i/>
        </w:rPr>
        <w:t xml:space="preserve">P. involutus </w:t>
      </w:r>
      <w:r w:rsidRPr="000D7D3D">
        <w:t>using SEM-EDX</w:t>
      </w:r>
      <w:bookmarkEnd w:id="358"/>
      <w:bookmarkEnd w:id="359"/>
      <w:bookmarkEnd w:id="360"/>
      <w:bookmarkEnd w:id="361"/>
    </w:p>
    <w:p w14:paraId="1D44651F" w14:textId="60F0C068" w:rsidR="000D7D3D" w:rsidRPr="000D7D3D" w:rsidRDefault="000D7D3D" w:rsidP="003F7054">
      <w:r w:rsidRPr="000D7D3D">
        <w:t xml:space="preserve">In regard to the SEM images taken on the non-colonised surface of the </w:t>
      </w:r>
      <w:r w:rsidR="0079451F">
        <w:t>HAP</w:t>
      </w:r>
      <w:r w:rsidRPr="000D7D3D">
        <w:t>-coated disc of the two</w:t>
      </w:r>
      <w:r w:rsidR="00500DA7">
        <w:t>-month</w:t>
      </w:r>
      <w:r w:rsidR="007020F1">
        <w:t>s</w:t>
      </w:r>
      <w:r w:rsidR="00500DA7">
        <w:t>-old system (Figure 4.6E-</w:t>
      </w:r>
      <w:r w:rsidRPr="000D7D3D">
        <w:t xml:space="preserve">G), the morphology of </w:t>
      </w:r>
      <w:r w:rsidR="0079451F">
        <w:t>HAP</w:t>
      </w:r>
      <w:r w:rsidR="0079451F" w:rsidRPr="000D7D3D">
        <w:t xml:space="preserve"> </w:t>
      </w:r>
      <w:r w:rsidRPr="000D7D3D">
        <w:t>granules was found to be similar to the abiotic ones</w:t>
      </w:r>
      <w:r w:rsidR="00693C3F">
        <w:t xml:space="preserve"> </w:t>
      </w:r>
      <w:r w:rsidR="00500DA7">
        <w:t>(Figure 4.6A-C</w:t>
      </w:r>
      <w:r w:rsidR="00500DA7" w:rsidRPr="000D7D3D">
        <w:t>)</w:t>
      </w:r>
      <w:r w:rsidRPr="000D7D3D">
        <w:t xml:space="preserve">. Besides, EDX data showed that the P and Ca elemental composition of the </w:t>
      </w:r>
      <w:r w:rsidR="0079451F">
        <w:t>HAP</w:t>
      </w:r>
      <w:r w:rsidRPr="000D7D3D">
        <w:t xml:space="preserve"> granules from the abiotic discs (Figure 4.6D) d</w:t>
      </w:r>
      <w:r w:rsidR="00500DA7">
        <w:t>id</w:t>
      </w:r>
      <w:r w:rsidRPr="000D7D3D">
        <w:t xml:space="preserve"> not differ compared to the biotic ones in the non-colonised area (Figure 4.6H). While the atomic percentage of Ca of </w:t>
      </w:r>
      <w:r w:rsidR="0079451F">
        <w:t>HAP</w:t>
      </w:r>
      <w:r w:rsidR="0079451F" w:rsidRPr="000D7D3D">
        <w:t xml:space="preserve"> </w:t>
      </w:r>
      <w:r w:rsidRPr="000D7D3D">
        <w:t xml:space="preserve">granules seemed slightly lower on the abiotic discs compared to the non-colonized biotic ones, the difference was not </w:t>
      </w:r>
      <w:r w:rsidR="00FE7C63">
        <w:t xml:space="preserve">statistically </w:t>
      </w:r>
      <w:r w:rsidRPr="000D7D3D">
        <w:t>significant.</w:t>
      </w:r>
    </w:p>
    <w:p w14:paraId="63E8053D" w14:textId="244DFAB3" w:rsidR="000D7D3D" w:rsidRPr="000D7D3D" w:rsidRDefault="000D7D3D" w:rsidP="007F746A">
      <w:pPr>
        <w:ind w:firstLine="720"/>
      </w:pPr>
      <w:r w:rsidRPr="000D7D3D">
        <w:t>According to SEM images from the colonised area of the two-month</w:t>
      </w:r>
      <w:r w:rsidR="007020F1">
        <w:t>s</w:t>
      </w:r>
      <w:r w:rsidRPr="000D7D3D">
        <w:t>-old system (Figure 4.6I</w:t>
      </w:r>
      <w:r w:rsidR="00693C3F">
        <w:t>-</w:t>
      </w:r>
      <w:r w:rsidRPr="000D7D3D">
        <w:t xml:space="preserve">K), the morphology of </w:t>
      </w:r>
      <w:r w:rsidR="0079451F">
        <w:t>HAP</w:t>
      </w:r>
      <w:r w:rsidR="0079451F" w:rsidRPr="000D7D3D">
        <w:t xml:space="preserve"> </w:t>
      </w:r>
      <w:r w:rsidRPr="000D7D3D">
        <w:t>granules appeared similar to those from the abiotic discs (Figure 4.6A</w:t>
      </w:r>
      <w:r w:rsidR="00693C3F">
        <w:t>-</w:t>
      </w:r>
      <w:r w:rsidRPr="000D7D3D">
        <w:t xml:space="preserve">C). Additionally, there are no apparent morphological differences between the </w:t>
      </w:r>
      <w:r w:rsidR="0079451F">
        <w:t>HAP</w:t>
      </w:r>
      <w:r w:rsidR="0079451F" w:rsidRPr="000D7D3D">
        <w:t xml:space="preserve"> </w:t>
      </w:r>
      <w:r w:rsidRPr="000D7D3D">
        <w:t>granules from the hyphal colonised area compared to those of the non-colonised area (Figure 4.6K in comparison to Figure</w:t>
      </w:r>
      <w:r w:rsidR="00654413">
        <w:t xml:space="preserve"> </w:t>
      </w:r>
      <w:r w:rsidRPr="000D7D3D">
        <w:t xml:space="preserve">4.6G). Indeed, EDX elemental data confirmed that P and Ca elemental composition of </w:t>
      </w:r>
      <w:r w:rsidR="0079451F">
        <w:t>HAP</w:t>
      </w:r>
      <w:r w:rsidR="0079451F" w:rsidRPr="000D7D3D">
        <w:t xml:space="preserve"> </w:t>
      </w:r>
      <w:r w:rsidRPr="000D7D3D">
        <w:t>granules from colonized areas of the two-month</w:t>
      </w:r>
      <w:r w:rsidR="007020F1">
        <w:t>s</w:t>
      </w:r>
      <w:r w:rsidRPr="000D7D3D">
        <w:t>-old system (Figure 4.6L) was not different when compared to those from the abiotic discs (Figure 4.6D) or the non-colonized areas (Figure 4.6H).</w:t>
      </w:r>
    </w:p>
    <w:p w14:paraId="571DF117" w14:textId="278188C3" w:rsidR="000D7D3D" w:rsidRPr="000D7D3D" w:rsidRDefault="000D7D3D" w:rsidP="00FB36B8">
      <w:pPr>
        <w:ind w:firstLine="720"/>
      </w:pPr>
      <w:r w:rsidRPr="000D7D3D">
        <w:t xml:space="preserve">Similarly, SEM images taken of the non-colonised surface of the </w:t>
      </w:r>
      <w:r w:rsidR="0079451F">
        <w:t>HAP</w:t>
      </w:r>
      <w:r w:rsidRPr="000D7D3D">
        <w:t>-coated discs from the six-month</w:t>
      </w:r>
      <w:r w:rsidR="007020F1">
        <w:t>s</w:t>
      </w:r>
      <w:r w:rsidR="009F61EA">
        <w:t>-old system (Figure 4.6M-</w:t>
      </w:r>
      <w:r w:rsidRPr="000D7D3D">
        <w:t xml:space="preserve">O) show that the morphology of the </w:t>
      </w:r>
      <w:r w:rsidR="0079451F">
        <w:t>HAP</w:t>
      </w:r>
      <w:r w:rsidR="0079451F" w:rsidRPr="000D7D3D">
        <w:t xml:space="preserve"> </w:t>
      </w:r>
      <w:r w:rsidRPr="000D7D3D">
        <w:t>granules was similar to those o</w:t>
      </w:r>
      <w:r w:rsidR="009F61EA">
        <w:t>n abiotic discs (Figure 4.</w:t>
      </w:r>
      <w:r w:rsidRPr="000D7D3D">
        <w:t xml:space="preserve">6C). P and Ca elemental data confirmed that </w:t>
      </w:r>
      <w:r w:rsidR="0079451F">
        <w:t>HAP</w:t>
      </w:r>
      <w:r w:rsidR="0079451F" w:rsidRPr="000D7D3D">
        <w:t xml:space="preserve"> </w:t>
      </w:r>
      <w:r w:rsidRPr="000D7D3D">
        <w:t>granules from non-colonised areas of the six-month</w:t>
      </w:r>
      <w:r w:rsidR="007020F1">
        <w:t>s</w:t>
      </w:r>
      <w:r w:rsidRPr="000D7D3D">
        <w:t>-old system (Figure 4.6P) do not differ from the ones in the abiotic discs (Figure 4.6D), or those from the two-month</w:t>
      </w:r>
      <w:r w:rsidR="007020F1">
        <w:t>s</w:t>
      </w:r>
      <w:r w:rsidRPr="000D7D3D">
        <w:t xml:space="preserve">-old system (Figure 4.6H and L). However, </w:t>
      </w:r>
      <w:r w:rsidR="0079451F">
        <w:t>HAP</w:t>
      </w:r>
      <w:r w:rsidR="0079451F" w:rsidRPr="000D7D3D">
        <w:t xml:space="preserve"> </w:t>
      </w:r>
      <w:r w:rsidRPr="000D7D3D">
        <w:t>granules from colonized areas of the six-month</w:t>
      </w:r>
      <w:r w:rsidR="007020F1">
        <w:t>s</w:t>
      </w:r>
      <w:r w:rsidRPr="000D7D3D">
        <w:t>-old system (Figure 4.6S) appeared less compact, less rounded and textured in comparison to ones f</w:t>
      </w:r>
      <w:r w:rsidR="009F61EA">
        <w:t xml:space="preserve">rom abiotic discs (Figure 4.6C). </w:t>
      </w:r>
      <w:r w:rsidRPr="000D7D3D">
        <w:t xml:space="preserve">P and Ca elemental data revealed profound differences from the </w:t>
      </w:r>
      <w:r w:rsidR="0079451F">
        <w:t>HAP</w:t>
      </w:r>
      <w:r w:rsidR="0079451F" w:rsidRPr="000D7D3D">
        <w:t xml:space="preserve"> </w:t>
      </w:r>
      <w:r w:rsidRPr="000D7D3D">
        <w:t>granules analysed in other conditions. In particular</w:t>
      </w:r>
      <w:r w:rsidR="00FE7C63">
        <w:t>, the atomic percentage of P sh</w:t>
      </w:r>
      <w:r w:rsidR="00DF7264">
        <w:t>ow</w:t>
      </w:r>
      <w:r w:rsidR="00FE7C63">
        <w:t xml:space="preserve">ed a statistically significant decrease </w:t>
      </w:r>
      <w:r w:rsidR="00FE7C63">
        <w:lastRenderedPageBreak/>
        <w:t>compared to that</w:t>
      </w:r>
      <w:r w:rsidRPr="000D7D3D">
        <w:t xml:space="preserve"> measured for the </w:t>
      </w:r>
      <w:r w:rsidR="0079451F">
        <w:t>HAP</w:t>
      </w:r>
      <w:r w:rsidR="0079451F" w:rsidRPr="000D7D3D">
        <w:t xml:space="preserve"> </w:t>
      </w:r>
      <w:r w:rsidRPr="000D7D3D">
        <w:t xml:space="preserve">granules in all the other conditions, while the Ca atomic percentage </w:t>
      </w:r>
      <w:r w:rsidR="00FE7C63">
        <w:t>showed a statistically significant increase</w:t>
      </w:r>
      <w:r w:rsidRPr="000D7D3D">
        <w:t xml:space="preserve"> </w:t>
      </w:r>
      <w:r w:rsidR="009F61EA">
        <w:t>(Figure 4.6T</w:t>
      </w:r>
      <w:r w:rsidRPr="000D7D3D">
        <w:t>).</w:t>
      </w:r>
    </w:p>
    <w:p w14:paraId="32B6E9D4" w14:textId="2E54EFE3" w:rsidR="000D7D3D" w:rsidRPr="000D7D3D" w:rsidRDefault="000D7D3D" w:rsidP="00FB36B8">
      <w:pPr>
        <w:ind w:firstLine="720"/>
      </w:pPr>
      <w:r w:rsidRPr="000D7D3D">
        <w:t xml:space="preserve">With respect to the SEM images taken of the non-colonised surface of the </w:t>
      </w:r>
      <w:r w:rsidR="0079451F">
        <w:t>HAP</w:t>
      </w:r>
      <w:r w:rsidRPr="000D7D3D">
        <w:t>-coated disc of the seven-month</w:t>
      </w:r>
      <w:r w:rsidR="007020F1">
        <w:t>s</w:t>
      </w:r>
      <w:r w:rsidR="009F61EA">
        <w:t>-old system (Figure 4.7E-G</w:t>
      </w:r>
      <w:r w:rsidRPr="000D7D3D">
        <w:t xml:space="preserve">), the morphology of the </w:t>
      </w:r>
      <w:r w:rsidR="0079451F">
        <w:t>HAP</w:t>
      </w:r>
      <w:r w:rsidR="0079451F" w:rsidRPr="000D7D3D">
        <w:t xml:space="preserve"> </w:t>
      </w:r>
      <w:r w:rsidRPr="000D7D3D">
        <w:t xml:space="preserve">granules is similar but not identical to the abiotic ones (Figure 4.7A-C). In particular, the </w:t>
      </w:r>
      <w:r w:rsidR="0079451F">
        <w:t>HAP</w:t>
      </w:r>
      <w:r w:rsidR="0079451F" w:rsidRPr="000D7D3D">
        <w:t xml:space="preserve"> </w:t>
      </w:r>
      <w:r w:rsidRPr="000D7D3D">
        <w:t>granules in Figure 4.7G appeared less compact and</w:t>
      </w:r>
      <w:r w:rsidR="009F61EA">
        <w:t xml:space="preserve"> smaller than the abiotic ones in Figure 4.7C</w:t>
      </w:r>
      <w:r w:rsidRPr="000D7D3D">
        <w:t xml:space="preserve">. </w:t>
      </w:r>
      <w:r w:rsidR="009F61EA">
        <w:t>However, a</w:t>
      </w:r>
      <w:r w:rsidRPr="000D7D3D">
        <w:t xml:space="preserve">ccording to P and Ca elemental composition data, the </w:t>
      </w:r>
      <w:r w:rsidR="0079451F">
        <w:t>HAP</w:t>
      </w:r>
      <w:r w:rsidR="0079451F" w:rsidRPr="000D7D3D">
        <w:t xml:space="preserve"> </w:t>
      </w:r>
      <w:r w:rsidRPr="000D7D3D">
        <w:t xml:space="preserve">granules from the non-colonised area (Figure 4.7H) did not differ from </w:t>
      </w:r>
      <w:r w:rsidR="0079451F">
        <w:t>HAP</w:t>
      </w:r>
      <w:r w:rsidR="0079451F" w:rsidRPr="000D7D3D">
        <w:t xml:space="preserve"> </w:t>
      </w:r>
      <w:r w:rsidRPr="000D7D3D">
        <w:t>granules from the abiotic one (Figure 4.7D).</w:t>
      </w:r>
    </w:p>
    <w:p w14:paraId="2E354821" w14:textId="7FE976B9" w:rsidR="000D7D3D" w:rsidRPr="000D7D3D" w:rsidRDefault="000D7D3D" w:rsidP="007C3C15">
      <w:pPr>
        <w:ind w:firstLine="720"/>
      </w:pPr>
      <w:r w:rsidRPr="000D7D3D">
        <w:t xml:space="preserve">Interestingly, SEM images acquired from the surface of the lightly colonised areas showed varying crystal morphologies, such as </w:t>
      </w:r>
      <w:r w:rsidR="0079451F">
        <w:t>HAP</w:t>
      </w:r>
      <w:r w:rsidR="0079451F" w:rsidRPr="000D7D3D">
        <w:t xml:space="preserve"> </w:t>
      </w:r>
      <w:r w:rsidRPr="000D7D3D">
        <w:t xml:space="preserve">textured crystals (marked with red crosses, Figure 4.7I and J), tabular crystals of 4-6 </w:t>
      </w:r>
      <w:r w:rsidRPr="000D7D3D">
        <w:rPr>
          <w:lang w:val="el-GR"/>
        </w:rPr>
        <w:t>μ</w:t>
      </w:r>
      <w:r w:rsidRPr="000D7D3D">
        <w:t xml:space="preserve">m (marked with yellow crosses, Figure 4.7I, J and N) and smaller tabular crystals of 1-2 </w:t>
      </w:r>
      <w:r w:rsidRPr="000D7D3D">
        <w:rPr>
          <w:lang w:val="el-GR"/>
        </w:rPr>
        <w:t>μ</w:t>
      </w:r>
      <w:r w:rsidRPr="000D7D3D">
        <w:t>m (marke</w:t>
      </w:r>
      <w:r w:rsidR="009F61EA">
        <w:t>d with blue crosses, Figure 4.7J</w:t>
      </w:r>
      <w:r w:rsidRPr="000D7D3D">
        <w:t xml:space="preserve">). Tabular crystals formed along the fungal hyphae represent secondary mineral formation, possibly due to </w:t>
      </w:r>
      <w:r w:rsidR="007020F1">
        <w:t>HAP</w:t>
      </w:r>
      <w:r w:rsidR="0079451F" w:rsidRPr="000D7D3D">
        <w:t xml:space="preserve"> </w:t>
      </w:r>
      <w:r w:rsidRPr="000D7D3D">
        <w:t xml:space="preserve">solubilisation, as those crystals </w:t>
      </w:r>
      <w:r w:rsidR="00EE33AB">
        <w:t>did not detect</w:t>
      </w:r>
      <w:r w:rsidRPr="000D7D3D">
        <w:t xml:space="preserve"> in abiotic </w:t>
      </w:r>
      <w:r w:rsidR="0079451F">
        <w:t>HAP</w:t>
      </w:r>
      <w:r w:rsidRPr="000D7D3D">
        <w:t xml:space="preserve">-coated discs. Elemental composition analysis of the </w:t>
      </w:r>
      <w:r w:rsidR="0079451F">
        <w:t>HAP</w:t>
      </w:r>
      <w:r w:rsidRPr="000D7D3D">
        <w:t xml:space="preserve">-like textured crystals within the lightly colonised area revealed </w:t>
      </w:r>
      <w:r w:rsidR="00B932AF">
        <w:t>a statistically significant decrease in</w:t>
      </w:r>
      <w:r w:rsidRPr="000D7D3D">
        <w:t xml:space="preserve"> P and Ca </w:t>
      </w:r>
      <w:r w:rsidR="00B932AF">
        <w:t xml:space="preserve">content </w:t>
      </w:r>
      <w:r w:rsidR="003A3893">
        <w:t xml:space="preserve">(Figure 4.7U), </w:t>
      </w:r>
      <w:r w:rsidRPr="000D7D3D">
        <w:t xml:space="preserve">compared </w:t>
      </w:r>
      <w:r w:rsidR="003A3893">
        <w:t xml:space="preserve">to that of the </w:t>
      </w:r>
      <w:r w:rsidR="0079451F">
        <w:t>HAP</w:t>
      </w:r>
      <w:r w:rsidRPr="000D7D3D">
        <w:t xml:space="preserve"> nucleates in the abiotic disc (Figure 4.7D). Moreover, C is detected </w:t>
      </w:r>
      <w:r w:rsidRPr="000D7D3D">
        <w:rPr>
          <w:i/>
        </w:rPr>
        <w:t>de novo</w:t>
      </w:r>
      <w:r w:rsidRPr="000D7D3D">
        <w:t xml:space="preserve"> in the </w:t>
      </w:r>
      <w:r w:rsidR="0079451F">
        <w:t>HAP</w:t>
      </w:r>
      <w:r w:rsidRPr="000D7D3D">
        <w:t xml:space="preserve">-like textured crystals from the colonised areas (Figure 4.7U-W), indicating organic presence possibly other than that of the C from the fungal hyphae. </w:t>
      </w:r>
    </w:p>
    <w:p w14:paraId="4D1CD2DC" w14:textId="66DA6008" w:rsidR="000D7D3D" w:rsidRPr="000D7D3D" w:rsidRDefault="000D7D3D" w:rsidP="007C3C15">
      <w:pPr>
        <w:ind w:firstLine="720"/>
      </w:pPr>
      <w:r w:rsidRPr="000D7D3D">
        <w:t xml:space="preserve">SEM images acquired from the surface of the heavily colonised areas detected only crystal formations of tubular shape (yellow and blue crosses), whereas the presence of </w:t>
      </w:r>
      <w:r w:rsidR="0079451F">
        <w:t>HAP</w:t>
      </w:r>
      <w:r w:rsidRPr="000D7D3D">
        <w:t>-like textured crystals could not be detected</w:t>
      </w:r>
      <w:r w:rsidR="00EE33AB">
        <w:t xml:space="preserve"> (Figure 4.7</w:t>
      </w:r>
      <w:r w:rsidR="00095D94">
        <w:t>O-Q, R-T)</w:t>
      </w:r>
      <w:r w:rsidRPr="000D7D3D">
        <w:t xml:space="preserve">. Analysis of elemental composition for the large and small tubular crystals from both lightly and heavily colonized areas (Figure 4.7V and W) revealed a </w:t>
      </w:r>
      <w:r w:rsidR="003A3893">
        <w:t xml:space="preserve">statistically </w:t>
      </w:r>
      <w:r w:rsidRPr="000D7D3D">
        <w:t xml:space="preserve">significant decrease in P content compared to abiotic or non-colonized </w:t>
      </w:r>
      <w:r w:rsidR="0079451F">
        <w:t>HAP</w:t>
      </w:r>
      <w:r w:rsidR="0079451F" w:rsidRPr="000D7D3D">
        <w:t xml:space="preserve"> </w:t>
      </w:r>
      <w:r w:rsidRPr="000D7D3D">
        <w:t xml:space="preserve">crystals (Figure 4.7D and H), but comparable levels to those of colonized </w:t>
      </w:r>
      <w:r w:rsidR="0079451F">
        <w:t>HAP</w:t>
      </w:r>
      <w:r w:rsidRPr="000D7D3D">
        <w:t xml:space="preserve">-like textured crystals (Figure 4.7U). With respect to Ca content, large and small tubular crystals appeared to have less than abiotic or non-colonized </w:t>
      </w:r>
      <w:r w:rsidR="0079451F">
        <w:t>HAP</w:t>
      </w:r>
      <w:r w:rsidRPr="000D7D3D">
        <w:t xml:space="preserve">-like textured crystals, but the difference was not </w:t>
      </w:r>
      <w:r w:rsidR="003A3893">
        <w:t>statistically</w:t>
      </w:r>
      <w:r w:rsidR="003A3893" w:rsidRPr="000D7D3D">
        <w:t xml:space="preserve"> </w:t>
      </w:r>
      <w:r w:rsidRPr="000D7D3D">
        <w:lastRenderedPageBreak/>
        <w:t xml:space="preserve">significant (Figure 4.7V and W). Large and small tubular crystals showed </w:t>
      </w:r>
      <w:r w:rsidR="003A3893">
        <w:t xml:space="preserve">a statistically significant increase in </w:t>
      </w:r>
      <w:r w:rsidRPr="000D7D3D">
        <w:t>C</w:t>
      </w:r>
      <w:r w:rsidR="003A3893">
        <w:t xml:space="preserve"> content</w:t>
      </w:r>
      <w:r w:rsidRPr="000D7D3D">
        <w:t xml:space="preserve"> </w:t>
      </w:r>
      <w:r w:rsidR="003A3893">
        <w:t>compared to that of the</w:t>
      </w:r>
      <w:r w:rsidRPr="000D7D3D">
        <w:t xml:space="preserve"> colonized </w:t>
      </w:r>
      <w:r w:rsidR="0079451F">
        <w:t>HAP</w:t>
      </w:r>
      <w:r w:rsidRPr="000D7D3D">
        <w:t>-like textured crystals (Figure 4.7V and W).</w:t>
      </w:r>
    </w:p>
    <w:p w14:paraId="47B9826F" w14:textId="5CA19D9C" w:rsidR="000D7D3D" w:rsidRPr="000D7D3D" w:rsidRDefault="000D7D3D" w:rsidP="00635993">
      <w:pPr>
        <w:ind w:firstLine="720"/>
        <w:rPr>
          <w:rFonts w:cs="Arial"/>
          <w:szCs w:val="28"/>
        </w:rPr>
      </w:pPr>
      <w:r w:rsidRPr="000D7D3D">
        <w:t xml:space="preserve">Lastly, according to the SEM-EDX data, the morphology and P and Ca elemental composition analysis of the </w:t>
      </w:r>
      <w:r w:rsidR="0079451F">
        <w:t>HAP</w:t>
      </w:r>
      <w:r w:rsidR="0079451F" w:rsidRPr="000D7D3D">
        <w:t xml:space="preserve"> </w:t>
      </w:r>
      <w:r w:rsidRPr="000D7D3D">
        <w:t>nucleates formed on the surface of the abiotic disc, shown in Figure 4.6A-D and 4.7A-D, are similar to those described in Section 4.3.1 (Figure 4.1).</w:t>
      </w:r>
      <w:r w:rsidRPr="000D7D3D">
        <w:br w:type="page"/>
      </w:r>
    </w:p>
    <w:p w14:paraId="32CDC586" w14:textId="77777777" w:rsidR="000D7D3D" w:rsidRPr="000D7D3D" w:rsidRDefault="000D7D3D" w:rsidP="003F7054">
      <w:r w:rsidRPr="000D7D3D">
        <w:rPr>
          <w:noProof/>
          <w:lang w:eastAsia="en-GB"/>
        </w:rPr>
        <w:lastRenderedPageBreak/>
        <w:drawing>
          <wp:inline distT="0" distB="0" distL="0" distR="0" wp14:anchorId="7EDCDBEF" wp14:editId="033B6262">
            <wp:extent cx="6083300" cy="531053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e 4.6_NEW_++.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95752" cy="5321409"/>
                    </a:xfrm>
                    <a:prstGeom prst="rect">
                      <a:avLst/>
                    </a:prstGeom>
                  </pic:spPr>
                </pic:pic>
              </a:graphicData>
            </a:graphic>
          </wp:inline>
        </w:drawing>
      </w:r>
    </w:p>
    <w:p w14:paraId="1B1F806C" w14:textId="77777777" w:rsidR="000D7D3D" w:rsidRPr="000D7D3D" w:rsidRDefault="000D7D3D" w:rsidP="007F746A">
      <w:r w:rsidRPr="000D7D3D">
        <w:br w:type="page"/>
      </w:r>
    </w:p>
    <w:p w14:paraId="7BC760EB" w14:textId="77777777" w:rsidR="00634533" w:rsidRDefault="000D7D3D" w:rsidP="00635993">
      <w:pPr>
        <w:pStyle w:val="Subtitle"/>
        <w:pBdr>
          <w:top w:val="single" w:sz="4" w:space="1" w:color="auto"/>
        </w:pBdr>
        <w:rPr>
          <w:b w:val="0"/>
        </w:rPr>
      </w:pPr>
      <w:r w:rsidRPr="000D7D3D">
        <w:lastRenderedPageBreak/>
        <w:t xml:space="preserve">Figure 4.6 </w:t>
      </w:r>
      <w:r w:rsidRPr="00635993">
        <w:rPr>
          <w:b w:val="0"/>
        </w:rPr>
        <w:t xml:space="preserve">SEM images on the surface of </w:t>
      </w:r>
      <w:r w:rsidR="0079451F" w:rsidRPr="00635993">
        <w:rPr>
          <w:b w:val="0"/>
        </w:rPr>
        <w:t>HAP</w:t>
      </w:r>
      <w:r w:rsidRPr="00635993">
        <w:rPr>
          <w:b w:val="0"/>
        </w:rPr>
        <w:t xml:space="preserve">-coated polystyrene discs after colonisation by hyphae of </w:t>
      </w:r>
      <w:r w:rsidRPr="00635993">
        <w:rPr>
          <w:b w:val="0"/>
          <w:i/>
        </w:rPr>
        <w:t>P. involutus</w:t>
      </w:r>
      <w:r w:rsidRPr="00635993">
        <w:rPr>
          <w:b w:val="0"/>
        </w:rPr>
        <w:t xml:space="preserve">, together with P and Ca elemental composition, shown as atomic percentage, per site of imaging. </w:t>
      </w:r>
      <w:r w:rsidRPr="00B46FB7">
        <w:t>A-C.</w:t>
      </w:r>
      <w:r w:rsidRPr="00635993">
        <w:rPr>
          <w:b w:val="0"/>
        </w:rPr>
        <w:t xml:space="preserve"> SEM images of abiotic HAP</w:t>
      </w:r>
      <w:r w:rsidR="0079451F" w:rsidRPr="00635993">
        <w:rPr>
          <w:b w:val="0"/>
        </w:rPr>
        <w:t>-</w:t>
      </w:r>
      <w:r w:rsidRPr="00635993">
        <w:rPr>
          <w:b w:val="0"/>
        </w:rPr>
        <w:t xml:space="preserve">coated polystyrene disc. </w:t>
      </w:r>
      <w:r w:rsidRPr="00B46FB7">
        <w:t>D.</w:t>
      </w:r>
      <w:r w:rsidRPr="00635993">
        <w:rPr>
          <w:b w:val="0"/>
        </w:rPr>
        <w:t xml:space="preserve"> P and Ca elemental composition for abiotic HAP</w:t>
      </w:r>
      <w:r w:rsidR="0079451F" w:rsidRPr="00635993">
        <w:rPr>
          <w:b w:val="0"/>
        </w:rPr>
        <w:t>-</w:t>
      </w:r>
      <w:r w:rsidRPr="00635993">
        <w:rPr>
          <w:b w:val="0"/>
        </w:rPr>
        <w:t xml:space="preserve">coated polystyrene disc. </w:t>
      </w:r>
      <w:r w:rsidRPr="00B46FB7">
        <w:t>E-</w:t>
      </w:r>
      <w:r w:rsidR="003321DE">
        <w:t>G, I-</w:t>
      </w:r>
      <w:r w:rsidRPr="00B46FB7">
        <w:t>K.</w:t>
      </w:r>
      <w:r w:rsidRPr="00635993">
        <w:rPr>
          <w:b w:val="0"/>
        </w:rPr>
        <w:t xml:space="preserve"> SEM images of </w:t>
      </w:r>
      <w:r w:rsidR="0079451F" w:rsidRPr="00635993">
        <w:rPr>
          <w:b w:val="0"/>
        </w:rPr>
        <w:t>HAP</w:t>
      </w:r>
      <w:r w:rsidRPr="00635993">
        <w:rPr>
          <w:b w:val="0"/>
        </w:rPr>
        <w:t>-coated polystyrene disc from two-month</w:t>
      </w:r>
      <w:r w:rsidR="004E3618">
        <w:rPr>
          <w:b w:val="0"/>
        </w:rPr>
        <w:t>s</w:t>
      </w:r>
      <w:r w:rsidRPr="00635993">
        <w:rPr>
          <w:b w:val="0"/>
        </w:rPr>
        <w:t xml:space="preserve">-old </w:t>
      </w:r>
      <w:r w:rsidR="0079451F" w:rsidRPr="00635993">
        <w:rPr>
          <w:b w:val="0"/>
        </w:rPr>
        <w:t xml:space="preserve">HAP </w:t>
      </w:r>
      <w:r w:rsidRPr="00635993">
        <w:rPr>
          <w:b w:val="0"/>
        </w:rPr>
        <w:t xml:space="preserve">solubilisation system colonised by </w:t>
      </w:r>
      <w:r w:rsidRPr="00635993">
        <w:rPr>
          <w:b w:val="0"/>
          <w:i/>
        </w:rPr>
        <w:t>P. involutus DJR1</w:t>
      </w:r>
      <w:r w:rsidRPr="00635993">
        <w:rPr>
          <w:b w:val="0"/>
        </w:rPr>
        <w:t xml:space="preserve"> hypha</w:t>
      </w:r>
      <w:r w:rsidR="000E3A3F">
        <w:rPr>
          <w:b w:val="0"/>
        </w:rPr>
        <w:t>e</w:t>
      </w:r>
      <w:r w:rsidRPr="00635993">
        <w:rPr>
          <w:b w:val="0"/>
        </w:rPr>
        <w:t xml:space="preserve">. </w:t>
      </w:r>
      <w:r w:rsidRPr="00B46FB7">
        <w:t>E-G.</w:t>
      </w:r>
      <w:r w:rsidRPr="00635993">
        <w:rPr>
          <w:b w:val="0"/>
        </w:rPr>
        <w:t xml:space="preserve"> SEM images of areas of </w:t>
      </w:r>
      <w:r w:rsidR="0079451F" w:rsidRPr="00635993">
        <w:rPr>
          <w:b w:val="0"/>
        </w:rPr>
        <w:t>HAP</w:t>
      </w:r>
      <w:r w:rsidRPr="00635993">
        <w:rPr>
          <w:b w:val="0"/>
        </w:rPr>
        <w:t>-coated polystyrene disc where no hypha</w:t>
      </w:r>
      <w:r w:rsidR="000E3A3F">
        <w:rPr>
          <w:b w:val="0"/>
        </w:rPr>
        <w:t>l</w:t>
      </w:r>
      <w:r w:rsidRPr="00635993">
        <w:rPr>
          <w:b w:val="0"/>
        </w:rPr>
        <w:t xml:space="preserve"> colonisation was observed</w:t>
      </w:r>
      <w:r w:rsidR="00331243" w:rsidRPr="00635993">
        <w:rPr>
          <w:b w:val="0"/>
        </w:rPr>
        <w:t>.</w:t>
      </w:r>
      <w:r w:rsidRPr="00635993">
        <w:rPr>
          <w:b w:val="0"/>
        </w:rPr>
        <w:t xml:space="preserve"> </w:t>
      </w:r>
      <w:r w:rsidRPr="00B46FB7">
        <w:t>H.</w:t>
      </w:r>
      <w:r w:rsidRPr="00635993">
        <w:rPr>
          <w:b w:val="0"/>
        </w:rPr>
        <w:t xml:space="preserve"> P and Ca elemental composition of E-G. </w:t>
      </w:r>
      <w:r w:rsidRPr="00B46FB7">
        <w:t>I-K.</w:t>
      </w:r>
      <w:r w:rsidRPr="00635993">
        <w:rPr>
          <w:b w:val="0"/>
        </w:rPr>
        <w:t xml:space="preserve"> SEM images of areas of </w:t>
      </w:r>
      <w:r w:rsidR="0079451F" w:rsidRPr="00635993">
        <w:rPr>
          <w:b w:val="0"/>
        </w:rPr>
        <w:t>HAP</w:t>
      </w:r>
      <w:r w:rsidRPr="00635993">
        <w:rPr>
          <w:b w:val="0"/>
        </w:rPr>
        <w:t xml:space="preserve">-coated polystyrene disc which were colonised by fungal hyphae. </w:t>
      </w:r>
      <w:r w:rsidRPr="00B46FB7">
        <w:t>L.</w:t>
      </w:r>
      <w:r w:rsidRPr="00635993">
        <w:rPr>
          <w:b w:val="0"/>
        </w:rPr>
        <w:t xml:space="preserve"> P and Ca elemental composition of I-K. </w:t>
      </w:r>
      <w:r w:rsidRPr="00B46FB7">
        <w:t>M-</w:t>
      </w:r>
      <w:r w:rsidR="003321DE">
        <w:t>O, Q-</w:t>
      </w:r>
      <w:r w:rsidRPr="00B46FB7">
        <w:t>S.</w:t>
      </w:r>
      <w:r w:rsidRPr="00635993">
        <w:rPr>
          <w:b w:val="0"/>
        </w:rPr>
        <w:t xml:space="preserve"> SEM images of </w:t>
      </w:r>
      <w:r w:rsidR="0079451F" w:rsidRPr="00635993">
        <w:rPr>
          <w:b w:val="0"/>
        </w:rPr>
        <w:t>HAP</w:t>
      </w:r>
      <w:r w:rsidRPr="00635993">
        <w:rPr>
          <w:b w:val="0"/>
        </w:rPr>
        <w:t>-coated polystyrene disc from a six-month</w:t>
      </w:r>
      <w:r w:rsidR="004E3618">
        <w:rPr>
          <w:b w:val="0"/>
        </w:rPr>
        <w:t>s</w:t>
      </w:r>
      <w:r w:rsidRPr="00635993">
        <w:rPr>
          <w:b w:val="0"/>
        </w:rPr>
        <w:t xml:space="preserve">-old </w:t>
      </w:r>
      <w:r w:rsidR="0079451F" w:rsidRPr="00635993">
        <w:rPr>
          <w:b w:val="0"/>
        </w:rPr>
        <w:t xml:space="preserve">HAP </w:t>
      </w:r>
      <w:r w:rsidRPr="00635993">
        <w:rPr>
          <w:b w:val="0"/>
        </w:rPr>
        <w:t xml:space="preserve">solubilisation system colonised by </w:t>
      </w:r>
      <w:r w:rsidRPr="00635993">
        <w:rPr>
          <w:b w:val="0"/>
          <w:i/>
        </w:rPr>
        <w:t>P. involutus ATCC 200175</w:t>
      </w:r>
      <w:r w:rsidRPr="00635993">
        <w:rPr>
          <w:b w:val="0"/>
        </w:rPr>
        <w:t xml:space="preserve"> hypha</w:t>
      </w:r>
      <w:r w:rsidR="000E3A3F">
        <w:rPr>
          <w:b w:val="0"/>
        </w:rPr>
        <w:t>e</w:t>
      </w:r>
      <w:r w:rsidRPr="00635993">
        <w:rPr>
          <w:b w:val="0"/>
        </w:rPr>
        <w:t xml:space="preserve">. </w:t>
      </w:r>
      <w:r w:rsidRPr="00B46FB7">
        <w:t>M-O.</w:t>
      </w:r>
      <w:r w:rsidRPr="00635993">
        <w:rPr>
          <w:b w:val="0"/>
        </w:rPr>
        <w:t xml:space="preserve"> SEM images of areas of a </w:t>
      </w:r>
      <w:r w:rsidR="0079451F" w:rsidRPr="00635993">
        <w:rPr>
          <w:b w:val="0"/>
        </w:rPr>
        <w:t>HAP</w:t>
      </w:r>
      <w:r w:rsidRPr="00635993">
        <w:rPr>
          <w:b w:val="0"/>
        </w:rPr>
        <w:t>-coated polystyrene disc where no hypha</w:t>
      </w:r>
      <w:r w:rsidR="000E3A3F">
        <w:rPr>
          <w:b w:val="0"/>
        </w:rPr>
        <w:t>l</w:t>
      </w:r>
      <w:r w:rsidRPr="00635993">
        <w:rPr>
          <w:b w:val="0"/>
        </w:rPr>
        <w:t xml:space="preserve"> colonisation was observed. </w:t>
      </w:r>
      <w:r w:rsidRPr="00B46FB7">
        <w:t>P.</w:t>
      </w:r>
      <w:r w:rsidRPr="00635993">
        <w:rPr>
          <w:b w:val="0"/>
        </w:rPr>
        <w:t xml:space="preserve"> P and Ca elemental composition of M-O. </w:t>
      </w:r>
      <w:r w:rsidRPr="00B46FB7">
        <w:t>Q-S.</w:t>
      </w:r>
      <w:r w:rsidRPr="00635993">
        <w:rPr>
          <w:b w:val="0"/>
        </w:rPr>
        <w:t xml:space="preserve"> SEM images of areas of a </w:t>
      </w:r>
      <w:r w:rsidR="0079451F" w:rsidRPr="00635993">
        <w:rPr>
          <w:b w:val="0"/>
        </w:rPr>
        <w:t>HAP</w:t>
      </w:r>
      <w:r w:rsidRPr="00635993">
        <w:rPr>
          <w:b w:val="0"/>
        </w:rPr>
        <w:t xml:space="preserve">-coated polystyrene disc which were colonised by fungal hyphae. </w:t>
      </w:r>
      <w:r w:rsidRPr="00B46FB7">
        <w:t>T.</w:t>
      </w:r>
      <w:r w:rsidRPr="00635993">
        <w:rPr>
          <w:b w:val="0"/>
        </w:rPr>
        <w:t xml:space="preserve"> P and Ca elemental composition of Q-S. Red crosses represent the location where EDX measurements were taken. Scale bars 100 </w:t>
      </w:r>
      <w:r w:rsidRPr="00635993">
        <w:rPr>
          <w:b w:val="0"/>
          <w:lang w:val="el-GR"/>
        </w:rPr>
        <w:t>μ</w:t>
      </w:r>
      <w:r w:rsidRPr="00635993">
        <w:rPr>
          <w:b w:val="0"/>
        </w:rPr>
        <w:t xml:space="preserve">m in M, 10 </w:t>
      </w:r>
      <w:r w:rsidRPr="00635993">
        <w:rPr>
          <w:b w:val="0"/>
          <w:lang w:val="el-GR"/>
        </w:rPr>
        <w:t>μ</w:t>
      </w:r>
      <w:r w:rsidRPr="00635993">
        <w:rPr>
          <w:b w:val="0"/>
        </w:rPr>
        <w:t xml:space="preserve">m in A, B, E, F, I, N, Q &amp; R, 3 </w:t>
      </w:r>
      <w:r w:rsidRPr="00635993">
        <w:rPr>
          <w:b w:val="0"/>
          <w:lang w:val="el-GR"/>
        </w:rPr>
        <w:t>μ</w:t>
      </w:r>
      <w:r w:rsidRPr="00635993">
        <w:rPr>
          <w:b w:val="0"/>
        </w:rPr>
        <w:t xml:space="preserve">m in J &amp; K and 1 </w:t>
      </w:r>
      <w:r w:rsidRPr="00635993">
        <w:rPr>
          <w:b w:val="0"/>
          <w:lang w:val="el-GR"/>
        </w:rPr>
        <w:t>μ</w:t>
      </w:r>
      <w:r w:rsidRPr="00635993">
        <w:rPr>
          <w:b w:val="0"/>
        </w:rPr>
        <w:t>m in C, G, O and S. S</w:t>
      </w:r>
      <w:r w:rsidR="003A3893">
        <w:rPr>
          <w:b w:val="0"/>
        </w:rPr>
        <w:t>tatistically s</w:t>
      </w:r>
      <w:r w:rsidRPr="00635993">
        <w:rPr>
          <w:b w:val="0"/>
        </w:rPr>
        <w:t xml:space="preserve">ignificant differences in atomic percentages of P and Ca per site of EDX measurement were assessed by one-way ANOVA, followed by Tukey’s post-hoc analysis for multiple comparisons (letters, </w:t>
      </w:r>
      <w:r w:rsidR="004E3618" w:rsidRPr="004E3618">
        <w:rPr>
          <w:b w:val="0"/>
          <w:i/>
        </w:rPr>
        <w:t>α=</w:t>
      </w:r>
      <w:r w:rsidR="004E3618" w:rsidRPr="004E3618">
        <w:rPr>
          <w:b w:val="0"/>
        </w:rPr>
        <w:t>0.05</w:t>
      </w:r>
      <w:r w:rsidRPr="00635993">
        <w:rPr>
          <w:b w:val="0"/>
        </w:rPr>
        <w:t>).</w:t>
      </w:r>
    </w:p>
    <w:p w14:paraId="4B3CD3FD" w14:textId="2ADE19AC" w:rsidR="000D7D3D" w:rsidRPr="00635993" w:rsidRDefault="000D7D3D" w:rsidP="00635993">
      <w:pPr>
        <w:pStyle w:val="Subtitle"/>
        <w:pBdr>
          <w:top w:val="single" w:sz="4" w:space="1" w:color="auto"/>
        </w:pBdr>
        <w:rPr>
          <w:b w:val="0"/>
        </w:rPr>
      </w:pPr>
      <w:r w:rsidRPr="00635993">
        <w:rPr>
          <w:b w:val="0"/>
        </w:rPr>
        <w:br w:type="page"/>
      </w:r>
    </w:p>
    <w:p w14:paraId="779D63A1" w14:textId="77777777" w:rsidR="000D7D3D" w:rsidRPr="000D7D3D" w:rsidRDefault="000D7D3D" w:rsidP="003F7054">
      <w:r w:rsidRPr="000D7D3D">
        <w:rPr>
          <w:noProof/>
          <w:lang w:eastAsia="en-GB"/>
        </w:rPr>
        <w:lastRenderedPageBreak/>
        <w:drawing>
          <wp:inline distT="0" distB="0" distL="0" distR="0" wp14:anchorId="47FDE8D7" wp14:editId="1A0AF176">
            <wp:extent cx="6004298" cy="64071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ure 4.7_NEW+++.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006858" cy="6409882"/>
                    </a:xfrm>
                    <a:prstGeom prst="rect">
                      <a:avLst/>
                    </a:prstGeom>
                  </pic:spPr>
                </pic:pic>
              </a:graphicData>
            </a:graphic>
          </wp:inline>
        </w:drawing>
      </w:r>
    </w:p>
    <w:p w14:paraId="6C0405B5" w14:textId="77777777" w:rsidR="000D7D3D" w:rsidRPr="000D7D3D" w:rsidRDefault="000D7D3D" w:rsidP="007F746A">
      <w:r w:rsidRPr="000D7D3D">
        <w:br w:type="page"/>
      </w:r>
    </w:p>
    <w:p w14:paraId="258BB088" w14:textId="77777777" w:rsidR="00634533" w:rsidRDefault="000D7D3D" w:rsidP="00635993">
      <w:pPr>
        <w:pStyle w:val="Subtitle"/>
        <w:pBdr>
          <w:top w:val="single" w:sz="4" w:space="1" w:color="auto"/>
        </w:pBdr>
        <w:rPr>
          <w:b w:val="0"/>
        </w:rPr>
      </w:pPr>
      <w:r w:rsidRPr="000D7D3D">
        <w:lastRenderedPageBreak/>
        <w:t xml:space="preserve">Figure 4.7 </w:t>
      </w:r>
      <w:r w:rsidRPr="00635993">
        <w:rPr>
          <w:b w:val="0"/>
        </w:rPr>
        <w:t xml:space="preserve">SEM images on the surface of </w:t>
      </w:r>
      <w:r w:rsidR="00C11959" w:rsidRPr="00635993">
        <w:rPr>
          <w:b w:val="0"/>
        </w:rPr>
        <w:t>HAP</w:t>
      </w:r>
      <w:r w:rsidRPr="00635993">
        <w:rPr>
          <w:b w:val="0"/>
        </w:rPr>
        <w:t xml:space="preserve">-coated polystyrene discs after colonisation by the hyphae of </w:t>
      </w:r>
      <w:r w:rsidRPr="00635993">
        <w:rPr>
          <w:b w:val="0"/>
          <w:i/>
        </w:rPr>
        <w:t xml:space="preserve">P. involutus DJR1 </w:t>
      </w:r>
      <w:r w:rsidRPr="00635993">
        <w:rPr>
          <w:b w:val="0"/>
        </w:rPr>
        <w:t xml:space="preserve">for seven months, together with C, P and Ca elemental composition, shown as atomic percentage, per site of imaging. </w:t>
      </w:r>
      <w:r w:rsidRPr="00B46FB7">
        <w:t>A-C.</w:t>
      </w:r>
      <w:r w:rsidRPr="00635993">
        <w:rPr>
          <w:b w:val="0"/>
        </w:rPr>
        <w:t xml:space="preserve"> SEM images of abiotic HAP</w:t>
      </w:r>
      <w:r w:rsidR="00C11959" w:rsidRPr="00635993">
        <w:rPr>
          <w:b w:val="0"/>
        </w:rPr>
        <w:t>-</w:t>
      </w:r>
      <w:r w:rsidRPr="00635993">
        <w:rPr>
          <w:b w:val="0"/>
        </w:rPr>
        <w:t xml:space="preserve">coated polystyrene disc. </w:t>
      </w:r>
      <w:r w:rsidRPr="00B46FB7">
        <w:t>D.</w:t>
      </w:r>
      <w:r w:rsidRPr="00635993">
        <w:rPr>
          <w:b w:val="0"/>
        </w:rPr>
        <w:t xml:space="preserve"> P and Ca elemental composition for abiotic HAP</w:t>
      </w:r>
      <w:r w:rsidR="00C11959" w:rsidRPr="00635993">
        <w:rPr>
          <w:b w:val="0"/>
        </w:rPr>
        <w:t>-</w:t>
      </w:r>
      <w:r w:rsidRPr="00635993">
        <w:rPr>
          <w:b w:val="0"/>
        </w:rPr>
        <w:t xml:space="preserve">coated polystyrene disc. </w:t>
      </w:r>
      <w:r w:rsidRPr="00B46FB7">
        <w:t>E-</w:t>
      </w:r>
      <w:r w:rsidR="007A5B5B">
        <w:t>G, I-</w:t>
      </w:r>
      <w:r w:rsidRPr="00B46FB7">
        <w:t>T.</w:t>
      </w:r>
      <w:r w:rsidRPr="00635993">
        <w:rPr>
          <w:b w:val="0"/>
        </w:rPr>
        <w:t xml:space="preserve"> SEM images of a </w:t>
      </w:r>
      <w:r w:rsidR="00C11959" w:rsidRPr="00635993">
        <w:rPr>
          <w:b w:val="0"/>
        </w:rPr>
        <w:t>HAP</w:t>
      </w:r>
      <w:r w:rsidRPr="00635993">
        <w:rPr>
          <w:b w:val="0"/>
        </w:rPr>
        <w:t>-coated polystyrene disc from a seven-month</w:t>
      </w:r>
      <w:r w:rsidR="004E3618">
        <w:rPr>
          <w:b w:val="0"/>
        </w:rPr>
        <w:t>s</w:t>
      </w:r>
      <w:r w:rsidRPr="00635993">
        <w:rPr>
          <w:b w:val="0"/>
        </w:rPr>
        <w:t xml:space="preserve">-old </w:t>
      </w:r>
      <w:r w:rsidR="00C11959" w:rsidRPr="00635993">
        <w:rPr>
          <w:b w:val="0"/>
        </w:rPr>
        <w:t xml:space="preserve">HAP </w:t>
      </w:r>
      <w:r w:rsidRPr="00635993">
        <w:rPr>
          <w:b w:val="0"/>
        </w:rPr>
        <w:t xml:space="preserve">solubilisation system colonised by </w:t>
      </w:r>
      <w:r w:rsidRPr="00635993">
        <w:rPr>
          <w:b w:val="0"/>
          <w:i/>
        </w:rPr>
        <w:t>P. involutus DJR1</w:t>
      </w:r>
      <w:r w:rsidRPr="00635993">
        <w:rPr>
          <w:b w:val="0"/>
        </w:rPr>
        <w:t xml:space="preserve"> hyphae. </w:t>
      </w:r>
      <w:r w:rsidRPr="00B46FB7">
        <w:t>E-G.</w:t>
      </w:r>
      <w:r w:rsidRPr="00635993">
        <w:rPr>
          <w:b w:val="0"/>
        </w:rPr>
        <w:t xml:space="preserve"> SEM images of areas of </w:t>
      </w:r>
      <w:r w:rsidR="00C11959" w:rsidRPr="00635993">
        <w:rPr>
          <w:b w:val="0"/>
        </w:rPr>
        <w:t>HAP</w:t>
      </w:r>
      <w:r w:rsidRPr="00635993">
        <w:rPr>
          <w:b w:val="0"/>
        </w:rPr>
        <w:t>-coated polystyrene disc where no hyphal colonisation was observed</w:t>
      </w:r>
      <w:r w:rsidR="00C11959" w:rsidRPr="00635993">
        <w:rPr>
          <w:b w:val="0"/>
        </w:rPr>
        <w:t>.</w:t>
      </w:r>
      <w:r w:rsidRPr="00635993">
        <w:rPr>
          <w:b w:val="0"/>
        </w:rPr>
        <w:t xml:space="preserve"> </w:t>
      </w:r>
      <w:r w:rsidRPr="00B46FB7">
        <w:t>H.</w:t>
      </w:r>
      <w:r w:rsidRPr="00635993">
        <w:rPr>
          <w:b w:val="0"/>
        </w:rPr>
        <w:t xml:space="preserve"> P and Ca elemental composition of E-G. </w:t>
      </w:r>
      <w:r w:rsidRPr="00B46FB7">
        <w:t>I-N.</w:t>
      </w:r>
      <w:r w:rsidRPr="00635993">
        <w:rPr>
          <w:b w:val="0"/>
        </w:rPr>
        <w:t xml:space="preserve"> SEM images of areas of </w:t>
      </w:r>
      <w:r w:rsidR="00C11959" w:rsidRPr="00635993">
        <w:rPr>
          <w:b w:val="0"/>
        </w:rPr>
        <w:t>HAP</w:t>
      </w:r>
      <w:r w:rsidRPr="00635993">
        <w:rPr>
          <w:b w:val="0"/>
        </w:rPr>
        <w:t xml:space="preserve">-coated polystyrene disc which had shown light colonisation by the fungal hyphae. </w:t>
      </w:r>
      <w:r w:rsidRPr="00B46FB7">
        <w:t>O-T.</w:t>
      </w:r>
      <w:r w:rsidRPr="00635993">
        <w:rPr>
          <w:b w:val="0"/>
        </w:rPr>
        <w:t xml:space="preserve"> SEM images of </w:t>
      </w:r>
      <w:r w:rsidR="00C11959" w:rsidRPr="00635993">
        <w:rPr>
          <w:b w:val="0"/>
        </w:rPr>
        <w:t>HAP</w:t>
      </w:r>
      <w:r w:rsidRPr="00635993">
        <w:rPr>
          <w:b w:val="0"/>
        </w:rPr>
        <w:t xml:space="preserve">-coated polystyrene disc which had shown dense colonisation by the fungal hyphae. </w:t>
      </w:r>
      <w:r w:rsidRPr="00B46FB7">
        <w:t>U, V &amp; W.</w:t>
      </w:r>
      <w:r w:rsidRPr="00635993">
        <w:rPr>
          <w:b w:val="0"/>
        </w:rPr>
        <w:t xml:space="preserve"> C, P and Ca elemental composition from three different types of crystal formations within the hyphal colonised areas in I-T. Red crosses represent EDX measurements taken from textured crystals, similar to </w:t>
      </w:r>
      <w:r w:rsidR="00C11959" w:rsidRPr="00635993">
        <w:rPr>
          <w:b w:val="0"/>
        </w:rPr>
        <w:t xml:space="preserve">HAP </w:t>
      </w:r>
      <w:r w:rsidR="007A5B5B">
        <w:rPr>
          <w:b w:val="0"/>
        </w:rPr>
        <w:t>ones in A-C, E-G</w:t>
      </w:r>
      <w:r w:rsidRPr="00635993">
        <w:rPr>
          <w:b w:val="0"/>
        </w:rPr>
        <w:t xml:space="preserve">. Yellow and blue crosses represent EDX measurements taken from large and small tabular crystals respectively. Scale bars 10 </w:t>
      </w:r>
      <w:r w:rsidRPr="00635993">
        <w:rPr>
          <w:b w:val="0"/>
          <w:lang w:val="el-GR"/>
        </w:rPr>
        <w:t>μ</w:t>
      </w:r>
      <w:r w:rsidRPr="00635993">
        <w:rPr>
          <w:b w:val="0"/>
        </w:rPr>
        <w:t xml:space="preserve">m in A, B, E, F, I, O &amp; P and 1 </w:t>
      </w:r>
      <w:r w:rsidRPr="00635993">
        <w:rPr>
          <w:b w:val="0"/>
          <w:lang w:val="el-GR"/>
        </w:rPr>
        <w:t>μ</w:t>
      </w:r>
      <w:r w:rsidRPr="00635993">
        <w:rPr>
          <w:b w:val="0"/>
        </w:rPr>
        <w:t>m in C, G, J, K, L, M, N, Q, R, S and T. S</w:t>
      </w:r>
      <w:r w:rsidR="003A3893">
        <w:rPr>
          <w:b w:val="0"/>
        </w:rPr>
        <w:t>tatistically s</w:t>
      </w:r>
      <w:r w:rsidRPr="00635993">
        <w:rPr>
          <w:b w:val="0"/>
        </w:rPr>
        <w:t xml:space="preserve">ignificant differences in atomic percentages of C, P and Ca per site of EDX measurement were assessed by one-way ANOVA, followed by Tukey’s post-hoc analysis for multiple comparisons (letters, </w:t>
      </w:r>
      <w:r w:rsidR="004E3618" w:rsidRPr="004E3618">
        <w:rPr>
          <w:b w:val="0"/>
          <w:i/>
        </w:rPr>
        <w:t>α=</w:t>
      </w:r>
      <w:r w:rsidRPr="00635993">
        <w:rPr>
          <w:b w:val="0"/>
        </w:rPr>
        <w:t>0.05).</w:t>
      </w:r>
    </w:p>
    <w:p w14:paraId="6A976E08" w14:textId="7B000B19" w:rsidR="000D7D3D" w:rsidRPr="000D7D3D" w:rsidRDefault="000D7D3D" w:rsidP="00635993">
      <w:pPr>
        <w:pStyle w:val="Subtitle"/>
        <w:pBdr>
          <w:top w:val="single" w:sz="4" w:space="1" w:color="auto"/>
        </w:pBdr>
      </w:pPr>
      <w:r w:rsidRPr="000D7D3D">
        <w:br w:type="page"/>
      </w:r>
    </w:p>
    <w:p w14:paraId="4E65133B" w14:textId="64FCEAAB" w:rsidR="000D7D3D" w:rsidRPr="000D7D3D" w:rsidRDefault="000D7D3D" w:rsidP="00635993">
      <w:pPr>
        <w:pStyle w:val="Heading2"/>
      </w:pPr>
      <w:bookmarkStart w:id="362" w:name="_Toc507604043"/>
      <w:bookmarkStart w:id="363" w:name="_Toc507604310"/>
      <w:bookmarkStart w:id="364" w:name="_Toc519017020"/>
      <w:bookmarkStart w:id="365" w:name="_Toc520837925"/>
      <w:r w:rsidRPr="000D7D3D">
        <w:lastRenderedPageBreak/>
        <w:t xml:space="preserve">4.3.5 Gene expression responses of </w:t>
      </w:r>
      <w:r w:rsidRPr="000D7D3D">
        <w:rPr>
          <w:i/>
        </w:rPr>
        <w:t>P. involutus</w:t>
      </w:r>
      <w:r w:rsidRPr="000D7D3D">
        <w:t xml:space="preserve"> candidate weathering genes to </w:t>
      </w:r>
      <w:r w:rsidR="006769B0">
        <w:t>HAP</w:t>
      </w:r>
      <w:r w:rsidR="006769B0" w:rsidRPr="000D7D3D">
        <w:t xml:space="preserve"> </w:t>
      </w:r>
      <w:r w:rsidRPr="000D7D3D">
        <w:t>solubilisation with qRT-PCR</w:t>
      </w:r>
      <w:bookmarkEnd w:id="362"/>
      <w:bookmarkEnd w:id="363"/>
      <w:bookmarkEnd w:id="364"/>
      <w:bookmarkEnd w:id="365"/>
      <w:r w:rsidRPr="000D7D3D">
        <w:t xml:space="preserve"> </w:t>
      </w:r>
    </w:p>
    <w:p w14:paraId="169F8E9C" w14:textId="2EF03E26" w:rsidR="000D7D3D" w:rsidRPr="000D7D3D" w:rsidRDefault="000D7D3D" w:rsidP="003F7054">
      <w:r w:rsidRPr="000D7D3D">
        <w:t>Gene expression analysis was carried out in order to study the response of the putative H</w:t>
      </w:r>
      <w:r w:rsidRPr="000D7D3D">
        <w:rPr>
          <w:vertAlign w:val="superscript"/>
        </w:rPr>
        <w:t>+</w:t>
      </w:r>
      <w:r w:rsidR="001E408F">
        <w:t>-ATPase</w:t>
      </w:r>
      <w:r w:rsidRPr="000D7D3D">
        <w:t xml:space="preserve"> </w:t>
      </w:r>
      <w:r w:rsidRPr="000D7D3D">
        <w:rPr>
          <w:i/>
        </w:rPr>
        <w:t>PiPMA</w:t>
      </w:r>
      <w:r w:rsidRPr="000D7D3D">
        <w:t xml:space="preserve">, the putative citric acid efflux transporter </w:t>
      </w:r>
      <w:r w:rsidRPr="000D7D3D">
        <w:rPr>
          <w:i/>
        </w:rPr>
        <w:t>PiBEST</w:t>
      </w:r>
      <w:r w:rsidRPr="000D7D3D">
        <w:t xml:space="preserve"> and the putative oxalic acid transporter </w:t>
      </w:r>
      <w:r w:rsidRPr="000D7D3D">
        <w:rPr>
          <w:i/>
        </w:rPr>
        <w:t>PiOAR</w:t>
      </w:r>
      <w:r w:rsidRPr="000D7D3D">
        <w:t xml:space="preserve"> with respect to the solubilisation of </w:t>
      </w:r>
      <w:r w:rsidR="006769B0">
        <w:t>HAP</w:t>
      </w:r>
      <w:r w:rsidRPr="000D7D3D">
        <w:t xml:space="preserve">. For all three genes, however, no </w:t>
      </w:r>
      <w:r w:rsidR="003A3893">
        <w:t xml:space="preserve">statistically </w:t>
      </w:r>
      <w:r w:rsidRPr="000D7D3D">
        <w:t>significant differences in expression were found in two- or seven-month</w:t>
      </w:r>
      <w:r w:rsidR="00B54786">
        <w:t>s</w:t>
      </w:r>
      <w:r w:rsidRPr="000D7D3D">
        <w:t xml:space="preserve">-old weathering systems, in the presence or absence of </w:t>
      </w:r>
      <w:r w:rsidR="006769B0">
        <w:t>HAP</w:t>
      </w:r>
      <w:r w:rsidR="006769B0" w:rsidRPr="000D7D3D">
        <w:t xml:space="preserve"> </w:t>
      </w:r>
      <w:r w:rsidRPr="000D7D3D">
        <w:t>(Figure 4.8A-C).</w:t>
      </w:r>
    </w:p>
    <w:p w14:paraId="554D6DF0" w14:textId="7969EA1A" w:rsidR="000D7D3D" w:rsidRPr="000D7D3D" w:rsidRDefault="000D7D3D" w:rsidP="00EB1740">
      <w:pPr>
        <w:ind w:firstLine="720"/>
      </w:pPr>
      <w:r w:rsidRPr="000D7D3D">
        <w:t xml:space="preserve">Gene </w:t>
      </w:r>
      <w:r w:rsidR="00A470A8">
        <w:t>expression analysis of the high-</w:t>
      </w:r>
      <w:r w:rsidRPr="000D7D3D">
        <w:t xml:space="preserve">affinity Pi transporter gene </w:t>
      </w:r>
      <w:r w:rsidRPr="000D7D3D">
        <w:rPr>
          <w:i/>
        </w:rPr>
        <w:t>PiPT1</w:t>
      </w:r>
      <w:r w:rsidRPr="000D7D3D">
        <w:t xml:space="preserve"> was also carried out on two- and seven-month</w:t>
      </w:r>
      <w:r w:rsidR="00B54786">
        <w:t>s</w:t>
      </w:r>
      <w:r w:rsidRPr="000D7D3D">
        <w:t xml:space="preserve">-old weathering systems. As already established, the expression of this transporter changes inversely in response to reducing Pi concentration in the media (Chapter 2 and 3). The expression of this gene showed no differences in the presence or absence of </w:t>
      </w:r>
      <w:r w:rsidR="006769B0">
        <w:t>HAP</w:t>
      </w:r>
      <w:r w:rsidR="006769B0" w:rsidRPr="000D7D3D">
        <w:t xml:space="preserve"> </w:t>
      </w:r>
      <w:r w:rsidRPr="000D7D3D">
        <w:t>in the two-month</w:t>
      </w:r>
      <w:r w:rsidR="00B54786">
        <w:t>s</w:t>
      </w:r>
      <w:r w:rsidR="001E408F">
        <w:t>-old</w:t>
      </w:r>
      <w:r w:rsidRPr="000D7D3D">
        <w:t xml:space="preserve"> weathering system, implying no differences in Pi content from </w:t>
      </w:r>
      <w:r w:rsidR="006769B0">
        <w:t>HAP</w:t>
      </w:r>
      <w:r w:rsidR="006769B0" w:rsidRPr="000D7D3D">
        <w:t xml:space="preserve"> </w:t>
      </w:r>
      <w:r w:rsidRPr="000D7D3D">
        <w:t xml:space="preserve">weathering. Conversely, </w:t>
      </w:r>
      <w:r w:rsidRPr="001E408F">
        <w:rPr>
          <w:i/>
        </w:rPr>
        <w:t>PiPT1</w:t>
      </w:r>
      <w:r w:rsidRPr="000D7D3D">
        <w:t xml:space="preserve"> </w:t>
      </w:r>
      <w:r w:rsidR="003A3893">
        <w:t>showed a statistically significant induction</w:t>
      </w:r>
      <w:r w:rsidRPr="000D7D3D">
        <w:t xml:space="preserve"> in seven-month</w:t>
      </w:r>
      <w:r w:rsidR="00B54786">
        <w:t>s</w:t>
      </w:r>
      <w:r w:rsidRPr="000D7D3D">
        <w:t>-old system compared to the two-months</w:t>
      </w:r>
      <w:r w:rsidR="00B54786">
        <w:t>-</w:t>
      </w:r>
      <w:r w:rsidRPr="000D7D3D">
        <w:t xml:space="preserve">old one, most likely caused by the lower amount of Pi in the inoculum side of the former (0.15 </w:t>
      </w:r>
      <w:r w:rsidRPr="000D7D3D">
        <w:rPr>
          <w:lang w:val="el-GR"/>
        </w:rPr>
        <w:t>μ</w:t>
      </w:r>
      <w:r w:rsidRPr="000D7D3D">
        <w:t>M Pi in seven-month</w:t>
      </w:r>
      <w:r w:rsidR="00B54786">
        <w:t>s</w:t>
      </w:r>
      <w:r w:rsidRPr="000D7D3D">
        <w:t xml:space="preserve">-old, compared to 1.84 </w:t>
      </w:r>
      <w:r w:rsidRPr="000D7D3D">
        <w:rPr>
          <w:lang w:val="el-GR"/>
        </w:rPr>
        <w:t>μ</w:t>
      </w:r>
      <w:r w:rsidRPr="000D7D3D">
        <w:t>M Pi in the two-month</w:t>
      </w:r>
      <w:r w:rsidR="00B54786">
        <w:t>s</w:t>
      </w:r>
      <w:r w:rsidRPr="000D7D3D">
        <w:t>-old one; Figure 4.8D). Interestingly, in the seven-month</w:t>
      </w:r>
      <w:r w:rsidR="00B54786">
        <w:t>s</w:t>
      </w:r>
      <w:r w:rsidRPr="000D7D3D">
        <w:t xml:space="preserve">-old system, </w:t>
      </w:r>
      <w:r w:rsidRPr="000D7D3D">
        <w:rPr>
          <w:i/>
        </w:rPr>
        <w:t>PiPT1</w:t>
      </w:r>
      <w:r w:rsidRPr="000D7D3D">
        <w:t xml:space="preserve"> </w:t>
      </w:r>
      <w:r w:rsidR="00EB1740">
        <w:t>showed</w:t>
      </w:r>
      <w:r w:rsidR="003A3893">
        <w:t xml:space="preserve"> statistically significant</w:t>
      </w:r>
      <w:r w:rsidR="003C4B32">
        <w:t xml:space="preserve"> re</w:t>
      </w:r>
      <w:r w:rsidR="003A3893">
        <w:t>pression</w:t>
      </w:r>
      <w:r w:rsidRPr="000D7D3D">
        <w:t xml:space="preserve"> in the presence of </w:t>
      </w:r>
      <w:r w:rsidR="006769B0">
        <w:t>HAP</w:t>
      </w:r>
      <w:r w:rsidR="006769B0" w:rsidRPr="000D7D3D">
        <w:t xml:space="preserve"> </w:t>
      </w:r>
      <w:r w:rsidRPr="000D7D3D">
        <w:t>when compared to its absence (Figure 4.</w:t>
      </w:r>
      <w:r w:rsidR="00654413">
        <w:t>8</w:t>
      </w:r>
      <w:r w:rsidRPr="000D7D3D">
        <w:t xml:space="preserve">D), possibly indicating an increase of available Pi in the media from </w:t>
      </w:r>
      <w:r w:rsidR="006769B0">
        <w:t>HAP</w:t>
      </w:r>
      <w:r w:rsidR="006769B0" w:rsidRPr="000D7D3D">
        <w:t xml:space="preserve"> </w:t>
      </w:r>
      <w:r w:rsidR="00EB1740">
        <w:t>weathering.</w:t>
      </w:r>
      <w:r w:rsidRPr="000D7D3D">
        <w:br w:type="page"/>
      </w:r>
    </w:p>
    <w:p w14:paraId="167F7AD1" w14:textId="77777777" w:rsidR="000D7D3D" w:rsidRPr="000D7D3D" w:rsidRDefault="000D7D3D" w:rsidP="003F061A">
      <w:r w:rsidRPr="000D7D3D">
        <w:rPr>
          <w:noProof/>
          <w:lang w:eastAsia="en-GB"/>
        </w:rPr>
        <w:lastRenderedPageBreak/>
        <w:drawing>
          <wp:inline distT="0" distB="0" distL="0" distR="0" wp14:anchorId="3E09E6F7" wp14:editId="51DFD5A9">
            <wp:extent cx="6013450" cy="5793085"/>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ure 4.8_NEW.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41387" cy="5819998"/>
                    </a:xfrm>
                    <a:prstGeom prst="rect">
                      <a:avLst/>
                    </a:prstGeom>
                  </pic:spPr>
                </pic:pic>
              </a:graphicData>
            </a:graphic>
          </wp:inline>
        </w:drawing>
      </w:r>
    </w:p>
    <w:p w14:paraId="33975A40" w14:textId="77777777" w:rsidR="000D7D3D" w:rsidRPr="000D7D3D" w:rsidRDefault="000D7D3D" w:rsidP="003F061A">
      <w:r w:rsidRPr="000D7D3D">
        <w:br w:type="page"/>
      </w:r>
    </w:p>
    <w:p w14:paraId="4BB6B90A" w14:textId="77777777" w:rsidR="00634533" w:rsidRDefault="000D7D3D" w:rsidP="00EB1740">
      <w:pPr>
        <w:pStyle w:val="Subtitle"/>
        <w:pBdr>
          <w:top w:val="single" w:sz="4" w:space="1" w:color="auto"/>
        </w:pBdr>
        <w:rPr>
          <w:b w:val="0"/>
        </w:rPr>
      </w:pPr>
      <w:r w:rsidRPr="000D7D3D">
        <w:lastRenderedPageBreak/>
        <w:t xml:space="preserve">Figure 4.8 </w:t>
      </w:r>
      <w:r w:rsidRPr="00635993">
        <w:rPr>
          <w:b w:val="0"/>
        </w:rPr>
        <w:t xml:space="preserve">Relative </w:t>
      </w:r>
      <w:r w:rsidR="001E408F" w:rsidRPr="001E408F">
        <w:rPr>
          <w:b w:val="0"/>
          <w:i/>
        </w:rPr>
        <w:t>mRNA</w:t>
      </w:r>
      <w:r w:rsidR="001E408F">
        <w:rPr>
          <w:b w:val="0"/>
        </w:rPr>
        <w:t xml:space="preserve"> </w:t>
      </w:r>
      <w:r w:rsidRPr="00635993">
        <w:rPr>
          <w:b w:val="0"/>
        </w:rPr>
        <w:t xml:space="preserve">expression of </w:t>
      </w:r>
      <w:r w:rsidR="001E408F">
        <w:rPr>
          <w:b w:val="0"/>
        </w:rPr>
        <w:t xml:space="preserve">the </w:t>
      </w:r>
      <w:r w:rsidRPr="00635993">
        <w:rPr>
          <w:b w:val="0"/>
        </w:rPr>
        <w:t xml:space="preserve">putative </w:t>
      </w:r>
      <w:r w:rsidR="001E408F">
        <w:rPr>
          <w:b w:val="0"/>
        </w:rPr>
        <w:t>weathering</w:t>
      </w:r>
      <w:r w:rsidR="00A470A8">
        <w:rPr>
          <w:b w:val="0"/>
        </w:rPr>
        <w:t xml:space="preserve"> genes and the high-</w:t>
      </w:r>
      <w:r w:rsidRPr="00635993">
        <w:rPr>
          <w:b w:val="0"/>
        </w:rPr>
        <w:t xml:space="preserve">affinity </w:t>
      </w:r>
      <w:r w:rsidR="006769B0" w:rsidRPr="00635993">
        <w:rPr>
          <w:b w:val="0"/>
        </w:rPr>
        <w:t xml:space="preserve">Pi </w:t>
      </w:r>
      <w:r w:rsidRPr="00635993">
        <w:rPr>
          <w:b w:val="0"/>
        </w:rPr>
        <w:t xml:space="preserve">transporter </w:t>
      </w:r>
      <w:r w:rsidRPr="00635993">
        <w:rPr>
          <w:b w:val="0"/>
          <w:i/>
        </w:rPr>
        <w:t>PiPT1</w:t>
      </w:r>
      <w:r w:rsidRPr="00635993">
        <w:rPr>
          <w:b w:val="0"/>
        </w:rPr>
        <w:t xml:space="preserve"> in response to the presence </w:t>
      </w:r>
      <w:r w:rsidR="00AD1468" w:rsidRPr="00635993">
        <w:rPr>
          <w:b w:val="0"/>
        </w:rPr>
        <w:t xml:space="preserve">of </w:t>
      </w:r>
      <w:r w:rsidR="00AD1468">
        <w:rPr>
          <w:b w:val="0"/>
        </w:rPr>
        <w:t>HAP</w:t>
      </w:r>
      <w:r w:rsidR="00AD1468" w:rsidRPr="00635993">
        <w:rPr>
          <w:b w:val="0"/>
        </w:rPr>
        <w:t xml:space="preserve"> (+HAP) or in its absence (-HAP).</w:t>
      </w:r>
      <w:r w:rsidRPr="00635993">
        <w:rPr>
          <w:b w:val="0"/>
        </w:rPr>
        <w:t xml:space="preserve"> </w:t>
      </w:r>
      <w:r w:rsidRPr="003F7054">
        <w:t>A.</w:t>
      </w:r>
      <w:r w:rsidRPr="00635993">
        <w:rPr>
          <w:b w:val="0"/>
        </w:rPr>
        <w:t xml:space="preserve"> Relative </w:t>
      </w:r>
      <w:r w:rsidRPr="00AD1468">
        <w:rPr>
          <w:b w:val="0"/>
          <w:i/>
        </w:rPr>
        <w:t>mRNA</w:t>
      </w:r>
      <w:r w:rsidRPr="00635993">
        <w:rPr>
          <w:b w:val="0"/>
        </w:rPr>
        <w:t xml:space="preserve"> expression of the putative </w:t>
      </w:r>
      <w:r w:rsidRPr="00635993">
        <w:rPr>
          <w:b w:val="0"/>
          <w:i/>
        </w:rPr>
        <w:t>P. involutus DJR1</w:t>
      </w:r>
      <w:r w:rsidRPr="00635993">
        <w:rPr>
          <w:b w:val="0"/>
        </w:rPr>
        <w:t xml:space="preserve"> </w:t>
      </w:r>
      <w:r w:rsidR="006769B0" w:rsidRPr="00635993">
        <w:rPr>
          <w:b w:val="0"/>
        </w:rPr>
        <w:t>H</w:t>
      </w:r>
      <w:r w:rsidR="006769B0" w:rsidRPr="00635993">
        <w:rPr>
          <w:b w:val="0"/>
          <w:vertAlign w:val="superscript"/>
        </w:rPr>
        <w:t>+</w:t>
      </w:r>
      <w:r w:rsidR="00AD1468">
        <w:rPr>
          <w:b w:val="0"/>
        </w:rPr>
        <w:t xml:space="preserve">-ATPase </w:t>
      </w:r>
      <w:r w:rsidRPr="00635993">
        <w:rPr>
          <w:b w:val="0"/>
          <w:i/>
        </w:rPr>
        <w:t>PiPMA</w:t>
      </w:r>
      <w:r w:rsidR="00AD1468">
        <w:rPr>
          <w:b w:val="0"/>
        </w:rPr>
        <w:t xml:space="preserve">. </w:t>
      </w:r>
      <w:r w:rsidRPr="003F7054">
        <w:t>B.</w:t>
      </w:r>
      <w:r w:rsidRPr="00635993">
        <w:rPr>
          <w:b w:val="0"/>
        </w:rPr>
        <w:t xml:space="preserve"> Relative </w:t>
      </w:r>
      <w:r w:rsidRPr="00AD1468">
        <w:rPr>
          <w:b w:val="0"/>
          <w:i/>
        </w:rPr>
        <w:t>mRNA</w:t>
      </w:r>
      <w:r w:rsidRPr="00635993">
        <w:rPr>
          <w:b w:val="0"/>
        </w:rPr>
        <w:t xml:space="preserve"> expression of the putative </w:t>
      </w:r>
      <w:r w:rsidRPr="00635993">
        <w:rPr>
          <w:b w:val="0"/>
          <w:i/>
        </w:rPr>
        <w:t>P. involutus DJR1</w:t>
      </w:r>
      <w:r w:rsidRPr="00635993">
        <w:rPr>
          <w:b w:val="0"/>
        </w:rPr>
        <w:t xml:space="preserve"> citric acid efflux transporter </w:t>
      </w:r>
      <w:r w:rsidRPr="00635993">
        <w:rPr>
          <w:b w:val="0"/>
          <w:i/>
        </w:rPr>
        <w:t>PiBEST</w:t>
      </w:r>
      <w:r w:rsidRPr="00635993">
        <w:rPr>
          <w:b w:val="0"/>
        </w:rPr>
        <w:t xml:space="preserve">. </w:t>
      </w:r>
      <w:r w:rsidRPr="003F7054">
        <w:t>C.</w:t>
      </w:r>
      <w:r w:rsidRPr="00635993">
        <w:rPr>
          <w:b w:val="0"/>
        </w:rPr>
        <w:t xml:space="preserve"> Relative </w:t>
      </w:r>
      <w:r w:rsidRPr="00AD1468">
        <w:rPr>
          <w:b w:val="0"/>
          <w:i/>
        </w:rPr>
        <w:t>mRNA</w:t>
      </w:r>
      <w:r w:rsidRPr="00635993">
        <w:rPr>
          <w:b w:val="0"/>
        </w:rPr>
        <w:t xml:space="preserve"> expression of the putative </w:t>
      </w:r>
      <w:r w:rsidRPr="00635993">
        <w:rPr>
          <w:b w:val="0"/>
          <w:i/>
        </w:rPr>
        <w:t>P. involutus DJR1</w:t>
      </w:r>
      <w:r w:rsidRPr="00635993">
        <w:rPr>
          <w:b w:val="0"/>
        </w:rPr>
        <w:t xml:space="preserve"> oxalate efflux transporter </w:t>
      </w:r>
      <w:r w:rsidRPr="00635993">
        <w:rPr>
          <w:b w:val="0"/>
          <w:i/>
        </w:rPr>
        <w:t>PiOAR</w:t>
      </w:r>
      <w:r w:rsidRPr="00635993">
        <w:rPr>
          <w:b w:val="0"/>
        </w:rPr>
        <w:t xml:space="preserve">. </w:t>
      </w:r>
      <w:r w:rsidRPr="003F7054">
        <w:t>D.</w:t>
      </w:r>
      <w:r w:rsidRPr="00635993">
        <w:rPr>
          <w:b w:val="0"/>
        </w:rPr>
        <w:t xml:space="preserve"> Relative </w:t>
      </w:r>
      <w:r w:rsidRPr="00AD1468">
        <w:rPr>
          <w:b w:val="0"/>
          <w:i/>
        </w:rPr>
        <w:t>mRNA</w:t>
      </w:r>
      <w:r w:rsidRPr="00635993">
        <w:rPr>
          <w:b w:val="0"/>
        </w:rPr>
        <w:t xml:space="preserve"> expression of the </w:t>
      </w:r>
      <w:r w:rsidRPr="00635993">
        <w:rPr>
          <w:b w:val="0"/>
          <w:i/>
        </w:rPr>
        <w:t>P. involutus DJR1</w:t>
      </w:r>
      <w:r w:rsidR="00A470A8">
        <w:rPr>
          <w:b w:val="0"/>
        </w:rPr>
        <w:t xml:space="preserve"> high-</w:t>
      </w:r>
      <w:r w:rsidRPr="00635993">
        <w:rPr>
          <w:b w:val="0"/>
        </w:rPr>
        <w:t xml:space="preserve">affinity </w:t>
      </w:r>
      <w:r w:rsidR="005D49C9" w:rsidRPr="00635993">
        <w:rPr>
          <w:b w:val="0"/>
        </w:rPr>
        <w:t xml:space="preserve">Pi </w:t>
      </w:r>
      <w:r w:rsidRPr="00635993">
        <w:rPr>
          <w:b w:val="0"/>
        </w:rPr>
        <w:t xml:space="preserve">transporter </w:t>
      </w:r>
      <w:r w:rsidRPr="00635993">
        <w:rPr>
          <w:b w:val="0"/>
          <w:i/>
        </w:rPr>
        <w:t>PiPT1</w:t>
      </w:r>
      <w:r w:rsidR="00EB1740">
        <w:rPr>
          <w:b w:val="0"/>
        </w:rPr>
        <w:t>.</w:t>
      </w:r>
      <w:r w:rsidRPr="00635993">
        <w:rPr>
          <w:b w:val="0"/>
          <w:i/>
        </w:rPr>
        <w:t xml:space="preserve"> </w:t>
      </w:r>
      <w:r w:rsidRPr="00635993">
        <w:rPr>
          <w:b w:val="0"/>
        </w:rPr>
        <w:t>For each gene, statistically significant differences in relative mRNA expressions between different conditions were assessed by one-way ANOVA, followed by Tukey’s test post hoc for multiple comparisons (</w:t>
      </w:r>
      <w:r w:rsidR="00B54786" w:rsidRPr="004E3618">
        <w:rPr>
          <w:b w:val="0"/>
          <w:i/>
        </w:rPr>
        <w:t>α=</w:t>
      </w:r>
      <w:r w:rsidRPr="00635993">
        <w:rPr>
          <w:b w:val="0"/>
        </w:rPr>
        <w:t>0.05, letters).</w:t>
      </w:r>
    </w:p>
    <w:p w14:paraId="2A7BEF97" w14:textId="3BE59152" w:rsidR="000D7D3D" w:rsidRPr="000D7D3D" w:rsidRDefault="000D7D3D" w:rsidP="00EB1740">
      <w:pPr>
        <w:pStyle w:val="Subtitle"/>
        <w:pBdr>
          <w:top w:val="single" w:sz="4" w:space="1" w:color="auto"/>
        </w:pBdr>
      </w:pPr>
      <w:r w:rsidRPr="000D7D3D">
        <w:br w:type="page"/>
      </w:r>
    </w:p>
    <w:p w14:paraId="6FA35050" w14:textId="3E6B8541" w:rsidR="000D7D3D" w:rsidRPr="000D7D3D" w:rsidRDefault="000D7D3D" w:rsidP="00635993">
      <w:pPr>
        <w:pStyle w:val="Heading1"/>
      </w:pPr>
      <w:bookmarkStart w:id="366" w:name="_Toc507604044"/>
      <w:bookmarkStart w:id="367" w:name="_Toc507604311"/>
      <w:bookmarkStart w:id="368" w:name="_Toc519017021"/>
      <w:bookmarkStart w:id="369" w:name="_Toc520837926"/>
      <w:r w:rsidRPr="000D7D3D">
        <w:lastRenderedPageBreak/>
        <w:t>4.4 Discussion</w:t>
      </w:r>
      <w:bookmarkEnd w:id="366"/>
      <w:bookmarkEnd w:id="367"/>
      <w:bookmarkEnd w:id="368"/>
      <w:bookmarkEnd w:id="369"/>
    </w:p>
    <w:p w14:paraId="674D12CF" w14:textId="77777777" w:rsidR="000D7D3D" w:rsidRPr="000D7D3D" w:rsidRDefault="000D7D3D" w:rsidP="003F7054"/>
    <w:p w14:paraId="12D771E2" w14:textId="58E38794" w:rsidR="000D7D3D" w:rsidRPr="000D7D3D" w:rsidRDefault="000D7D3D" w:rsidP="00635993">
      <w:pPr>
        <w:pStyle w:val="Heading2"/>
      </w:pPr>
      <w:bookmarkStart w:id="370" w:name="_Toc507604045"/>
      <w:bookmarkStart w:id="371" w:name="_Toc507604312"/>
      <w:bookmarkStart w:id="372" w:name="_Toc519017022"/>
      <w:bookmarkStart w:id="373" w:name="_Toc520837927"/>
      <w:r w:rsidRPr="000D7D3D">
        <w:t>4.4.1 Colonisation and solubilisation of synthetic HA</w:t>
      </w:r>
      <w:r w:rsidR="00C00D6E">
        <w:t>P</w:t>
      </w:r>
      <w:r w:rsidRPr="000D7D3D">
        <w:t xml:space="preserve"> by </w:t>
      </w:r>
      <w:r w:rsidRPr="000D7D3D">
        <w:rPr>
          <w:i/>
        </w:rPr>
        <w:t>P. involutus</w:t>
      </w:r>
      <w:bookmarkEnd w:id="370"/>
      <w:bookmarkEnd w:id="371"/>
      <w:bookmarkEnd w:id="372"/>
      <w:bookmarkEnd w:id="373"/>
      <w:r w:rsidRPr="000D7D3D">
        <w:t xml:space="preserve"> </w:t>
      </w:r>
    </w:p>
    <w:p w14:paraId="622B6C89" w14:textId="131501E5" w:rsidR="00C00D6E" w:rsidRDefault="000D7D3D" w:rsidP="003F7054">
      <w:r w:rsidRPr="000D7D3D">
        <w:t xml:space="preserve">The results presented in this </w:t>
      </w:r>
      <w:r w:rsidR="003F061A">
        <w:t>c</w:t>
      </w:r>
      <w:r w:rsidRPr="000D7D3D">
        <w:t>hapter provide</w:t>
      </w:r>
      <w:r w:rsidR="00AD2772">
        <w:t xml:space="preserve"> experimental evidence</w:t>
      </w:r>
      <w:r w:rsidRPr="000D7D3D">
        <w:t xml:space="preserve"> for a </w:t>
      </w:r>
      <w:r w:rsidR="00C00D6E" w:rsidRPr="000D7D3D">
        <w:t>re</w:t>
      </w:r>
      <w:r w:rsidR="00C00D6E">
        <w:t>producible</w:t>
      </w:r>
      <w:r w:rsidR="00C00D6E" w:rsidRPr="000D7D3D">
        <w:t xml:space="preserve"> </w:t>
      </w:r>
      <w:r w:rsidR="00E84AAD">
        <w:t xml:space="preserve">HAP </w:t>
      </w:r>
      <w:r w:rsidRPr="000D7D3D">
        <w:t xml:space="preserve">weathering system to study Pi solubilisation by </w:t>
      </w:r>
      <w:r w:rsidRPr="000D7D3D">
        <w:rPr>
          <w:i/>
        </w:rPr>
        <w:t>P. involutus</w:t>
      </w:r>
      <w:r w:rsidRPr="000D7D3D">
        <w:t xml:space="preserve">. Whereas previous studies focused on the ability of </w:t>
      </w:r>
      <w:r w:rsidRPr="000D7D3D">
        <w:rPr>
          <w:i/>
        </w:rPr>
        <w:t>P. involutus</w:t>
      </w:r>
      <w:r w:rsidRPr="000D7D3D">
        <w:t xml:space="preserve"> to weather mineral apatite in microcosm with a host plant </w:t>
      </w:r>
      <w:r w:rsidR="00E84AAD">
        <w:fldChar w:fldCharType="begin" w:fldLock="1"/>
      </w:r>
      <w:r w:rsidR="00EE33AB">
        <w:instrText>ADDIN CSL_CITATION {"citationItems":[{"id":"ITEM-1","itemData":{"DOI":"10.1180/minmag.2008.072.1.85","ISSN":"0026461X","author":[{"dropping-particle":"","family":"Leake","given":"J. R.","non-dropping-particle":"","parse-names":false,"suffix":""},{"dropping-particle":"","family":"Duran","given":"a. L.","non-dropping-particle":"","parse-names":false,"suffix":""},{"dropping-particle":"","family":"Hardy","given":"K. E.","non-dropping-particle":"","parse-names":false,"suffix":""},{"dropping-particle":"","family":"Johnson","given":"I.","non-dropping-particle":"","parse-names":false,"suffix":""},{"dropping-particle":"","family":"Beerling","given":"D. J.","non-dropping-particle":"","parse-names":false,"suffix":""},{"dropping-particle":"","family":"Banwart","given":"S. a.","non-dropping-particle":"","parse-names":false,"suffix":""},{"dropping-particle":"","family":"Smits","given":"M. M.","non-dropping-particle":"","parse-names":false,"suffix":""}],"container-title":"Mineralogical Magazine","id":"ITEM-1","issue":"1","issued":{"date-parts":[["2008","2","1"]]},"page":"85-89","title":"Biological weathering in soil: the role of symbiotic root-associated fungi biosensing minerals and directing photosynthate-energy into grain-scale mineral weathering","type":"article-journal","volume":"72"},"uris":["http://www.mendeley.com/documents/?uuid=8f1f2313-6e4d-45da-85de-8401fda7a19a"]},{"id":"ITEM-2","itemData":{"DOI":"10.1111/j.1472-4669.2012.00331.x","ISSN":"1472-4669","PMID":"22624799","abstract":"Ectomycorrhizal (EcM) fungi are increasingly recognized as important agents of mineral weathering and soil development, with far-reaching impacts on biogeochemical cycles. Because EcM fungi live in a symbiotic relationship with trees and in close contact with bacteria and archaea, it is difficult to distinguish between the weathering effects of the fungus, host tree and other micro-organisms. Here, we quantified mineral weathering by the fungus Paxillus involutus, growing in symbiosis with Pinus sylvestris under sterile conditions. The mycorrhizal trees were grown in specially designed sterile microcosms in which the supply of soluble phosphorus (P) in the bulk media was varied and grains of the calcium phosphate mineral apatite mixed with quartz, or quartz alone, were provided in plastic wells that were only accessed by their fungal partner. Under P limitation, pulse labelling of plants with (14)CO(2) revealed plant-to-fungus allocation of photosynthates, with 17 times more (14)C transferred into the apatite wells compared with wells with only quartz. Fungal colonization increased the release of P from apatite by almost a factor of three, from 7.5 (±1.1) × 10(-10) mol m(-2) s(-1) to 2.2 (±0.52) × 10(-9) mol m(-2) s(-1). On increasing the P supply in the microcosms from no added P, through apatite alone, to both apatite and orthophosphate, the proportion of biomass in roots progressively increased at the expense of the fungus. These three observations, (i) proportionately more plant energy investment in the fungal partner under P limitation, (ii) preferential fungal transport of photosynthate-derived carbon towards patches of apatite grains and (iii) fungal enhancement of weathering rate, reveal the tightly coupled plant-fungal interactions underpinning enhanced EcM weathering of apatite and its utilization as P source.","author":[{"dropping-particle":"","family":"Smits","given":"M M","non-dropping-particle":"","parse-names":false,"suffix":""},{"dropping-particle":"","family":"Bonneville","given":"S","non-dropping-particle":"","parse-names":false,"suffix":""},{"dropping-particle":"","family":"Benning","given":"L G","non-dropping-particle":"","parse-names":false,"suffix":""},{"dropping-particle":"","family":"Banwart","given":"S a","non-dropping-particle":"","parse-names":false,"suffix":""},{"dropping-particle":"","family":"Leake","given":"J R","non-dropping-particle":"","parse-names":false,"suffix":""}],"container-title":"Geobiology","id":"ITEM-2","issue":"5","issued":{"date-parts":[["2012","9"]]},"page":"445-56","title":"Plant-driven weathering of apatite--the role of an ectomycorrhizal fungus.","type":"article-journal","volume":"10"},"uris":["http://www.mendeley.com/documents/?uuid=93facf83-0170-4a2e-bf59-d0cc3badf46e"]}],"mendeley":{"formattedCitation":"(Leake et al., 2008; Smits et al., 2012)","plainTextFormattedCitation":"(Leake et al., 2008; Smits et al., 2012)","previouslyFormattedCitation":"(Leake et al., 2008; Smits et al., 2012)"},"properties":{"noteIndex":0},"schema":"https://github.com/citation-style-language/schema/raw/master/csl-citation.json"}</w:instrText>
      </w:r>
      <w:r w:rsidR="00E84AAD">
        <w:fldChar w:fldCharType="separate"/>
      </w:r>
      <w:r w:rsidR="00E84AAD" w:rsidRPr="00E84AAD">
        <w:rPr>
          <w:noProof/>
        </w:rPr>
        <w:t>(Leake et al., 2008; Smits et al., 2012)</w:t>
      </w:r>
      <w:r w:rsidR="00E84AAD">
        <w:fldChar w:fldCharType="end"/>
      </w:r>
      <w:r w:rsidRPr="000D7D3D">
        <w:t xml:space="preserve">, the system presented in this chapter focuses on </w:t>
      </w:r>
      <w:r w:rsidR="00E84AAD">
        <w:t xml:space="preserve">the </w:t>
      </w:r>
      <w:r w:rsidRPr="000D7D3D">
        <w:t>solubilisation of synthetic HA</w:t>
      </w:r>
      <w:r w:rsidR="00C00D6E">
        <w:t>P</w:t>
      </w:r>
      <w:r w:rsidRPr="000D7D3D">
        <w:t xml:space="preserve"> by this fungus when isolated from any host plants. The first indirect evidence of Pi solubilisation from synthetic HA</w:t>
      </w:r>
      <w:r w:rsidR="00C00D6E">
        <w:t>P</w:t>
      </w:r>
      <w:r w:rsidRPr="000D7D3D">
        <w:t xml:space="preserve"> comes from growth analysis of different </w:t>
      </w:r>
      <w:r w:rsidRPr="000D7D3D">
        <w:rPr>
          <w:i/>
        </w:rPr>
        <w:t>P. involutus</w:t>
      </w:r>
      <w:r w:rsidRPr="000D7D3D">
        <w:t xml:space="preserve"> strains in the experimental </w:t>
      </w:r>
      <w:r w:rsidR="00E84AAD">
        <w:t xml:space="preserve">HAP </w:t>
      </w:r>
      <w:r w:rsidRPr="000D7D3D">
        <w:t xml:space="preserve">weathering system, which </w:t>
      </w:r>
      <w:r w:rsidR="00E84AAD">
        <w:t>showed that fungal mycelia grow</w:t>
      </w:r>
      <w:r w:rsidRPr="000D7D3D">
        <w:t xml:space="preserve"> more extensively in </w:t>
      </w:r>
      <w:r w:rsidR="00D700B2">
        <w:t xml:space="preserve">the </w:t>
      </w:r>
      <w:r w:rsidRPr="000D7D3D">
        <w:t>presence of HA</w:t>
      </w:r>
      <w:r w:rsidR="00C00D6E">
        <w:t>P</w:t>
      </w:r>
      <w:r w:rsidRPr="000D7D3D">
        <w:t>-coated discs (Figure 4.2). As the media of the system is supplied with growth-limiting amounts of available Pi, the enhanced fungal growth could be explained by increased Pi availability when HA</w:t>
      </w:r>
      <w:r w:rsidR="00C00D6E">
        <w:t>P</w:t>
      </w:r>
      <w:r w:rsidRPr="000D7D3D">
        <w:t>-co</w:t>
      </w:r>
      <w:r w:rsidR="00D700B2">
        <w:t>ated disc is</w:t>
      </w:r>
      <w:r w:rsidRPr="000D7D3D">
        <w:t xml:space="preserve"> present, presumably from the solubilisation of HA</w:t>
      </w:r>
      <w:r w:rsidR="00C00D6E">
        <w:t>P</w:t>
      </w:r>
      <w:r w:rsidR="00E84AAD">
        <w:t xml:space="preserve"> itself.</w:t>
      </w:r>
    </w:p>
    <w:p w14:paraId="30C62441" w14:textId="08C4ED47" w:rsidR="00332427" w:rsidRDefault="000D7D3D" w:rsidP="00635993">
      <w:pPr>
        <w:ind w:firstLine="720"/>
      </w:pPr>
      <w:r w:rsidRPr="000D7D3D">
        <w:t>Additionally, the growth analysis showed that fungal hyphae prefer</w:t>
      </w:r>
      <w:r w:rsidR="00A50010">
        <w:t>entially</w:t>
      </w:r>
      <w:r w:rsidRPr="000D7D3D">
        <w:t xml:space="preserve"> colonise </w:t>
      </w:r>
      <w:r w:rsidR="00C00D6E">
        <w:t>HAP</w:t>
      </w:r>
      <w:r w:rsidRPr="000D7D3D">
        <w:t>-co</w:t>
      </w:r>
      <w:r w:rsidR="00C00D6E">
        <w:t>at</w:t>
      </w:r>
      <w:r w:rsidRPr="000D7D3D">
        <w:t xml:space="preserve">ed discs (Figure 4.2), potentially indicating that </w:t>
      </w:r>
      <w:r w:rsidRPr="000D7D3D">
        <w:rPr>
          <w:i/>
        </w:rPr>
        <w:t>P. involutus</w:t>
      </w:r>
      <w:r w:rsidRPr="000D7D3D">
        <w:t xml:space="preserve"> is able to detect a source of Pi and direct </w:t>
      </w:r>
      <w:r w:rsidR="00E84AAD">
        <w:t xml:space="preserve">its </w:t>
      </w:r>
      <w:r w:rsidRPr="000D7D3D">
        <w:t>grow</w:t>
      </w:r>
      <w:r w:rsidR="00E84AAD">
        <w:t>th</w:t>
      </w:r>
      <w:r w:rsidRPr="000D7D3D">
        <w:t xml:space="preserve"> towards it. Among the three strains tested, </w:t>
      </w:r>
      <w:r w:rsidRPr="000D7D3D">
        <w:rPr>
          <w:i/>
        </w:rPr>
        <w:t>P. involutus DJR1</w:t>
      </w:r>
      <w:r w:rsidRPr="000D7D3D">
        <w:t xml:space="preserve"> showed the fastest and largest </w:t>
      </w:r>
      <w:r w:rsidR="007E6D02">
        <w:t xml:space="preserve">mycelial </w:t>
      </w:r>
      <w:r w:rsidRPr="000D7D3D">
        <w:t>growth in the experimental system (Figure 4.2), even at the lowest concentration of Pi</w:t>
      </w:r>
      <w:r w:rsidR="00E84AAD">
        <w:t xml:space="preserve"> </w:t>
      </w:r>
      <w:r w:rsidRPr="000D7D3D">
        <w:t xml:space="preserve">supplied </w:t>
      </w:r>
      <w:r w:rsidR="00E84AAD">
        <w:t>(</w:t>
      </w:r>
      <w:r w:rsidR="00E84AAD" w:rsidRPr="000D7D3D">
        <w:t xml:space="preserve">0.15 </w:t>
      </w:r>
      <w:r w:rsidR="00E84AAD" w:rsidRPr="000D7D3D">
        <w:rPr>
          <w:rFonts w:cs="Arial"/>
        </w:rPr>
        <w:t>µ</w:t>
      </w:r>
      <w:r w:rsidR="00E84AAD" w:rsidRPr="000D7D3D">
        <w:t>M</w:t>
      </w:r>
      <w:r w:rsidR="00E84AAD">
        <w:t>)</w:t>
      </w:r>
      <w:r w:rsidR="00E84AAD" w:rsidRPr="000D7D3D">
        <w:t xml:space="preserve"> </w:t>
      </w:r>
      <w:r w:rsidRPr="000D7D3D">
        <w:t xml:space="preserve">in the </w:t>
      </w:r>
      <w:r w:rsidR="00E84AAD">
        <w:t xml:space="preserve">media of the </w:t>
      </w:r>
      <w:r w:rsidRPr="000D7D3D">
        <w:t xml:space="preserve">fungal inoculum side (Figure 4.3). Because of this characteristic, this strain was chosen for further gene expression analyses, as </w:t>
      </w:r>
      <w:r w:rsidR="00E84AAD">
        <w:t>its</w:t>
      </w:r>
      <w:r w:rsidRPr="000D7D3D">
        <w:t xml:space="preserve"> enhanced fungal biomass </w:t>
      </w:r>
      <w:r w:rsidR="00E84AAD">
        <w:t>provides</w:t>
      </w:r>
      <w:r w:rsidRPr="000D7D3D">
        <w:t xml:space="preserve"> sufficient material for RNA extraction.</w:t>
      </w:r>
      <w:r w:rsidR="00C00D6E">
        <w:t xml:space="preserve"> </w:t>
      </w:r>
    </w:p>
    <w:p w14:paraId="0E6D36D4" w14:textId="27F66710" w:rsidR="000D7D3D" w:rsidRPr="000D7D3D" w:rsidRDefault="000D7D3D" w:rsidP="00635993">
      <w:pPr>
        <w:ind w:firstLine="720"/>
      </w:pPr>
      <w:r w:rsidRPr="000D7D3D">
        <w:t>The combination of SEM imaging and EDX</w:t>
      </w:r>
      <w:r w:rsidR="00E84AAD">
        <w:t xml:space="preserve"> spectroscopy</w:t>
      </w:r>
      <w:r w:rsidRPr="000D7D3D">
        <w:t xml:space="preserve"> analysis confirmed the presence of crystals corresponding to </w:t>
      </w:r>
      <w:r w:rsidR="00C00D6E">
        <w:t>HAP</w:t>
      </w:r>
      <w:r w:rsidR="00C00D6E" w:rsidRPr="000D7D3D">
        <w:t xml:space="preserve"> </w:t>
      </w:r>
      <w:r w:rsidRPr="000D7D3D">
        <w:t>in the synthesized HA</w:t>
      </w:r>
      <w:r w:rsidR="00C00D6E">
        <w:t>P</w:t>
      </w:r>
      <w:r w:rsidRPr="000D7D3D">
        <w:t>-coated discs (Figure 4.1). Most im</w:t>
      </w:r>
      <w:r w:rsidR="003825B5">
        <w:t>portantly, these analyse</w:t>
      </w:r>
      <w:r w:rsidRPr="000D7D3D">
        <w:t>s confirmed acti</w:t>
      </w:r>
      <w:r w:rsidR="007A5B5B">
        <w:t>ve solubilisation of the HAP</w:t>
      </w:r>
      <w:r w:rsidRPr="000D7D3D">
        <w:t xml:space="preserve"> crystal</w:t>
      </w:r>
      <w:r w:rsidR="003825B5">
        <w:t>s</w:t>
      </w:r>
      <w:r w:rsidRPr="000D7D3D">
        <w:t xml:space="preserve"> by </w:t>
      </w:r>
      <w:r w:rsidR="00332B18" w:rsidRPr="00332B18">
        <w:rPr>
          <w:i/>
        </w:rPr>
        <w:t>P. involutus</w:t>
      </w:r>
      <w:r w:rsidRPr="000D7D3D">
        <w:t xml:space="preserve"> hyphae, by visualising difference</w:t>
      </w:r>
      <w:r w:rsidR="00332B18">
        <w:t>s</w:t>
      </w:r>
      <w:r w:rsidRPr="000D7D3D">
        <w:t xml:space="preserve"> in the </w:t>
      </w:r>
      <w:r w:rsidR="00332B18">
        <w:t xml:space="preserve">HAP </w:t>
      </w:r>
      <w:r w:rsidRPr="000D7D3D">
        <w:t xml:space="preserve">crystal structure and measuring </w:t>
      </w:r>
      <w:r w:rsidR="00D700B2">
        <w:t xml:space="preserve">a </w:t>
      </w:r>
      <w:r w:rsidR="00F25188">
        <w:t xml:space="preserve">statistically </w:t>
      </w:r>
      <w:r w:rsidRPr="000D7D3D">
        <w:t>significant reduction in Pi content (Figure</w:t>
      </w:r>
      <w:r w:rsidR="00C9628E">
        <w:t>s</w:t>
      </w:r>
      <w:r w:rsidRPr="000D7D3D">
        <w:t xml:space="preserve"> 4.6 and 4.7). Interestingly, no solubilisation of HA</w:t>
      </w:r>
      <w:r w:rsidR="00C00D6E">
        <w:t>P</w:t>
      </w:r>
      <w:r w:rsidRPr="000D7D3D">
        <w:t xml:space="preserve"> crystals could be detected in </w:t>
      </w:r>
      <w:r w:rsidR="00332B18">
        <w:t xml:space="preserve">the </w:t>
      </w:r>
      <w:r w:rsidRPr="000D7D3D">
        <w:t xml:space="preserve">two-months-old </w:t>
      </w:r>
      <w:r w:rsidRPr="000D7D3D">
        <w:lastRenderedPageBreak/>
        <w:t xml:space="preserve">system supplied with 1.85 </w:t>
      </w:r>
      <w:r w:rsidRPr="000D7D3D">
        <w:rPr>
          <w:rFonts w:cs="Arial"/>
        </w:rPr>
        <w:t>µ</w:t>
      </w:r>
      <w:r w:rsidRPr="000D7D3D">
        <w:t xml:space="preserve">M Pi, while only partial solubilisation of the crystals was detected in </w:t>
      </w:r>
      <w:r w:rsidR="00332B18">
        <w:t xml:space="preserve">the </w:t>
      </w:r>
      <w:r w:rsidRPr="000D7D3D">
        <w:t xml:space="preserve">seven-months-old one (Figures 4.6). On the other hand, when the media of the </w:t>
      </w:r>
      <w:r w:rsidR="00332B18">
        <w:t xml:space="preserve">HAP </w:t>
      </w:r>
      <w:r w:rsidRPr="000D7D3D">
        <w:t>experimental system is supplied with only 0.15</w:t>
      </w:r>
      <w:r w:rsidRPr="000D7D3D">
        <w:rPr>
          <w:rFonts w:cs="Arial"/>
        </w:rPr>
        <w:t xml:space="preserve"> µ</w:t>
      </w:r>
      <w:r w:rsidRPr="000D7D3D">
        <w:t xml:space="preserve">M </w:t>
      </w:r>
      <w:r w:rsidR="00332B18">
        <w:t xml:space="preserve">of Pi </w:t>
      </w:r>
      <w:r w:rsidRPr="000D7D3D">
        <w:t>on the inoculum side, complete solubilisation of HA</w:t>
      </w:r>
      <w:r w:rsidR="00C00D6E">
        <w:t>P</w:t>
      </w:r>
      <w:r w:rsidRPr="000D7D3D">
        <w:t xml:space="preserve"> crystals is observed, together with </w:t>
      </w:r>
      <w:r w:rsidR="00332B18" w:rsidRPr="000D7D3D">
        <w:t>abundant secondary mineral</w:t>
      </w:r>
      <w:r w:rsidR="00332B18">
        <w:t xml:space="preserve"> formation</w:t>
      </w:r>
      <w:r w:rsidR="00332B18" w:rsidRPr="000D7D3D">
        <w:t xml:space="preserve">s </w:t>
      </w:r>
      <w:r w:rsidRPr="000D7D3D">
        <w:t xml:space="preserve">(Figure 4.7). These findings suggest that the effectiveness of Pi solubilisation by </w:t>
      </w:r>
      <w:r w:rsidRPr="000D7D3D">
        <w:rPr>
          <w:i/>
        </w:rPr>
        <w:t xml:space="preserve">P. involutus </w:t>
      </w:r>
      <w:r w:rsidRPr="000D7D3D">
        <w:t>depends on Pi availability in the media.</w:t>
      </w:r>
    </w:p>
    <w:p w14:paraId="0EDD10CD" w14:textId="77777777" w:rsidR="000D7D3D" w:rsidRPr="000D7D3D" w:rsidRDefault="000D7D3D" w:rsidP="003F7054"/>
    <w:p w14:paraId="51DA3B46" w14:textId="0A0F9C2C" w:rsidR="000D7D3D" w:rsidRPr="000D7D3D" w:rsidRDefault="000D7D3D" w:rsidP="00635993">
      <w:pPr>
        <w:pStyle w:val="Heading2"/>
      </w:pPr>
      <w:bookmarkStart w:id="374" w:name="_Toc507604046"/>
      <w:bookmarkStart w:id="375" w:name="_Toc507604313"/>
      <w:bookmarkStart w:id="376" w:name="_Toc519017023"/>
      <w:bookmarkStart w:id="377" w:name="_Toc520837928"/>
      <w:r w:rsidRPr="000D7D3D">
        <w:t xml:space="preserve">4.4.2 Formation of secondary minerals by </w:t>
      </w:r>
      <w:r w:rsidRPr="000D7D3D">
        <w:rPr>
          <w:i/>
        </w:rPr>
        <w:t>P. involutus</w:t>
      </w:r>
      <w:r w:rsidRPr="000D7D3D">
        <w:t xml:space="preserve"> on the surface of </w:t>
      </w:r>
      <w:r w:rsidR="00F25EB4">
        <w:t>HAP</w:t>
      </w:r>
      <w:r w:rsidRPr="000D7D3D">
        <w:t>-coated disks</w:t>
      </w:r>
      <w:bookmarkEnd w:id="374"/>
      <w:bookmarkEnd w:id="375"/>
      <w:bookmarkEnd w:id="376"/>
      <w:bookmarkEnd w:id="377"/>
      <w:r w:rsidRPr="000D7D3D">
        <w:t xml:space="preserve"> </w:t>
      </w:r>
    </w:p>
    <w:p w14:paraId="2D868787" w14:textId="2E41821B" w:rsidR="003148A7" w:rsidRDefault="000D7D3D" w:rsidP="003F7054">
      <w:r w:rsidRPr="000D7D3D">
        <w:t xml:space="preserve">The production of </w:t>
      </w:r>
      <w:r w:rsidR="00F25EB4" w:rsidRPr="00635993">
        <w:t>LMW</w:t>
      </w:r>
      <w:r w:rsidRPr="000D7D3D">
        <w:t xml:space="preserve">OA is an important mechanism in the dissolution of minerals and hence weathering </w:t>
      </w:r>
      <w:r w:rsidRPr="000D7D3D">
        <w:fldChar w:fldCharType="begin" w:fldLock="1"/>
      </w:r>
      <w:r w:rsidR="00EE33AB">
        <w:instrText>ADDIN CSL_CITATION {"citationItems":[{"id":"ITEM-1","itemData":{"DOI":"10.1139/b91-046","ISSN":"0008-4026","author":[{"dropping-particle":"","family":"Lapeyrie","given":"F","non-dropping-particle":"","parse-names":false,"suffix":""},{"dropping-particle":"","family":"Ranger","given":"J","non-dropping-particle":"","parse-names":false,"suffix":""},{"dropping-particle":"","family":"Vairelles","given":"D","non-dropping-particle":"","parse-names":false,"suffix":""}],"container-title":"Canadian Journal of Botany","id":"ITEM-1","issue":"2","issued":{"date-parts":[["1991","2","1"]]},"note":"doi: 10.1139/b91-046","page":"342-346","publisher":"NRC Research Press","title":"Phosphate-solubilizing activity of ectomycorrhizal fungi in vitro","type":"article-journal","volume":"69"},"uris":["http://www.mendeley.com/documents/?uuid=4906a540-2ecd-4f2f-a297-154ce76ea523"]}],"mendeley":{"formattedCitation":"(Lapeyrie et al., 1991)","plainTextFormattedCitation":"(Lapeyrie et al., 1991)","previouslyFormattedCitation":"(Lapeyrie et al., 1991)"},"properties":{"noteIndex":0},"schema":"https://github.com/citation-style-language/schema/raw/master/csl-citation.json"}</w:instrText>
      </w:r>
      <w:r w:rsidRPr="000D7D3D">
        <w:fldChar w:fldCharType="separate"/>
      </w:r>
      <w:r w:rsidRPr="000D7D3D">
        <w:rPr>
          <w:noProof/>
        </w:rPr>
        <w:t>(Lapeyrie et al., 1991)</w:t>
      </w:r>
      <w:r w:rsidRPr="000D7D3D">
        <w:fldChar w:fldCharType="end"/>
      </w:r>
      <w:r w:rsidRPr="000D7D3D">
        <w:t xml:space="preserve">. The production of </w:t>
      </w:r>
      <w:r w:rsidR="00F25EB4" w:rsidRPr="00635993">
        <w:t>LMW</w:t>
      </w:r>
      <w:r w:rsidRPr="000D7D3D">
        <w:t xml:space="preserve">OA within the </w:t>
      </w:r>
      <w:r w:rsidR="00F25EB4">
        <w:t>HAP</w:t>
      </w:r>
      <w:r w:rsidR="00F25EB4" w:rsidRPr="000D7D3D">
        <w:t xml:space="preserve"> </w:t>
      </w:r>
      <w:r w:rsidRPr="000D7D3D">
        <w:t xml:space="preserve">solubilisation systems can be indirectly studied through the formation of secondary minerals, which appear as crystal structures, on the surface of </w:t>
      </w:r>
      <w:r w:rsidR="00F25EB4">
        <w:t>HAP</w:t>
      </w:r>
      <w:r w:rsidRPr="000D7D3D">
        <w:t>-coated polystyrene discs. Optical and SEM microscopy analysis of HA</w:t>
      </w:r>
      <w:r w:rsidR="00F25EB4">
        <w:t>P</w:t>
      </w:r>
      <w:r w:rsidR="003148A7">
        <w:t xml:space="preserve">-coated </w:t>
      </w:r>
      <w:r w:rsidRPr="000D7D3D">
        <w:t xml:space="preserve">discs revealed the presence of secondary minerals on </w:t>
      </w:r>
      <w:r w:rsidR="003148A7">
        <w:t xml:space="preserve">the </w:t>
      </w:r>
      <w:r w:rsidRPr="000D7D3D">
        <w:t xml:space="preserve">hyphae of </w:t>
      </w:r>
      <w:r w:rsidRPr="000D7D3D">
        <w:rPr>
          <w:i/>
        </w:rPr>
        <w:t xml:space="preserve">P. involutus </w:t>
      </w:r>
      <w:r w:rsidRPr="00635993">
        <w:rPr>
          <w:i/>
        </w:rPr>
        <w:t>DJR1</w:t>
      </w:r>
      <w:r w:rsidRPr="000D7D3D">
        <w:t>, but only within experimental system</w:t>
      </w:r>
      <w:r w:rsidR="003148A7">
        <w:t>s</w:t>
      </w:r>
      <w:r w:rsidRPr="000D7D3D">
        <w:t xml:space="preserve"> </w:t>
      </w:r>
      <w:r w:rsidR="003148A7">
        <w:t xml:space="preserve">where the medium of the inoculum site was </w:t>
      </w:r>
      <w:r w:rsidRPr="000D7D3D">
        <w:t>supplied with 0.15</w:t>
      </w:r>
      <w:r w:rsidR="00F25EB4">
        <w:t xml:space="preserve"> </w:t>
      </w:r>
      <w:r w:rsidRPr="000D7D3D">
        <w:rPr>
          <w:lang w:val="el-GR"/>
        </w:rPr>
        <w:t>μ</w:t>
      </w:r>
      <w:r w:rsidR="003148A7">
        <w:t xml:space="preserve">M Pi, </w:t>
      </w:r>
      <w:r w:rsidRPr="000D7D3D">
        <w:t xml:space="preserve">after seven months of growth (Figures 4.5 and 4.7). No secondary minerals could be detected on </w:t>
      </w:r>
      <w:r w:rsidR="003148A7">
        <w:t xml:space="preserve">the </w:t>
      </w:r>
      <w:r w:rsidRPr="000D7D3D">
        <w:t xml:space="preserve">hyphae of </w:t>
      </w:r>
      <w:r w:rsidR="003148A7" w:rsidRPr="000D7D3D">
        <w:rPr>
          <w:i/>
        </w:rPr>
        <w:t xml:space="preserve">P. involutus </w:t>
      </w:r>
      <w:r w:rsidR="003148A7" w:rsidRPr="00635993">
        <w:rPr>
          <w:i/>
        </w:rPr>
        <w:t>DJR1</w:t>
      </w:r>
      <w:r w:rsidR="003148A7">
        <w:rPr>
          <w:i/>
        </w:rPr>
        <w:t xml:space="preserve"> </w:t>
      </w:r>
      <w:r w:rsidRPr="000D7D3D">
        <w:t xml:space="preserve">colonizing </w:t>
      </w:r>
      <w:r w:rsidR="00F25EB4">
        <w:t>HAP</w:t>
      </w:r>
      <w:r w:rsidRPr="000D7D3D">
        <w:t xml:space="preserve">-coated discs within the experimental system supplied with 1.85 </w:t>
      </w:r>
      <w:r w:rsidRPr="000D7D3D">
        <w:rPr>
          <w:lang w:val="el-GR"/>
        </w:rPr>
        <w:t>μ</w:t>
      </w:r>
      <w:r w:rsidRPr="000D7D3D">
        <w:t>M Pi after two months of</w:t>
      </w:r>
      <w:r w:rsidR="00241398">
        <w:t xml:space="preserve"> growth (Figures 4.4E and 4.6).</w:t>
      </w:r>
    </w:p>
    <w:p w14:paraId="7827A5CD" w14:textId="7E3297F8" w:rsidR="00332427" w:rsidRDefault="000D7D3D" w:rsidP="003148A7">
      <w:pPr>
        <w:ind w:firstLine="720"/>
      </w:pPr>
      <w:r w:rsidRPr="000D7D3D">
        <w:t xml:space="preserve">Similarly, no secondary minerals could be observed on hyphae of </w:t>
      </w:r>
      <w:r w:rsidRPr="000D7D3D">
        <w:rPr>
          <w:i/>
        </w:rPr>
        <w:t>P. involutus</w:t>
      </w:r>
      <w:r w:rsidRPr="000D7D3D">
        <w:t xml:space="preserve"> strains </w:t>
      </w:r>
      <w:r w:rsidRPr="00635993">
        <w:rPr>
          <w:i/>
        </w:rPr>
        <w:t>13</w:t>
      </w:r>
      <w:r w:rsidRPr="000D7D3D">
        <w:t xml:space="preserve"> and </w:t>
      </w:r>
      <w:r w:rsidRPr="00635993">
        <w:rPr>
          <w:i/>
        </w:rPr>
        <w:t>ATTC 200175</w:t>
      </w:r>
      <w:r w:rsidRPr="000D7D3D">
        <w:rPr>
          <w:i/>
        </w:rPr>
        <w:t xml:space="preserve"> </w:t>
      </w:r>
      <w:r w:rsidRPr="000D7D3D">
        <w:t xml:space="preserve">colonizing </w:t>
      </w:r>
      <w:r w:rsidR="00F25EB4">
        <w:t>HAP</w:t>
      </w:r>
      <w:r w:rsidRPr="000D7D3D">
        <w:t xml:space="preserve">-coated discs in the experimental system supplied with 1.85 </w:t>
      </w:r>
      <w:r w:rsidRPr="000D7D3D">
        <w:rPr>
          <w:lang w:val="el-GR"/>
        </w:rPr>
        <w:t>μ</w:t>
      </w:r>
      <w:r w:rsidR="003148A7">
        <w:t xml:space="preserve">M Pi after four </w:t>
      </w:r>
      <w:r w:rsidR="007E6D02">
        <w:t>or</w:t>
      </w:r>
      <w:r w:rsidR="003148A7">
        <w:t xml:space="preserve"> six months of</w:t>
      </w:r>
      <w:r w:rsidRPr="000D7D3D">
        <w:t xml:space="preserve"> growth, respectively</w:t>
      </w:r>
      <w:r w:rsidR="00D700B2">
        <w:t xml:space="preserve"> (Figures 4.4A and 4.4C). T</w:t>
      </w:r>
      <w:r w:rsidRPr="000D7D3D">
        <w:t xml:space="preserve">he above findings </w:t>
      </w:r>
      <w:r w:rsidR="00AA7EC6">
        <w:t>suggest</w:t>
      </w:r>
      <w:r w:rsidRPr="000D7D3D">
        <w:t xml:space="preserve"> that the ability of </w:t>
      </w:r>
      <w:r w:rsidRPr="000D7D3D">
        <w:rPr>
          <w:i/>
        </w:rPr>
        <w:t>P. involutus</w:t>
      </w:r>
      <w:r w:rsidRPr="000D7D3D">
        <w:t xml:space="preserve"> to dissolve a Pi-rich source depends on Pi availability, rather than </w:t>
      </w:r>
      <w:r w:rsidR="00D700B2">
        <w:t>the p</w:t>
      </w:r>
      <w:r w:rsidRPr="000D7D3D">
        <w:t>e</w:t>
      </w:r>
      <w:r w:rsidR="00D700B2">
        <w:t>riod</w:t>
      </w:r>
      <w:r w:rsidRPr="000D7D3D">
        <w:t xml:space="preserve"> of growth. Interestingly, while </w:t>
      </w:r>
      <w:r w:rsidRPr="000D7D3D">
        <w:rPr>
          <w:i/>
        </w:rPr>
        <w:t>P. involutus</w:t>
      </w:r>
      <w:r w:rsidRPr="000D7D3D">
        <w:t xml:space="preserve"> </w:t>
      </w:r>
      <w:r w:rsidRPr="00635993">
        <w:rPr>
          <w:i/>
        </w:rPr>
        <w:t>ATTC 200175</w:t>
      </w:r>
      <w:r w:rsidRPr="000D7D3D">
        <w:t xml:space="preserve"> hyphae were able to partially solubilise HA</w:t>
      </w:r>
      <w:r w:rsidR="00F25EB4">
        <w:t>P</w:t>
      </w:r>
      <w:r w:rsidRPr="000D7D3D">
        <w:t xml:space="preserve"> crystals after </w:t>
      </w:r>
      <w:r w:rsidR="00595439">
        <w:t>six</w:t>
      </w:r>
      <w:r w:rsidRPr="000D7D3D">
        <w:t xml:space="preserve"> months of growth (Figure 4.6S and T), no secondary mineral formation</w:t>
      </w:r>
      <w:r w:rsidR="00595439">
        <w:t>s were</w:t>
      </w:r>
      <w:r w:rsidRPr="000D7D3D">
        <w:t xml:space="preserve"> observed (Figures 4.4C and 4.6</w:t>
      </w:r>
      <w:r w:rsidR="00595439">
        <w:t>M-</w:t>
      </w:r>
      <w:r w:rsidRPr="000D7D3D">
        <w:t xml:space="preserve">S), suggesting that </w:t>
      </w:r>
      <w:r w:rsidR="00595439">
        <w:t xml:space="preserve">HAP </w:t>
      </w:r>
      <w:r w:rsidRPr="000D7D3D">
        <w:t xml:space="preserve">weathering in that experimental system may </w:t>
      </w:r>
      <w:r w:rsidR="00595439">
        <w:t>operate</w:t>
      </w:r>
      <w:r w:rsidRPr="000D7D3D">
        <w:t xml:space="preserve"> through mechanisms </w:t>
      </w:r>
      <w:r w:rsidR="00595439">
        <w:t>other than secretion of organic acids.</w:t>
      </w:r>
    </w:p>
    <w:p w14:paraId="30C79414" w14:textId="222919CE" w:rsidR="00332427" w:rsidRDefault="000D7D3D" w:rsidP="00635993">
      <w:pPr>
        <w:ind w:firstLine="720"/>
      </w:pPr>
      <w:r w:rsidRPr="000D7D3D">
        <w:lastRenderedPageBreak/>
        <w:t xml:space="preserve">According to the EDX data, C is detected </w:t>
      </w:r>
      <w:r w:rsidRPr="000D7D3D">
        <w:rPr>
          <w:i/>
        </w:rPr>
        <w:t>de novo</w:t>
      </w:r>
      <w:r w:rsidRPr="000D7D3D">
        <w:t xml:space="preserve"> on crystal structures from areas colonized by fungal hyphae (Figure 4.7U, V and W). Other than the C </w:t>
      </w:r>
      <w:r w:rsidR="004C1781">
        <w:t>in</w:t>
      </w:r>
      <w:r w:rsidRPr="000D7D3D">
        <w:t xml:space="preserve"> the fungal hyphae, the presence of C may indicate C-rich organic compounds on the crystal structures, such as </w:t>
      </w:r>
      <w:r w:rsidR="004C1781" w:rsidRPr="00635993">
        <w:t>LMW</w:t>
      </w:r>
      <w:r w:rsidR="004C1781" w:rsidRPr="000D7D3D">
        <w:t xml:space="preserve">OA </w:t>
      </w:r>
      <w:r w:rsidRPr="000D7D3D">
        <w:t xml:space="preserve">excreted by the fungal hyphae. It has been shown in previous </w:t>
      </w:r>
      <w:r w:rsidRPr="000D7D3D">
        <w:rPr>
          <w:i/>
        </w:rPr>
        <w:t>in vitro</w:t>
      </w:r>
      <w:r w:rsidRPr="000D7D3D">
        <w:t xml:space="preserve"> studies that oxalic acid is excreted in response to weathering of</w:t>
      </w:r>
      <w:r w:rsidR="004C1781">
        <w:t xml:space="preserve"> Ca-rich minerals or to calcium </w:t>
      </w:r>
      <w:r w:rsidRPr="000D7D3D">
        <w:t xml:space="preserve">phosphates, which in turn leads to the formation of calcium oxalates </w:t>
      </w:r>
      <w:r w:rsidRPr="000D7D3D">
        <w:fldChar w:fldCharType="begin" w:fldLock="1"/>
      </w:r>
      <w:r w:rsidR="00EE33AB">
        <w:instrText>ADDIN CSL_CITATION {"citationItems":[{"id":"ITEM-1","itemData":{"DOI":"10.1038/srep12187","ISSN":"2045-2322","PMID":"26197714","abstract":"Trees and their associated rhizosphere organisms play a major role in mineral weathering driving calcium fluxes from the continents to the oceans that ultimately control long-term atmospheric CO2 and climate through the geochemical carbon cycle. Photosynthate allocation to tree roots and their mycorrhizal fungi is hypothesized to fuel the active secretion of protons and organic chelators that enhance calcium dissolution at fungal-mineral interfaces. This was tested using (14)CO2 supplied to shoots of Pinus sylvestris ectomycorrhizal with the widespread fungus Paxillus involutus in monoxenic microcosms, revealing preferential allocation by the fungus of plant photoassimilate to weather grains of limestone and silicates each with a combined calcium and magnesium content of over 10 wt.%. Hyphae had acidic surfaces and linear accumulation of weathered calcium with secreted oxalate, increasing significantly in sequence: quartz, granite &lt; basalt, olivine, limestone &lt; gabbro. These findings confirmed the role of mineral-specific oxalate exudation in ectomycorrhizal weathering to dissolve calcium bearing minerals, thus contributing to the geochemical carbon cycle.","author":[{"dropping-particle":"","family":"Schmalenberger","given":"A","non-dropping-particle":"","parse-names":false,"suffix":""},{"dropping-particle":"","family":"Duran","given":"A L","non-dropping-particle":"","parse-names":false,"suffix":""},{"dropping-particle":"","family":"Bray","given":"A W","non-dropping-particle":"","parse-names":false,"suffix":""},{"dropping-particle":"","family":"Bridge","given":"J","non-dropping-particle":"","parse-names":false,"suffix":""},{"dropping-particle":"","family":"Bonneville","given":"S","non-dropping-particle":"","parse-names":false,"suffix":""},{"dropping-particle":"","family":"Benning","given":"L G","non-dropping-particle":"","parse-names":false,"suffix":""},{"dropping-particle":"","family":"Romero-Gonzalez","given":"M E","non-dropping-particle":"","parse-names":false,"suffix":""},{"dropping-particle":"","family":"Leake","given":"J R","non-dropping-particle":"","parse-names":false,"suffix":""},{"dropping-particle":"","family":"Banwart","given":"S A","non-dropping-particle":"","parse-names":false,"suffix":""}],"container-title":"Scientific reports","id":"ITEM-1","issue":"January","issued":{"date-parts":[["2015"]]},"page":"12187","publisher":"Nature Publishing Group","title":"Oxalate secretion by ectomycorrhizal Paxillus involutus is mineral-specific and controls calcium weathering from minerals.","type":"article-journal","volume":"5"},"uris":["http://www.mendeley.com/documents/?uuid=9c31a0e1-dc7a-43a9-8089-3386c14f9039"]},{"id":"ITEM-2","itemData":{"DOI":"10.1139/b91-046","ISSN":"0008-4026","author":[{"dropping-particle":"","family":"Lapeyrie","given":"F","non-dropping-particle":"","parse-names":false,"suffix":""},{"dropping-particle":"","family":"Ranger","given":"J","non-dropping-particle":"","parse-names":false,"suffix":""},{"dropping-particle":"","family":"Vairelles","given":"D","non-dropping-particle":"","parse-names":false,"suffix":""}],"container-title":"Canadian Journal of Botany","id":"ITEM-2","issue":"2","issued":{"date-parts":[["1991","2","1"]]},"note":"doi: 10.1139/b91-046","page":"342-346","publisher":"NRC Research Press","title":"Phosphate-solubilizing activity of ectomycorrhizal fungi in vitro","type":"article-journal","volume":"69"},"uris":["http://www.mendeley.com/documents/?uuid=4906a540-2ecd-4f2f-a297-154ce76ea523"]}],"mendeley":{"formattedCitation":"(Schmalenberger et al., 2015; Lapeyrie et al., 1991)","plainTextFormattedCitation":"(Schmalenberger et al., 2015; Lapeyrie et al., 1991)","previouslyFormattedCitation":"(Schmalenberger et al., 2015; Lapeyrie et al., 1991)"},"properties":{"noteIndex":0},"schema":"https://github.com/citation-style-language/schema/raw/master/csl-citation.json"}</w:instrText>
      </w:r>
      <w:r w:rsidRPr="000D7D3D">
        <w:fldChar w:fldCharType="separate"/>
      </w:r>
      <w:r w:rsidRPr="000D7D3D">
        <w:rPr>
          <w:noProof/>
        </w:rPr>
        <w:t>(Schmalenberger et al., 2015; Lapeyrie et al., 1991)</w:t>
      </w:r>
      <w:r w:rsidRPr="000D7D3D">
        <w:fldChar w:fldCharType="end"/>
      </w:r>
      <w:r w:rsidRPr="000D7D3D">
        <w:t xml:space="preserve">. The detection of C by EDX, in combination with the similarity in crystal morphology between the secondary minerals detected and calcium oxalate crystals (Figures 4.5A and 4.7I-T), support the assumption that </w:t>
      </w:r>
      <w:r w:rsidR="00F25EB4" w:rsidRPr="00635993">
        <w:t>LMW</w:t>
      </w:r>
      <w:r w:rsidRPr="000D7D3D">
        <w:t>OA</w:t>
      </w:r>
      <w:r w:rsidRPr="000D7D3D">
        <w:rPr>
          <w:vertAlign w:val="subscript"/>
        </w:rPr>
        <w:t xml:space="preserve"> </w:t>
      </w:r>
      <w:r w:rsidRPr="000D7D3D">
        <w:t xml:space="preserve">could be excreted in the </w:t>
      </w:r>
      <w:r w:rsidR="00F25EB4">
        <w:t>HAP</w:t>
      </w:r>
      <w:r w:rsidR="00F25EB4" w:rsidRPr="000D7D3D">
        <w:t xml:space="preserve"> </w:t>
      </w:r>
      <w:r w:rsidRPr="000D7D3D">
        <w:t xml:space="preserve">solubilisation system. However, only sensitive chemical profiling of minerals, such as mass spectrometry, could confirm the excretion of organic acids in the </w:t>
      </w:r>
      <w:r w:rsidR="00F25EB4">
        <w:t>HAP</w:t>
      </w:r>
      <w:r w:rsidR="00F25EB4" w:rsidRPr="000D7D3D">
        <w:t xml:space="preserve"> </w:t>
      </w:r>
      <w:r w:rsidRPr="000D7D3D">
        <w:t>weathering system.</w:t>
      </w:r>
    </w:p>
    <w:p w14:paraId="1DE06D86" w14:textId="68D06464" w:rsidR="000D7D3D" w:rsidRPr="000D7D3D" w:rsidRDefault="000D7D3D" w:rsidP="00635993">
      <w:pPr>
        <w:ind w:firstLine="720"/>
      </w:pPr>
      <w:r w:rsidRPr="000D7D3D">
        <w:t xml:space="preserve">Altogether, these findings provide evidence that enhanced P-rich mineral weathering through LMWOA secretion, and thus secondary mineral formations, is triggered when Pi availability is low, to the point of Pi starvation. Previous </w:t>
      </w:r>
      <w:r w:rsidRPr="000D7D3D">
        <w:rPr>
          <w:i/>
        </w:rPr>
        <w:t>in vitro</w:t>
      </w:r>
      <w:r w:rsidRPr="000D7D3D">
        <w:t xml:space="preserve"> studies have reported similar behaviour of fungal weathering activity </w:t>
      </w:r>
      <w:r w:rsidRPr="000D7D3D">
        <w:fldChar w:fldCharType="begin" w:fldLock="1"/>
      </w:r>
      <w:r w:rsidR="00EE33AB">
        <w:instrText>ADDIN CSL_CITATION {"citationItems":[{"id":"ITEM-1","itemData":{"DOI":"10.1080/01490450902929324","ISBN":"0149-0451","ISSN":"01490451","abstract":"Ectomycorrhizal fungi are mutualistic symbionts of boreal forest trees and may mediate mineral weathering through their direct access to photosyntentically derived carbon. In soil, fungal mycelia (i) provide a large surface for nutrient uptake; (ii) induce intense colonization of nutrient rich substrates; (iii) cause local acidification and (iv) produce organic acids. Mechanisms of ectomyorrhizal fungi induced weathering in response to nutrient limiting growth conditions remains largely unresolved. This review summarizes how current knowledge on fungal weathering is affected by experimental setup and conditions, i.e., pure or symbiotic growth, nitrogen source, the mean of detecting weathering activity and species examined.","author":[{"dropping-particle":"","family":"Rosling","given":"Anna","non-dropping-particle":"","parse-names":false,"suffix":""}],"container-title":"Geomicrobiology Journal","id":"ITEM-1","issue":"6","issued":{"date-parts":[["2009"]]},"page":"389-401","title":"Trees, mycorrhiza and minerals - field relevance of in vitro experiments","type":"article-journal","volume":"26"},"uris":["http://www.mendeley.com/documents/?uuid=48dd7d54-3fbd-4b85-afd6-8ee329c4b40e"]}],"mendeley":{"formattedCitation":"(Rosling, 2009)","plainTextFormattedCitation":"(Rosling, 2009)","previouslyFormattedCitation":"(Rosling, 2009)"},"properties":{"noteIndex":0},"schema":"https://github.com/citation-style-language/schema/raw/master/csl-citation.json"}</w:instrText>
      </w:r>
      <w:r w:rsidRPr="000D7D3D">
        <w:fldChar w:fldCharType="separate"/>
      </w:r>
      <w:r w:rsidRPr="000D7D3D">
        <w:rPr>
          <w:noProof/>
        </w:rPr>
        <w:t>(Rosling, 2009)</w:t>
      </w:r>
      <w:r w:rsidRPr="000D7D3D">
        <w:fldChar w:fldCharType="end"/>
      </w:r>
      <w:r w:rsidRPr="000D7D3D">
        <w:t>.</w:t>
      </w:r>
    </w:p>
    <w:p w14:paraId="45D672C3" w14:textId="77777777" w:rsidR="000D7D3D" w:rsidRPr="000D7D3D" w:rsidRDefault="000D7D3D" w:rsidP="003F7054"/>
    <w:p w14:paraId="4EFD8ED0" w14:textId="1E08F0F0" w:rsidR="000D7D3D" w:rsidRPr="000D7D3D" w:rsidRDefault="000D7D3D" w:rsidP="00635993">
      <w:pPr>
        <w:pStyle w:val="Heading2"/>
      </w:pPr>
      <w:bookmarkStart w:id="378" w:name="_Toc507604047"/>
      <w:bookmarkStart w:id="379" w:name="_Toc507604314"/>
      <w:bookmarkStart w:id="380" w:name="_Toc519017024"/>
      <w:bookmarkStart w:id="381" w:name="_Toc520837929"/>
      <w:r w:rsidRPr="000D7D3D">
        <w:t xml:space="preserve">4.4.3 Gene expression analysis of </w:t>
      </w:r>
      <w:r w:rsidRPr="000D7D3D">
        <w:rPr>
          <w:i/>
        </w:rPr>
        <w:t>P. involutus</w:t>
      </w:r>
      <w:r w:rsidRPr="000D7D3D">
        <w:t xml:space="preserve"> genes putatively involved in the process of </w:t>
      </w:r>
      <w:r w:rsidR="00F25EB4">
        <w:t>HAP</w:t>
      </w:r>
      <w:r w:rsidR="00F25EB4" w:rsidRPr="000D7D3D">
        <w:t xml:space="preserve"> </w:t>
      </w:r>
      <w:r w:rsidRPr="000D7D3D">
        <w:t>solubilisation with qRT-PCR</w:t>
      </w:r>
      <w:bookmarkEnd w:id="378"/>
      <w:bookmarkEnd w:id="379"/>
      <w:bookmarkEnd w:id="380"/>
      <w:bookmarkEnd w:id="381"/>
      <w:r w:rsidRPr="000D7D3D">
        <w:t xml:space="preserve"> </w:t>
      </w:r>
    </w:p>
    <w:p w14:paraId="73DDC024" w14:textId="7893AC47" w:rsidR="000D7D3D" w:rsidRPr="000D7D3D" w:rsidRDefault="000D7D3D" w:rsidP="00207753">
      <w:r w:rsidRPr="000D7D3D">
        <w:t>The lack of differences in expression for all three candidate weathering genes identi</w:t>
      </w:r>
      <w:r w:rsidR="00FB4FCA">
        <w:t xml:space="preserve">fied between weathering systems </w:t>
      </w:r>
      <w:r w:rsidRPr="000D7D3D">
        <w:t xml:space="preserve">may indicate that these genes do not play an active role in </w:t>
      </w:r>
      <w:r w:rsidR="00F25EB4">
        <w:t>HAP</w:t>
      </w:r>
      <w:r w:rsidR="00F25EB4" w:rsidRPr="000D7D3D">
        <w:t xml:space="preserve"> </w:t>
      </w:r>
      <w:r w:rsidRPr="000D7D3D">
        <w:t>solubilisation</w:t>
      </w:r>
      <w:r w:rsidR="00FB4FCA">
        <w:t xml:space="preserve"> </w:t>
      </w:r>
      <w:r w:rsidR="00FB4FCA" w:rsidRPr="000D7D3D">
        <w:t>(Figure 4.8A-C)</w:t>
      </w:r>
      <w:r w:rsidRPr="000D7D3D">
        <w:t xml:space="preserve">. Their putative function in </w:t>
      </w:r>
      <w:r w:rsidR="006769B0">
        <w:t>H</w:t>
      </w:r>
      <w:r w:rsidR="006769B0" w:rsidRPr="00635993">
        <w:rPr>
          <w:vertAlign w:val="superscript"/>
        </w:rPr>
        <w:t>+</w:t>
      </w:r>
      <w:r w:rsidR="006769B0" w:rsidRPr="000D7D3D">
        <w:t xml:space="preserve"> </w:t>
      </w:r>
      <w:r w:rsidRPr="000D7D3D">
        <w:t xml:space="preserve">or </w:t>
      </w:r>
      <w:r w:rsidR="00FB4FCA">
        <w:t>LMWOA</w:t>
      </w:r>
      <w:r w:rsidRPr="000D7D3D">
        <w:t xml:space="preserve"> extrusion was inferred from </w:t>
      </w:r>
      <w:r w:rsidR="00FB4FCA">
        <w:t xml:space="preserve">amino acid </w:t>
      </w:r>
      <w:r w:rsidRPr="000D7D3D">
        <w:t xml:space="preserve">sequence similarities with previously-characterized </w:t>
      </w:r>
      <w:r w:rsidR="00FB4FCA">
        <w:t>proteins</w:t>
      </w:r>
      <w:r w:rsidRPr="000D7D3D">
        <w:t xml:space="preserve"> from other fungal species (Section 4.2.6). There is a possibility that the actual function of these genes in </w:t>
      </w:r>
      <w:r w:rsidRPr="000D7D3D">
        <w:rPr>
          <w:i/>
        </w:rPr>
        <w:t>P. involutus</w:t>
      </w:r>
      <w:r w:rsidRPr="000D7D3D">
        <w:t xml:space="preserve"> may be different from the inferred one. In addition, mycorrhizal symbiosis has been shown to be a powerful driver in mineral weathering by fungal hyphae, as plants supply </w:t>
      </w:r>
      <w:r w:rsidR="00FB4FCA">
        <w:t>C</w:t>
      </w:r>
      <w:r w:rsidRPr="000D7D3D">
        <w:t xml:space="preserve"> for enhanced production of </w:t>
      </w:r>
      <w:r w:rsidR="00F25EB4" w:rsidRPr="00635993">
        <w:t>LMW</w:t>
      </w:r>
      <w:r w:rsidRPr="000D7D3D">
        <w:t>OA</w:t>
      </w:r>
      <w:r w:rsidR="00F25EB4" w:rsidRPr="00635993">
        <w:t xml:space="preserve"> </w:t>
      </w:r>
      <w:r w:rsidRPr="000D7D3D">
        <w:rPr>
          <w:vertAlign w:val="subscript"/>
        </w:rPr>
        <w:fldChar w:fldCharType="begin" w:fldLock="1"/>
      </w:r>
      <w:r w:rsidR="00EE33AB">
        <w:rPr>
          <w:vertAlign w:val="subscript"/>
        </w:rPr>
        <w:instrText>ADDIN CSL_CITATION {"citationItems":[{"id":"ITEM-1","itemData":{"DOI":"10.1111/j.1472-4669.2009.00194.x","ISSN":"1472-4669","PMID":"19323695","abstract":"The dramatic decline in atmospheric CO2 evidenced by proxy data during the Devonian (416.0-359.2 Ma) and the gradual decline from the Cretaceous (145.5-65.5 Ma) onwards have been linked to the spread of deeply rooted trees and the rise of angiosperms, respectively. But this paradigm overlooks the coevolution of roots with the major groups of symbiotic fungal partners that have dominated terrestrial ecosystems throughout Earth history. The colonization of land by plants was coincident with the rise of arbuscular mycorrhizal fungi (AMF),while the Cenozoic (c. 65.5-0 Ma) witnessed the rise of ectomycorrhizal fungi (EMF) that associate with both gymnosperm and angiosperm tree roots. Here, we critically review evidence for the influence of AMF and EMF on mineral weathering processes. We show that the key weathering processes underpinning the current paradigm and ascribed to plants are actually driven by the combined activities of roots and mycorrhizal fungi. Fuelled by substantial amounts of recent photosynthate transported from shoots to roots, these fungi form extensive mycelial networks which extend into soil actively foraging for nutrients by altering minerals through the acidification of the immediate root environment. EMF aggressively weather minerals through the additional mechanism of releasing low molecular weight organic chelators. Rates of biotic weathering might therefore be more usefully conceptualized as being fundamentally controlled by the biomass, surface area of contact, and capacity of roots and their mycorrhizal fungal partners to interact physically and chemically with minerals. All of these activities are ultimately controlled by rates of carbon-energy supply from photosynthetic organisms. The weathering functions in leading carbon cycle models require experiments and field studies of evolutionary grades of plants with appropriate mycorrhizal associations. Representation of the coevolution of roots and fungi in geochemical carbon cycle models is required to further our understanding of the role of the biota in Earth's CO2 and climate history.","author":[{"dropping-particle":"","family":"Taylor","given":"L L","non-dropping-particle":"","parse-names":false,"suffix":""},{"dropping-particle":"","family":"Leake","given":"J R","non-dropping-particle":"","parse-names":false,"suffix":""},{"dropping-particle":"","family":"Quirk","given":"J","non-dropping-particle":"","parse-names":false,"suffix":""},{"dropping-particle":"","family":"Hardy","given":"K","non-dropping-particle":"","parse-names":false,"suffix":""},{"dropping-particle":"","family":"Banwart","given":"S a","non-dropping-particle":"","parse-names":false,"suffix":""},{"dropping-particle":"","family":"Beerling","given":"D J","non-dropping-particle":"","parse-names":false,"suffix":""}],"container-title":"Geobiology","id":"ITEM-1","issue":"2","issued":{"date-parts":[["2009","3"]]},"page":"171-91","title":"Biological weathering and the long-term carbon cycle: integrating mycorrhizal evolution and function into the current paradigm.","type":"article-journal","volume":"7"},"uris":["http://www.mendeley.com/documents/?uuid=a31d270b-f511-4298-a346-e933feb2dc6e"]},{"id":"ITEM-2","itemData":{"DOI":"10.1111/j.1472-4669.2012.00331.x","ISSN":"1472-4669","PMID":"22624799","abstract":"Ectomycorrhizal (EcM) fungi are increasingly recognized as important agents of mineral weathering and soil development, with far-reaching impacts on biogeochemical cycles. Because EcM fungi live in a symbiotic relationship with trees and in close contact with bacteria and archaea, it is difficult to distinguish between the weathering effects of the fungus, host tree and other micro-organisms. Here, we quantified mineral weathering by the fungus Paxillus involutus, growing in symbiosis with Pinus sylvestris under sterile conditions. The mycorrhizal trees were grown in specially designed sterile microcosms in which the supply of soluble phosphorus (P) in the bulk media was varied and grains of the calcium phosphate mineral apatite mixed with quartz, or quartz alone, were provided in plastic wells that were only accessed by their fungal partner. Under P limitation, pulse labelling of plants with (14)CO(2) revealed plant-to-fungus allocation of photosynthates, with 17 times more (14)C transferred into the apatite wells compared with wells with only quartz. Fungal colonization increased the release of P from apatite by almost a factor of three, from 7.5 (±1.1) × 10(-10) mol m(-2) s(-1) to 2.2 (±0.52) × 10(-9) mol m(-2) s(-1). On increasing the P supply in the microcosms from no added P, through apatite alone, to both apatite and orthophosphate, the proportion of biomass in roots progressively increased at the expense of the fungus. These three observations, (i) proportionately more plant energy investment in the fungal partner under P limitation, (ii) preferential fungal transport of photosynthate-derived carbon towards patches of apatite grains and (iii) fungal enhancement of weathering rate, reveal the tightly coupled plant-fungal interactions underpinning enhanced EcM weathering of apatite and its utilization as P source.","author":[{"dropping-particle":"","family":"Smits","given":"M M","non-dropping-particle":"","parse-names":false,"suffix":""},{"dropping-particle":"","family":"Bonneville","given":"S","non-dropping-particle":"","parse-names":false,"suffix":""},{"dropping-particle":"","family":"Benning","given":"L G","non-dropping-particle":"","parse-names":false,"suffix":""},{"dropping-particle":"","family":"Banwart","given":"S a","non-dropping-particle":"","parse-names":false,"suffix":""},{"dropping-particle":"","family":"Leake","given":"J R","non-dropping-particle":"","parse-names":false,"suffix":""}],"container-title":"Geobiology","id":"ITEM-2","issue":"5","issued":{"date-parts":[["2012","9"]]},"page":"445-56","title":"Plant-driven weathering of apatite--the role of an ectomycorrhizal fungus.","type":"article-journal","volume":"10"},"uris":["http://www.mendeley.com/documents/?uuid=93facf83-0170-4a2e-bf59-d0cc3badf46e"]}],"mendeley":{"formattedCitation":"(Taylor et al., 2009; Smits et al., 2012)","plainTextFormattedCitation":"(Taylor et al., 2009; Smits et al., 2012)","previouslyFormattedCitation":"(Taylor et al., 2009; Smits et al., 2012)"},"properties":{"noteIndex":0},"schema":"https://github.com/citation-style-language/schema/raw/master/csl-citation.json"}</w:instrText>
      </w:r>
      <w:r w:rsidRPr="000D7D3D">
        <w:rPr>
          <w:vertAlign w:val="subscript"/>
        </w:rPr>
        <w:fldChar w:fldCharType="separate"/>
      </w:r>
      <w:r w:rsidRPr="000D7D3D">
        <w:rPr>
          <w:noProof/>
        </w:rPr>
        <w:t>(Taylor et al., 2009; Smits et al., 2012)</w:t>
      </w:r>
      <w:r w:rsidRPr="000D7D3D">
        <w:rPr>
          <w:vertAlign w:val="subscript"/>
        </w:rPr>
        <w:fldChar w:fldCharType="end"/>
      </w:r>
      <w:r w:rsidR="00167916">
        <w:t xml:space="preserve">. </w:t>
      </w:r>
      <w:r w:rsidR="00FB4FCA">
        <w:t>Hence, t</w:t>
      </w:r>
      <w:r w:rsidRPr="000D7D3D">
        <w:t xml:space="preserve">he lack </w:t>
      </w:r>
      <w:r w:rsidR="00C501AE">
        <w:t xml:space="preserve">of symbiosis in the current </w:t>
      </w:r>
      <w:r w:rsidR="00FB4FCA">
        <w:t xml:space="preserve">experimental </w:t>
      </w:r>
      <w:r w:rsidR="00C501AE">
        <w:t>set</w:t>
      </w:r>
      <w:r w:rsidRPr="000D7D3D">
        <w:t xml:space="preserve">up of the weathering systems may explain why </w:t>
      </w:r>
      <w:r w:rsidR="00FB4FCA">
        <w:t xml:space="preserve">the </w:t>
      </w:r>
      <w:r w:rsidRPr="000D7D3D">
        <w:t xml:space="preserve">putative citrate </w:t>
      </w:r>
      <w:r w:rsidR="00FB4FCA">
        <w:t>or</w:t>
      </w:r>
      <w:r w:rsidRPr="000D7D3D">
        <w:t xml:space="preserve"> oxalate transporters show no differences in the presence or absence of </w:t>
      </w:r>
      <w:r w:rsidR="00F25EB4">
        <w:t>HAP</w:t>
      </w:r>
      <w:r w:rsidR="00FB4FCA">
        <w:t>.</w:t>
      </w:r>
      <w:r w:rsidR="00207753">
        <w:br w:type="page"/>
      </w:r>
    </w:p>
    <w:p w14:paraId="74166C24" w14:textId="11E4D014" w:rsidR="000D7D3D" w:rsidRPr="000D7D3D" w:rsidRDefault="000D7D3D" w:rsidP="00635993">
      <w:pPr>
        <w:pStyle w:val="Heading2"/>
        <w:rPr>
          <w:i/>
        </w:rPr>
      </w:pPr>
      <w:bookmarkStart w:id="382" w:name="_Toc507604048"/>
      <w:bookmarkStart w:id="383" w:name="_Toc507604315"/>
      <w:bookmarkStart w:id="384" w:name="_Toc519017025"/>
      <w:bookmarkStart w:id="385" w:name="_Toc520837930"/>
      <w:r w:rsidRPr="000D7D3D">
        <w:lastRenderedPageBreak/>
        <w:t xml:space="preserve">4.4.4 Gene expression analysis of </w:t>
      </w:r>
      <w:r w:rsidRPr="000D7D3D">
        <w:rPr>
          <w:i/>
        </w:rPr>
        <w:t>P. involutus</w:t>
      </w:r>
      <w:r w:rsidRPr="000D7D3D">
        <w:t xml:space="preserve"> high-affinity Pi transporter </w:t>
      </w:r>
      <w:r w:rsidR="00BB1FE9">
        <w:t xml:space="preserve">gene </w:t>
      </w:r>
      <w:r w:rsidRPr="000D7D3D">
        <w:rPr>
          <w:i/>
        </w:rPr>
        <w:t>PiPT1</w:t>
      </w:r>
      <w:bookmarkEnd w:id="382"/>
      <w:bookmarkEnd w:id="383"/>
      <w:bookmarkEnd w:id="384"/>
      <w:bookmarkEnd w:id="385"/>
    </w:p>
    <w:p w14:paraId="04F3B8CC" w14:textId="77777777" w:rsidR="00411705" w:rsidRDefault="000D7D3D" w:rsidP="00411705">
      <w:r w:rsidRPr="000D7D3D">
        <w:t xml:space="preserve">As established previously, expression of the high-affinity Pi transporter </w:t>
      </w:r>
      <w:r w:rsidRPr="000D7D3D">
        <w:rPr>
          <w:i/>
        </w:rPr>
        <w:t>PiPT1</w:t>
      </w:r>
      <w:r w:rsidRPr="000D7D3D">
        <w:t xml:space="preserve"> is inversely proportional to the availability of Pi in the media, with the strongest induction identified in Pi starvation condition</w:t>
      </w:r>
      <w:r w:rsidR="009D6AB8">
        <w:t xml:space="preserve">s (Chapter 3, Figure 3.2). </w:t>
      </w:r>
      <w:r w:rsidRPr="000D7D3D">
        <w:rPr>
          <w:i/>
        </w:rPr>
        <w:t>PiPT1</w:t>
      </w:r>
      <w:r w:rsidRPr="000D7D3D">
        <w:t xml:space="preserve"> </w:t>
      </w:r>
      <w:r w:rsidR="009D6AB8">
        <w:t xml:space="preserve">relative </w:t>
      </w:r>
      <w:r w:rsidR="009D6AB8" w:rsidRPr="009D6AB8">
        <w:rPr>
          <w:i/>
        </w:rPr>
        <w:t>mRNA</w:t>
      </w:r>
      <w:r w:rsidR="009D6AB8">
        <w:t xml:space="preserve"> </w:t>
      </w:r>
      <w:r w:rsidRPr="000D7D3D">
        <w:t xml:space="preserve">expression </w:t>
      </w:r>
      <w:r w:rsidR="009D6AB8">
        <w:t xml:space="preserve">showed a higher than </w:t>
      </w:r>
      <w:r w:rsidR="009D6AB8" w:rsidRPr="000D7D3D">
        <w:t xml:space="preserve">10-fold </w:t>
      </w:r>
      <w:r w:rsidR="009D6AB8">
        <w:t xml:space="preserve">difference </w:t>
      </w:r>
      <w:r w:rsidRPr="000D7D3D">
        <w:t>between the two-month</w:t>
      </w:r>
      <w:r w:rsidR="009D6AB8">
        <w:t>s-old</w:t>
      </w:r>
      <w:r w:rsidRPr="000D7D3D">
        <w:t xml:space="preserve"> and the seven-month</w:t>
      </w:r>
      <w:r w:rsidR="009D6AB8">
        <w:t xml:space="preserve">s-old systems (Figure 4.8D). </w:t>
      </w:r>
      <w:r w:rsidR="003C307C">
        <w:t xml:space="preserve">This finding may be due to </w:t>
      </w:r>
      <w:r w:rsidRPr="000D7D3D">
        <w:t xml:space="preserve">the differences in </w:t>
      </w:r>
      <w:r w:rsidR="009D6AB8" w:rsidRPr="000D7D3D">
        <w:t xml:space="preserve">Pi </w:t>
      </w:r>
      <w:r w:rsidR="00291E13">
        <w:t>concentration</w:t>
      </w:r>
      <w:r w:rsidRPr="000D7D3D">
        <w:t xml:space="preserve"> </w:t>
      </w:r>
      <w:r w:rsidR="003C307C">
        <w:t xml:space="preserve">provided in the media of </w:t>
      </w:r>
      <w:r w:rsidR="009D6AB8">
        <w:t>the</w:t>
      </w:r>
      <w:r w:rsidRPr="000D7D3D">
        <w:t xml:space="preserve"> fun</w:t>
      </w:r>
      <w:r w:rsidR="009D6AB8">
        <w:t>gal inoculum side, which varies more than 10-fold</w:t>
      </w:r>
      <w:r w:rsidRPr="000D7D3D">
        <w:t>.</w:t>
      </w:r>
    </w:p>
    <w:p w14:paraId="06304FD0" w14:textId="5F16657A" w:rsidR="00BD51B3" w:rsidRPr="000D7D3D" w:rsidRDefault="00411705" w:rsidP="00411705">
      <w:pPr>
        <w:ind w:firstLine="720"/>
      </w:pPr>
      <w:r>
        <w:t xml:space="preserve">Additionally, </w:t>
      </w:r>
      <w:r w:rsidR="000D7D3D" w:rsidRPr="000D7D3D">
        <w:t xml:space="preserve">1.85 </w:t>
      </w:r>
      <w:r w:rsidR="000D7D3D" w:rsidRPr="000D7D3D">
        <w:rPr>
          <w:lang w:val="el-GR"/>
        </w:rPr>
        <w:t>μ</w:t>
      </w:r>
      <w:r w:rsidR="000D7D3D" w:rsidRPr="000D7D3D">
        <w:t xml:space="preserve">M </w:t>
      </w:r>
      <w:r w:rsidR="00291E13">
        <w:t xml:space="preserve">of </w:t>
      </w:r>
      <w:r w:rsidR="00291E13" w:rsidRPr="000D7D3D">
        <w:t xml:space="preserve">supplied </w:t>
      </w:r>
      <w:r w:rsidR="000D7D3D" w:rsidRPr="000D7D3D">
        <w:t xml:space="preserve">Pi </w:t>
      </w:r>
      <w:r>
        <w:t>with</w:t>
      </w:r>
      <w:r w:rsidR="00291E13">
        <w:t xml:space="preserve">in </w:t>
      </w:r>
      <w:r w:rsidR="000D7D3D" w:rsidRPr="000D7D3D">
        <w:t>the two-month</w:t>
      </w:r>
      <w:r w:rsidR="00291E13">
        <w:t>s</w:t>
      </w:r>
      <w:r w:rsidR="000D7D3D" w:rsidRPr="000D7D3D">
        <w:t>-old system may be sufficient to sustain fungal growth without triggering any HA</w:t>
      </w:r>
      <w:r w:rsidR="00307A80">
        <w:t>P</w:t>
      </w:r>
      <w:r w:rsidR="00291E13">
        <w:t xml:space="preserve"> weathering, </w:t>
      </w:r>
      <w:r w:rsidR="000D7D3D" w:rsidRPr="000D7D3D">
        <w:t xml:space="preserve">as indicated by </w:t>
      </w:r>
      <w:r w:rsidR="00291E13">
        <w:t>SEM-EDX analysis (Figure</w:t>
      </w:r>
      <w:r w:rsidR="000D7D3D" w:rsidRPr="000D7D3D">
        <w:t xml:space="preserve"> 4</w:t>
      </w:r>
      <w:r w:rsidR="00654413">
        <w:t>.6</w:t>
      </w:r>
      <w:r w:rsidR="00291E13">
        <w:t>I-L</w:t>
      </w:r>
      <w:r w:rsidR="000D7D3D" w:rsidRPr="000D7D3D">
        <w:t xml:space="preserve">) as well as </w:t>
      </w:r>
      <w:r w:rsidR="000D7D3D" w:rsidRPr="000D7D3D">
        <w:rPr>
          <w:i/>
        </w:rPr>
        <w:t>PiPT1</w:t>
      </w:r>
      <w:r w:rsidR="000D7D3D" w:rsidRPr="000D7D3D">
        <w:t xml:space="preserve"> </w:t>
      </w:r>
      <w:r>
        <w:t xml:space="preserve">gene </w:t>
      </w:r>
      <w:r w:rsidR="000D7D3D" w:rsidRPr="000D7D3D">
        <w:t>expression</w:t>
      </w:r>
      <w:r w:rsidR="009606A0">
        <w:t>, which remained unchanged</w:t>
      </w:r>
      <w:r w:rsidR="000D7D3D" w:rsidRPr="000D7D3D">
        <w:t xml:space="preserve"> (Figure 4.8D).</w:t>
      </w:r>
    </w:p>
    <w:p w14:paraId="28B5DCBD" w14:textId="5EFB76B9" w:rsidR="000D7D3D" w:rsidRPr="000D7D3D" w:rsidRDefault="000D7D3D" w:rsidP="00634533">
      <w:pPr>
        <w:ind w:firstLine="720"/>
      </w:pPr>
      <w:r w:rsidRPr="000D7D3D">
        <w:t xml:space="preserve">On the other hand, </w:t>
      </w:r>
      <w:r w:rsidR="00F25188">
        <w:t xml:space="preserve">statistically </w:t>
      </w:r>
      <w:r w:rsidRPr="000D7D3D">
        <w:t xml:space="preserve">significant </w:t>
      </w:r>
      <w:r w:rsidR="009606A0">
        <w:t xml:space="preserve">downregulation of </w:t>
      </w:r>
      <w:r w:rsidRPr="000D7D3D">
        <w:rPr>
          <w:i/>
        </w:rPr>
        <w:t>PiPT1</w:t>
      </w:r>
      <w:r w:rsidRPr="000D7D3D">
        <w:t xml:space="preserve"> </w:t>
      </w:r>
      <w:r w:rsidR="009606A0">
        <w:t>in +HAP compared to -</w:t>
      </w:r>
      <w:r w:rsidRPr="000D7D3D">
        <w:t xml:space="preserve">HAP </w:t>
      </w:r>
      <w:r w:rsidR="009606A0">
        <w:t>in</w:t>
      </w:r>
      <w:r w:rsidRPr="000D7D3D">
        <w:t xml:space="preserve"> the seven-month</w:t>
      </w:r>
      <w:r w:rsidR="009606A0">
        <w:t>s</w:t>
      </w:r>
      <w:r w:rsidRPr="000D7D3D">
        <w:t xml:space="preserve">-old system (Figure 4.8D) may indicate increased Pi availability in </w:t>
      </w:r>
      <w:r w:rsidR="00D700B2">
        <w:t xml:space="preserve">the </w:t>
      </w:r>
      <w:r w:rsidRPr="000D7D3D">
        <w:t>presence of HA</w:t>
      </w:r>
      <w:r w:rsidR="00307A80">
        <w:t>P</w:t>
      </w:r>
      <w:r w:rsidRPr="000D7D3D">
        <w:t>, providi</w:t>
      </w:r>
      <w:r w:rsidR="000B0D8F">
        <w:t>ng additional indirect evidence</w:t>
      </w:r>
      <w:r w:rsidRPr="000D7D3D">
        <w:t xml:space="preserve"> of HA</w:t>
      </w:r>
      <w:r w:rsidR="00307A80">
        <w:t>P</w:t>
      </w:r>
      <w:r w:rsidRPr="000D7D3D">
        <w:t xml:space="preserve"> solubilisati</w:t>
      </w:r>
      <w:r w:rsidR="00634533">
        <w:t>on.</w:t>
      </w:r>
      <w:r w:rsidR="00AC7D60">
        <w:br w:type="page"/>
      </w:r>
    </w:p>
    <w:p w14:paraId="3DFCDBFB" w14:textId="46ADE8AB" w:rsidR="000D7D3D" w:rsidRPr="000D7D3D" w:rsidRDefault="000D7D3D" w:rsidP="00635993">
      <w:pPr>
        <w:pStyle w:val="Heading1"/>
      </w:pPr>
      <w:bookmarkStart w:id="386" w:name="_Toc507604049"/>
      <w:bookmarkStart w:id="387" w:name="_Toc507604316"/>
      <w:bookmarkStart w:id="388" w:name="_Toc519017026"/>
      <w:bookmarkStart w:id="389" w:name="_Toc520837931"/>
      <w:r w:rsidRPr="000D7D3D">
        <w:lastRenderedPageBreak/>
        <w:t>4.5 Conclusions</w:t>
      </w:r>
      <w:bookmarkEnd w:id="386"/>
      <w:bookmarkEnd w:id="387"/>
      <w:bookmarkEnd w:id="388"/>
      <w:bookmarkEnd w:id="389"/>
    </w:p>
    <w:p w14:paraId="21235C3C" w14:textId="0DCA529F" w:rsidR="00BA4A35" w:rsidRDefault="000D7D3D" w:rsidP="007F746A">
      <w:r w:rsidRPr="000D7D3D">
        <w:t>The results presen</w:t>
      </w:r>
      <w:r w:rsidR="00BA4A35">
        <w:t>ted in this chapter demonstrate</w:t>
      </w:r>
      <w:r w:rsidRPr="000D7D3D">
        <w:t xml:space="preserve"> the effectiveness of </w:t>
      </w:r>
      <w:r w:rsidR="00AA2562">
        <w:t xml:space="preserve">the HAP solubilisation </w:t>
      </w:r>
      <w:r w:rsidRPr="000D7D3D">
        <w:t>experimental system</w:t>
      </w:r>
      <w:r w:rsidR="00E30206">
        <w:t>,</w:t>
      </w:r>
      <w:r w:rsidRPr="000D7D3D">
        <w:t xml:space="preserve"> </w:t>
      </w:r>
      <w:r w:rsidR="00E30206">
        <w:t xml:space="preserve">where HAP weathering is driven by the hyphae of the EM </w:t>
      </w:r>
      <w:r w:rsidRPr="000D7D3D">
        <w:t>fung</w:t>
      </w:r>
      <w:r w:rsidR="005C393F">
        <w:t xml:space="preserve">us </w:t>
      </w:r>
      <w:r w:rsidRPr="000D7D3D">
        <w:rPr>
          <w:i/>
        </w:rPr>
        <w:t>P. involutus</w:t>
      </w:r>
      <w:r w:rsidR="00E30206">
        <w:t xml:space="preserve"> </w:t>
      </w:r>
      <w:r w:rsidRPr="000D7D3D">
        <w:t>grown non-symbiotically. The prese</w:t>
      </w:r>
      <w:r w:rsidR="005C393F">
        <w:t>nce of secondary minerals,</w:t>
      </w:r>
      <w:r w:rsidRPr="000D7D3D">
        <w:t xml:space="preserve"> visualized by SEM imaging, and EDX data showing depletion of P, confirmed </w:t>
      </w:r>
      <w:r w:rsidR="00BA4A35">
        <w:t xml:space="preserve">the </w:t>
      </w:r>
      <w:r w:rsidRPr="000D7D3D">
        <w:t xml:space="preserve">active </w:t>
      </w:r>
      <w:r w:rsidR="00F258C0">
        <w:t>HAP</w:t>
      </w:r>
      <w:r w:rsidR="00F258C0" w:rsidRPr="000D7D3D">
        <w:t xml:space="preserve"> </w:t>
      </w:r>
      <w:r w:rsidRPr="000D7D3D">
        <w:t xml:space="preserve">solubilisation by the fungal hyphae of </w:t>
      </w:r>
      <w:r w:rsidRPr="000D7D3D">
        <w:rPr>
          <w:i/>
        </w:rPr>
        <w:t>P. involutus</w:t>
      </w:r>
      <w:r w:rsidR="00AA2562">
        <w:t>.</w:t>
      </w:r>
    </w:p>
    <w:p w14:paraId="4963AEA7" w14:textId="7CF3E74C" w:rsidR="00380CE1" w:rsidRDefault="00297AAB" w:rsidP="00380CE1">
      <w:pPr>
        <w:ind w:firstLine="720"/>
      </w:pPr>
      <w:r>
        <w:t>In respect to</w:t>
      </w:r>
      <w:r w:rsidR="00380CE1">
        <w:t xml:space="preserve"> the four initial </w:t>
      </w:r>
      <w:r w:rsidR="008F430A">
        <w:t>hypothese</w:t>
      </w:r>
      <w:r w:rsidR="00380CE1">
        <w:t>s</w:t>
      </w:r>
      <w:r w:rsidR="004F7DBF">
        <w:t>,</w:t>
      </w:r>
      <w:r w:rsidR="00380CE1">
        <w:t xml:space="preserve"> the first one </w:t>
      </w:r>
      <w:r w:rsidR="004F7DBF">
        <w:t xml:space="preserve">has been verified as </w:t>
      </w:r>
      <w:r w:rsidR="00380CE1" w:rsidRPr="004F7DBF">
        <w:rPr>
          <w:i/>
        </w:rPr>
        <w:t>P. involutus</w:t>
      </w:r>
      <w:r w:rsidR="00380CE1">
        <w:t xml:space="preserve"> hyphae preferentially colonises the HAP-coated polystyrene discs over the non-coated ones</w:t>
      </w:r>
      <w:r w:rsidR="004F7DBF">
        <w:t>,</w:t>
      </w:r>
      <w:r w:rsidR="00380CE1">
        <w:t xml:space="preserve"> as shown in Figures 4.2 and 4.3.</w:t>
      </w:r>
      <w:r w:rsidR="00281701">
        <w:t xml:space="preserve"> Moreover, </w:t>
      </w:r>
      <w:r w:rsidR="00281701" w:rsidRPr="000D7D3D">
        <w:rPr>
          <w:i/>
        </w:rPr>
        <w:t>P. involutus</w:t>
      </w:r>
      <w:r w:rsidR="00281701">
        <w:rPr>
          <w:i/>
        </w:rPr>
        <w:t xml:space="preserve"> </w:t>
      </w:r>
      <w:r w:rsidR="00281701">
        <w:t xml:space="preserve">hyphae </w:t>
      </w:r>
      <w:r w:rsidR="007C5D29">
        <w:t>were</w:t>
      </w:r>
      <w:r w:rsidR="004F7DBF">
        <w:t xml:space="preserve"> able to</w:t>
      </w:r>
      <w:r w:rsidR="007C5D29">
        <w:t xml:space="preserve"> solubilise</w:t>
      </w:r>
      <w:r w:rsidR="00281701">
        <w:t xml:space="preserve"> microcrystalline HAP</w:t>
      </w:r>
      <w:r w:rsidR="003C2A80" w:rsidRPr="003C2A80">
        <w:t xml:space="preserve"> </w:t>
      </w:r>
      <w:r w:rsidR="003C2A80">
        <w:t>where the P content dramatically decreased</w:t>
      </w:r>
      <w:r w:rsidR="004F7DBF">
        <w:t>,</w:t>
      </w:r>
      <w:r w:rsidR="00281701">
        <w:t xml:space="preserve"> as shown in Figures 4.6</w:t>
      </w:r>
      <w:r w:rsidR="003C2A80">
        <w:t>T</w:t>
      </w:r>
      <w:r w:rsidR="00281701">
        <w:t xml:space="preserve"> and 4.7</w:t>
      </w:r>
      <w:r w:rsidR="003C2A80">
        <w:t>U-W</w:t>
      </w:r>
      <w:r w:rsidR="00281701">
        <w:t xml:space="preserve">. </w:t>
      </w:r>
    </w:p>
    <w:p w14:paraId="27B79378" w14:textId="5071F464" w:rsidR="0099014A" w:rsidRDefault="0099014A" w:rsidP="00380CE1">
      <w:pPr>
        <w:ind w:firstLine="720"/>
      </w:pPr>
      <w:r>
        <w:t xml:space="preserve">In respect to the second hypothesis, the formation of secondary minerals </w:t>
      </w:r>
      <w:r w:rsidR="007C5D29">
        <w:t xml:space="preserve">was </w:t>
      </w:r>
      <w:r>
        <w:t>evident</w:t>
      </w:r>
      <w:r w:rsidR="007C5D29">
        <w:t>,</w:t>
      </w:r>
      <w:r>
        <w:t xml:space="preserve"> especially for the fungal hyphae colonising HAP during Pi starvation conditions in the medium. Figures 4.7I-T show the formation of the secondary crystals along the hyphae of </w:t>
      </w:r>
      <w:r w:rsidRPr="000D7D3D">
        <w:rPr>
          <w:i/>
        </w:rPr>
        <w:t>P. involutus</w:t>
      </w:r>
      <w:r>
        <w:rPr>
          <w:i/>
        </w:rPr>
        <w:t xml:space="preserve">. </w:t>
      </w:r>
      <w:r>
        <w:t xml:space="preserve">Besides, the </w:t>
      </w:r>
      <w:r w:rsidRPr="0099014A">
        <w:rPr>
          <w:i/>
        </w:rPr>
        <w:t>de novo</w:t>
      </w:r>
      <w:r w:rsidR="00D700B2">
        <w:t xml:space="preserve"> detected C might indicate</w:t>
      </w:r>
      <w:r>
        <w:t xml:space="preserve"> the presence of organic compounds on the seconda</w:t>
      </w:r>
      <w:r w:rsidR="00E91989">
        <w:t xml:space="preserve">ry crystals, as shown in </w:t>
      </w:r>
      <w:r w:rsidR="004D138A">
        <w:t>Figure 4.7U-</w:t>
      </w:r>
      <w:r w:rsidR="00E91989">
        <w:t>W</w:t>
      </w:r>
      <w:r>
        <w:t>.</w:t>
      </w:r>
    </w:p>
    <w:p w14:paraId="621DF7FB" w14:textId="3BC0D12B" w:rsidR="0099014A" w:rsidRDefault="0099014A" w:rsidP="00380CE1">
      <w:pPr>
        <w:ind w:firstLine="720"/>
      </w:pPr>
      <w:r>
        <w:t xml:space="preserve">The third hypothesis </w:t>
      </w:r>
      <w:r w:rsidR="007C5D29">
        <w:t>was</w:t>
      </w:r>
      <w:r>
        <w:t xml:space="preserve"> not confirmed</w:t>
      </w:r>
      <w:r w:rsidR="007C5D29">
        <w:t>,</w:t>
      </w:r>
      <w:r>
        <w:t xml:space="preserve"> </w:t>
      </w:r>
      <w:r w:rsidR="007C5D29">
        <w:t xml:space="preserve">since the relative expression of </w:t>
      </w:r>
      <w:r w:rsidR="007C5D29" w:rsidRPr="0099014A">
        <w:rPr>
          <w:i/>
        </w:rPr>
        <w:t>PiPMA1</w:t>
      </w:r>
      <w:r w:rsidR="007C5D29">
        <w:t xml:space="preserve">, </w:t>
      </w:r>
      <w:r w:rsidR="007C5D29" w:rsidRPr="004D138A">
        <w:rPr>
          <w:i/>
        </w:rPr>
        <w:t>PiBEST</w:t>
      </w:r>
      <w:r w:rsidR="007C5D29">
        <w:rPr>
          <w:i/>
        </w:rPr>
        <w:t xml:space="preserve"> </w:t>
      </w:r>
      <w:r w:rsidR="007C5D29">
        <w:t xml:space="preserve">and </w:t>
      </w:r>
      <w:r w:rsidR="007C5D29" w:rsidRPr="004D138A">
        <w:rPr>
          <w:i/>
        </w:rPr>
        <w:t>PiOAR</w:t>
      </w:r>
      <w:r w:rsidR="007C5D29">
        <w:rPr>
          <w:i/>
        </w:rPr>
        <w:t xml:space="preserve"> </w:t>
      </w:r>
      <w:r w:rsidR="007C5D29">
        <w:t xml:space="preserve">genes did not increase in response to the presence of HAP, </w:t>
      </w:r>
      <w:r>
        <w:t xml:space="preserve">as </w:t>
      </w:r>
      <w:r w:rsidR="004D138A">
        <w:t>shown in Figure 4.8A-</w:t>
      </w:r>
      <w:r w:rsidR="007C5D29">
        <w:t>C</w:t>
      </w:r>
      <w:r w:rsidR="004D138A">
        <w:t>.</w:t>
      </w:r>
    </w:p>
    <w:p w14:paraId="2C600EDC" w14:textId="71DCDBD5" w:rsidR="00862BA6" w:rsidRPr="00862BA6" w:rsidRDefault="007C5D29" w:rsidP="00380CE1">
      <w:pPr>
        <w:ind w:firstLine="720"/>
      </w:pPr>
      <w:r>
        <w:t>La</w:t>
      </w:r>
      <w:r w:rsidR="00862BA6">
        <w:t>st</w:t>
      </w:r>
      <w:r>
        <w:t>ly</w:t>
      </w:r>
      <w:r w:rsidR="00011E86">
        <w:t>,</w:t>
      </w:r>
      <w:r w:rsidR="00862BA6">
        <w:t xml:space="preserve"> the fourth hypothesis </w:t>
      </w:r>
      <w:r>
        <w:t>was</w:t>
      </w:r>
      <w:r w:rsidR="00862BA6">
        <w:t xml:space="preserve"> confirmed s</w:t>
      </w:r>
      <w:r w:rsidR="00A470A8">
        <w:t>ince the transcript of the high-</w:t>
      </w:r>
      <w:r w:rsidR="00862BA6">
        <w:t xml:space="preserve">affinity Pi transporter gene </w:t>
      </w:r>
      <w:r w:rsidR="00862BA6" w:rsidRPr="00862BA6">
        <w:rPr>
          <w:i/>
        </w:rPr>
        <w:t>PiPT1</w:t>
      </w:r>
      <w:r w:rsidR="00862BA6">
        <w:rPr>
          <w:i/>
        </w:rPr>
        <w:t xml:space="preserve"> </w:t>
      </w:r>
      <w:r w:rsidR="00862BA6">
        <w:t xml:space="preserve">is upregulated in the absence of HAP and downregulated in the presence of </w:t>
      </w:r>
      <w:r w:rsidR="00140315">
        <w:t>HAP, as shown in Figure 4.8D.</w:t>
      </w:r>
    </w:p>
    <w:p w14:paraId="3A438ED5" w14:textId="700673BE" w:rsidR="000D7D3D" w:rsidRDefault="004D1111" w:rsidP="00634533">
      <w:pPr>
        <w:ind w:firstLine="720"/>
      </w:pPr>
      <w:r>
        <w:t>T</w:t>
      </w:r>
      <w:r w:rsidR="009606A0">
        <w:t>he</w:t>
      </w:r>
      <w:r w:rsidR="000D7D3D" w:rsidRPr="000D7D3D">
        <w:t xml:space="preserve"> </w:t>
      </w:r>
      <w:r w:rsidR="002D5F03">
        <w:t>HAP</w:t>
      </w:r>
      <w:r w:rsidR="002D5F03" w:rsidRPr="000D7D3D">
        <w:t xml:space="preserve"> </w:t>
      </w:r>
      <w:r w:rsidR="000D7D3D" w:rsidRPr="000D7D3D">
        <w:t xml:space="preserve">solubilisation system </w:t>
      </w:r>
      <w:r w:rsidR="00BA4A35">
        <w:t>developed in this chapter will</w:t>
      </w:r>
      <w:r w:rsidR="000D7D3D" w:rsidRPr="000D7D3D">
        <w:t xml:space="preserve"> be used to identify </w:t>
      </w:r>
      <w:r w:rsidR="006A3D5A" w:rsidRPr="000D7D3D">
        <w:rPr>
          <w:i/>
        </w:rPr>
        <w:t>P. involutus</w:t>
      </w:r>
      <w:r w:rsidR="006A3D5A" w:rsidRPr="000D7D3D">
        <w:t xml:space="preserve"> </w:t>
      </w:r>
      <w:r w:rsidR="000D7D3D" w:rsidRPr="000D7D3D">
        <w:t xml:space="preserve">candidate </w:t>
      </w:r>
      <w:r w:rsidR="00BA4A35">
        <w:t>HAP</w:t>
      </w:r>
      <w:r w:rsidR="00BA4A35" w:rsidRPr="000D7D3D">
        <w:t xml:space="preserve"> weathering</w:t>
      </w:r>
      <w:r w:rsidR="00BA4A35" w:rsidRPr="000D7D3D">
        <w:rPr>
          <w:i/>
        </w:rPr>
        <w:t xml:space="preserve"> </w:t>
      </w:r>
      <w:r w:rsidR="000D7D3D" w:rsidRPr="000D7D3D">
        <w:t>genes,</w:t>
      </w:r>
      <w:r w:rsidR="006A3D5A">
        <w:t xml:space="preserve"> by applying whole-transcriptomic</w:t>
      </w:r>
      <w:r w:rsidR="000D7D3D" w:rsidRPr="000D7D3D">
        <w:t xml:space="preserve"> </w:t>
      </w:r>
      <w:r w:rsidR="004F7DBF">
        <w:t>and metabolomic</w:t>
      </w:r>
      <w:r w:rsidR="000D7D3D" w:rsidRPr="000D7D3D">
        <w:t xml:space="preserve"> </w:t>
      </w:r>
      <w:r w:rsidR="00011E86">
        <w:t>analyse</w:t>
      </w:r>
      <w:r w:rsidR="00AA2562" w:rsidRPr="000D7D3D">
        <w:t xml:space="preserve">s </w:t>
      </w:r>
      <w:r w:rsidR="000D7D3D" w:rsidRPr="000D7D3D">
        <w:t xml:space="preserve">where </w:t>
      </w:r>
      <w:r w:rsidR="000D7D3D" w:rsidRPr="000D7D3D">
        <w:rPr>
          <w:i/>
        </w:rPr>
        <w:t>P. involutus</w:t>
      </w:r>
      <w:r w:rsidR="000D7D3D" w:rsidRPr="000D7D3D">
        <w:t xml:space="preserve"> </w:t>
      </w:r>
      <w:r w:rsidR="006A3D5A">
        <w:t>will be</w:t>
      </w:r>
      <w:r w:rsidR="000D7D3D" w:rsidRPr="000D7D3D">
        <w:t xml:space="preserve"> in symbiosis with </w:t>
      </w:r>
      <w:r w:rsidR="006A3D5A" w:rsidRPr="006A3D5A">
        <w:rPr>
          <w:i/>
        </w:rPr>
        <w:t>P. sylvestris</w:t>
      </w:r>
      <w:r w:rsidR="000D7D3D" w:rsidRPr="000D7D3D">
        <w:t xml:space="preserve"> seedlings.</w:t>
      </w:r>
      <w:r w:rsidR="005C393F">
        <w:t xml:space="preserve"> </w:t>
      </w:r>
      <w:r w:rsidR="005A31E9">
        <w:t>These</w:t>
      </w:r>
      <w:r w:rsidR="005C393F" w:rsidRPr="000D7D3D">
        <w:t xml:space="preserve"> </w:t>
      </w:r>
      <w:r w:rsidR="007C5D29">
        <w:t xml:space="preserve">data </w:t>
      </w:r>
      <w:r w:rsidR="005C393F" w:rsidRPr="000D7D3D">
        <w:t>will be presented in the following chapter.</w:t>
      </w:r>
      <w:r w:rsidR="000D7D3D" w:rsidRPr="000D7D3D">
        <w:br w:type="page"/>
      </w:r>
    </w:p>
    <w:p w14:paraId="4CCB561F" w14:textId="06F56E43" w:rsidR="000D7D3D" w:rsidRDefault="000D7D3D" w:rsidP="00635993">
      <w:pPr>
        <w:pStyle w:val="Title"/>
      </w:pPr>
      <w:bookmarkStart w:id="390" w:name="_Toc507604050"/>
      <w:bookmarkStart w:id="391" w:name="_Toc507604317"/>
      <w:bookmarkStart w:id="392" w:name="_Toc519017027"/>
      <w:bookmarkStart w:id="393" w:name="_Toc520837932"/>
      <w:r w:rsidRPr="000D7D3D">
        <w:lastRenderedPageBreak/>
        <w:t xml:space="preserve">Chapter 5. Investigating the “omics” of </w:t>
      </w:r>
      <w:r w:rsidRPr="000D7D3D">
        <w:rPr>
          <w:i/>
        </w:rPr>
        <w:t>Paxillus involutus</w:t>
      </w:r>
      <w:r w:rsidRPr="000D7D3D">
        <w:t xml:space="preserve"> on </w:t>
      </w:r>
      <w:r w:rsidR="001B655A">
        <w:t>hydroxya</w:t>
      </w:r>
      <w:r w:rsidR="002C4DE2">
        <w:t>patite</w:t>
      </w:r>
      <w:r w:rsidR="001B655A">
        <w:t xml:space="preserve"> </w:t>
      </w:r>
      <w:r w:rsidRPr="000D7D3D">
        <w:t xml:space="preserve">solubilisation during </w:t>
      </w:r>
      <w:r w:rsidR="001B655A">
        <w:t xml:space="preserve">ectomycorrhizal </w:t>
      </w:r>
      <w:r w:rsidRPr="000D7D3D">
        <w:t>symbiosis</w:t>
      </w:r>
      <w:bookmarkEnd w:id="390"/>
      <w:bookmarkEnd w:id="391"/>
      <w:bookmarkEnd w:id="392"/>
      <w:bookmarkEnd w:id="393"/>
    </w:p>
    <w:p w14:paraId="1BD1F413" w14:textId="77777777" w:rsidR="00826F7C" w:rsidRPr="003F7054" w:rsidRDefault="00826F7C" w:rsidP="00635993"/>
    <w:p w14:paraId="33E9C3DA" w14:textId="503A0239" w:rsidR="00826F7C" w:rsidRPr="003F7054" w:rsidRDefault="00826F7C" w:rsidP="00635993">
      <w:pPr>
        <w:pStyle w:val="Heading1"/>
      </w:pPr>
      <w:bookmarkStart w:id="394" w:name="_Toc507604051"/>
      <w:bookmarkStart w:id="395" w:name="_Toc507604318"/>
      <w:bookmarkStart w:id="396" w:name="_Toc519017028"/>
      <w:bookmarkStart w:id="397" w:name="_Toc520837933"/>
      <w:r>
        <w:t>5.1 Introduction</w:t>
      </w:r>
      <w:bookmarkEnd w:id="394"/>
      <w:bookmarkEnd w:id="395"/>
      <w:bookmarkEnd w:id="396"/>
      <w:bookmarkEnd w:id="397"/>
      <w:r>
        <w:t xml:space="preserve"> </w:t>
      </w:r>
    </w:p>
    <w:p w14:paraId="099FF4C7" w14:textId="45E1B0BD" w:rsidR="00726544" w:rsidRDefault="000D7D3D" w:rsidP="003F7054">
      <w:r w:rsidRPr="007C3C15">
        <w:t xml:space="preserve">Mycorrhizal symbiosis is one of the most ancient and widespread form of symbiosis which covers a range of mutualistic, symbiotic associations between fungi and the roots of the plants </w:t>
      </w:r>
      <w:r w:rsidRPr="007F746A">
        <w:fldChar w:fldCharType="begin" w:fldLock="1"/>
      </w:r>
      <w:r w:rsidR="00EE33AB">
        <w:instrText>ADDIN CSL_CITATION {"citationItems":[{"id":"ITEM-1","itemData":{"DOI":"https://doi.org/10.1016/B978-012370526-6.50010-6","ISBN":"978-0-12-370526-6","author":[{"dropping-particle":"","family":"Smith","given":"Sally E","non-dropping-particle":"","parse-names":false,"suffix":""},{"dropping-particle":"","family":"Read","given":"David J","non-dropping-particle":"","parse-names":false,"suffix":""}],"id":"ITEM-1","issued":{"date-parts":[["2008"]]},"publisher":"Academic Press","publisher-place":"London","title":"Mycorrhizal Symbiosis","type":"book"},"uris":["http://www.mendeley.com/documents/?uuid=3512e947-7fd0-40a3-b154-0c58a7c5a76d"]}],"mendeley":{"formattedCitation":"(Smith and Read, 2008)","plainTextFormattedCitation":"(Smith and Read, 2008)","previouslyFormattedCitation":"(Smith and Read, 2008)"},"properties":{"noteIndex":0},"schema":"https://github.com/citation-style-language/schema/raw/master/csl-citation.json"}</w:instrText>
      </w:r>
      <w:r w:rsidRPr="007F746A">
        <w:fldChar w:fldCharType="separate"/>
      </w:r>
      <w:r w:rsidRPr="007F746A">
        <w:rPr>
          <w:noProof/>
        </w:rPr>
        <w:t>(Smith and Read, 2008)</w:t>
      </w:r>
      <w:r w:rsidRPr="007F746A">
        <w:fldChar w:fldCharType="end"/>
      </w:r>
      <w:r w:rsidRPr="003F7054">
        <w:t>. More than 80% of plant roots form mycorrhi</w:t>
      </w:r>
      <w:r w:rsidRPr="007F746A">
        <w:t xml:space="preserve">za with soil fungi, where in boreal and temperate regions about 90% of the woody tree root tips are covered by </w:t>
      </w:r>
      <w:r w:rsidR="00726544">
        <w:t>ectomycorrhizal (</w:t>
      </w:r>
      <w:r w:rsidRPr="007F746A">
        <w:t>EM</w:t>
      </w:r>
      <w:r w:rsidR="00726544">
        <w:t>)</w:t>
      </w:r>
      <w:r w:rsidR="009D14AA" w:rsidRPr="007F746A">
        <w:t xml:space="preserve"> fungal</w:t>
      </w:r>
      <w:r w:rsidRPr="007F746A">
        <w:t xml:space="preserve"> sheaths </w:t>
      </w:r>
      <w:r w:rsidRPr="007F746A">
        <w:fldChar w:fldCharType="begin" w:fldLock="1"/>
      </w:r>
      <w:r w:rsidR="00EE33AB">
        <w:instrText>ADDIN CSL_CITATION {"citationItems":[{"id":"ITEM-1","itemData":{"DOI":"10.1046/j.1469-8137.1997.00621.x","ISBN":"0028-646X","ISSN":"0028646X","abstract":"Mycorrhizal mycelium was allowed to grow into a compartment from which roots were excluded. Ammonium or nitrate was supplied exclusively to the fungus and the respiration rate before and after nitrogen addition was measured. Mycelial respiration in the fungal compartment represented 11—29°o of total fungal and root respiration. The mycelium in the fungal compartment received 20-29% of shoot net assimilation, and 43-64% of the carbon allocated to the mycelium was respired. The nitrogen-induced respiration increase ranged, in the fungal compartment, from 54 to 180%.","author":[{"dropping-particle":"","family":"Ek","given":"H.","non-dropping-particle":"","parse-names":false,"suffix":""}],"container-title":"New Phytologist","id":"ITEM-1","issue":"1","issued":{"date-parts":[["1997"]]},"page":"133-142","title":"The influence of nitrogen fertilization on the carbon economy of Paxillus involutus in ectomycorrhizal association with Betula pendula","type":"article-journal","volume":"135"},"uris":["http://www.mendeley.com/documents/?uuid=3e68b8d5-a172-4668-9a56-d1c85cdf2847"]},{"id":"ITEM-2","itemData":{"author":[{"dropping-particle":"","family":"Read","given":"D.J.","non-dropping-particle":"","parse-names":false,"suffix":""},{"dropping-particle":"","family":"Perez-Moreno","given":"J.","non-dropping-particle":"","parse-names":false,"suffix":""}],"container-title":"New phytologist","id":"ITEM-2","issue":"3","issued":{"date-parts":[["2003"]]},"page":"475-492","title":"Mycorrhizas and nutrient cycling in ccosystems - a journey towards relevance?","type":"article-journal","volume":"157"},"uris":["http://www.mendeley.com/documents/?uuid=f757c416-f126-4683-aed7-d2b9c3009471"]}],"mendeley":{"formattedCitation":"(Ek, 1997; Read and Perez-Moreno, 2003)","plainTextFormattedCitation":"(Ek, 1997; Read and Perez-Moreno, 2003)","previouslyFormattedCitation":"(Ek, 1997; Read and Perez-Moreno, 2003)"},"properties":{"noteIndex":0},"schema":"https://github.com/citation-style-language/schema/raw/master/csl-citation.json"}</w:instrText>
      </w:r>
      <w:r w:rsidRPr="007F746A">
        <w:fldChar w:fldCharType="separate"/>
      </w:r>
      <w:r w:rsidRPr="007F746A">
        <w:rPr>
          <w:noProof/>
        </w:rPr>
        <w:t>(Ek, 1997; Read and Perez-Moreno, 2003)</w:t>
      </w:r>
      <w:r w:rsidRPr="007F746A">
        <w:fldChar w:fldCharType="end"/>
      </w:r>
      <w:r w:rsidRPr="003F7054">
        <w:t xml:space="preserve">. Hence, the majority of all nutrients including </w:t>
      </w:r>
      <w:r w:rsidR="00726544">
        <w:t>nitrogen (</w:t>
      </w:r>
      <w:r w:rsidRPr="003F7054">
        <w:t>N</w:t>
      </w:r>
      <w:r w:rsidR="00726544">
        <w:t>)</w:t>
      </w:r>
      <w:r w:rsidRPr="003F7054">
        <w:t xml:space="preserve"> and </w:t>
      </w:r>
      <w:r w:rsidR="00726544">
        <w:t>phosphorus (</w:t>
      </w:r>
      <w:r w:rsidRPr="003F7054">
        <w:t>P</w:t>
      </w:r>
      <w:r w:rsidR="00726544">
        <w:t>)</w:t>
      </w:r>
      <w:r w:rsidRPr="003F7054">
        <w:t xml:space="preserve"> are taken up by trees through EM</w:t>
      </w:r>
      <w:r w:rsidR="009D14AA" w:rsidRPr="007F746A">
        <w:t xml:space="preserve"> fungi (EMF)</w:t>
      </w:r>
      <w:r w:rsidRPr="007F746A">
        <w:t xml:space="preserve">, where in return EMF receive 20%–30% out of the total photosynthetic sugars by the host plants </w:t>
      </w:r>
      <w:r w:rsidRPr="007F746A">
        <w:fldChar w:fldCharType="begin" w:fldLock="1"/>
      </w:r>
      <w:r w:rsidR="00EE33AB">
        <w:instrText>ADDIN CSL_CITATION {"citationItems":[{"id":"ITEM-1","itemData":{"author":[{"dropping-particle":"","family":"Högberg","given":"Mona N","non-dropping-particle":"","parse-names":false,"suffix":""},{"dropping-particle":"","family":"Högberg","given":"Peter","non-dropping-particle":"","parse-names":false,"suffix":""}],"container-title":"The New phytologist","id":"ITEM-1","issue":"3","issued":{"date-parts":[["2002"]]},"page":"791-795","title":"Extramatrical ectomychorrhizal mycelium cntributes one-third of microbial mass and produces, together with associated roots, half the dissolved organic carbon in a forest soil","type":"article-journal","volume":"154"},"uris":["http://www.mendeley.com/documents/?uuid=0e524ff2-1833-44c2-8efa-520025be1d8e"]}],"mendeley":{"formattedCitation":"(Högberg and Högberg, 2002)","plainTextFormattedCitation":"(Högberg and Högberg, 2002)","previouslyFormattedCitation":"(Högberg and Högberg, 2002)"},"properties":{"noteIndex":0},"schema":"https://github.com/citation-style-language/schema/raw/master/csl-citation.json"}</w:instrText>
      </w:r>
      <w:r w:rsidRPr="007F746A">
        <w:fldChar w:fldCharType="separate"/>
      </w:r>
      <w:r w:rsidRPr="007F746A">
        <w:rPr>
          <w:noProof/>
        </w:rPr>
        <w:t>(Högberg and Högberg, 2002)</w:t>
      </w:r>
      <w:r w:rsidRPr="007F746A">
        <w:fldChar w:fldCharType="end"/>
      </w:r>
      <w:r w:rsidR="00241398">
        <w:t>.</w:t>
      </w:r>
    </w:p>
    <w:p w14:paraId="5A49A3F8" w14:textId="314EA719" w:rsidR="00BA3E77" w:rsidRPr="000D7D3D" w:rsidRDefault="000D7D3D" w:rsidP="00726544">
      <w:pPr>
        <w:ind w:firstLine="720"/>
      </w:pPr>
      <w:r w:rsidRPr="003F7054">
        <w:t xml:space="preserve">Mycorrhizal fungi consist one of the most prominent groups of soil microorganisms </w:t>
      </w:r>
      <w:r w:rsidRPr="007F746A">
        <w:t xml:space="preserve">contributing to mineral weathering and dissolution </w:t>
      </w:r>
      <w:r w:rsidRPr="007F746A">
        <w:fldChar w:fldCharType="begin" w:fldLock="1"/>
      </w:r>
      <w:r w:rsidR="00EE33AB">
        <w:instrText>ADDIN CSL_CITATION {"citationItems":[{"id":"ITEM-1","itemData":{"author":[{"dropping-particle":"","family":"Jongmans","given":"AG","non-dropping-particle":"","parse-names":false,"suffix":""},{"dropping-particle":"","family":"Breemen","given":"N","non-dropping-particle":"van","parse-names":false,"suffix":""},{"dropping-particle":"","family":"Lundström","given":"U S","non-dropping-particle":"","parse-names":false,"suffix":""},{"dropping-particle":"","family":"Hees","given":"P A W","non-dropping-particle":"Van","parse-names":false,"suffix":""},{"dropping-particle":"","family":"Finlay","given":"RD","non-dropping-particle":"","parse-names":false,"suffix":""},{"dropping-particle":"","family":"Srinivasan","given":"M","non-dropping-particle":"","parse-names":false,"suffix":""},{"dropping-particle":"","family":"Unestam","given":"T","non-dropping-particle":"","parse-names":false,"suffix":""},{"dropping-particle":"","family":"Giesler","given":"R","non-dropping-particle":"","parse-names":false,"suffix":""},{"dropping-particle":"","family":"Melkerud","given":"P-A","non-dropping-particle":"","parse-names":false,"suffix":""},{"dropping-particle":"","family":"Olsson","given":"M","non-dropping-particle":"","parse-names":false,"suffix":""}],"container-title":"Nature","id":"ITEM-1","issue":"October","issued":{"date-parts":[["1997"]]},"page":"682-683","title":"Rock-eating fungi","type":"article-journal","volume":"389"},"uris":["http://www.mendeley.com/documents/?uuid=0fe9cc3c-1938-4554-88d8-b378cb667e71"]}],"mendeley":{"formattedCitation":"(Jongmans et al., 1997)","plainTextFormattedCitation":"(Jongmans et al., 1997)","previouslyFormattedCitation":"(Jongmans et al., 1997)"},"properties":{"noteIndex":0},"schema":"https://github.com/citation-style-language/schema/raw/master/csl-citation.json"}</w:instrText>
      </w:r>
      <w:r w:rsidRPr="007F746A">
        <w:fldChar w:fldCharType="separate"/>
      </w:r>
      <w:r w:rsidRPr="007F746A">
        <w:rPr>
          <w:noProof/>
        </w:rPr>
        <w:t>(Jongmans et al., 1997)</w:t>
      </w:r>
      <w:r w:rsidRPr="007F746A">
        <w:fldChar w:fldCharType="end"/>
      </w:r>
      <w:r w:rsidRPr="003F7054">
        <w:t>. Hence, my</w:t>
      </w:r>
      <w:r w:rsidR="00726544">
        <w:t>corrhizal fungi are essential</w:t>
      </w:r>
      <w:r w:rsidRPr="003F7054">
        <w:t xml:space="preserve"> soil microorganisms, beneficial for plant growth since they can efficiently </w:t>
      </w:r>
      <w:r w:rsidR="00726544">
        <w:t>extract</w:t>
      </w:r>
      <w:r w:rsidRPr="003F7054">
        <w:t xml:space="preserve"> organic and inorganic nutrient</w:t>
      </w:r>
      <w:r w:rsidRPr="007F746A">
        <w:t xml:space="preserve">s from soil organic matter and minerals </w:t>
      </w:r>
      <w:r w:rsidRPr="007F746A">
        <w:fldChar w:fldCharType="begin" w:fldLock="1"/>
      </w:r>
      <w:r w:rsidR="00EE33AB">
        <w:instrText>ADDIN CSL_CITATION {"citationItems":[{"id":"ITEM-1","itemData":{"ISSN":"0169-5347","PMID":"11301154","abstract":"Plant nutrients, with the exception of nitrogen, are ultimately derived from weathering of primary minerals. Traditional theories about the role of ectomycorrhizal fungi in plant nutrition have emphasized quantitative effects on uptake and transport of dissolved nutrients. Qualitative effects of the symbiosis on the ability of plants to access organic nitrogen and phosphorus sources have also become increasingly apparent. Recent research suggests that ectomycorrhizal fungi mobilize other essential plant nutrients directly from minerals through excretion of organic acids. This enables ectomycorrhizal plants to utilize essential nutrients from insoluble mineral sources and affects nutrient cycling in forest systems.","author":[{"dropping-particle":"","family":"Landeweert","given":"R","non-dropping-particle":"","parse-names":false,"suffix":""},{"dropping-particle":"","family":"Hoffland","given":"E","non-dropping-particle":"","parse-names":false,"suffix":""},{"dropping-particle":"","family":"Finlay","given":"R D.","non-dropping-particle":"","parse-names":false,"suffix":""},{"dropping-particle":"","family":"Kuyper","given":"T W.","non-dropping-particle":"","parse-names":false,"suffix":""},{"dropping-particle":"","family":"Breemen","given":"N","non-dropping-particle":"van","parse-names":false,"suffix":""}],"container-title":"Trends in ecology &amp; evolution","id":"ITEM-1","issue":"5","issued":{"date-parts":[["2001","5","1"]]},"page":"248-254","title":"Linking plants to rocks: ectomycorrhizal fungi mobilize nutrients from minerals.","type":"article-journal","volume":"16"},"uris":["http://www.mendeley.com/documents/?uuid=f953cb96-975b-480b-b56e-16ba47afa02f"]}],"mendeley":{"formattedCitation":"(Landeweert et al., 2001)","plainTextFormattedCitation":"(Landeweert et al., 2001)","previouslyFormattedCitation":"(Landeweert et al., 2001)"},"properties":{"noteIndex":0},"schema":"https://github.com/citation-style-language/schema/raw/master/csl-citation.json"}</w:instrText>
      </w:r>
      <w:r w:rsidRPr="007F746A">
        <w:fldChar w:fldCharType="separate"/>
      </w:r>
      <w:r w:rsidRPr="007F746A">
        <w:rPr>
          <w:noProof/>
        </w:rPr>
        <w:t>(Landeweert et al., 2001)</w:t>
      </w:r>
      <w:r w:rsidRPr="007F746A">
        <w:fldChar w:fldCharType="end"/>
      </w:r>
      <w:r w:rsidRPr="003F7054">
        <w:t>.</w:t>
      </w:r>
      <w:r w:rsidR="00726544">
        <w:t xml:space="preserve"> </w:t>
      </w:r>
      <w:r w:rsidRPr="003F7054">
        <w:t>Field and laboratory studies have demonstrated that EM</w:t>
      </w:r>
      <w:r w:rsidR="009D14AA" w:rsidRPr="007F746A">
        <w:t>F</w:t>
      </w:r>
      <w:r w:rsidRPr="007F746A">
        <w:t xml:space="preserve"> facilitate the dissolution of various minerals, via the f</w:t>
      </w:r>
      <w:r w:rsidR="00726544">
        <w:t>oraging activity of their extra</w:t>
      </w:r>
      <w:r w:rsidRPr="007F746A">
        <w:t>radical mycelium to identify and weathe</w:t>
      </w:r>
      <w:r w:rsidR="00726544">
        <w:t>r nutrient-rich mineral sources</w:t>
      </w:r>
      <w:r w:rsidRPr="007F746A">
        <w:t xml:space="preserve"> </w:t>
      </w:r>
      <w:r w:rsidRPr="007F746A">
        <w:fldChar w:fldCharType="begin" w:fldLock="1"/>
      </w:r>
      <w:r w:rsidR="00EE33AB">
        <w:instrText>ADDIN CSL_CITATION {"citationItems":[{"id":"ITEM-1","itemData":{"DOI":"10.1111/1758-2229.12459","ISBN":"1758-2229 (Electronic)\\r1758-2229 (Linking)","ISSN":"17582229","PMID":"27588362","abstract":"Symbiotic ectomycorrhizal fungi mobilize nutrients from both organic and inorganic substrates and supply them to their host plants. Their role in mobilizing base cations and phosphorus from mineral substrates through weathering has received increasing attention in recent years but the processes involved remain to be elucidated. We grew selected ectomycorrhizal and nonmycorrhizal fungi in axenic systems containing mineral and organic substrates and examined their capacity to fractionate and assimilate stable isotopes of magnesium. The mycorrhizal fungi were significantly depleted in heavy isotopes with the lowest Δ26Mg values (the difference between δ26Mg in fungal tissue and δ26Mg in the substrate) compared with nonmycorrhizal fungi, when grown on mineral substrates containing granite particles. The ectomycorrhizal fungi accumulated significantly higher concentrations of Mg, K and P than the nonmycorrhizal fungi. There was a highly significant statistical relationship between δ26Mg tissue signature and mycelial concentration of Mg, with a clear separation between most ectomycorrhizal fungi and the nonmycorrhizal fungi. These results are consistent with the idea that ectomycorrhizal fungi have evolved efficient mechanisms to mobilize, transport and store Mg within their mycelia.","author":[{"dropping-particle":"","family":"Fahad","given":"Zaenab A.","non-dropping-particle":"","parse-names":false,"suffix":""},{"dropping-particle":"","family":"Bolou-Bi","given":"Emile B.","non-dropping-particle":"","parse-names":false,"suffix":""},{"dropping-particle":"","family":"Köhler","given":"Stephan J.","non-dropping-particle":"","parse-names":false,"suffix":""},{"dropping-particle":"","family":"Finlay","given":"Roger D.","non-dropping-particle":"","parse-names":false,"suffix":""},{"dropping-particle":"","family":"Mahmood","given":"Shahid","non-dropping-particle":"","parse-names":false,"suffix":""}],"container-title":"Environmental Microbiology Reports","id":"ITEM-1","issue":"6","issued":{"date-parts":[["2016"]]},"page":"956-965","title":"Fractionation and assimilation of Mg isotopes by fungi is species dependent","type":"article-journal","volume":"8"},"uris":["http://www.mendeley.com/documents/?uuid=c3168ea3-9e6d-42c3-9578-b3558c6010ab"]},{"id":"ITEM-2","itemData":{"DOI":"10.1111/pce.12444","ISBN":"0140-7791","ISSN":"01407791","PMID":"25211602","abstract":"On million-year timescales, carbonate rock weathering exerts no net effect on atmospheric CO2 concentration. However, on timescales of decades-to-centuries, it can contribute to sequestration of anthropogenic CO2 and increase land-ocean alkalinity flux, counteracting ocean acidification. Historical evidence indicates this flux is sensitive to land use change, and recent experimental evidence suggests that trees and their associated soil microbial communities are major drivers of continental mineral weathering. Here, we review key physical and chemical mechanisms by which the symbiotic mycorrhizal fungi of forest tree roots potentially enhance carbonate rock weathering. Evidence from our ongoing field study at the UK's national pinetum confirms increased weathering of carbonate rocks by a wide range of gymnosperm and angiosperm tree species that form arbuscular (AM) or ectomycorrhizal (EM) fungal partnerships. We demonstrate that calcite-containing rock grains under EM tree species weather significantly faster than those under AM trees, an effect linked to greater soil acidification by EM trees. Weathering and corresponding alkalinity export are likely to increase with rising atmospheric CO2 and associated climate change. Our analyses suggest that strategic planting of fast-growing EM angiosperm taxa on calcite- and dolomite-rich terrain might accelerate the transient sink for atmospheric CO2 and slow rates of ocean acidification.","author":[{"dropping-particle":"","family":"Thorley","given":"Rachel M. S.","non-dropping-particle":"","parse-names":false,"suffix":""},{"dropping-particle":"","family":"Taylor","given":"Lyla L.","non-dropping-particle":"","parse-names":false,"suffix":""},{"dropping-particle":"","family":"Banwart","given":"Steve A.","non-dropping-particle":"","parse-names":false,"suffix":""},{"dropping-particle":"","family":"Leake","given":"Jonathan R.","non-dropping-particle":"","parse-names":false,"suffix":""},{"dropping-particle":"","family":"Beerling","given":"David J.","non-dropping-particle":"","parse-names":false,"suffix":""}],"container-title":"Plant, Cell &amp; Environment","id":"ITEM-2","issue":"9","issued":{"date-parts":[["2015"]]},"page":"1947-1961","title":"The role of forest trees and their mycorrhizal fungi in carbonate rock weathering and its significance for global carbon cycling","type":"article-journal","volume":"38"},"uris":["http://www.mendeley.com/documents/?uuid=ca667e3a-9fff-4599-87bd-32966a02491d"]},{"id":"ITEM-3","itemData":{"DOI":"10.1007/s00572-012-0431-5","ISSN":"1432-1890","PMID":"22349958","abstract":"Plants in association with soil microorganisms play an important role in mineral weathering. Studies have shown that plants in symbiosis with ectomycorrhizal (ECM) fungi have the potential to increase the uptake of mineral-derived nutrients. However, it is usually difficult to study many of the different factors that influence ectomycorrhizal weathering in a single experiment. In the present study, we carried out a pot experiment where Pinus patula seedlings were grown with or without ECM fungi in the presence of iron ore minerals. The ECM fungi used included Pisolithus tinctorius, Paxillus involutus, Laccaria bicolor and Suillus tomentosus. After 24 weeks, harvesting of the plants was carried out. The concentration of organic acids released into the soil, as well as potassium and phosphorus released from the iron ore were measured. The results suggest that different roles of ectomycorrhizal fungi in mineral weathering such as nutrient absorption and transfer, improving the health of plants and ensuring nutrient circulation in the ecosystem, are species specific, and both mycorrhizal roots and non-mycorrhizal roots can participate in the weathering process of iron ore minerals.","author":[{"dropping-particle":"","family":"Adeleke","given":"R A","non-dropping-particle":"","parse-names":false,"suffix":""},{"dropping-particle":"","family":"Cloete","given":"T E","non-dropping-particle":"","parse-names":false,"suffix":""},{"dropping-particle":"","family":"Bertrand","given":"A","non-dropping-particle":"","parse-names":false,"suffix":""},{"dropping-particle":"","family":"Khasa","given":"D P","non-dropping-particle":"","parse-names":false,"suffix":""}],"container-title":"Mycorrhiza","id":"ITEM-3","issue":"7","issued":{"date-parts":[["2012","10"]]},"page":"535-44","title":"Iron ore weathering potentials of ectomycorrhizal plants.","type":"article-journal","volume":"22"},"uris":["http://www.mendeley.com/documents/?uuid=3589df07-19a9-4e78-8360-00c11dbe76b2"]},{"id":"ITEM-4","itemData":{"DOI":"10.1180/minmag.2008.072.1.85","ISSN":"0026461X","author":[{"dropping-particle":"","family":"Leake","given":"J. R.","non-dropping-particle":"","parse-names":false,"suffix":""},{"dropping-particle":"","family":"Duran","given":"a. L.","non-dropping-particle":"","parse-names":false,"suffix":""},{"dropping-particle":"","family":"Hardy","given":"K. E.","non-dropping-particle":"","parse-names":false,"suffix":""},{"dropping-particle":"","family":"Johnson","given":"I.","non-dropping-particle":"","parse-names":false,"suffix":""},{"dropping-particle":"","family":"Beerling","given":"D. J.","non-dropping-particle":"","parse-names":false,"suffix":""},{"dropping-particle":"","family":"Banwart","given":"S. a.","non-dropping-particle":"","parse-names":false,"suffix":""},{"dropping-particle":"","family":"Smits","given":"M. M.","non-dropping-particle":"","parse-names":false,"suffix":""}],"container-title":"Mineralogical Magazine","id":"ITEM-4","issue":"1","issued":{"date-parts":[["2008","2","1"]]},"page":"85-89","title":"Biological weathering in soil: the role of symbiotic root-associated fungi biosensing minerals and directing photosynthate-energy into grain-scale mineral weathering","type":"article-journal","volume":"72"},"uris":["http://www.mendeley.com/documents/?uuid=8f1f2313-6e4d-45da-85de-8401fda7a19a"]},{"id":"ITEM-5","itemData":{"DOI":"10.1111/j.1469-8137.2006.01790.x","ISSN":"0028-646X","PMID":"16918551","abstract":"Ectomycorrhizal fungi are hypothesized to enhance mineral weathering in forest soils. Several studies have shown an increased uptake of mineral-derived nutrients by trees when in symbiosis with ectomycorrhizal fungi. However, it is difficult to determine from these studies if the improved nutrient uptake is the result of increased weathering or better exploitation of the substrate by the ectomycorrhizal fungi. In a pot experiment, Pinus sylvestris (Scots pine) seedlings were grown with or without ectomycorrhizal fungi, and with or without the mineral muscovite as the only potassium (K) source or the mineral hornblende as the only magnesium (Mg) source. After 27 wk, all pools of non-mineral-bound K or Mg were determined. The ectomycorrhizal fungus Paxillus involutus increased weathering of muscovite but not hornblende. The other ectomycorrhizal fungi tested, Piloderma croceum and Suillus bovinus, did not increase weathering of either muscovite or hornblende compared with the nonmycorrhizal trees. The P. involutus-mediated mobilization of K from muscovite resulted in increased K content of root plus adhering hyphae, but not of shoots. In conclusion, ectomycorrhizal fungi may increase weathering of minerals in response to nutrient deficiencies, but this response is species specific.","author":[{"dropping-particle":"","family":"Schöll","given":"Laura","non-dropping-particle":"van","parse-names":false,"suffix":""},{"dropping-particle":"","family":"Smits","given":"Mark M","non-dropping-particle":"","parse-names":false,"suffix":""},{"dropping-particle":"","family":"Hoffland","given":"Ellis","non-dropping-particle":"","parse-names":false,"suffix":""}],"container-title":"The New phytologist","id":"ITEM-5","issue":"4","issued":{"date-parts":[["2006","1"]]},"page":"805-13","title":"Ectomycorrhizal weathering of the soil minerals muscovite and hornblende.","type":"article-journal","volume":"171"},"uris":["http://www.mendeley.com/documents/?uuid=f0fc8283-a3fe-4700-8cf6-b2cdff6c9093"]},{"id":"ITEM-6","itemData":{"DOI":"10.1023/B:PLSO.0000037055.67646.97","ISBN":"0032-079X","ISSN":"0032079X","abstract":"Growth, proton and oxalate efflux, K absorption and mineral depletion by one isolate of Cenococcum geophilum Fr., by a putative isolate of Pisolithus microcarpus and by two isolates of Pisolithus sp. were compared in pure liquid culture using either vermiculite or phlogopite as sole K source. An isolate from China (Pisolithus strain XC1) showed greatest biomass and K accumulation from both minerals. There were inverse correlations between reduction in HCl-extractable K and fungal proton efflux (r = -0.912, P &lt; 0.001) and between the ratio (total K lost from the substrate: K accumulation in hyphae) and oxalate efflux (r = -0.890, P &lt; 0.001). Protons effused from the fungi may have replaced interlayer K, and oxalate effused may have led to biological weathering of the minerals, especially under conditions of limited exchangeable K with phlogopite as K source. Pisolithus sp. and Pisolithus XCl gave high depletion rates of CH3COONH4- and HCl-extractable K from the minerals and were therefore selected to study the growth and mobilization and utilization of K from the minerals by ectomycorrhizal eucalypt (Eucalyptus globulus Labill.) seedlings. Mycorrhizal seedlings extracted more K from the two minerals than did non-mycorrhizal controls, and those colonized by Pisolithus XC1 accumulated much more K than those inoculated with Pisolithus sp., a similar trend to fungal K accumulation in vitro. Non-mycorrhizal seedlings extracted very little HF-HClO4-extractable K from the minerals following sequential extraction with H2O, CH3COONH4 and HCl. In contrast, mycorrhizal seedlings significantly depleted K, although there was no difference between the two fungal strains. Patterns of depletion of sequentially extractable K fractions in the minerals by the fungi in pure culture in vitro differed from those exhibited by the fungus-root associations.","author":[{"dropping-particle":"","family":"Yuan","given":"Ling","non-dropping-particle":"","parse-names":false,"suffix":""},{"dropping-particle":"","family":"Huang","given":"Jianguo","non-dropping-particle":"","parse-names":false,"suffix":""},{"dropping-particle":"","family":"Li","given":"Xiaolin","non-dropping-particle":"","parse-names":false,"suffix":""},{"dropping-particle":"","family":"Christie","given":"Peter","non-dropping-particle":"","parse-names":false,"suffix":""}],"container-title":"Plant and Soil","id":"ITEM-6","issue":"1-2","issued":{"date-parts":[["2004"]]},"page":"351-361","title":"Biological mobilization of potassium from clay minerals by ectomycorrhizal fungi and eucalypt seedling roots","type":"article-journal","volume":"262"},"uris":["http://www.mendeley.com/documents/?uuid=482a1771-97fa-4d4a-a5a2-86b54bacd7d8"]},{"id":"ITEM-7","itemData":{"DOI":"10.1046/j.1365-2389.2003.00581.x","ISBN":"1351-0754","ISSN":"13510754","abstract":"http://dx.doi.org/10.1046/j.1365-2389.2003.00581.x","author":[{"dropping-particle":"","family":"Hees","given":"P. A.W.","non-dropping-particle":"Van","parse-names":false,"suffix":""},{"dropping-particle":"","family":"Jones","given":"D. L.","non-dropping-particle":"","parse-names":false,"suffix":""},{"dropping-particle":"","family":"Jentschke","given":"G.","non-dropping-particle":"","parse-names":false,"suffix":""},{"dropping-particle":"","family":"Godbold","given":"D. L.","non-dropping-particle":"","parse-names":false,"suffix":""}],"container-title":"European Journal of Soil Science","id":"ITEM-7","issue":"1","issued":{"date-parts":[["2004"]]},"page":"101-111","title":"Mobilization of aluminium, iron and silicon by Picea abies and ectomycorrhizas in a forest soil","type":"article-journal","volume":"55"},"uris":["http://www.mendeley.com/documents/?uuid=af072468-327d-49e0-acf1-7b172f7f43b0"]},{"id":"ITEM-8","itemData":{"DOI":"10.1016/S0378-1127(99)00298-4","ISBN":"0378-1127","ISSN":"03781127","abstract":"The soil solution is considered an important index of nutrient availability, because it mimics the field conditions when plant roots obtained their nutrition, and reflects the weatherability of a particular soil mineral. The composition of soil solution is sensitive to physical, biological and chemical changes to soil systems, including the presence of fungal hyphae and rhizomorphs from ectomycorrhizal colonization. The objective of this paper is to compare the soil solution composition extracted from two ectomycorrhizosphere soils (or soil environment in the vicinity of ectomycorrhizae) to non- ectomycorrhizosphere soil of subalpine fir (Abies lasiocarpa (Hook.) Nutt.) in the Ae horizon of Gray Luvisol in northern British Columbia. We extracted the soil solution from ectomycorrhizosphere of Piloderma spp. (ECS-A), Mycelium radicis atrovirens-cottony yellow-brown types (or where Piloderma spp. colonization was &lt;2%) (ECS-B), and from non-ectomycorrhizosphere soils (N-ECM). These soils had been equilibrated anaerobically at field capacity for three weeks at room temperature. The content of major cations in solution, regardless of soil sample, followed the order Ca2+&gt; K+&gt; Mg2+. We found that the concentrations as well as the activities of these cations followed the order ECS-A &gt; ECS-B &gt; N-ECM. A similar trend is true for K a parameter for the availability of soil K+. These trends are consistent to the results of geochemical models of more negative saturation index (or enhanced weathering) for muscovite, chlorite, anorthite and K-feldspars in ECS-A and ECS-B compared to N-ECM soils. Low pH in the ectomycorrhizosphere sample is believed to be responsible for the differential breakdown of soil minerals and the increased availability of K+, Ca2+and Mg2+in soil solution. The results from this study could have practical application in forestry, such as in use of fungal inoculation for improved survival of seedlings, especially in areas that shows deficiency of potassium and calcium. (C) 2000 Elsevier Science B.V.","author":[{"dropping-particle":"","family":"Arocena","given":"J. M.","non-dropping-particle":"","parse-names":false,"suffix":""},{"dropping-particle":"","family":"Glowa","given":"K. R.","non-dropping-particle":"","parse-names":false,"suffix":""}],"container-title":"Forest Ecology and Management","id":"ITEM-8","issue":"1-2","issued":{"date-parts":[["2000"]]},"page":"61-70","title":"Mineral weathering in ectomycorrhizosphere of subalpine fir (Abies lasiocarpa (Hook.) Nutt.) as revealed by soil solution composition","type":"article-journal","volume":"133"},"uris":["http://www.mendeley.com/documents/?uuid=73a6ff0f-8b98-4aec-b094-cce1c02859a9"]},{"id":"ITEM-9","itemData":{"DOI":"10.1007/s005720050259","ISBN":"0940-6360","ISSN":"09406360","abstract":"The aim of this study was to investigate the role of plants colonised by two ectomycorrhizal fungi, Paxillus involutus and Suillus variegatus, in mobilising potassium (K) from biotite and microcline, two miner- als common in acid to medium-acid bedrock. This was carried out in a 33-week pot study with seedlings of Pinus sylvestris growing in symbiosis with the fungi, where no K was added or where K was added in the form of biotite or microcline. The mineral additions were similar to those found in natural soils. All seed- lings, including non-mycorrhizal, were able to access the K in biotite, leading to stimulated growth and K up- take relative to controls. Microcline addition induced growth depression in all seedlings except those colon- ised by P. involutus, which were stimulated. The soil solution from S. variegatus-colonised seedlings grown with biotite had higher concentrations of citric and ox- alic acid. Citric acid concentration was positively corre- lated to the fungal biomass (ergosterol) in the soil, as well as to the foliar K in S. variegatus-colonised seed- lings. Seedlings growing without K addition had low K concentrations in the shoot. Magnesium (Mg) concen- trations were enhanced in seedlings with severe K shortage, indicating that Mg can substitute for K, while calcium concentrations did not vary significantly.","author":[{"dropping-particle":"","family":"Wallander","given":"Håkan","non-dropping-particle":"","parse-names":false,"suffix":""},{"dropping-particle":"","family":"Wickman","given":"Tonie","non-dropping-particle":"","parse-names":false,"suffix":""}],"container-title":"Mycorrhiza","id":"ITEM-9","issue":"1","issued":{"date-parts":[["1999"]]},"page":"25-32","title":"Biotite and microcline as potassium sources in ectomycorrhizal and non-mycorrhizal Pinus sylvestris seedlings","type":"article-journal","volume":"9"},"uris":["http://www.mendeley.com/documents/?uuid=494f79bb-316a-4323-b480-fdc5f960e53c"]},{"id":"ITEM-10","itemData":{"DOI":"10.2136/sssaj1991.03615995005500040020x","ISBN":"0361-5995","author":[{"dropping-particle":"","family":"Leyval","given":"C","non-dropping-particle":"","parse-names":false,"suffix":""},{"dropping-particle":"","family":"Berthelin","given":"J","non-dropping-particle":"","parse-names":false,"suffix":""}],"container-title":"Soil Science Society of America journal.","id":"ITEM-10","issue":"4","issued":{"date-parts":[["1991"]]},"page":"1009-1016","title":"Weathering of a Mica by Roots and Rhizospheric Microorganisms of Pine","type":"article","volume":"55"},"uris":["http://www.mendeley.com/documents/?uuid=7e18271c-3d3e-4944-a7f4-9937512598d7"]}],"mendeley":{"formattedCitation":"(Fahad et al., 2016; Thorley et al., 2015; Adeleke et al., 2012; Leake et al., 2008; van Schöll et al., 2006b; Yuan et al., 2004; Van Hees et al., 2004; Arocena and Glowa, 2000; Wallander and Wickman, 1999; Leyval and Berthelin, 1991)","plainTextFormattedCitation":"(Fahad et al., 2016; Thorley et al., 2015; Adeleke et al., 2012; Leake et al., 2008; van Schöll et al., 2006b; Yuan et al., 2004; Van Hees et al., 2004; Arocena and Glowa, 2000; Wallander and Wickman, 1999; Leyval and Berthelin, 1991)","previouslyFormattedCitation":"(Fahad et al., 2016; Thorley et al., 2015; Adeleke et al., 2012; Leake et al., 2008; van Schöll et al., 2006b; Yuan et al., 2004; Van Hees et al., 2004; Arocena and Glowa, 2000; Wallander and Wickman, 1999; Leyval and Berthelin, 1991)"},"properties":{"noteIndex":0},"schema":"https://github.com/citation-style-language/schema/raw/master/csl-citation.json"}</w:instrText>
      </w:r>
      <w:r w:rsidRPr="007F746A">
        <w:fldChar w:fldCharType="separate"/>
      </w:r>
      <w:r w:rsidRPr="007F746A">
        <w:rPr>
          <w:noProof/>
        </w:rPr>
        <w:t>(Fahad et al., 2016; Thorley et al., 2015; Adeleke et al., 2012; Leake et al., 2008; van Schöll et al., 2006b; Yuan et al., 2004; Van Hees et al., 2004; Arocena and Glowa, 2000; Wallander and Wickman, 1999; Leyval and Berthelin, 1991)</w:t>
      </w:r>
      <w:r w:rsidRPr="007F746A">
        <w:fldChar w:fldCharType="end"/>
      </w:r>
      <w:r w:rsidRPr="003F7054">
        <w:t xml:space="preserve">. Moreover, it has been shown that the fungal hyphae can weather </w:t>
      </w:r>
      <w:r w:rsidR="000E6994">
        <w:t>P</w:t>
      </w:r>
      <w:r w:rsidRPr="003F7054">
        <w:t xml:space="preserve">-rich </w:t>
      </w:r>
      <w:r w:rsidR="00726544">
        <w:t>minerals, and hence</w:t>
      </w:r>
      <w:r w:rsidRPr="003F7054">
        <w:t xml:space="preserve"> mediate </w:t>
      </w:r>
      <w:r w:rsidR="000E6994">
        <w:t>inorganic P</w:t>
      </w:r>
      <w:r w:rsidR="000E6994" w:rsidRPr="003F7054">
        <w:t xml:space="preserve"> </w:t>
      </w:r>
      <w:r w:rsidR="000E6994">
        <w:t xml:space="preserve">(Pi) </w:t>
      </w:r>
      <w:r w:rsidRPr="003F7054">
        <w:t>uptake from naturally occurring min</w:t>
      </w:r>
      <w:r w:rsidRPr="007F746A">
        <w:t xml:space="preserve">erals such as the apatites </w:t>
      </w:r>
      <w:r w:rsidRPr="007F746A">
        <w:fldChar w:fldCharType="begin" w:fldLock="1"/>
      </w:r>
      <w:r w:rsidR="00EE33AB">
        <w:instrText>ADDIN CSL_CITATION {"citationItems":[{"id":"ITEM-1","itemData":{"DOI":"10.1111/j.1469-8137.1987.tb04797.x","ISSN":"0028-646X","author":[{"dropping-particle":"","family":"Lapeyrie","given":"F.","non-dropping-particle":"","parse-names":false,"suffix":""},{"dropping-particle":"","family":"Chilvers","given":"G. a.","non-dropping-particle":"","parse-names":false,"suffix":""},{"dropping-particle":"","family":"Bhem","given":"C. a.","non-dropping-particle":"","parse-names":false,"suffix":""}],"container-title":"New Phytologist","id":"ITEM-1","issue":"1","issued":{"date-parts":[["1987","5"]]},"page":"139-146","title":"Oxalic Acid Synthesis By the Mycorrhizal Fungus Paxillus Involutus (Batsch. Ex Fr.) Fr.","type":"article-journal","volume":"106"},"uris":["http://www.mendeley.com/documents/?uuid=af3301be-238a-4512-a82b-12216d1c74e8"]},{"id":"ITEM-2","itemData":{"DOI":"10.1139/b91-046","ISSN":"0008-4026","author":[{"dropping-particle":"","family":"Lapeyrie","given":"F","non-dropping-particle":"","parse-names":false,"suffix":""},{"dropping-particle":"","family":"Ranger","given":"J","non-dropping-particle":"","parse-names":false,"suffix":""},{"dropping-particle":"","family":"Vairelles","given":"D","non-dropping-particle":"","parse-names":false,"suffix":""}],"container-title":"Canadian Journal of Botany","id":"ITEM-2","issue":"2","issued":{"date-parts":[["1991","2","1"]]},"note":"doi: 10.1139/b91-046","page":"342-346","publisher":"NRC Research Press","title":"Phosphate-solubilizing activity of ectomycorrhizal fungi in vitro","type":"article-journal","volume":"69"},"uris":["http://www.mendeley.com/documents/?uuid=4906a540-2ecd-4f2f-a297-154ce76ea523"]},{"id":"ITEM-3","itemData":{"DOI":"10.1080/01490450902929324","ISBN":"0149-0451","ISSN":"01490451","abstract":"Ectomycorrhizal fungi are mutualistic symbionts of boreal forest trees and may mediate mineral weathering through their direct access to photosyntentically derived carbon. In soil, fungal mycelia (i) provide a large surface for nutrient uptake; (ii) induce intense colonization of nutrient rich substrates; (iii) cause local acidification and (iv) produce organic acids. Mechanisms of ectomyorrhizal fungi induced weathering in response to nutrient limiting growth conditions remains largely unresolved. This review summarizes how current knowledge on fungal weathering is affected by experimental setup and conditions, i.e., pure or symbiotic growth, nitrogen source, the mean of detecting weathering activity and species examined.","author":[{"dropping-particle":"","family":"Rosling","given":"Anna","non-dropping-particle":"","parse-names":false,"suffix":""}],"container-title":"Geomicrobiology Journal","id":"ITEM-3","issue":"6","issued":{"date-parts":[["2009"]]},"page":"389-401","title":"Trees, mycorrhiza and minerals - field relevance of in vitro experiments","type":"article-journal","volume":"26"},"uris":["http://www.mendeley.com/documents/?uuid=48dd7d54-3fbd-4b85-afd6-8ee329c4b40e"]},{"id":"ITEM-4","itemData":{"DOI":"10.1180/minmag.2008.072.1.85","ISSN":"0026461X","author":[{"dropping-particle":"","family":"Leake","given":"J. R.","non-dropping-particle":"","parse-names":false,"suffix":""},{"dropping-particle":"","family":"Duran","given":"a. L.","non-dropping-particle":"","parse-names":false,"suffix":""},{"dropping-particle":"","family":"Hardy","given":"K. E.","non-dropping-particle":"","parse-names":false,"suffix":""},{"dropping-particle":"","family":"Johnson","given":"I.","non-dropping-particle":"","parse-names":false,"suffix":""},{"dropping-particle":"","family":"Beerling","given":"D. J.","non-dropping-particle":"","parse-names":false,"suffix":""},{"dropping-particle":"","family":"Banwart","given":"S. a.","non-dropping-particle":"","parse-names":false,"suffix":""},{"dropping-particle":"","family":"Smits","given":"M. M.","non-dropping-particle":"","parse-names":false,"suffix":""}],"container-title":"Mineralogical Magazine","id":"ITEM-4","issue":"1","issued":{"date-parts":[["2008","2","1"]]},"page":"85-89","title":"Biological weathering in soil: the role of symbiotic root-associated fungi biosensing minerals and directing photosynthate-energy into grain-scale mineral weathering","type":"article-journal","volume":"72"},"uris":["http://www.mendeley.com/documents/?uuid=8f1f2313-6e4d-45da-85de-8401fda7a19a"]},{"id":"ITEM-5","itemData":{"DOI":"10.5662/wjm.v2.i1.1","ISBN":"9781620819340","ISSN":"2222-0682","PMID":"25237611","abstract":"Eight dissolution models of calcium apatites (both fluorapatite and hydroxyapatite) in acids were drawn from the published literature, analyzed and discussed. Major limitations and drawbacks of the models were conversed in details. The models were shown to deal with different aspects of apatite dissolution phenomenon and none of them was able to describe the dissolution process in general. Therefore, an attempt to combine the findings obtained by different researchers was performed which resulted in creation of the general description of apatite dissolution in acids. For this purpose, eight dissolution models were assumed to complement each other and provide the correct description of the specific aspects of apatite dissolution. The general description considers all possible dissolution stages involved and points out to some missing and unclear phenomena to be experimentally studied and verified in future. This creates a new methodological approach to investigate reaction mechanisms based on sets of affine data, obtained by various research groups under dissimilar experimental conditions.","author":[{"dropping-particle":"V","family":"Dorozhkin","given":"Sergey","non-dropping-particle":"","parse-names":false,"suffix":""}],"container-title":"World Journal of Methodology","id":"ITEM-5","issue":"1","issued":{"date-parts":[["2012"]]},"page":"1","title":"Dissolution mechanism of calcium apatites in acids: A review of literature","type":"article-journal","volume":"2"},"uris":["http://www.mendeley.com/documents/?uuid=06e1f49d-dc50-48f1-bed2-ebc2a804bd22"]}],"mendeley":{"formattedCitation":"(Lapeyrie et al., 1987, 1991; Rosling, 2009; Leake et al., 2008; Dorozhkin, 2012)","plainTextFormattedCitation":"(Lapeyrie et al., 1987, 1991; Rosling, 2009; Leake et al., 2008; Dorozhkin, 2012)","previouslyFormattedCitation":"(Lapeyrie et al., 1987, 1991; Rosling, 2009; Leake et al., 2008; Dorozhkin, 2012)"},"properties":{"noteIndex":0},"schema":"https://github.com/citation-style-language/schema/raw/master/csl-citation.json"}</w:instrText>
      </w:r>
      <w:r w:rsidRPr="007F746A">
        <w:fldChar w:fldCharType="separate"/>
      </w:r>
      <w:r w:rsidRPr="007F746A">
        <w:rPr>
          <w:noProof/>
        </w:rPr>
        <w:t>(Lapeyrie et al., 1987, 1991; Rosling, 2009; Leake et al., 2008; Dorozhkin, 2012)</w:t>
      </w:r>
      <w:r w:rsidRPr="007F746A">
        <w:fldChar w:fldCharType="end"/>
      </w:r>
      <w:r w:rsidRPr="003F7054">
        <w:t>.</w:t>
      </w:r>
    </w:p>
    <w:p w14:paraId="2C110B54" w14:textId="7ED7DBDD" w:rsidR="009D14AA" w:rsidRPr="000D7D3D" w:rsidRDefault="000D7D3D" w:rsidP="003F7054">
      <w:pPr>
        <w:ind w:firstLine="720"/>
      </w:pPr>
      <w:r w:rsidRPr="000D7D3D">
        <w:t xml:space="preserve">After the solubilisation and weathering of the </w:t>
      </w:r>
      <w:r w:rsidR="000E6994">
        <w:t>P</w:t>
      </w:r>
      <w:r w:rsidR="009D14AA">
        <w:t>-rich</w:t>
      </w:r>
      <w:r w:rsidR="009D14AA" w:rsidRPr="000D7D3D">
        <w:t xml:space="preserve"> </w:t>
      </w:r>
      <w:r w:rsidRPr="000D7D3D">
        <w:t>minerals by EM</w:t>
      </w:r>
      <w:r w:rsidR="009D14AA">
        <w:t>F</w:t>
      </w:r>
      <w:r w:rsidRPr="000D7D3D">
        <w:t>, P</w:t>
      </w:r>
      <w:r w:rsidR="009D14AA">
        <w:t>i</w:t>
      </w:r>
      <w:r w:rsidRPr="000D7D3D">
        <w:t xml:space="preserve"> is taken up by trees</w:t>
      </w:r>
      <w:r w:rsidR="00726544">
        <w:t>,</w:t>
      </w:r>
      <w:r w:rsidRPr="000D7D3D">
        <w:t xml:space="preserve"> making EM</w:t>
      </w:r>
      <w:r w:rsidR="009D14AA">
        <w:t>F</w:t>
      </w:r>
      <w:r w:rsidRPr="000D7D3D">
        <w:t xml:space="preserve"> to play a significant role in plants P nutrition. However, it has also been reported that the productivity of forests is frequently limited by P </w:t>
      </w:r>
      <w:r w:rsidRPr="000D7D3D">
        <w:fldChar w:fldCharType="begin" w:fldLock="1"/>
      </w:r>
      <w:r w:rsidR="00EE33AB">
        <w:instrText>ADDIN CSL_CITATION {"citationItems":[{"id":"ITEM-1","itemData":{"DOI":"10.1126/science.1098778","ISSN":"1095-9203","PMID":"15205475","abstract":"During succession, ecosystem development occurs; but in the long-term absence of catastrophic disturbance, a decline phase eventually follows. We studied six long-term chronosequences, in Australia, Sweden, Alaska, Hawaii, and New Zealand; for each, the decline phase was associated with a reduction in tree basal area and an increase in the substrate nitrogen-to-phosphorus ratio, indicating increasing phosphorus limitation over time. These changes were often associated with reductions in litter decomposition rates, phosphorus release from litter, and biomass and activity of decomposer microbes. Our findings suggest that the maximal biomass phase reached during succession cannot be maintained in the long-term absence of major disturbance, and that similar patterns of decline occur in forested ecosystems spanning the tropical, temperate, and boreal zones.","author":[{"dropping-particle":"","family":"Wardle","given":"David A","non-dropping-particle":"","parse-names":false,"suffix":""},{"dropping-particle":"","family":"Walker","given":"Lawrence R","non-dropping-particle":"","parse-names":false,"suffix":""},{"dropping-particle":"","family":"Bardgett","given":"Richard D","non-dropping-particle":"","parse-names":false,"suffix":""}],"container-title":"Science (New York, N.Y.)","id":"ITEM-1","issue":"5683","issued":{"date-parts":[["2004","7","23"]]},"page":"509-13","title":"Ecosystem properties and forest decline in contrasting long-term chronosequences.","type":"article-journal","volume":"305"},"uris":["http://www.mendeley.com/documents/?uuid=fe9b889f-5191-4cd3-93e2-3ad577a634fb"]}],"mendeley":{"formattedCitation":"(Wardle et al., 2004)","plainTextFormattedCitation":"(Wardle et al., 2004)","previouslyFormattedCitation":"(Wardle et al., 2004)"},"properties":{"noteIndex":0},"schema":"https://github.com/citation-style-language/schema/raw/master/csl-citation.json"}</w:instrText>
      </w:r>
      <w:r w:rsidRPr="000D7D3D">
        <w:fldChar w:fldCharType="separate"/>
      </w:r>
      <w:r w:rsidR="00726544" w:rsidRPr="00726544">
        <w:rPr>
          <w:noProof/>
        </w:rPr>
        <w:t xml:space="preserve">(Wardle et al., </w:t>
      </w:r>
      <w:r w:rsidR="00726544" w:rsidRPr="00726544">
        <w:rPr>
          <w:noProof/>
        </w:rPr>
        <w:lastRenderedPageBreak/>
        <w:t>2004)</w:t>
      </w:r>
      <w:r w:rsidRPr="000D7D3D">
        <w:fldChar w:fldCharType="end"/>
      </w:r>
      <w:r w:rsidRPr="000D7D3D">
        <w:t xml:space="preserve">, a phenomenon that may become highly widespread in future following the increasing levels of </w:t>
      </w:r>
      <w:r w:rsidR="00726544">
        <w:t xml:space="preserve">atmospheric </w:t>
      </w:r>
      <w:r w:rsidRPr="000D7D3D">
        <w:t xml:space="preserve">carbon dioxide </w:t>
      </w:r>
      <w:r w:rsidR="00726544">
        <w:t>(CO</w:t>
      </w:r>
      <w:r w:rsidR="00726544" w:rsidRPr="00726544">
        <w:rPr>
          <w:vertAlign w:val="subscript"/>
        </w:rPr>
        <w:t>2</w:t>
      </w:r>
      <w:r w:rsidR="00726544">
        <w:t xml:space="preserve">) </w:t>
      </w:r>
      <w:r w:rsidRPr="000D7D3D">
        <w:t xml:space="preserve">concentration </w:t>
      </w:r>
      <w:r w:rsidRPr="000D7D3D">
        <w:fldChar w:fldCharType="begin" w:fldLock="1"/>
      </w:r>
      <w:r w:rsidR="00EE33AB">
        <w:instrText>ADDIN CSL_CITATION {"citationItems":[{"id":"ITEM-1","itemData":{"author":[{"dropping-particle":"","family":"Moore","given":"B A","non-dropping-particle":"","parse-names":false,"suffix":""},{"dropping-particle":"","family":"Allare","given":"G B","non-dropping-particle":"","parse-names":false,"suffix":""}],"id":"ITEM-1","issued":{"date-parts":[["2008"]]},"number-of-pages":"1-45","publisher":"Forestry Department, Food and Agriculture Organization of the United Nations","title":"Climate Change Impacts on Forest Health","type":"report"},"uris":["http://www.mendeley.com/documents/?uuid=b91bf4c4-35ad-4f22-8bd9-452a705af76e"]}],"mendeley":{"formattedCitation":"(Moore and Allare, 2008)","plainTextFormattedCitation":"(Moore and Allare, 2008)","previouslyFormattedCitation":"(Moore and Allare, 2008)"},"properties":{"noteIndex":0},"schema":"https://github.com/citation-style-language/schema/raw/master/csl-citation.json"}</w:instrText>
      </w:r>
      <w:r w:rsidRPr="000D7D3D">
        <w:fldChar w:fldCharType="separate"/>
      </w:r>
      <w:r w:rsidRPr="000D7D3D">
        <w:rPr>
          <w:noProof/>
        </w:rPr>
        <w:t>(Moore and Allare, 2008)</w:t>
      </w:r>
      <w:r w:rsidRPr="000D7D3D">
        <w:fldChar w:fldCharType="end"/>
      </w:r>
      <w:r w:rsidRPr="000D7D3D">
        <w:t>. Establishing a clear understanding of the role of EM</w:t>
      </w:r>
      <w:r w:rsidR="009D14AA">
        <w:t>F</w:t>
      </w:r>
      <w:r w:rsidRPr="000D7D3D">
        <w:t xml:space="preserve"> in the weathering of </w:t>
      </w:r>
      <w:r w:rsidR="000E6994">
        <w:t>P</w:t>
      </w:r>
      <w:r w:rsidR="009D14AA">
        <w:t>-rich</w:t>
      </w:r>
      <w:r w:rsidR="009D14AA" w:rsidRPr="000D7D3D">
        <w:t xml:space="preserve"> </w:t>
      </w:r>
      <w:r w:rsidR="00E7794F">
        <w:t>minerals</w:t>
      </w:r>
      <w:r w:rsidRPr="000D7D3D">
        <w:t xml:space="preserve"> is imperative and essential in enhancing our </w:t>
      </w:r>
      <w:r w:rsidR="00E7794F">
        <w:t>knowledge in EM-driven</w:t>
      </w:r>
      <w:r w:rsidRPr="000D7D3D">
        <w:t xml:space="preserve"> </w:t>
      </w:r>
      <w:r w:rsidR="00E7794F">
        <w:t xml:space="preserve">rocks and minerals </w:t>
      </w:r>
      <w:r w:rsidR="00E7794F" w:rsidRPr="000D7D3D">
        <w:t>weathering</w:t>
      </w:r>
      <w:r w:rsidR="00E7794F">
        <w:t>,</w:t>
      </w:r>
      <w:r w:rsidR="00E7794F" w:rsidRPr="000D7D3D">
        <w:t xml:space="preserve"> </w:t>
      </w:r>
      <w:r w:rsidRPr="000D7D3D">
        <w:t xml:space="preserve">bio-transformations </w:t>
      </w:r>
      <w:r w:rsidR="00E7794F">
        <w:t xml:space="preserve">of </w:t>
      </w:r>
      <w:r w:rsidR="00E7794F" w:rsidRPr="000D7D3D">
        <w:t>metal</w:t>
      </w:r>
      <w:r w:rsidR="00E7794F">
        <w:t>s</w:t>
      </w:r>
      <w:r w:rsidR="00E7794F" w:rsidRPr="000D7D3D">
        <w:t xml:space="preserve"> and mineral</w:t>
      </w:r>
      <w:r w:rsidR="00E7794F">
        <w:t xml:space="preserve">s, </w:t>
      </w:r>
      <w:r w:rsidRPr="000D7D3D">
        <w:t>biog</w:t>
      </w:r>
      <w:r w:rsidR="00E7794F">
        <w:t>eochemical cycling of elements</w:t>
      </w:r>
      <w:r w:rsidRPr="000D7D3D">
        <w:t>, deco</w:t>
      </w:r>
      <w:r w:rsidR="00E7794F">
        <w:t>mposition of organic materials</w:t>
      </w:r>
      <w:r w:rsidRPr="000D7D3D">
        <w:t xml:space="preserve"> and the formation of soil and sediments </w:t>
      </w:r>
      <w:r w:rsidRPr="000D7D3D">
        <w:fldChar w:fldCharType="begin" w:fldLock="1"/>
      </w:r>
      <w:r w:rsidR="00EE33AB">
        <w:instrText>ADDIN CSL_CITATION {"citationItems":[{"id":"ITEM-1","itemData":{"DOI":"10.1128/AEM.00726-15","ISBN":"1098-5336 (Electronic)\r0099-2240 (Linking)","ISSN":"10985336","PMID":"25979898","abstract":"Fungi play important roles in biogeochemical processes such as organic matter decomposition, bioweathering of minerals and rocks, and metal transformations, and therefore influence elemental cycles for essential and potentially-toxic elements, e.g. P, S, Pb, and As. Arsenic is a potentially-toxic metalloid for most organisms, and naturally occurs in trace quantities in soil, rocks, water, air and living organisms. Among more than 300 arsenic minerals occurring in nature, mimetite [Pb5(AsO4)3Cl] is the most stable lead arsenate and holds considerable promise in metal stabilization for in situ and ex situ sequestration and remediation through precipitation, as do other insoluble lead apatites, such as pyromorphite [Pb5(PO4)3Cl] and vanadinite [Pb5(VO4)3Cl]. Despite the insolubility of mimetite, the organic acid-producing soil fungus Aspergillus niger was able to solubilize mimetite with simultaneous precipitation of lead oxalate as a new mycogenic biomineral. Since fungal biotransformation of both pyromorphite and vanadinite have been previously documented a new biogeochemical model for the biogenic transformation of lead apatites (mimetite, pyromorphite and vanadinite) by fungi is hypothesised in this study by application of geochemical modelling together with experimental data. The models closely agreed with experimental data and provided accurate simulation of As and Pb complexation and biomineral formation dependent on, e.g. pH, cation-anion composition and concentration. A general pattern for fungal biotransformation of lead apatite minerals is proposed, proving new understanding of ecological implications of the biogeochemical cycling of component elements as well as industrial applications in metal stabilization, bioremediation and biorecovery.","author":[{"dropping-particle":"","family":"Ceci","given":"Andrea","non-dropping-particle":"","parse-names":false,"suffix":""},{"dropping-particle":"","family":"Kierans","given":"Martin","non-dropping-particle":"","parse-names":false,"suffix":""},{"dropping-particle":"","family":"Hillier","given":"Stephen","non-dropping-particle":"","parse-names":false,"suffix":""},{"dropping-particle":"","family":"Persiani","given":"Anna Maria","non-dropping-particle":"","parse-names":false,"suffix":""},{"dropping-particle":"","family":"Gadd","given":"Geoffrey Michael","non-dropping-particle":"","parse-names":false,"suffix":""}],"container-title":"Applied and Environmental Microbiology","id":"ITEM-1","issue":"15","issued":{"date-parts":[["2015"]]},"page":"4955-4964","title":"Fungal bioweathering of mimetite and a general geomycological model for lead apatite mineral biotransformations","type":"article-journal","volume":"81"},"uris":["http://www.mendeley.com/documents/?uuid=45400dcb-95a6-40b1-a6a6-0d1e8f77b765"]}],"mendeley":{"formattedCitation":"(Ceci et al., 2015)","plainTextFormattedCitation":"(Ceci et al., 2015)","previouslyFormattedCitation":"(Ceci et al., 2015)"},"properties":{"noteIndex":0},"schema":"https://github.com/citation-style-language/schema/raw/master/csl-citation.json"}</w:instrText>
      </w:r>
      <w:r w:rsidRPr="000D7D3D">
        <w:fldChar w:fldCharType="separate"/>
      </w:r>
      <w:r w:rsidRPr="000D7D3D">
        <w:rPr>
          <w:noProof/>
        </w:rPr>
        <w:t>(Ceci et al., 2015)</w:t>
      </w:r>
      <w:r w:rsidRPr="000D7D3D">
        <w:fldChar w:fldCharType="end"/>
      </w:r>
      <w:r w:rsidRPr="000D7D3D">
        <w:t>. Consequently, the role of EM</w:t>
      </w:r>
      <w:r w:rsidR="009D14AA">
        <w:t>F</w:t>
      </w:r>
      <w:r w:rsidRPr="000D7D3D">
        <w:t xml:space="preserve"> in mineral weathering has received increasing attention from r</w:t>
      </w:r>
      <w:r w:rsidR="00F0108C">
        <w:t>esearchers as well as scholars.</w:t>
      </w:r>
    </w:p>
    <w:p w14:paraId="38616636" w14:textId="246D00AF" w:rsidR="000D7D3D" w:rsidRPr="000D7D3D" w:rsidRDefault="000D7D3D" w:rsidP="00635993">
      <w:pPr>
        <w:ind w:firstLine="720"/>
      </w:pPr>
      <w:r w:rsidRPr="000D7D3D">
        <w:t>Additionally, high food demands of a globally growing population have a large impact on the modern agriculture</w:t>
      </w:r>
      <w:r w:rsidR="00EF0C14">
        <w:t>,</w:t>
      </w:r>
      <w:r w:rsidRPr="000D7D3D">
        <w:t xml:space="preserve"> </w:t>
      </w:r>
      <w:r w:rsidR="00EF0C14">
        <w:t>which depends</w:t>
      </w:r>
      <w:r w:rsidRPr="000D7D3D">
        <w:t xml:space="preserve"> on the use of P fertilizers in order to increase crop productivity. Past farmers mainly relied on P sources which were naturally present within the soil and the use of manu</w:t>
      </w:r>
      <w:r w:rsidR="00EF0C14">
        <w:t>re.</w:t>
      </w:r>
      <w:r w:rsidRPr="000D7D3D">
        <w:t xml:space="preserve"> </w:t>
      </w:r>
      <w:r w:rsidR="00EF0C14">
        <w:t>I</w:t>
      </w:r>
      <w:r w:rsidRPr="000D7D3D">
        <w:t xml:space="preserve">n contrast, modern agriculture largely relies on the use of external P sources such as </w:t>
      </w:r>
      <w:r w:rsidR="00EF0C14">
        <w:t xml:space="preserve">phosphate </w:t>
      </w:r>
      <w:r w:rsidRPr="000D7D3D">
        <w:t xml:space="preserve">rock </w:t>
      </w:r>
      <w:r w:rsidRPr="000D7D3D">
        <w:fldChar w:fldCharType="begin" w:fldLock="1"/>
      </w:r>
      <w:r w:rsidR="00EE33AB">
        <w:instrText>ADDIN CSL_CITATION {"citationItems":[{"id":"ITEM-1","itemData":{"DOI":"10.1016/j.gloenvcha.2008.10.009","ISBN":"0959-3780","ISSN":"09593780","PMID":"19280633","abstract":"Food production requires application of fertilizers containing phosphorus, nitrogen and potassium on agricultural fields in order to sustain crop yields. However modern agriculture is dependent on phosphorus derived from phosphate rock, which is a non-renewable resource and current global reserves may be depleted in 50-100 years. While phosphorus demand is projected to increase, the expected global peak in phosphorus production is predicted to occur around 2030. The exact timing of peak phosphorus production might be disputed, however it is widely acknowledged within the fertilizer industry that the quality of remaining phosphate rock is decreasing and production costs are increasing. Yet future access to phosphorus receives little or no international attention. This paper puts forward the case for including long-term phosphorus scarcity on the priority agenda for global food security. Opportunities for recovering phosphorus and reducing demand are also addressed together with institutional challenges. © 2009.","author":[{"dropping-particle":"","family":"Cordell","given":"Dana","non-dropping-particle":"","parse-names":false,"suffix":""},{"dropping-particle":"","family":"Drangert","given":"Jan Olof","non-dropping-particle":"","parse-names":false,"suffix":""},{"dropping-particle":"","family":"White","given":"Stuart","non-dropping-particle":"","parse-names":false,"suffix":""}],"container-title":"Global Environmental Change","id":"ITEM-1","issue":"2","issued":{"date-parts":[["2009"]]},"page":"292-305","title":"The story of phosphorus: Global food security and food for thought","type":"article-journal","volume":"19"},"uris":["http://www.mendeley.com/documents/?uuid=05893c2e-ff31-4f9a-bd6f-6fea1ed9c024"]}],"mendeley":{"formattedCitation":"(Cordell et al., 2009)","plainTextFormattedCitation":"(Cordell et al., 2009)","previouslyFormattedCitation":"(Cordell et al., 2009)"},"properties":{"noteIndex":0},"schema":"https://github.com/citation-style-language/schema/raw/master/csl-citation.json"}</w:instrText>
      </w:r>
      <w:r w:rsidRPr="000D7D3D">
        <w:fldChar w:fldCharType="separate"/>
      </w:r>
      <w:r w:rsidRPr="000D7D3D">
        <w:rPr>
          <w:noProof/>
        </w:rPr>
        <w:t>(Cordell et al., 2009)</w:t>
      </w:r>
      <w:r w:rsidRPr="000D7D3D">
        <w:fldChar w:fldCharType="end"/>
      </w:r>
      <w:r w:rsidR="00EF0C14">
        <w:t>. Although</w:t>
      </w:r>
      <w:r w:rsidRPr="000D7D3D">
        <w:t xml:space="preserve"> </w:t>
      </w:r>
      <w:r w:rsidR="00EF0C14">
        <w:t xml:space="preserve">phosphate </w:t>
      </w:r>
      <w:r w:rsidRPr="000D7D3D">
        <w:t>rock i</w:t>
      </w:r>
      <w:r w:rsidR="00EF0C14">
        <w:t xml:space="preserve">s abundant in the Earths’ crust, </w:t>
      </w:r>
      <w:r w:rsidRPr="000D7D3D">
        <w:t xml:space="preserve">it is not a renewable source of fertiliser production </w:t>
      </w:r>
      <w:r w:rsidRPr="000D7D3D">
        <w:fldChar w:fldCharType="begin" w:fldLock="1"/>
      </w:r>
      <w:r w:rsidR="00EE33AB">
        <w:instrText>ADDIN CSL_CITATION {"citationItems":[{"id":"ITEM-1","itemData":{"DOI":"10.1016/j.gloenvcha.2008.10.009","ISBN":"0959-3780","ISSN":"09593780","PMID":"19280633","abstract":"Food production requires application of fertilizers containing phosphorus, nitrogen and potassium on agricultural fields in order to sustain crop yields. However modern agriculture is dependent on phosphorus derived from phosphate rock, which is a non-renewable resource and current global reserves may be depleted in 50-100 years. While phosphorus demand is projected to increase, the expected global peak in phosphorus production is predicted to occur around 2030. The exact timing of peak phosphorus production might be disputed, however it is widely acknowledged within the fertilizer industry that the quality of remaining phosphate rock is decreasing and production costs are increasing. Yet future access to phosphorus receives little or no international attention. This paper puts forward the case for including long-term phosphorus scarcity on the priority agenda for global food security. Opportunities for recovering phosphorus and reducing demand are also addressed together with institutional challenges. © 2009.","author":[{"dropping-particle":"","family":"Cordell","given":"Dana","non-dropping-particle":"","parse-names":false,"suffix":""},{"dropping-particle":"","family":"Drangert","given":"Jan Olof","non-dropping-particle":"","parse-names":false,"suffix":""},{"dropping-particle":"","family":"White","given":"Stuart","non-dropping-particle":"","parse-names":false,"suffix":""}],"container-title":"Global Environmental Change","id":"ITEM-1","issue":"2","issued":{"date-parts":[["2009"]]},"page":"292-305","title":"The story of phosphorus: Global food security and food for thought","type":"article-journal","volume":"19"},"uris":["http://www.mendeley.com/documents/?uuid=05893c2e-ff31-4f9a-bd6f-6fea1ed9c024"]}],"mendeley":{"formattedCitation":"(Cordell et al., 2009)","plainTextFormattedCitation":"(Cordell et al., 2009)","previouslyFormattedCitation":"(Cordell et al., 2009)"},"properties":{"noteIndex":0},"schema":"https://github.com/citation-style-language/schema/raw/master/csl-citation.json"}</w:instrText>
      </w:r>
      <w:r w:rsidRPr="000D7D3D">
        <w:fldChar w:fldCharType="separate"/>
      </w:r>
      <w:r w:rsidRPr="000D7D3D">
        <w:rPr>
          <w:noProof/>
        </w:rPr>
        <w:t>(Cordell et al., 2009)</w:t>
      </w:r>
      <w:r w:rsidRPr="000D7D3D">
        <w:fldChar w:fldCharType="end"/>
      </w:r>
      <w:r w:rsidRPr="000D7D3D">
        <w:t>. According to some researchers</w:t>
      </w:r>
      <w:r w:rsidR="00F0108C">
        <w:t>,</w:t>
      </w:r>
      <w:r w:rsidRPr="000D7D3D">
        <w:t xml:space="preserve"> </w:t>
      </w:r>
      <w:r w:rsidR="00EF0C14">
        <w:t xml:space="preserve">phosphate </w:t>
      </w:r>
      <w:r w:rsidRPr="000D7D3D">
        <w:t xml:space="preserve">rock reserves are estimated to be exhausted in the next 50-100 years if the rate of </w:t>
      </w:r>
      <w:r w:rsidR="00EF0C14">
        <w:t>its</w:t>
      </w:r>
      <w:r w:rsidRPr="000D7D3D">
        <w:t xml:space="preserve"> mining for fertiliser production will increase due to demand </w:t>
      </w:r>
      <w:r w:rsidR="00EF0C14">
        <w:t>for</w:t>
      </w:r>
      <w:r w:rsidRPr="000D7D3D">
        <w:t xml:space="preserve"> feeding a globally growing population and biofuel production </w:t>
      </w:r>
      <w:r w:rsidRPr="000D7D3D">
        <w:fldChar w:fldCharType="begin" w:fldLock="1"/>
      </w:r>
      <w:r w:rsidR="00EE33AB">
        <w:instrText>ADDIN CSL_CITATION {"citationItems":[{"id":"ITEM-1","itemData":{"DOI":"10.1016/j.cub.2010.04.031","ISSN":"09609822","author":[{"dropping-particle":"","family":"Gross","given":"Michael","non-dropping-particle":"","parse-names":false,"suffix":""}],"container-title":"Current Biology","id":"ITEM-1","issue":"9","issued":{"date-parts":[["2010"]]},"page":"386-387","title":"Fears over phosphorus supplies","type":"article-journal","volume":"20"},"uris":["http://www.mendeley.com/documents/?uuid=a0398c62-c3d2-441e-aa47-e7d462ca74b4"]},{"id":"ITEM-2","itemData":{"DOI":"10.1038/461716a","ISBN":"0028-0836","ISSN":"00280836","PMID":"19812648","abstract":"Phosphate-based fertilizers have helped spur agricultural gains in the past century, but the world may soon run out of them. Natasha Gilbert investigates the potential phosphate crisis","author":[{"dropping-particle":"","family":"Gilbert","given":"Natasha","non-dropping-particle":"","parse-names":false,"suffix":""}],"container-title":"Nature","id":"ITEM-2","issue":"7265","issued":{"date-parts":[["2009"]]},"page":"716-718","title":"The disappearing nutrient","type":"article-journal","volume":"461"},"uris":["http://www.mendeley.com/documents/?uuid=51316019-a80a-4091-8cc4-6edfaeac7243"]}],"mendeley":{"formattedCitation":"(Gross, 2010; Gilbert, 2009)","plainTextFormattedCitation":"(Gross, 2010; Gilbert, 2009)","previouslyFormattedCitation":"(Gross, 2010; Gilbert, 2009)"},"properties":{"noteIndex":0},"schema":"https://github.com/citation-style-language/schema/raw/master/csl-citation.json"}</w:instrText>
      </w:r>
      <w:r w:rsidRPr="000D7D3D">
        <w:fldChar w:fldCharType="separate"/>
      </w:r>
      <w:r w:rsidRPr="000D7D3D">
        <w:rPr>
          <w:noProof/>
        </w:rPr>
        <w:t>(Gross, 2010; Gilbert, 2009)</w:t>
      </w:r>
      <w:r w:rsidRPr="000D7D3D">
        <w:fldChar w:fldCharType="end"/>
      </w:r>
      <w:r w:rsidRPr="000D7D3D">
        <w:t>. Besides, the current methods of P fertiliser prod</w:t>
      </w:r>
      <w:r w:rsidR="00F0108C">
        <w:t xml:space="preserve">uction require high quality and </w:t>
      </w:r>
      <w:r w:rsidRPr="000D7D3D">
        <w:t xml:space="preserve">large quantity of natural P reserves in order to avoid heavy metal and radioactive elements contamination </w:t>
      </w:r>
      <w:r w:rsidRPr="000D7D3D">
        <w:fldChar w:fldCharType="begin" w:fldLock="1"/>
      </w:r>
      <w:r w:rsidR="00EE33AB">
        <w:instrText>ADDIN CSL_CITATION {"citationItems":[{"id":"ITEM-1","itemData":{"author":[{"dropping-particle":"","family":"Silva","given":"Fernando","non-dropping-particle":"da","parse-names":false,"suffix":""},{"dropping-particle":"","family":"Nascimento","given":"Clistenes","non-dropping-particle":"do","parse-names":false,"suffix":""},{"dropping-particle":"","family":"Araujo","given":"Paula","non-dropping-particle":"","parse-names":false,"suffix":""}],"container-title":"Journal of Soil Science and Plant Nutrition","id":"ITEM-1","issue":"3","issued":{"date-parts":[["2017"]]},"page":"635-647","title":"Environmental risk of trace elements in P-containing fertilizers marketed in Brazil","type":"article-journal","volume":"17"},"uris":["http://www.mendeley.com/documents/?uuid=2cd02c83-7cf6-47a7-aeef-7d3f05bd7749"]},{"id":"ITEM-2","itemData":{"DOI":"10.1080/00103629609369600","ISSN":"0010-3624","author":[{"dropping-particle":"","family":"Schnug","given":"E","non-dropping-particle":"","parse-names":false,"suffix":""},{"dropping-particle":"","family":"Haneklaus","given":"S","non-dropping-particle":"","parse-names":false,"suffix":""},{"dropping-particle":"","family":"Schnier","given":"C","non-dropping-particle":"","parse-names":false,"suffix":""},{"dropping-particle":"","family":"Scholten","given":"L C","non-dropping-particle":"","parse-names":false,"suffix":""}],"container-title":"Communications in Soil Science and Plant Analysis","id":"ITEM-2","issue":"3-4","issued":{"date-parts":[["1996","2","1"]]},"note":"doi: 10.1080/00103629609369600","page":"829-841","publisher":"Taylor &amp; Francis","title":"Issues of natural radioactivity in phosphates","type":"article-journal","volume":"27"},"uris":["http://www.mendeley.com/documents/?uuid=fe6c04ba-8907-4779-afb7-0766f17f57d6"]}],"mendeley":{"formattedCitation":"(da Silva et al., 2017; Schnug et al., 1996)","plainTextFormattedCitation":"(da Silva et al., 2017; Schnug et al., 1996)","previouslyFormattedCitation":"(da Silva et al., 2017; Schnug et al., 1996)"},"properties":{"noteIndex":0},"schema":"https://github.com/citation-style-language/schema/raw/master/csl-citation.json"}</w:instrText>
      </w:r>
      <w:r w:rsidRPr="000D7D3D">
        <w:fldChar w:fldCharType="separate"/>
      </w:r>
      <w:r w:rsidRPr="000D7D3D">
        <w:rPr>
          <w:noProof/>
        </w:rPr>
        <w:t>(da Silva et al., 2017; Schnug et al., 1996)</w:t>
      </w:r>
      <w:r w:rsidRPr="000D7D3D">
        <w:fldChar w:fldCharType="end"/>
      </w:r>
      <w:r w:rsidRPr="000D7D3D">
        <w:t xml:space="preserve">. Moreover, if natural </w:t>
      </w:r>
      <w:r w:rsidR="00EF0C14" w:rsidRPr="000D7D3D">
        <w:t xml:space="preserve">P </w:t>
      </w:r>
      <w:r w:rsidRPr="000D7D3D">
        <w:t xml:space="preserve">reserves become limited in the near future, this may have an impact on </w:t>
      </w:r>
      <w:r w:rsidR="00F0108C">
        <w:t xml:space="preserve">the </w:t>
      </w:r>
      <w:r w:rsidRPr="000D7D3D">
        <w:t xml:space="preserve">global economy. Already, since 2008 the price of P fertilisers has dramatically increased </w:t>
      </w:r>
      <w:r w:rsidRPr="000D7D3D">
        <w:fldChar w:fldCharType="begin" w:fldLock="1"/>
      </w:r>
      <w:r w:rsidR="00EE33AB">
        <w:instrText>ADDIN CSL_CITATION {"citationItems":[{"id":"ITEM-1","itemData":{"DOI":"10.1016/j.gloenvcha.2008.10.009","ISBN":"0959-3780","ISSN":"09593780","PMID":"19280633","abstract":"Food production requires application of fertilizers containing phosphorus, nitrogen and potassium on agricultural fields in order to sustain crop yields. However modern agriculture is dependent on phosphorus derived from phosphate rock, which is a non-renewable resource and current global reserves may be depleted in 50-100 years. While phosphorus demand is projected to increase, the expected global peak in phosphorus production is predicted to occur around 2030. The exact timing of peak phosphorus production might be disputed, however it is widely acknowledged within the fertilizer industry that the quality of remaining phosphate rock is decreasing and production costs are increasing. Yet future access to phosphorus receives little or no international attention. This paper puts forward the case for including long-term phosphorus scarcity on the priority agenda for global food security. Opportunities for recovering phosphorus and reducing demand are also addressed together with institutional challenges. © 2009.","author":[{"dropping-particle":"","family":"Cordell","given":"Dana","non-dropping-particle":"","parse-names":false,"suffix":""},{"dropping-particle":"","family":"Drangert","given":"Jan Olof","non-dropping-particle":"","parse-names":false,"suffix":""},{"dropping-particle":"","family":"White","given":"Stuart","non-dropping-particle":"","parse-names":false,"suffix":""}],"container-title":"Global Environmental Change","id":"ITEM-1","issue":"2","issued":{"date-parts":[["2009"]]},"page":"292-305","title":"The story of phosphorus: Global food security and food for thought","type":"article-journal","volume":"19"},"uris":["http://www.mendeley.com/documents/?uuid=05893c2e-ff31-4f9a-bd6f-6fea1ed9c024"]}],"mendeley":{"formattedCitation":"(Cordell et al., 2009)","plainTextFormattedCitation":"(Cordell et al., 2009)","previouslyFormattedCitation":"(Cordell et al., 2009)"},"properties":{"noteIndex":0},"schema":"https://github.com/citation-style-language/schema/raw/master/csl-citation.json"}</w:instrText>
      </w:r>
      <w:r w:rsidRPr="000D7D3D">
        <w:fldChar w:fldCharType="separate"/>
      </w:r>
      <w:r w:rsidRPr="000D7D3D">
        <w:rPr>
          <w:noProof/>
        </w:rPr>
        <w:t>(Cordell et al., 2009)</w:t>
      </w:r>
      <w:r w:rsidRPr="000D7D3D">
        <w:fldChar w:fldCharType="end"/>
      </w:r>
      <w:r w:rsidRPr="000D7D3D">
        <w:t>.</w:t>
      </w:r>
    </w:p>
    <w:p w14:paraId="0B9B023B" w14:textId="3E008813" w:rsidR="000D7D3D" w:rsidRPr="000D7D3D" w:rsidRDefault="000D7D3D" w:rsidP="003F7054">
      <w:pPr>
        <w:ind w:firstLine="720"/>
      </w:pPr>
      <w:r w:rsidRPr="000D7D3D">
        <w:t>Improving our knowledge in Pi acquisition by the plants and their mycorrhizal fung</w:t>
      </w:r>
      <w:r w:rsidR="00EF0C14">
        <w:t>al</w:t>
      </w:r>
      <w:r w:rsidRPr="000D7D3D">
        <w:t xml:space="preserve"> partners may represent a strategy for decreasing the demand for P fertilisers, as both </w:t>
      </w:r>
      <w:r w:rsidR="00EF0C14">
        <w:t xml:space="preserve">arbuscular </w:t>
      </w:r>
      <w:r w:rsidR="00EF0C14" w:rsidRPr="000D7D3D">
        <w:t>mycorrhiza</w:t>
      </w:r>
      <w:r w:rsidR="00EF0C14">
        <w:t xml:space="preserve"> (</w:t>
      </w:r>
      <w:r w:rsidRPr="000D7D3D">
        <w:t>AM</w:t>
      </w:r>
      <w:r w:rsidR="00EF0C14">
        <w:t>)</w:t>
      </w:r>
      <w:r w:rsidRPr="000D7D3D">
        <w:t xml:space="preserve"> and EM can be used as an alternative to commercial fertilisers to improve plant growth </w:t>
      </w:r>
      <w:r w:rsidRPr="000D7D3D">
        <w:fldChar w:fldCharType="begin" w:fldLock="1"/>
      </w:r>
      <w:r w:rsidR="00EE33AB">
        <w:instrText>ADDIN CSL_CITATION {"citationItems":[{"id":"ITEM-1","itemData":{"DOI":"10.1081/CSS-100104105","ISBN":"0010-3624","ISSN":"0010-3624","abstract":"The tendency of phosphorus (P) to undergo adsorption and precipitation reactions in soil makes it one of the most immobile of the essential plant nutrients. As a result, the concentration of available P in soil solution is usually very low even though the total P content of soils is generally high. Consequently, P is second only to N in limiting crop productivity. In areas of the world such as the North America and Europe in which P fertilizers are applied liberally to agricultural fields, the loss of this nutrient through its transport in particulate and soluble forms from agricultural fields to lakes and rivers is of concern due to accelerated eutrophication. The need to provide crops with adequate P combined with the desire to minimize the adverse effect of P on the environment will require strategies to reduce P inputs and to maximize the efficiency of P uptake mechanisms in plants. Recent advances in molecular biology offer opportunities to manipulate plants to increase uptake efficiencies of R Integration of arbuscular mycorrhizal fungi into cropping systems provides an alternative means of maintaining yields while reducing P inputs. To realize the potential of these new technologies, however, a thorough understanding of both soil and plant factors involved in P uptake, and the effects of cultural practices on arbuscular mycorrhizal associations are needed. A review of the literature was undertaken to summarize the relevant state of knowledge on P uptake processes in plants and the mechanisms by which P uptake efficiencies could be enhanced, with particular emphasis on arbuscular mycorrhizal fungi. ABSTRACT FROM AUTHOR Copyright of Communications in Soil Science &amp; Plant Analysis is the property of Taylor &amp; Francis Ltd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Abstracts)","author":[{"dropping-particle":"","family":"Miyasaka","given":"Susan C.","non-dropping-particle":"","parse-names":false,"suffix":""},{"dropping-particle":"","family":"Habte","given":"M.","non-dropping-particle":"","parse-names":false,"suffix":""}],"container-title":"Communications in Soil Science and Plant Analysis","id":"ITEM-1","issue":"7-8","issued":{"date-parts":[["2001"]]},"page":"1101-1147","title":"Plant mechanisms and mycorrhizal symbioses to increase phosphorus uptake efficiency*","type":"article-journal","volume":"32"},"uris":["http://www.mendeley.com/documents/?uuid=85d459f0-331a-491f-b2e8-1169cd3a9174"]},{"id":"ITEM-2","itemData":{"DOI":"10.1016/j.jenvman.2010.07.016","ISBN":"03014797 (ISSN)","ISSN":"03014797","PMID":"20702021","abstract":"Addition of fertilisers is a common practice in nursery production of conifer seedlings. The aim of this study was to evaluate whether ectomycorrhizal (ECM) fungi can be an alternative to the use of chemical fertilisers in the nursery production of Pinus pinaster. A greenhouse nursery experiment was conducted by inoculating seedlings obtained from seeds of P. pinaster plus trees with a range of compatible ECM fungi: (1) Thelephora terrestris, (2) Rhizopogon vulgaris, (3) a mixture of Pisolithus tinctorius and Scleroderma citrinum, and (4) a mixture of Suillus bovinus, Laccaria laccata and Lactarius deterrimus, using forest soil as substrate. Plant development was assessed at two levels of N-P-K fertiliser (0 or 600. mg/seedling). Inoculation with a mixture of mycelium from S. bovinus, L. laccata and L. deterrimus and with a mixture of spores of P. tinctorius and S. citrinum improved plant growth and nutrition, without the need of fertiliser. Results indicate that selected ECM fungi can be a beneficial biotechnological tool in nursery production of P. pinaster. © 2010 Elsevier Ltd.","author":[{"dropping-particle":"","family":"Sousa","given":"Nadine R.","non-dropping-particle":"","parse-names":false,"suffix":""},{"dropping-particle":"","family":"Franco","given":"Albina R.","non-dropping-particle":"","parse-names":false,"suffix":""},{"dropping-particle":"","family":"Oliveira","given":"Rui S.","non-dropping-particle":"","parse-names":false,"suffix":""},{"dropping-particle":"","family":"Castro","given":"Paula M L","non-dropping-particle":"","parse-names":false,"suffix":""}],"container-title":"Journal of Environmental Management","id":"ITEM-2","issue":"SUPPL.","issued":{"date-parts":[["2012"]]},"page":"S269-S274","publisher":"Elsevier Ltd","title":"Ectomycorrhizal fungi as an alternative to the use of chemical fertilisers in nursery production of Pinus pinaster","type":"article-journal","volume":"95"},"uris":["http://www.mendeley.com/documents/?uuid=3892401f-6048-4713-a194-ea54ff63c218"]}],"mendeley":{"formattedCitation":"(Miyasaka and Habte, 2001; Sousa et al., 2012)","plainTextFormattedCitation":"(Miyasaka and Habte, 2001; Sousa et al., 2012)","previouslyFormattedCitation":"(Miyasaka and Habte, 2001; Sousa et al., 2012)"},"properties":{"noteIndex":0},"schema":"https://github.com/citation-style-language/schema/raw/master/csl-citation.json"}</w:instrText>
      </w:r>
      <w:r w:rsidRPr="000D7D3D">
        <w:fldChar w:fldCharType="separate"/>
      </w:r>
      <w:r w:rsidRPr="000D7D3D">
        <w:rPr>
          <w:noProof/>
        </w:rPr>
        <w:t>(Miyasaka and Habte, 2001; Sousa et al., 2012)</w:t>
      </w:r>
      <w:r w:rsidRPr="000D7D3D">
        <w:fldChar w:fldCharType="end"/>
      </w:r>
      <w:r w:rsidR="00EF0C14">
        <w:t>.</w:t>
      </w:r>
    </w:p>
    <w:p w14:paraId="54B15864" w14:textId="1C22ACAF" w:rsidR="000D7D3D" w:rsidRPr="000D7D3D" w:rsidRDefault="000D7D3D" w:rsidP="007F746A">
      <w:pPr>
        <w:ind w:firstLine="720"/>
      </w:pPr>
      <w:r w:rsidRPr="000D7D3D">
        <w:t>However, few studies have investigated the molecular mechanisms involved in the process of mycorrhizal fungi mineral weathering. In particular, only a single study has investigated the molecular mechanisms involved in fungal mineral weathering</w:t>
      </w:r>
      <w:r w:rsidR="005D5861">
        <w:t xml:space="preserve"> at global </w:t>
      </w:r>
      <w:r w:rsidR="005D5861">
        <w:lastRenderedPageBreak/>
        <w:t xml:space="preserve">gene expression </w:t>
      </w:r>
      <w:r w:rsidR="000E6994">
        <w:t>level</w:t>
      </w:r>
      <w:r w:rsidRPr="000D7D3D">
        <w:t xml:space="preserve">, using the non-mycorrhizal saprophytic fungus </w:t>
      </w:r>
      <w:r w:rsidRPr="000D7D3D">
        <w:rPr>
          <w:i/>
        </w:rPr>
        <w:t>A</w:t>
      </w:r>
      <w:r w:rsidR="00BA3E77">
        <w:rPr>
          <w:i/>
        </w:rPr>
        <w:t>spergillus</w:t>
      </w:r>
      <w:r w:rsidRPr="000D7D3D">
        <w:rPr>
          <w:i/>
        </w:rPr>
        <w:t xml:space="preserve"> niger</w:t>
      </w:r>
      <w:r w:rsidRPr="000D7D3D">
        <w:t xml:space="preserve">. This study investigated the global </w:t>
      </w:r>
      <w:r w:rsidR="005D5861">
        <w:t xml:space="preserve">transcriptional </w:t>
      </w:r>
      <w:r w:rsidRPr="000D7D3D">
        <w:t>response</w:t>
      </w:r>
      <w:r w:rsidR="000E6994">
        <w:t>s</w:t>
      </w:r>
      <w:r w:rsidRPr="000D7D3D">
        <w:t xml:space="preserve"> to </w:t>
      </w:r>
      <w:r w:rsidR="005D5861">
        <w:t>potassium (</w:t>
      </w:r>
      <w:r w:rsidRPr="000D7D3D">
        <w:t>K</w:t>
      </w:r>
      <w:r w:rsidR="005D5861">
        <w:t xml:space="preserve">)-bearing feldspar </w:t>
      </w:r>
      <w:r w:rsidRPr="000D7D3D">
        <w:t xml:space="preserve">weathering </w:t>
      </w:r>
      <w:r w:rsidR="000E6994">
        <w:t xml:space="preserve">by </w:t>
      </w:r>
      <w:r w:rsidR="000E6994" w:rsidRPr="000E6994">
        <w:rPr>
          <w:i/>
        </w:rPr>
        <w:t>A. niger</w:t>
      </w:r>
      <w:r w:rsidR="000E6994">
        <w:t xml:space="preserve">, </w:t>
      </w:r>
      <w:r w:rsidRPr="000D7D3D">
        <w:t xml:space="preserve">using </w:t>
      </w:r>
      <w:r w:rsidR="005D5861">
        <w:t>RNA sequencing (</w:t>
      </w:r>
      <w:r w:rsidRPr="000D7D3D">
        <w:t>RNA-seq</w:t>
      </w:r>
      <w:r w:rsidR="005D5861">
        <w:t>)</w:t>
      </w:r>
      <w:r w:rsidR="00D01158">
        <w:t>,</w:t>
      </w:r>
      <w:r w:rsidRPr="000D7D3D">
        <w:t xml:space="preserve"> and identified multiple upregulated genes related to synthesis and transportation of organic acids, polysaccharides, and proteins </w:t>
      </w:r>
      <w:r w:rsidRPr="000D7D3D">
        <w:fldChar w:fldCharType="begin" w:fldLock="1"/>
      </w:r>
      <w:r w:rsidR="00EE33AB">
        <w:instrText>ADDIN CSL_CITATION {"citationItems":[{"id":"ITEM-1","itemData":{"DOI":"10.1080/01490451.2014.991812","ISBN":"0149-0451","ISSN":"15210529","abstract":"Microbial transformation of potassium feldspar to produce organic composite potassium fertilizer is recognized to be an important method of effective use of the huge reserves of low grade K+-bearing rock in China. The mechanism underlying microbial weathering of silicate minerals is still unclear, and this is an obstacle to practical methods of application. To thoroughly understand the molecular mechanism responsible for the weathering of potassium feldspar by Aspergillus niger at a molecular level, high-throughput RNA-sequencing (RNA-seq) and treatment with different potassium sources (cultured in Czapek medium with soluble K+ or potassium feldspar) were used to investigate the differentially expressed genes of A. niger associated with potassium feldspar weathering and the related metabolic pathways. A series of differentially expressed genes related to the synthesis and transportation of organic acids, polysaccharides, and proteins (enzymes) were found to be closely associated with the K+ released from minerals through bioinformatic analysis. In addition, 12 genes that showed apparent expression differences by RNA-seq analysis and are relevant to organic acid synthesis, protein modification, maintenance of cellular homeostasis, and material transportation, were selected to be further verified using RT-qPCR. Compared to the fungal samples cultured with soluble K+, those with potassium feldspar have certain genes that are more up-regulated, such as the genes for Na+,K+-ATPase (447.6 multiples), cystathionine beta-synthase (5.6 multiples), cysteine synthase (9 multiples), and glutathione synthase (3.5 multiples). The analysis indicates that A. niger weathering of potassium feldspar is due to the synergistic effect of many factors including the up-regulation of certain genes and activation of related metabolite pathways. The research improves our understanding of the mechanisms of microbial weathering of silicate minerals.","author":[{"dropping-particle":"","family":"Wang","given":"Weiying","non-dropping-particle":"","parse-names":false,"suffix":""},{"dropping-particle":"","family":"Lian","given":"Bin","non-dropping-particle":"","parse-names":false,"suffix":""},{"dropping-particle":"","family":"Pan","given":"Ling","non-dropping-particle":"","parse-names":false,"suffix":""}],"container-title":"Geomicrobiology Journal","id":"ITEM-1","issue":"8","issued":{"date-parts":[["2015"]]},"page":"689-700","title":"An RNA-Sequencing Study of the Genes and Metabolic Pathways Involved in Aspergillus niger Weathering of Potassium Feldspar","type":"article-journal","volume":"32"},"uris":["http://www.mendeley.com/documents/?uuid=fe1aa69e-8355-41f5-b0bb-77f1c600160f"]}],"mendeley":{"formattedCitation":"(Wang et al., 2015)","plainTextFormattedCitation":"(Wang et al., 2015)","previouslyFormattedCitation":"(Wang et al., 2015)"},"properties":{"noteIndex":0},"schema":"https://github.com/citation-style-language/schema/raw/master/csl-citation.json"}</w:instrText>
      </w:r>
      <w:r w:rsidRPr="000D7D3D">
        <w:fldChar w:fldCharType="separate"/>
      </w:r>
      <w:r w:rsidRPr="000D7D3D">
        <w:rPr>
          <w:noProof/>
        </w:rPr>
        <w:t>(Wang et al., 2015)</w:t>
      </w:r>
      <w:r w:rsidRPr="000D7D3D">
        <w:fldChar w:fldCharType="end"/>
      </w:r>
      <w:r w:rsidRPr="000D7D3D">
        <w:t>.</w:t>
      </w:r>
    </w:p>
    <w:p w14:paraId="3298CEB1" w14:textId="3263A8DE" w:rsidR="000D7D3D" w:rsidRPr="000D7D3D" w:rsidRDefault="003C183E" w:rsidP="00FB36B8">
      <w:pPr>
        <w:ind w:firstLine="720"/>
      </w:pPr>
      <w:r w:rsidRPr="000D7D3D">
        <w:t>As it was shown in Chapter 4,</w:t>
      </w:r>
      <w:r w:rsidR="000D7D3D" w:rsidRPr="000D7D3D">
        <w:t xml:space="preserve"> </w:t>
      </w:r>
      <w:r w:rsidRPr="000D7D3D">
        <w:t xml:space="preserve">an experimental system </w:t>
      </w:r>
      <w:r>
        <w:t>was</w:t>
      </w:r>
      <w:r w:rsidR="000D7D3D" w:rsidRPr="000D7D3D">
        <w:t xml:space="preserve"> developed </w:t>
      </w:r>
      <w:r>
        <w:t xml:space="preserve">and </w:t>
      </w:r>
      <w:r w:rsidR="000D7D3D" w:rsidRPr="000D7D3D">
        <w:t>optimized to investigate the solubilisation of hydroxyapatite</w:t>
      </w:r>
      <w:r w:rsidR="009D14AA">
        <w:t xml:space="preserve"> (HAP)</w:t>
      </w:r>
      <w:r w:rsidR="000D7D3D" w:rsidRPr="000D7D3D">
        <w:t xml:space="preserve"> by the EM</w:t>
      </w:r>
      <w:r w:rsidR="009D14AA">
        <w:t xml:space="preserve"> fungus</w:t>
      </w:r>
      <w:r w:rsidR="000D7D3D" w:rsidRPr="000D7D3D">
        <w:t xml:space="preserve"> </w:t>
      </w:r>
      <w:r w:rsidR="000D7D3D" w:rsidRPr="000D7D3D">
        <w:rPr>
          <w:i/>
        </w:rPr>
        <w:t>P</w:t>
      </w:r>
      <w:r w:rsidR="009D14AA">
        <w:rPr>
          <w:i/>
        </w:rPr>
        <w:t>axillus</w:t>
      </w:r>
      <w:r w:rsidR="000D7D3D" w:rsidRPr="000D7D3D">
        <w:rPr>
          <w:i/>
        </w:rPr>
        <w:t xml:space="preserve"> involutus</w:t>
      </w:r>
      <w:r w:rsidR="000D7D3D" w:rsidRPr="000D7D3D">
        <w:t xml:space="preserve">. In this </w:t>
      </w:r>
      <w:r w:rsidR="009D14AA">
        <w:t>c</w:t>
      </w:r>
      <w:r>
        <w:t>hapter,</w:t>
      </w:r>
      <w:r w:rsidR="000D7D3D" w:rsidRPr="000D7D3D">
        <w:t xml:space="preserve"> </w:t>
      </w:r>
      <w:r>
        <w:t>the symbiotic version</w:t>
      </w:r>
      <w:r w:rsidRPr="003C183E">
        <w:t xml:space="preserve"> </w:t>
      </w:r>
      <w:r>
        <w:t xml:space="preserve">of the HAP solubilisation system, using </w:t>
      </w:r>
      <w:r>
        <w:rPr>
          <w:i/>
        </w:rPr>
        <w:t>Pinus</w:t>
      </w:r>
      <w:r w:rsidRPr="003C183E">
        <w:rPr>
          <w:i/>
        </w:rPr>
        <w:t xml:space="preserve"> sylvestris</w:t>
      </w:r>
      <w:r>
        <w:t xml:space="preserve"> seedlings as</w:t>
      </w:r>
      <w:r w:rsidRPr="000D7D3D">
        <w:t xml:space="preserve"> the host trees</w:t>
      </w:r>
      <w:r>
        <w:t>,</w:t>
      </w:r>
      <w:r w:rsidRPr="000D7D3D">
        <w:t xml:space="preserve"> </w:t>
      </w:r>
      <w:r>
        <w:t xml:space="preserve">was used to </w:t>
      </w:r>
      <w:r w:rsidRPr="000D7D3D">
        <w:t xml:space="preserve">investigate </w:t>
      </w:r>
      <w:r>
        <w:t>HAP weathering</w:t>
      </w:r>
      <w:r w:rsidRPr="000D7D3D">
        <w:t xml:space="preserve"> </w:t>
      </w:r>
      <w:r w:rsidR="000D7D3D" w:rsidRPr="000D7D3D">
        <w:t xml:space="preserve">driven by the hyphae of </w:t>
      </w:r>
      <w:r w:rsidR="000D7D3D" w:rsidRPr="000D7D3D">
        <w:rPr>
          <w:i/>
        </w:rPr>
        <w:t>P. involutus</w:t>
      </w:r>
      <w:r>
        <w:rPr>
          <w:i/>
        </w:rPr>
        <w:t xml:space="preserve"> </w:t>
      </w:r>
      <w:r>
        <w:t>in EM symbiosis</w:t>
      </w:r>
      <w:r w:rsidR="000D7D3D" w:rsidRPr="000D7D3D">
        <w:t xml:space="preserve">. </w:t>
      </w:r>
      <w:r w:rsidR="00C56BB3">
        <w:t>In order t</w:t>
      </w:r>
      <w:r w:rsidR="000D7D3D" w:rsidRPr="000D7D3D">
        <w:t xml:space="preserve">o understand the molecular mechanisms responsible for the solubilisation of </w:t>
      </w:r>
      <w:r w:rsidR="009D14AA">
        <w:t>HAP</w:t>
      </w:r>
      <w:r w:rsidR="000D7D3D" w:rsidRPr="000D7D3D">
        <w:t xml:space="preserve">, total RNA was extracted from </w:t>
      </w:r>
      <w:r w:rsidR="003617AE">
        <w:t xml:space="preserve">fungal </w:t>
      </w:r>
      <w:r w:rsidR="000D7D3D" w:rsidRPr="000D7D3D">
        <w:t xml:space="preserve">hyphae colonising the source of </w:t>
      </w:r>
      <w:r w:rsidR="009D14AA">
        <w:t>HAP</w:t>
      </w:r>
      <w:r w:rsidR="003617AE">
        <w:t>,</w:t>
      </w:r>
      <w:r w:rsidR="009D14AA" w:rsidRPr="000D7D3D">
        <w:t xml:space="preserve"> </w:t>
      </w:r>
      <w:r w:rsidR="000D7D3D" w:rsidRPr="000D7D3D">
        <w:t xml:space="preserve">either </w:t>
      </w:r>
      <w:r w:rsidR="003617AE">
        <w:t>in non-symbiotic (NS) or in symbiotic (S) systems</w:t>
      </w:r>
      <w:r w:rsidR="000D7D3D" w:rsidRPr="000D7D3D">
        <w:t>. Next</w:t>
      </w:r>
      <w:r w:rsidR="003617AE">
        <w:t>,</w:t>
      </w:r>
      <w:r w:rsidR="000D7D3D" w:rsidRPr="000D7D3D">
        <w:t xml:space="preserve"> the RNA was used in RNA-seq </w:t>
      </w:r>
      <w:r w:rsidR="00C56BB3">
        <w:t>analysis</w:t>
      </w:r>
      <w:r w:rsidR="003617AE">
        <w:t xml:space="preserve"> to identify </w:t>
      </w:r>
      <w:r w:rsidR="000D7D3D" w:rsidRPr="000D7D3D">
        <w:t xml:space="preserve">differentially expressed genes in response to </w:t>
      </w:r>
      <w:r w:rsidR="009D14AA">
        <w:t>HAP</w:t>
      </w:r>
      <w:r w:rsidR="009D14AA" w:rsidRPr="000D7D3D">
        <w:t xml:space="preserve"> </w:t>
      </w:r>
      <w:r w:rsidR="000D7D3D" w:rsidRPr="000D7D3D">
        <w:t>solubilisation. The RNA-seq approach was complemented by whole metabolomics profiling using ultra-high performance liquid chromatography-quadrupole time-of-flight mass spectrometry (</w:t>
      </w:r>
      <w:r w:rsidR="000D7D3D" w:rsidRPr="000D7D3D">
        <w:rPr>
          <w:rFonts w:cs="Arial"/>
        </w:rPr>
        <w:t xml:space="preserve">UPLC-Q-TOF-MS) </w:t>
      </w:r>
      <w:r w:rsidR="000D7D3D" w:rsidRPr="000D7D3D">
        <w:rPr>
          <w:rFonts w:cs="Arial"/>
        </w:rPr>
        <w:fldChar w:fldCharType="begin" w:fldLock="1"/>
      </w:r>
      <w:r w:rsidR="00EE33AB">
        <w:rPr>
          <w:rFonts w:cs="Arial"/>
        </w:rPr>
        <w:instrText>ADDIN CSL_CITATION {"citationItems":[{"id":"ITEM-1","itemData":{"DOI":"http://dx.doi.org/10.2174/1570178612666150331204147","ISBN":"1570-1786/1875-6255","author":[{"dropping-particle":"","family":"Khan","given":"Hamid","non-dropping-particle":"","parse-names":false,"suffix":""},{"dropping-particle":"","family":"Javed","given":"Ali","non-dropping-particle":"","parse-names":false,"suffix":""}],"container-title":"Letters in Organic Chemistry","id":"ITEM-1","issue":"6","issued":{"date-parts":[["2015"]]},"page":"371-378","title":"UHPLC/Q-TOF-MS Technique: Introduction and Applications","type":"article","volume":"12"},"uris":["http://www.mendeley.com/documents/?uuid=cbb3105a-8737-4a69-a87e-e85ddf3547d9"]}],"mendeley":{"formattedCitation":"(Khan and Javed, 2015)","plainTextFormattedCitation":"(Khan and Javed, 2015)","previouslyFormattedCitation":"(Khan and Javed, 2015)"},"properties":{"noteIndex":0},"schema":"https://github.com/citation-style-language/schema/raw/master/csl-citation.json"}</w:instrText>
      </w:r>
      <w:r w:rsidR="000D7D3D" w:rsidRPr="000D7D3D">
        <w:rPr>
          <w:rFonts w:cs="Arial"/>
        </w:rPr>
        <w:fldChar w:fldCharType="separate"/>
      </w:r>
      <w:r w:rsidR="00485513" w:rsidRPr="00485513">
        <w:rPr>
          <w:rFonts w:cs="Arial"/>
          <w:noProof/>
        </w:rPr>
        <w:t>(Khan and Javed, 2015)</w:t>
      </w:r>
      <w:r w:rsidR="000D7D3D" w:rsidRPr="000D7D3D">
        <w:rPr>
          <w:rFonts w:cs="Arial"/>
        </w:rPr>
        <w:fldChar w:fldCharType="end"/>
      </w:r>
      <w:r w:rsidR="000D7D3D" w:rsidRPr="000D7D3D">
        <w:rPr>
          <w:rFonts w:cs="Arial"/>
        </w:rPr>
        <w:t xml:space="preserve">, </w:t>
      </w:r>
      <w:r w:rsidR="003617AE">
        <w:rPr>
          <w:rFonts w:cs="Arial"/>
        </w:rPr>
        <w:t xml:space="preserve">in order </w:t>
      </w:r>
      <w:r w:rsidR="000D7D3D" w:rsidRPr="000D7D3D">
        <w:t xml:space="preserve">to identify the metabolites involved in </w:t>
      </w:r>
      <w:r w:rsidR="009D14AA">
        <w:t>HAP</w:t>
      </w:r>
      <w:r w:rsidR="009D14AA" w:rsidRPr="000D7D3D">
        <w:t xml:space="preserve"> </w:t>
      </w:r>
      <w:r w:rsidR="000D7D3D" w:rsidRPr="000D7D3D">
        <w:t>weathering</w:t>
      </w:r>
      <w:r w:rsidR="00B0270B">
        <w:t>.</w:t>
      </w:r>
    </w:p>
    <w:p w14:paraId="2B3E3864" w14:textId="3CECFF2F" w:rsidR="000D7D3D" w:rsidRPr="000D7D3D" w:rsidRDefault="00AA3302" w:rsidP="007C3C15">
      <w:pPr>
        <w:ind w:firstLine="720"/>
      </w:pPr>
      <w:r w:rsidRPr="000D7D3D">
        <w:t xml:space="preserve">For this study </w:t>
      </w:r>
      <w:r w:rsidR="005F1A85">
        <w:t>five</w:t>
      </w:r>
      <w:r w:rsidRPr="000D7D3D">
        <w:t xml:space="preserve"> main hypotheses </w:t>
      </w:r>
      <w:r>
        <w:t>were</w:t>
      </w:r>
      <w:r w:rsidRPr="000D7D3D">
        <w:t xml:space="preserve"> tested, formulated as follows</w:t>
      </w:r>
      <w:r w:rsidR="000D7D3D" w:rsidRPr="000D7D3D">
        <w:t xml:space="preserve">: </w:t>
      </w:r>
    </w:p>
    <w:p w14:paraId="0D0610E0" w14:textId="345216E7" w:rsidR="000D7D3D" w:rsidRPr="000D7D3D" w:rsidRDefault="007D0460" w:rsidP="00635993">
      <w:r>
        <w:t xml:space="preserve">1. </w:t>
      </w:r>
      <w:r w:rsidR="000D7D3D" w:rsidRPr="000D7D3D">
        <w:t xml:space="preserve">Pi content within fungal and pine tissues </w:t>
      </w:r>
      <w:r w:rsidR="00AA3302">
        <w:t>will increase</w:t>
      </w:r>
      <w:r w:rsidR="000D7D3D" w:rsidRPr="000D7D3D">
        <w:t xml:space="preserve"> in response to </w:t>
      </w:r>
      <w:r>
        <w:t>HAP</w:t>
      </w:r>
      <w:r w:rsidRPr="000D7D3D">
        <w:t xml:space="preserve"> </w:t>
      </w:r>
      <w:r w:rsidR="000D7D3D" w:rsidRPr="000D7D3D">
        <w:t xml:space="preserve">solubilisation. Pi content will increase most in </w:t>
      </w:r>
      <w:r w:rsidR="00AA3302">
        <w:t>S</w:t>
      </w:r>
      <w:r w:rsidR="000D7D3D" w:rsidRPr="000D7D3D">
        <w:t xml:space="preserve"> systems compared to </w:t>
      </w:r>
      <w:r w:rsidR="00AA3302">
        <w:t>NS</w:t>
      </w:r>
      <w:r w:rsidR="000D7D3D" w:rsidRPr="000D7D3D">
        <w:t xml:space="preserve"> ones</w:t>
      </w:r>
      <w:r w:rsidR="00C56BB3">
        <w:t>,</w:t>
      </w:r>
      <w:r w:rsidR="000D7D3D" w:rsidRPr="000D7D3D">
        <w:t xml:space="preserve"> and this will lead to correspondingly larger host plant and fungal dry mass increases.</w:t>
      </w:r>
    </w:p>
    <w:p w14:paraId="3CC20BDC" w14:textId="38ECB9F2" w:rsidR="000D7D3D" w:rsidRPr="000D7D3D" w:rsidRDefault="007D0460" w:rsidP="00635993">
      <w:r>
        <w:t xml:space="preserve">2. </w:t>
      </w:r>
      <w:r w:rsidR="000D7D3D" w:rsidRPr="000D7D3D">
        <w:t xml:space="preserve">The P content of the </w:t>
      </w:r>
      <w:r>
        <w:t>HAP</w:t>
      </w:r>
      <w:r w:rsidRPr="000D7D3D">
        <w:t xml:space="preserve"> </w:t>
      </w:r>
      <w:r w:rsidR="000D7D3D" w:rsidRPr="000D7D3D">
        <w:t>source</w:t>
      </w:r>
      <w:r w:rsidR="00AA3302">
        <w:t xml:space="preserve"> within the </w:t>
      </w:r>
      <w:r w:rsidR="00030B59">
        <w:t>weathering systems</w:t>
      </w:r>
      <w:r w:rsidR="000D7D3D" w:rsidRPr="000D7D3D">
        <w:t xml:space="preserve"> will be depleted </w:t>
      </w:r>
      <w:r w:rsidR="00030B59">
        <w:t>after</w:t>
      </w:r>
      <w:r w:rsidR="000D7D3D" w:rsidRPr="000D7D3D">
        <w:t xml:space="preserve"> </w:t>
      </w:r>
      <w:r>
        <w:t>HAP</w:t>
      </w:r>
      <w:r w:rsidRPr="000D7D3D">
        <w:t xml:space="preserve"> </w:t>
      </w:r>
      <w:r w:rsidR="000D7D3D" w:rsidRPr="000D7D3D">
        <w:t>solubilisation and Pi uptake by the fungal hyphae</w:t>
      </w:r>
      <w:r w:rsidR="00030B59">
        <w:t xml:space="preserve">. P depletion will be more evident </w:t>
      </w:r>
      <w:r w:rsidR="000D7D3D" w:rsidRPr="000D7D3D">
        <w:t xml:space="preserve">in </w:t>
      </w:r>
      <w:r w:rsidR="00030B59">
        <w:t>the S systems</w:t>
      </w:r>
      <w:r w:rsidR="000D7D3D" w:rsidRPr="000D7D3D">
        <w:t xml:space="preserve"> than </w:t>
      </w:r>
      <w:r w:rsidR="00030B59">
        <w:t>in the NS one</w:t>
      </w:r>
      <w:r w:rsidR="000D7D3D" w:rsidRPr="000D7D3D">
        <w:t>s</w:t>
      </w:r>
      <w:r>
        <w:t>.</w:t>
      </w:r>
      <w:r w:rsidR="00540E23">
        <w:t xml:space="preserve"> </w:t>
      </w:r>
      <w:r w:rsidR="00540E23" w:rsidRPr="000D7D3D">
        <w:t xml:space="preserve">This hypothesis will be tested by energy-dispersive X-ray (EDX) spectroscopy on colonised </w:t>
      </w:r>
      <w:r w:rsidR="00540E23">
        <w:t>HAP</w:t>
      </w:r>
      <w:r w:rsidR="00540E23" w:rsidRPr="000D7D3D">
        <w:t xml:space="preserve"> crystals, visualised through scan</w:t>
      </w:r>
      <w:r w:rsidR="00540E23">
        <w:t>ning electron microscopy (SEM).</w:t>
      </w:r>
    </w:p>
    <w:p w14:paraId="73403B28" w14:textId="26071BF7" w:rsidR="000D7D3D" w:rsidRPr="000D7D3D" w:rsidRDefault="005F1A85" w:rsidP="00635993">
      <w:r>
        <w:t>3</w:t>
      </w:r>
      <w:r w:rsidR="007D0460">
        <w:t xml:space="preserve">. </w:t>
      </w:r>
      <w:r w:rsidR="000D7D3D" w:rsidRPr="000D7D3D">
        <w:t xml:space="preserve">Secondary minerals will precipitate on the surface of the </w:t>
      </w:r>
      <w:r w:rsidR="007D0460">
        <w:t>HAP</w:t>
      </w:r>
      <w:r w:rsidR="007D0460" w:rsidRPr="000D7D3D">
        <w:t xml:space="preserve"> </w:t>
      </w:r>
      <w:r w:rsidR="000D7D3D" w:rsidRPr="000D7D3D">
        <w:t xml:space="preserve">source due to its solubilisation in both </w:t>
      </w:r>
      <w:r w:rsidR="00B813CF">
        <w:t>NS and S</w:t>
      </w:r>
      <w:r w:rsidR="000D7D3D" w:rsidRPr="000D7D3D">
        <w:t xml:space="preserve"> systems.</w:t>
      </w:r>
      <w:r w:rsidR="00540E23">
        <w:t xml:space="preserve"> </w:t>
      </w:r>
      <w:r w:rsidR="00540E23" w:rsidRPr="000D7D3D">
        <w:t>This hypothesis will be tested by</w:t>
      </w:r>
      <w:r w:rsidR="00540E23">
        <w:t xml:space="preserve"> SEM. </w:t>
      </w:r>
    </w:p>
    <w:p w14:paraId="022A5B9B" w14:textId="76C36612" w:rsidR="000D7D3D" w:rsidRPr="000D7D3D" w:rsidRDefault="005F1A85" w:rsidP="00635993">
      <w:r>
        <w:lastRenderedPageBreak/>
        <w:t>4</w:t>
      </w:r>
      <w:r w:rsidR="007D0460">
        <w:t xml:space="preserve">. </w:t>
      </w:r>
      <w:r w:rsidR="000D7D3D" w:rsidRPr="000D7D3D">
        <w:t xml:space="preserve">RNA-seq analysis will reveal genes: (a) specifically regulated in response to </w:t>
      </w:r>
      <w:r w:rsidR="007D0460">
        <w:t>HAP</w:t>
      </w:r>
      <w:r w:rsidR="007D0460" w:rsidRPr="000D7D3D">
        <w:t xml:space="preserve"> </w:t>
      </w:r>
      <w:r w:rsidR="000D7D3D" w:rsidRPr="000D7D3D">
        <w:t xml:space="preserve">solubilisation, for example </w:t>
      </w:r>
      <w:r w:rsidR="00F652CC">
        <w:t xml:space="preserve">(proton) </w:t>
      </w:r>
      <w:r w:rsidR="000D7D3D" w:rsidRPr="000D7D3D">
        <w:t>H</w:t>
      </w:r>
      <w:r w:rsidR="000D7D3D" w:rsidRPr="003F7054">
        <w:rPr>
          <w:vertAlign w:val="superscript"/>
        </w:rPr>
        <w:t>+</w:t>
      </w:r>
      <w:r w:rsidR="000D7D3D" w:rsidRPr="000D7D3D">
        <w:t>-extrusion transporters, organic acid transporters and enzymes involved in the production of organic acids and (b) involved in Pi uptake and metabolism, such as Pi transporters and phosphatases.</w:t>
      </w:r>
    </w:p>
    <w:p w14:paraId="2E08F658" w14:textId="42932660" w:rsidR="000D7D3D" w:rsidRPr="000D7D3D" w:rsidRDefault="005F1A85" w:rsidP="00635993">
      <w:r>
        <w:t>5</w:t>
      </w:r>
      <w:r w:rsidR="007D0460">
        <w:t xml:space="preserve">. </w:t>
      </w:r>
      <w:r w:rsidR="004E5E2F" w:rsidRPr="000D7D3D">
        <w:rPr>
          <w:rFonts w:cs="Arial"/>
        </w:rPr>
        <w:t>UPLC-Q-TOF-MS</w:t>
      </w:r>
      <w:r w:rsidR="000D7D3D" w:rsidRPr="000D7D3D">
        <w:t xml:space="preserve"> analysis will identify nov</w:t>
      </w:r>
      <w:r w:rsidR="004E5E2F">
        <w:t>el metabolite</w:t>
      </w:r>
      <w:r w:rsidR="000D7D3D" w:rsidRPr="000D7D3D">
        <w:t xml:space="preserve">s specific to </w:t>
      </w:r>
      <w:r w:rsidR="007D0460">
        <w:t>HAP</w:t>
      </w:r>
      <w:r w:rsidR="007D0460" w:rsidRPr="000D7D3D">
        <w:t xml:space="preserve"> </w:t>
      </w:r>
      <w:r w:rsidR="000D7D3D" w:rsidRPr="000D7D3D">
        <w:t xml:space="preserve">weathering and will also </w:t>
      </w:r>
      <w:r w:rsidR="006C6B15">
        <w:t>investigate</w:t>
      </w:r>
      <w:r w:rsidR="000D7D3D" w:rsidRPr="000D7D3D">
        <w:t xml:space="preserve"> the presence of metabolic products, such as </w:t>
      </w:r>
      <w:r w:rsidR="004E5E2F">
        <w:t>low molecular weight organic acids (</w:t>
      </w:r>
      <w:r w:rsidR="00207C9B">
        <w:t>LMWOA</w:t>
      </w:r>
      <w:r w:rsidR="004E5E2F">
        <w:t>)</w:t>
      </w:r>
      <w:r w:rsidR="000D7D3D" w:rsidRPr="000D7D3D">
        <w:t xml:space="preserve">, </w:t>
      </w:r>
      <w:r w:rsidR="004E5E2F">
        <w:t>known</w:t>
      </w:r>
      <w:r w:rsidR="000D7D3D" w:rsidRPr="000D7D3D">
        <w:t xml:space="preserve"> to have a key role in </w:t>
      </w:r>
      <w:r w:rsidR="00792DB0">
        <w:t xml:space="preserve">fungal </w:t>
      </w:r>
      <w:r w:rsidR="000D7D3D" w:rsidRPr="000D7D3D">
        <w:t>mineral weathering.</w:t>
      </w:r>
      <w:r w:rsidR="000D7D3D" w:rsidRPr="000D7D3D">
        <w:br w:type="page"/>
      </w:r>
    </w:p>
    <w:p w14:paraId="28DF47D1" w14:textId="690C9C3C" w:rsidR="000D7D3D" w:rsidRPr="000D7D3D" w:rsidRDefault="000D7D3D" w:rsidP="00635993">
      <w:pPr>
        <w:pStyle w:val="Heading1"/>
      </w:pPr>
      <w:bookmarkStart w:id="398" w:name="_Toc507604052"/>
      <w:bookmarkStart w:id="399" w:name="_Toc507604319"/>
      <w:bookmarkStart w:id="400" w:name="_Toc519017029"/>
      <w:bookmarkStart w:id="401" w:name="_Toc520837934"/>
      <w:r w:rsidRPr="000D7D3D">
        <w:lastRenderedPageBreak/>
        <w:t>5.2 Materials and Methods</w:t>
      </w:r>
      <w:bookmarkEnd w:id="398"/>
      <w:bookmarkEnd w:id="399"/>
      <w:bookmarkEnd w:id="400"/>
      <w:bookmarkEnd w:id="401"/>
    </w:p>
    <w:p w14:paraId="18D2F019" w14:textId="77777777" w:rsidR="000D7D3D" w:rsidRPr="000D7D3D" w:rsidRDefault="000D7D3D" w:rsidP="003F7054"/>
    <w:p w14:paraId="6F51BA62" w14:textId="7A774890" w:rsidR="000D7D3D" w:rsidRPr="000D7D3D" w:rsidRDefault="000D7D3D" w:rsidP="00635993">
      <w:pPr>
        <w:pStyle w:val="Heading2"/>
      </w:pPr>
      <w:bookmarkStart w:id="402" w:name="_Toc507604053"/>
      <w:bookmarkStart w:id="403" w:name="_Toc507604320"/>
      <w:bookmarkStart w:id="404" w:name="_Toc519017030"/>
      <w:bookmarkStart w:id="405" w:name="_Toc520837935"/>
      <w:r w:rsidRPr="000D7D3D">
        <w:t xml:space="preserve">5.2.1 Preparation of synthetic </w:t>
      </w:r>
      <w:r w:rsidR="006A7E26">
        <w:t>HAP</w:t>
      </w:r>
      <w:r w:rsidRPr="000D7D3D">
        <w:t>-coated discs</w:t>
      </w:r>
      <w:bookmarkEnd w:id="402"/>
      <w:bookmarkEnd w:id="403"/>
      <w:bookmarkEnd w:id="404"/>
      <w:bookmarkEnd w:id="405"/>
    </w:p>
    <w:p w14:paraId="2D68307F" w14:textId="1043BDBF" w:rsidR="000D7D3D" w:rsidRPr="000D7D3D" w:rsidRDefault="000D7D3D" w:rsidP="003F7054">
      <w:r w:rsidRPr="000D7D3D">
        <w:rPr>
          <w:lang w:eastAsia="en-GB"/>
        </w:rPr>
        <w:t>Flat-bottomed 6 round</w:t>
      </w:r>
      <w:r w:rsidR="002E6D34">
        <w:t>-well</w:t>
      </w:r>
      <w:r w:rsidRPr="000D7D3D">
        <w:t xml:space="preserve"> polystyrene plates were filled (3</w:t>
      </w:r>
      <w:r w:rsidR="002E6D34">
        <w:t>,</w:t>
      </w:r>
      <w:r w:rsidRPr="000D7D3D">
        <w:t xml:space="preserve">000 </w:t>
      </w:r>
      <w:r w:rsidRPr="000D7D3D">
        <w:rPr>
          <w:lang w:val="el-GR"/>
        </w:rPr>
        <w:t>μ</w:t>
      </w:r>
      <w:r w:rsidRPr="000D7D3D">
        <w:t xml:space="preserve">l per well) with a calcifying solution containing </w:t>
      </w:r>
      <w:r w:rsidRPr="000D7D3D">
        <w:rPr>
          <w:lang w:eastAsia="en-GB"/>
        </w:rPr>
        <w:t>5 mM CaCl</w:t>
      </w:r>
      <w:r w:rsidRPr="000D7D3D">
        <w:rPr>
          <w:vertAlign w:val="subscript"/>
          <w:lang w:eastAsia="en-GB"/>
        </w:rPr>
        <w:t>2</w:t>
      </w:r>
      <w:r w:rsidRPr="000D7D3D">
        <w:rPr>
          <w:lang w:eastAsia="en-GB"/>
        </w:rPr>
        <w:t>*2H</w:t>
      </w:r>
      <w:r w:rsidRPr="000D7D3D">
        <w:rPr>
          <w:vertAlign w:val="subscript"/>
          <w:lang w:eastAsia="en-GB"/>
        </w:rPr>
        <w:t>2</w:t>
      </w:r>
      <w:r w:rsidRPr="000D7D3D">
        <w:rPr>
          <w:lang w:eastAsia="en-GB"/>
        </w:rPr>
        <w:t>O</w:t>
      </w:r>
      <w:r w:rsidRPr="000D7D3D">
        <w:t xml:space="preserve">, </w:t>
      </w:r>
      <w:r w:rsidRPr="000D7D3D">
        <w:rPr>
          <w:lang w:eastAsia="en-GB"/>
        </w:rPr>
        <w:t>15 mM KH</w:t>
      </w:r>
      <w:r w:rsidRPr="000D7D3D">
        <w:rPr>
          <w:vertAlign w:val="subscript"/>
          <w:lang w:eastAsia="en-GB"/>
        </w:rPr>
        <w:t>2</w:t>
      </w:r>
      <w:r w:rsidRPr="000D7D3D">
        <w:rPr>
          <w:lang w:eastAsia="en-GB"/>
        </w:rPr>
        <w:t>PO</w:t>
      </w:r>
      <w:r w:rsidRPr="000D7D3D">
        <w:rPr>
          <w:vertAlign w:val="subscript"/>
          <w:lang w:eastAsia="en-GB"/>
        </w:rPr>
        <w:t>4</w:t>
      </w:r>
      <w:r w:rsidRPr="000D7D3D">
        <w:t xml:space="preserve"> and </w:t>
      </w:r>
      <w:r w:rsidRPr="000D7D3D">
        <w:rPr>
          <w:lang w:eastAsia="en-GB"/>
        </w:rPr>
        <w:t>500 mM</w:t>
      </w:r>
      <w:r w:rsidR="002E6D34">
        <w:t xml:space="preserve"> triethanolamine</w:t>
      </w:r>
      <w:r w:rsidRPr="000D7D3D">
        <w:t xml:space="preserve"> at pH 7.4. The plates</w:t>
      </w:r>
      <w:r w:rsidR="002E6D34">
        <w:t xml:space="preserve"> were incubated at 80°C for 1.5 </w:t>
      </w:r>
      <w:r w:rsidRPr="000D7D3D">
        <w:t xml:space="preserve">h with the lid off, after which they were emptied, refilled with </w:t>
      </w:r>
      <w:r w:rsidR="00DE4852">
        <w:t xml:space="preserve">the </w:t>
      </w:r>
      <w:r w:rsidRPr="000D7D3D">
        <w:t xml:space="preserve">calcifying solution and re-incubated. Following a total of four 1.5 h precipitation cycles, the plates were rinsed three times with distilled water and allowed to air dry at room temperature. The method for the </w:t>
      </w:r>
      <w:r w:rsidR="006A7E26">
        <w:t>HAP</w:t>
      </w:r>
      <w:r w:rsidR="006A7E26" w:rsidRPr="000D7D3D">
        <w:t xml:space="preserve"> </w:t>
      </w:r>
      <w:r w:rsidRPr="000D7D3D">
        <w:t xml:space="preserve">synthesis was </w:t>
      </w:r>
      <w:r w:rsidR="002E6D34">
        <w:t>ada</w:t>
      </w:r>
      <w:r w:rsidRPr="000D7D3D">
        <w:t>pted from Schilling et al. (1994)</w:t>
      </w:r>
      <w:r w:rsidR="002E6D34">
        <w:t xml:space="preserve"> </w:t>
      </w:r>
      <w:r w:rsidR="002E6D34">
        <w:fldChar w:fldCharType="begin" w:fldLock="1"/>
      </w:r>
      <w:r w:rsidR="00EE33AB">
        <w:instrText>ADDIN CSL_CITATION {"citationItems":[{"id":"ITEM-1","itemData":{"DOI":"10.1016/0927-7765(93)01120-G","ISSN":"0927-7765","abstract":"The aim of the present study was to develop a microassay for bacterial adherence to hydroxyapatite (HA) which is more convenient, reduces the required amounts of materials, and removes artifactual tube “wall effects”. To form HA in situ on 96-well plates, the wells were filled with 2.5 mmol l −1 calcium chloride, 7.5 mmol l −1 potassium phosphate, 250 mmol l −1 triethanolamine (pH 7.4) and the plates were incubated for 1.5 h at 75°C. The solution was decanted and the entire procedure was repeated three more times. Analysis of the mineral composition showed the Ca/P ratio to be 1.63. X-ray and electron diffraction analyses indicated that all the mineral formed was HA. Scanning electron microscopy showed a continuous layer of HA crystallites with occasional aggregates and no exposed polystyrene. Salivary pellicles were formed on the HA surfaces either with or without the in situ synthesis of glucans. The pelliclecoated HA plates were incubated with radiolabelled bacteria for 1.0 h at 37°C. Adherent bacteria were digested with 10 mmol l −1 EDTA/1 N NaOH for 1.0 h at 37°C and were quantitated by scintillation counting. The results showed that Streptococcus gordonii , Actinomyces naeslundii ( Actinomyces viscosus ), and Streptococcus mutans bound to HA plates coated with saliva or saliva plus glucans in a stereospecific manner. The relative levels of bacteria which attached to HA plates paralleled the results found with spheroidal whitlockite beads. The HA plates eliminate wall effects, simplify sample processing and scintillation counting, require smaller amounts of reagents, and reduce radioactive and other waste. Accordingly, HA-coated microtitre plates represent an improved format for studying oral bacterial adhesion.","author":[{"dropping-particle":"","family":"Schilling","given":"K M","non-dropping-particle":"","parse-names":false,"suffix":""},{"dropping-particle":"","family":"Carson","given":"R G","non-dropping-particle":"","parse-names":false,"suffix":""},{"dropping-particle":"","family":"Bosko","given":"C A","non-dropping-particle":"","parse-names":false,"suffix":""},{"dropping-particle":"","family":"Golikeri","given":"G D","non-dropping-particle":"","parse-names":false,"suffix":""},{"dropping-particle":"","family":"Bruinooge","given":"A","non-dropping-particle":"","parse-names":false,"suffix":""},{"dropping-particle":"","family":"Hoyberg","given":"K","non-dropping-particle":"","parse-names":false,"suffix":""},{"dropping-particle":"","family":"Waller","given":"A M","non-dropping-particle":"","parse-names":false,"suffix":""},{"dropping-particle":"","family":"Hughes","given":"N P","non-dropping-particle":"","parse-names":false,"suffix":""}],"container-title":"Colloids and Surfaces B: Biointerfaces","id":"ITEM-1","issue":"1","issued":{"date-parts":[["1994"]]},"page":"31-38","title":"A microassay for bacterial adherence to hydroxyapatite","type":"article-journal","volume":"3"},"uris":["http://www.mendeley.com/documents/?uuid=3f31908c-cf76-408f-a81d-ee7898a3f7b2"]}],"mendeley":{"formattedCitation":"(Schilling et al., 1994)","plainTextFormattedCitation":"(Schilling et al., 1994)","previouslyFormattedCitation":"(Schilling et al., 1994)"},"properties":{"noteIndex":0},"schema":"https://github.com/citation-style-language/schema/raw/master/csl-citation.json"}</w:instrText>
      </w:r>
      <w:r w:rsidR="002E6D34">
        <w:fldChar w:fldCharType="separate"/>
      </w:r>
      <w:r w:rsidR="002E6D34" w:rsidRPr="002E6D34">
        <w:rPr>
          <w:noProof/>
        </w:rPr>
        <w:t>(Schilling et al., 1994)</w:t>
      </w:r>
      <w:r w:rsidR="002E6D34">
        <w:fldChar w:fldCharType="end"/>
      </w:r>
      <w:r w:rsidR="002E6D34">
        <w:t>.</w:t>
      </w:r>
    </w:p>
    <w:p w14:paraId="11194B63" w14:textId="00F945B1" w:rsidR="000D7D3D" w:rsidRPr="000D7D3D" w:rsidRDefault="000D7D3D" w:rsidP="007F746A">
      <w:pPr>
        <w:ind w:firstLine="720"/>
      </w:pPr>
      <w:r w:rsidRPr="000D7D3D">
        <w:t xml:space="preserve">Lastly, the wells were drilled out from each plate with a 29 mm diamond cutter </w:t>
      </w:r>
      <w:r w:rsidR="002E6D34" w:rsidRPr="000D7D3D">
        <w:t xml:space="preserve">in </w:t>
      </w:r>
      <w:r w:rsidR="002E6D34">
        <w:t>order to obtain</w:t>
      </w:r>
      <w:r w:rsidR="002E6D34" w:rsidRPr="000D7D3D">
        <w:t xml:space="preserve"> </w:t>
      </w:r>
      <w:r w:rsidRPr="000D7D3D">
        <w:t xml:space="preserve">the </w:t>
      </w:r>
      <w:r w:rsidR="006A7E26">
        <w:t>HAP</w:t>
      </w:r>
      <w:r w:rsidRPr="000D7D3D">
        <w:t xml:space="preserve">-coated polystyrene disc (diameter </w:t>
      </w:r>
      <w:r w:rsidRPr="000D7D3D">
        <w:rPr>
          <w:rFonts w:cs="Arial"/>
        </w:rPr>
        <w:t>~</w:t>
      </w:r>
      <w:r w:rsidRPr="000D7D3D">
        <w:t xml:space="preserve">25 mm). For obtaining </w:t>
      </w:r>
      <w:r w:rsidR="002E6D34">
        <w:t>the uncoated</w:t>
      </w:r>
      <w:r w:rsidRPr="000D7D3D">
        <w:t xml:space="preserve"> polystyrene discs (diameter </w:t>
      </w:r>
      <w:r w:rsidRPr="000D7D3D">
        <w:rPr>
          <w:rFonts w:cs="Arial"/>
        </w:rPr>
        <w:t>~</w:t>
      </w:r>
      <w:r w:rsidR="002E6D34">
        <w:t xml:space="preserve">25 mm), </w:t>
      </w:r>
      <w:r w:rsidRPr="000D7D3D">
        <w:t xml:space="preserve">i.e. without any </w:t>
      </w:r>
      <w:r w:rsidR="006A7E26">
        <w:t>HAP</w:t>
      </w:r>
      <w:r w:rsidR="006A7E26" w:rsidRPr="000D7D3D">
        <w:t xml:space="preserve"> </w:t>
      </w:r>
      <w:r w:rsidR="002E6D34">
        <w:t>coating,</w:t>
      </w:r>
      <w:r w:rsidRPr="000D7D3D">
        <w:t xml:space="preserve"> </w:t>
      </w:r>
      <w:r w:rsidR="002E6D34">
        <w:t xml:space="preserve">the </w:t>
      </w:r>
      <w:r w:rsidR="002E6D34" w:rsidRPr="000D7D3D">
        <w:t xml:space="preserve">29 mm diamond cutter </w:t>
      </w:r>
      <w:r w:rsidR="002E6D34">
        <w:t xml:space="preserve">was used to </w:t>
      </w:r>
      <w:r w:rsidR="006E550C">
        <w:t>drill</w:t>
      </w:r>
      <w:r w:rsidR="002E6D34" w:rsidRPr="000D7D3D">
        <w:t xml:space="preserve"> ou</w:t>
      </w:r>
      <w:r w:rsidR="002E6D34">
        <w:t xml:space="preserve">t </w:t>
      </w:r>
      <w:r w:rsidRPr="000D7D3D">
        <w:t xml:space="preserve">the wells </w:t>
      </w:r>
      <w:r w:rsidR="002E6D34" w:rsidRPr="000D7D3D">
        <w:t xml:space="preserve">of the </w:t>
      </w:r>
      <w:r w:rsidR="002E6D34" w:rsidRPr="000D7D3D">
        <w:rPr>
          <w:lang w:eastAsia="en-GB"/>
        </w:rPr>
        <w:t>flat-bottomed 6 round</w:t>
      </w:r>
      <w:r w:rsidR="002E6D34" w:rsidRPr="000D7D3D">
        <w:t xml:space="preserve">-well polystyrene plate </w:t>
      </w:r>
      <w:r w:rsidR="002E6D34">
        <w:t>which</w:t>
      </w:r>
      <w:r w:rsidR="002E6D34" w:rsidRPr="000D7D3D">
        <w:t xml:space="preserve"> </w:t>
      </w:r>
      <w:r w:rsidR="006E550C">
        <w:t>w</w:t>
      </w:r>
      <w:r w:rsidRPr="000D7D3D">
        <w:t>ere not filled with any of the calcifying solution.</w:t>
      </w:r>
    </w:p>
    <w:p w14:paraId="126DC0E0" w14:textId="77777777" w:rsidR="000D7D3D" w:rsidRPr="000D7D3D" w:rsidRDefault="000D7D3D" w:rsidP="00FB36B8"/>
    <w:p w14:paraId="178D15CA" w14:textId="25C1DAC4" w:rsidR="000D7D3D" w:rsidRPr="000D7D3D" w:rsidRDefault="000D7D3D" w:rsidP="00635993">
      <w:pPr>
        <w:pStyle w:val="Heading2"/>
      </w:pPr>
      <w:bookmarkStart w:id="406" w:name="_Toc507604054"/>
      <w:bookmarkStart w:id="407" w:name="_Toc507604321"/>
      <w:bookmarkStart w:id="408" w:name="_Toc519017031"/>
      <w:bookmarkStart w:id="409" w:name="_Toc520837936"/>
      <w:r w:rsidRPr="000D7D3D">
        <w:t xml:space="preserve">5.2.2 Experimental design of the </w:t>
      </w:r>
      <w:r w:rsidR="006A7E26">
        <w:t>HAP</w:t>
      </w:r>
      <w:r w:rsidR="006A7E26" w:rsidRPr="000D7D3D">
        <w:t xml:space="preserve"> </w:t>
      </w:r>
      <w:r w:rsidRPr="000D7D3D">
        <w:t>solubilisation system</w:t>
      </w:r>
      <w:bookmarkEnd w:id="406"/>
      <w:bookmarkEnd w:id="407"/>
      <w:bookmarkEnd w:id="408"/>
      <w:bookmarkEnd w:id="409"/>
    </w:p>
    <w:p w14:paraId="1A8993A4" w14:textId="7636E2C8" w:rsidR="000D7D3D" w:rsidRPr="000D7D3D" w:rsidRDefault="000D7D3D" w:rsidP="003F7054">
      <w:r w:rsidRPr="000D7D3D">
        <w:t xml:space="preserve">The experimental design of the </w:t>
      </w:r>
      <w:r w:rsidR="006A7E26">
        <w:t>HAP</w:t>
      </w:r>
      <w:r w:rsidR="006A7E26" w:rsidRPr="000D7D3D">
        <w:t xml:space="preserve"> </w:t>
      </w:r>
      <w:r w:rsidRPr="000D7D3D">
        <w:t xml:space="preserve">solubilisation system constituted of a split (two-compartment) 90 mm Petri dish, where one of the two compartments is used as the fungal inoculation site, while the other one is used as the </w:t>
      </w:r>
      <w:r w:rsidR="006A7E26">
        <w:t>HAP</w:t>
      </w:r>
      <w:r w:rsidR="006A7E26" w:rsidRPr="000D7D3D">
        <w:t xml:space="preserve"> </w:t>
      </w:r>
      <w:r w:rsidRPr="000D7D3D">
        <w:t xml:space="preserve">solubilisation site (as it has been previously described in Section 4.2.2 in Chapter 4). </w:t>
      </w:r>
    </w:p>
    <w:p w14:paraId="2AF1C954" w14:textId="172A131B" w:rsidR="000D7D3D" w:rsidRPr="000D7D3D" w:rsidRDefault="000D7D3D" w:rsidP="007F746A">
      <w:pPr>
        <w:ind w:firstLine="720"/>
      </w:pPr>
      <w:r w:rsidRPr="000D7D3D">
        <w:t xml:space="preserve">In this </w:t>
      </w:r>
      <w:r w:rsidR="006A7E26">
        <w:t>c</w:t>
      </w:r>
      <w:r w:rsidRPr="000D7D3D">
        <w:t xml:space="preserve">hapter, </w:t>
      </w:r>
      <w:r w:rsidR="009E13F6" w:rsidRPr="000D7D3D">
        <w:t>both NS</w:t>
      </w:r>
      <w:r w:rsidR="009E13F6">
        <w:t xml:space="preserve"> </w:t>
      </w:r>
      <w:r w:rsidR="009E13F6" w:rsidRPr="000D7D3D">
        <w:t>and S experimental</w:t>
      </w:r>
      <w:r w:rsidR="009E13F6">
        <w:t xml:space="preserve"> systems</w:t>
      </w:r>
      <w:r w:rsidR="009E13F6" w:rsidRPr="000D7D3D">
        <w:t xml:space="preserve"> </w:t>
      </w:r>
      <w:r w:rsidRPr="000D7D3D">
        <w:t>have been prepared</w:t>
      </w:r>
      <w:r w:rsidR="009E13F6">
        <w:t>.</w:t>
      </w:r>
      <w:r w:rsidRPr="000D7D3D">
        <w:t xml:space="preserve"> </w:t>
      </w:r>
      <w:r w:rsidR="009E13F6">
        <w:t>In t</w:t>
      </w:r>
      <w:r w:rsidRPr="000D7D3D">
        <w:t xml:space="preserve">he S systems </w:t>
      </w:r>
      <w:r w:rsidR="009E13F6" w:rsidRPr="009E13F6">
        <w:rPr>
          <w:i/>
        </w:rPr>
        <w:t>P. involutus</w:t>
      </w:r>
      <w:r w:rsidR="009E13F6">
        <w:t xml:space="preserve"> was</w:t>
      </w:r>
      <w:r w:rsidRPr="000D7D3D">
        <w:t xml:space="preserve"> inoculated together with </w:t>
      </w:r>
      <w:r w:rsidR="009E13F6">
        <w:t xml:space="preserve">a </w:t>
      </w:r>
      <w:r w:rsidR="009E13F6" w:rsidRPr="009E13F6">
        <w:rPr>
          <w:i/>
        </w:rPr>
        <w:t>P. sylvestris</w:t>
      </w:r>
      <w:r w:rsidR="009E13F6">
        <w:t xml:space="preserve"> </w:t>
      </w:r>
      <w:r w:rsidRPr="000D7D3D">
        <w:t>seedling which was previously germinated in 1.2% PA</w:t>
      </w:r>
      <w:r w:rsidR="009E13F6">
        <w:t>,</w:t>
      </w:r>
      <w:r w:rsidRPr="000D7D3D">
        <w:t xml:space="preserve"> as </w:t>
      </w:r>
      <w:r w:rsidR="009E13F6">
        <w:t xml:space="preserve">it </w:t>
      </w:r>
      <w:r w:rsidRPr="000D7D3D">
        <w:t>has been previously descri</w:t>
      </w:r>
      <w:r w:rsidR="00D01158">
        <w:t>bed in Section 2.2.2 or 3.2.2</w:t>
      </w:r>
      <w:r w:rsidRPr="000D7D3D">
        <w:t xml:space="preserve">. Within the fungal inoculation site (shown as the top compartment of the plate in Figure 5.1A) two fungal plugs of 6 mm diameter </w:t>
      </w:r>
      <w:r w:rsidR="009E13F6">
        <w:t>were</w:t>
      </w:r>
      <w:r w:rsidRPr="000D7D3D">
        <w:t xml:space="preserve"> placed, and within the </w:t>
      </w:r>
      <w:r w:rsidR="006A7E26">
        <w:t>HAP</w:t>
      </w:r>
      <w:r w:rsidR="006A7E26" w:rsidRPr="000D7D3D">
        <w:t xml:space="preserve"> </w:t>
      </w:r>
      <w:r w:rsidRPr="000D7D3D">
        <w:t xml:space="preserve">solubilisation </w:t>
      </w:r>
      <w:r w:rsidR="009E13F6">
        <w:t>the</w:t>
      </w:r>
      <w:r w:rsidRPr="000D7D3D">
        <w:t xml:space="preserve"> </w:t>
      </w:r>
      <w:r w:rsidR="006A7E26">
        <w:t>HAP</w:t>
      </w:r>
      <w:r w:rsidR="009E13F6">
        <w:t>-coated disc</w:t>
      </w:r>
      <w:r w:rsidR="006A7E26" w:rsidRPr="000D7D3D">
        <w:t xml:space="preserve"> </w:t>
      </w:r>
      <w:r w:rsidR="009E13F6">
        <w:t xml:space="preserve">was </w:t>
      </w:r>
      <w:r w:rsidRPr="000D7D3D">
        <w:t xml:space="preserve">added (shown as the bottom compartment of the </w:t>
      </w:r>
      <w:r w:rsidR="009E13F6">
        <w:t xml:space="preserve">plate in Figure 5.1A). The HAP-coated discs </w:t>
      </w:r>
      <w:r w:rsidRPr="000D7D3D">
        <w:t>had been previously UV s</w:t>
      </w:r>
      <w:r w:rsidR="009E13F6">
        <w:t xml:space="preserve">terilised for 30 min </w:t>
      </w:r>
      <w:r w:rsidR="009E13F6">
        <w:lastRenderedPageBreak/>
        <w:t>at each sid</w:t>
      </w:r>
      <w:r w:rsidRPr="000D7D3D">
        <w:t>e</w:t>
      </w:r>
      <w:r w:rsidR="009E13F6">
        <w:t xml:space="preserve"> prior to their incorporation within the systems</w:t>
      </w:r>
      <w:r w:rsidRPr="000D7D3D">
        <w:t>. These systems are denoted in all figures as HAP+.</w:t>
      </w:r>
    </w:p>
    <w:p w14:paraId="18C571B0" w14:textId="5FF794CE" w:rsidR="000D7D3D" w:rsidRPr="000D7D3D" w:rsidRDefault="000D7D3D" w:rsidP="007F746A">
      <w:pPr>
        <w:ind w:firstLine="720"/>
      </w:pPr>
      <w:r w:rsidRPr="000D7D3D">
        <w:t>The control experimental system is composed of the same split 90 mm Petri dish</w:t>
      </w:r>
      <w:r w:rsidR="00C274A6">
        <w:t>,</w:t>
      </w:r>
      <w:r w:rsidRPr="000D7D3D">
        <w:t xml:space="preserve"> with the only difference being that a</w:t>
      </w:r>
      <w:r w:rsidR="00C274A6">
        <w:t>n uncoated polystyrene disc</w:t>
      </w:r>
      <w:r w:rsidRPr="000D7D3D">
        <w:t xml:space="preserve"> is placed within the solubilisation </w:t>
      </w:r>
      <w:r w:rsidR="00C274A6">
        <w:t>site. Similarly</w:t>
      </w:r>
      <w:r w:rsidR="00250F80">
        <w:t>,</w:t>
      </w:r>
      <w:r w:rsidR="00C274A6">
        <w:t xml:space="preserve"> the uncoated discs have</w:t>
      </w:r>
      <w:r w:rsidRPr="000D7D3D">
        <w:t xml:space="preserve"> been previously UV sterilised for</w:t>
      </w:r>
      <w:r w:rsidR="00C274A6">
        <w:t xml:space="preserve"> 30 min at each sid</w:t>
      </w:r>
      <w:r w:rsidRPr="000D7D3D">
        <w:t>e</w:t>
      </w:r>
      <w:r w:rsidR="00C274A6">
        <w:t xml:space="preserve"> prior to their incorporation within the systems</w:t>
      </w:r>
      <w:r w:rsidRPr="000D7D3D">
        <w:t>. These systems are denoted as HAP-.</w:t>
      </w:r>
    </w:p>
    <w:p w14:paraId="69A71C11" w14:textId="05E1E4A4" w:rsidR="000D7D3D" w:rsidRPr="000D7D3D" w:rsidRDefault="000D7D3D" w:rsidP="00FB36B8">
      <w:pPr>
        <w:ind w:firstLine="720"/>
      </w:pPr>
      <w:r w:rsidRPr="000D7D3D">
        <w:t xml:space="preserve">The media composition for each compartment of the </w:t>
      </w:r>
      <w:r w:rsidR="006A7E26">
        <w:t>HAP</w:t>
      </w:r>
      <w:r w:rsidR="006A7E26" w:rsidRPr="000D7D3D">
        <w:t xml:space="preserve"> </w:t>
      </w:r>
      <w:r w:rsidRPr="000D7D3D">
        <w:t>solubilisation experimental system differs in terms of Pi content (</w:t>
      </w:r>
      <w:r w:rsidR="00C274A6" w:rsidRPr="000D7D3D">
        <w:t>Appendix</w:t>
      </w:r>
      <w:r w:rsidR="00C274A6">
        <w:t>, Table 8</w:t>
      </w:r>
      <w:r w:rsidRPr="000D7D3D">
        <w:t>). In particular, the media of the fungal inoculation site are supplied with a minimal Pi content</w:t>
      </w:r>
      <w:r w:rsidRPr="000D7D3D">
        <w:rPr>
          <w:vertAlign w:val="subscript"/>
        </w:rPr>
        <w:t xml:space="preserve"> </w:t>
      </w:r>
      <w:r w:rsidRPr="000D7D3D">
        <w:t xml:space="preserve">of 0.37 </w:t>
      </w:r>
      <w:r w:rsidRPr="000D7D3D">
        <w:rPr>
          <w:lang w:val="el-GR"/>
        </w:rPr>
        <w:t>μ</w:t>
      </w:r>
      <w:r w:rsidRPr="000D7D3D">
        <w:t xml:space="preserve">M to support the growth of the fungal inoculum at the time of initial inoculation. The amount of the minimal Pi content has been defined through experimental trials (see Sections 4.3.2 and 4.3.3 in Chapter 4) together with data gathered from the Pi varying experiment in Chapter 2 (see Section 2.3.3). On the other hand, the media of the </w:t>
      </w:r>
      <w:r w:rsidR="006A7E26">
        <w:t>HAP</w:t>
      </w:r>
      <w:r w:rsidR="006A7E26" w:rsidRPr="000D7D3D">
        <w:t xml:space="preserve"> </w:t>
      </w:r>
      <w:r w:rsidRPr="000D7D3D">
        <w:t xml:space="preserve">solubilisation study site are not provided with any Pi source, so that the only Pi source within the </w:t>
      </w:r>
      <w:r w:rsidR="00C274A6">
        <w:t>HAP</w:t>
      </w:r>
      <w:r w:rsidR="00C274A6" w:rsidRPr="000D7D3D">
        <w:t>+</w:t>
      </w:r>
      <w:r w:rsidRPr="000D7D3D">
        <w:t xml:space="preserve"> systems is that on the surface of the </w:t>
      </w:r>
      <w:r w:rsidR="006A7E26">
        <w:t>HAP</w:t>
      </w:r>
      <w:r w:rsidR="00C274A6">
        <w:t>-coated polystyrene disc.</w:t>
      </w:r>
      <w:r w:rsidRPr="000D7D3D">
        <w:t xml:space="preserve"> </w:t>
      </w:r>
      <w:r w:rsidR="00C274A6" w:rsidRPr="000D7D3D">
        <w:t>F</w:t>
      </w:r>
      <w:r w:rsidRPr="000D7D3D">
        <w:t xml:space="preserve">or the </w:t>
      </w:r>
      <w:r w:rsidR="00C274A6" w:rsidRPr="000D7D3D">
        <w:t>HAP-</w:t>
      </w:r>
      <w:r w:rsidR="00C274A6">
        <w:t xml:space="preserve"> systems </w:t>
      </w:r>
      <w:r w:rsidRPr="000D7D3D">
        <w:t xml:space="preserve">not any Pi source </w:t>
      </w:r>
      <w:r w:rsidR="00C274A6">
        <w:t xml:space="preserve">is available since </w:t>
      </w:r>
      <w:r w:rsidRPr="000D7D3D">
        <w:t xml:space="preserve">the polystyrene discs are not coated with </w:t>
      </w:r>
      <w:r w:rsidR="006A7E26">
        <w:t>HAP</w:t>
      </w:r>
      <w:r w:rsidRPr="000D7D3D">
        <w:t>.</w:t>
      </w:r>
    </w:p>
    <w:p w14:paraId="67D781E8" w14:textId="77777777" w:rsidR="000D7D3D" w:rsidRPr="000D7D3D" w:rsidRDefault="000D7D3D" w:rsidP="007C3C15"/>
    <w:p w14:paraId="519F9FFC" w14:textId="77AA633E" w:rsidR="000D7D3D" w:rsidRPr="000D7D3D" w:rsidRDefault="000D7D3D" w:rsidP="00635993">
      <w:pPr>
        <w:pStyle w:val="Heading2"/>
      </w:pPr>
      <w:bookmarkStart w:id="410" w:name="_Toc507604055"/>
      <w:bookmarkStart w:id="411" w:name="_Toc507604322"/>
      <w:bookmarkStart w:id="412" w:name="_Toc519017032"/>
      <w:bookmarkStart w:id="413" w:name="_Toc520837937"/>
      <w:r w:rsidRPr="000D7D3D">
        <w:t>5.2.3 Fungal material</w:t>
      </w:r>
      <w:bookmarkEnd w:id="410"/>
      <w:bookmarkEnd w:id="411"/>
      <w:bookmarkEnd w:id="412"/>
      <w:bookmarkEnd w:id="413"/>
      <w:r w:rsidRPr="000D7D3D">
        <w:t xml:space="preserve"> </w:t>
      </w:r>
    </w:p>
    <w:p w14:paraId="73C9664D" w14:textId="6E84B68C" w:rsidR="000D7D3D" w:rsidRPr="000D7D3D" w:rsidRDefault="000D7D3D" w:rsidP="003F7054">
      <w:r w:rsidRPr="000D7D3D">
        <w:t>In</w:t>
      </w:r>
      <w:r w:rsidRPr="000D7D3D">
        <w:rPr>
          <w:i/>
        </w:rPr>
        <w:t xml:space="preserve"> </w:t>
      </w:r>
      <w:r w:rsidRPr="000D7D3D">
        <w:t xml:space="preserve">this </w:t>
      </w:r>
      <w:r w:rsidR="006A7E26">
        <w:t>c</w:t>
      </w:r>
      <w:r w:rsidRPr="000D7D3D">
        <w:t xml:space="preserve">hapter, only </w:t>
      </w:r>
      <w:r w:rsidRPr="000D7D3D">
        <w:rPr>
          <w:i/>
        </w:rPr>
        <w:t>P. involutus</w:t>
      </w:r>
      <w:r w:rsidRPr="000D7D3D">
        <w:t xml:space="preserve"> </w:t>
      </w:r>
      <w:r w:rsidRPr="000D7D3D">
        <w:rPr>
          <w:i/>
        </w:rPr>
        <w:t xml:space="preserve">DJR1 </w:t>
      </w:r>
      <w:r w:rsidRPr="000D7D3D">
        <w:t xml:space="preserve">was used because it has been previously shown (Chapter 4) through experimental trial that was the only strain which showed evidence of </w:t>
      </w:r>
      <w:r w:rsidR="006A7E26">
        <w:t>HAP</w:t>
      </w:r>
      <w:r w:rsidR="006A7E26" w:rsidRPr="000D7D3D">
        <w:t xml:space="preserve"> </w:t>
      </w:r>
      <w:r w:rsidRPr="000D7D3D">
        <w:t xml:space="preserve">solubilisation, secondary minerals formation and </w:t>
      </w:r>
      <w:r w:rsidRPr="000D7D3D">
        <w:rPr>
          <w:i/>
        </w:rPr>
        <w:t>PiPT1</w:t>
      </w:r>
      <w:r w:rsidRPr="000D7D3D">
        <w:t xml:space="preserve"> gene differential expression in response to </w:t>
      </w:r>
      <w:r w:rsidR="006A7E26">
        <w:t>HAP</w:t>
      </w:r>
      <w:r w:rsidR="006A7E26" w:rsidRPr="000D7D3D">
        <w:t xml:space="preserve"> </w:t>
      </w:r>
      <w:r w:rsidRPr="000D7D3D">
        <w:t>(see Section 4.3.4, Figure 4.7</w:t>
      </w:r>
      <w:r w:rsidR="00DF645B">
        <w:t xml:space="preserve"> and Section 4.3.5, Figure 4.8).</w:t>
      </w:r>
    </w:p>
    <w:p w14:paraId="65797626" w14:textId="25F4823D" w:rsidR="000D7D3D" w:rsidRPr="000D7D3D" w:rsidRDefault="000D7D3D" w:rsidP="00634533">
      <w:pPr>
        <w:ind w:firstLine="720"/>
      </w:pPr>
      <w:r w:rsidRPr="000D7D3D">
        <w:rPr>
          <w:i/>
        </w:rPr>
        <w:t>P. involutus</w:t>
      </w:r>
      <w:r w:rsidRPr="000D7D3D">
        <w:t xml:space="preserve"> </w:t>
      </w:r>
      <w:r w:rsidRPr="000D7D3D">
        <w:rPr>
          <w:i/>
        </w:rPr>
        <w:t>DJR1</w:t>
      </w:r>
      <w:r w:rsidRPr="000D7D3D">
        <w:t xml:space="preserve"> </w:t>
      </w:r>
      <w:r w:rsidR="004218E1">
        <w:t>which was</w:t>
      </w:r>
      <w:r w:rsidRPr="000D7D3D">
        <w:t xml:space="preserve"> grown in 10% </w:t>
      </w:r>
      <w:r w:rsidR="006A7E26">
        <w:t xml:space="preserve">strength </w:t>
      </w:r>
      <w:r w:rsidRPr="000D7D3D">
        <w:t>MMN fungal culture media (</w:t>
      </w:r>
      <w:r w:rsidR="004218E1" w:rsidRPr="000D7D3D">
        <w:t>Appendix</w:t>
      </w:r>
      <w:r w:rsidR="004218E1">
        <w:t>,</w:t>
      </w:r>
      <w:r w:rsidR="004218E1" w:rsidRPr="000D7D3D">
        <w:t xml:space="preserve"> </w:t>
      </w:r>
      <w:r w:rsidR="004218E1">
        <w:t>Table 1) provided fungal inocula as</w:t>
      </w:r>
      <w:r w:rsidRPr="000D7D3D">
        <w:t xml:space="preserve"> fungal plug</w:t>
      </w:r>
      <w:r w:rsidR="004218E1">
        <w:t>s</w:t>
      </w:r>
      <w:r w:rsidRPr="000D7D3D">
        <w:t xml:space="preserve"> of 6 mm diameter to the </w:t>
      </w:r>
      <w:r w:rsidR="004218E1">
        <w:t>HAP</w:t>
      </w:r>
      <w:r w:rsidRPr="000D7D3D">
        <w:t xml:space="preserve"> solubilisation system</w:t>
      </w:r>
      <w:r w:rsidR="00D01158">
        <w:t>s</w:t>
      </w:r>
      <w:r w:rsidRPr="000D7D3D">
        <w:t xml:space="preserve">. </w:t>
      </w:r>
      <w:r w:rsidRPr="000D7D3D">
        <w:rPr>
          <w:i/>
        </w:rPr>
        <w:t xml:space="preserve">P. involutus DJR1 </w:t>
      </w:r>
      <w:r w:rsidRPr="000D7D3D">
        <w:t>was kindly provided by Professor David J. Read (Th</w:t>
      </w:r>
      <w:r w:rsidR="00634533">
        <w:t>e University of Sheffield, UK).</w:t>
      </w:r>
      <w:r w:rsidR="00634533">
        <w:br w:type="page"/>
      </w:r>
    </w:p>
    <w:p w14:paraId="0692156D" w14:textId="1946F91D" w:rsidR="000D7D3D" w:rsidRPr="000D7D3D" w:rsidRDefault="000D7D3D" w:rsidP="00635993">
      <w:pPr>
        <w:pStyle w:val="Heading2"/>
      </w:pPr>
      <w:bookmarkStart w:id="414" w:name="_Toc507604056"/>
      <w:bookmarkStart w:id="415" w:name="_Toc507604323"/>
      <w:bookmarkStart w:id="416" w:name="_Toc519017033"/>
      <w:bookmarkStart w:id="417" w:name="_Toc520837938"/>
      <w:r w:rsidRPr="000D7D3D">
        <w:lastRenderedPageBreak/>
        <w:t>5.2.4 Determination of fungal and plant dry mass</w:t>
      </w:r>
      <w:bookmarkEnd w:id="414"/>
      <w:bookmarkEnd w:id="415"/>
      <w:bookmarkEnd w:id="416"/>
      <w:bookmarkEnd w:id="417"/>
    </w:p>
    <w:p w14:paraId="2D4CB491" w14:textId="046D79B9" w:rsidR="000D7D3D" w:rsidRPr="000D7D3D" w:rsidRDefault="000D7D3D" w:rsidP="003F7054">
      <w:r w:rsidRPr="000D7D3D">
        <w:t>Fungal hyphae were collected with a surface scraper tool into 2</w:t>
      </w:r>
      <w:r w:rsidR="006A7E26">
        <w:t xml:space="preserve"> </w:t>
      </w:r>
      <w:r w:rsidRPr="000D7D3D">
        <w:t xml:space="preserve">ml Eppendorf tubes and oven dried at 90°C for up to five days. </w:t>
      </w:r>
      <w:r w:rsidR="00561BB8" w:rsidRPr="000D7D3D">
        <w:t>T</w:t>
      </w:r>
      <w:r w:rsidRPr="000D7D3D">
        <w:t xml:space="preserve">he plant tissues were collected into paper envelopes and oven dried at 90°C for up to five days. Dry mass measurements were performed as soon as the tissues were completely dry using an analytical balance (Mettler AT261B Delta Range Balance). </w:t>
      </w:r>
    </w:p>
    <w:p w14:paraId="72B7DA77" w14:textId="77777777" w:rsidR="000D7D3D" w:rsidRPr="000D7D3D" w:rsidRDefault="000D7D3D" w:rsidP="007F746A"/>
    <w:p w14:paraId="1245057D" w14:textId="7BA4419B" w:rsidR="000D7D3D" w:rsidRPr="000D7D3D" w:rsidRDefault="000D7D3D" w:rsidP="00635993">
      <w:pPr>
        <w:pStyle w:val="Heading2"/>
      </w:pPr>
      <w:bookmarkStart w:id="418" w:name="_Toc507604057"/>
      <w:bookmarkStart w:id="419" w:name="_Toc507604324"/>
      <w:bookmarkStart w:id="420" w:name="_Toc519017034"/>
      <w:bookmarkStart w:id="421" w:name="_Toc520837939"/>
      <w:r w:rsidRPr="000D7D3D">
        <w:t>5.2.5 Determination of fungal and plant Pi content</w:t>
      </w:r>
      <w:bookmarkEnd w:id="418"/>
      <w:bookmarkEnd w:id="419"/>
      <w:bookmarkEnd w:id="420"/>
      <w:bookmarkEnd w:id="421"/>
    </w:p>
    <w:p w14:paraId="74CF28C0" w14:textId="77777777" w:rsidR="00A82894" w:rsidRPr="000D7D3D" w:rsidRDefault="00A82894" w:rsidP="00A82894">
      <w:r w:rsidRPr="000D7D3D">
        <w:t xml:space="preserve">Plant (needle/root) and fungal hyphae Pi content were measured using the Phosphate Assay Kit (Colorimetric) Ab65622 according to the manufacturer’s instructions (Abcam). The assay utilises a proprietary formulation of malachite green and ammonium molybdate that forms a chromogenic complex with </w:t>
      </w:r>
      <w:r>
        <w:t xml:space="preserve">Pi </w:t>
      </w:r>
      <w:r w:rsidRPr="000D7D3D">
        <w:t xml:space="preserve">ions, leading to an intense absorption band around 650 nm. </w:t>
      </w:r>
      <w:r>
        <w:t>The kit</w:t>
      </w:r>
      <w:r w:rsidRPr="00C742EE">
        <w:t xml:space="preserve"> detect</w:t>
      </w:r>
      <w:r>
        <w:t>s</w:t>
      </w:r>
      <w:r w:rsidRPr="00C742EE">
        <w:t xml:space="preserve"> all </w:t>
      </w:r>
      <w:r>
        <w:t xml:space="preserve">types of Pi, such as </w:t>
      </w:r>
      <w:r w:rsidRPr="000D7D3D">
        <w:rPr>
          <w:rFonts w:cs="Arial"/>
        </w:rPr>
        <w:t>PO</w:t>
      </w:r>
      <w:r w:rsidRPr="000D7D3D">
        <w:rPr>
          <w:rFonts w:cs="Arial"/>
          <w:vertAlign w:val="subscript"/>
        </w:rPr>
        <w:t>4</w:t>
      </w:r>
      <w:r w:rsidRPr="000D7D3D">
        <w:rPr>
          <w:rFonts w:cs="Arial"/>
          <w:vertAlign w:val="superscript"/>
        </w:rPr>
        <w:t>3−</w:t>
      </w:r>
      <w:r w:rsidRPr="000D7D3D">
        <w:rPr>
          <w:rFonts w:cs="Arial"/>
        </w:rPr>
        <w:t>, HPO</w:t>
      </w:r>
      <w:r w:rsidRPr="000D7D3D">
        <w:rPr>
          <w:rFonts w:cs="Arial"/>
          <w:vertAlign w:val="subscript"/>
        </w:rPr>
        <w:t>4</w:t>
      </w:r>
      <w:r w:rsidRPr="000D7D3D">
        <w:rPr>
          <w:rFonts w:cs="Arial"/>
          <w:vertAlign w:val="superscript"/>
        </w:rPr>
        <w:t>2−</w:t>
      </w:r>
      <w:r w:rsidRPr="000D7D3D">
        <w:rPr>
          <w:rFonts w:cs="Arial"/>
        </w:rPr>
        <w:t xml:space="preserve"> and H</w:t>
      </w:r>
      <w:r w:rsidRPr="000D7D3D">
        <w:rPr>
          <w:rFonts w:cs="Arial"/>
          <w:vertAlign w:val="subscript"/>
        </w:rPr>
        <w:t>2</w:t>
      </w:r>
      <w:r w:rsidRPr="000D7D3D">
        <w:rPr>
          <w:rFonts w:cs="Arial"/>
        </w:rPr>
        <w:t>PO</w:t>
      </w:r>
      <w:r w:rsidRPr="000D7D3D">
        <w:rPr>
          <w:rFonts w:cs="Arial"/>
          <w:vertAlign w:val="subscript"/>
        </w:rPr>
        <w:t>4</w:t>
      </w:r>
      <w:r w:rsidRPr="000D7D3D">
        <w:rPr>
          <w:rFonts w:cs="Arial"/>
          <w:vertAlign w:val="superscript"/>
        </w:rPr>
        <w:t>−</w:t>
      </w:r>
      <w:r>
        <w:t>. For each sample, the Pi content (nmol) is referenced to a standard curve and normalised to the sample volume (</w:t>
      </w:r>
      <w:r>
        <w:rPr>
          <w:lang w:val="el-GR"/>
        </w:rPr>
        <w:t>μ</w:t>
      </w:r>
      <w:r>
        <w:t>l), giving the Pi concentration (nmol/</w:t>
      </w:r>
      <w:r>
        <w:rPr>
          <w:lang w:val="el-GR"/>
        </w:rPr>
        <w:t>μ</w:t>
      </w:r>
      <w:r>
        <w:t>l or mM).</w:t>
      </w:r>
      <w:r w:rsidRPr="000D7D3D">
        <w:t xml:space="preserve"> </w:t>
      </w:r>
      <w:r>
        <w:t>Data show</w:t>
      </w:r>
      <w:r w:rsidRPr="000D7D3D">
        <w:t xml:space="preserve"> the average </w:t>
      </w:r>
      <w:r>
        <w:t>Pi</w:t>
      </w:r>
      <w:r w:rsidRPr="000D7D3D">
        <w:t xml:space="preserve"> content (</w:t>
      </w:r>
      <w:r w:rsidRPr="000D7D3D">
        <w:rPr>
          <w:rFonts w:cs="Arial"/>
        </w:rPr>
        <w:t>mM)</w:t>
      </w:r>
      <w:r w:rsidRPr="000D7D3D">
        <w:t xml:space="preserve"> of three biological replicates</w:t>
      </w:r>
      <w:r>
        <w:t>,</w:t>
      </w:r>
      <w:r w:rsidRPr="000D7D3D">
        <w:t xml:space="preserve"> unless otherwise is noted.</w:t>
      </w:r>
    </w:p>
    <w:p w14:paraId="283174BE" w14:textId="77777777" w:rsidR="000D7D3D" w:rsidRPr="000D7D3D" w:rsidRDefault="000D7D3D" w:rsidP="007F746A"/>
    <w:p w14:paraId="0C585D64" w14:textId="3E7FB688" w:rsidR="000D7D3D" w:rsidRPr="000D7D3D" w:rsidRDefault="000D7D3D" w:rsidP="00635993">
      <w:pPr>
        <w:pStyle w:val="Heading2"/>
      </w:pPr>
      <w:bookmarkStart w:id="422" w:name="_Toc507604058"/>
      <w:bookmarkStart w:id="423" w:name="_Toc507604325"/>
      <w:bookmarkStart w:id="424" w:name="_Toc519017035"/>
      <w:bookmarkStart w:id="425" w:name="_Toc520837940"/>
      <w:r w:rsidRPr="000D7D3D">
        <w:t>5.2.6 SEM</w:t>
      </w:r>
      <w:r w:rsidR="00685D72">
        <w:t>-EDX analysis</w:t>
      </w:r>
      <w:bookmarkEnd w:id="422"/>
      <w:bookmarkEnd w:id="423"/>
      <w:bookmarkEnd w:id="424"/>
      <w:bookmarkEnd w:id="425"/>
    </w:p>
    <w:p w14:paraId="2390B0FA" w14:textId="76D6A324" w:rsidR="000D7D3D" w:rsidRPr="00980A78" w:rsidRDefault="000D7D3D" w:rsidP="00980A78">
      <w:r w:rsidRPr="000D7D3D">
        <w:t xml:space="preserve">The SEM-EDX analysis </w:t>
      </w:r>
      <w:r w:rsidR="00E55916">
        <w:t xml:space="preserve">was </w:t>
      </w:r>
      <w:r w:rsidRPr="000D7D3D">
        <w:t xml:space="preserve">performed </w:t>
      </w:r>
      <w:r w:rsidR="00E55916">
        <w:t>by</w:t>
      </w:r>
      <w:r w:rsidRPr="000D7D3D">
        <w:t xml:space="preserve"> Dr Richard B. Pearce at the Univer</w:t>
      </w:r>
      <w:r w:rsidR="00E55916">
        <w:t xml:space="preserve">sity of Southampton as follows. </w:t>
      </w:r>
      <w:r w:rsidRPr="000D7D3D">
        <w:t xml:space="preserve">The morphology of the </w:t>
      </w:r>
      <w:r w:rsidR="00A82894">
        <w:t>HAP</w:t>
      </w:r>
      <w:r w:rsidRPr="000D7D3D">
        <w:t>-coated polystyrene discs shown in Figure 5.2 in Section 5.3.1 was characterised with SEM. The SEM (Leo1450VP, manufacturer Carl Zeiss SMT Ltd) operating conditions were</w:t>
      </w:r>
      <w:r w:rsidR="00685D72">
        <w:t>:</w:t>
      </w:r>
      <w:r w:rsidRPr="000D7D3D">
        <w:t xml:space="preserve"> </w:t>
      </w:r>
      <w:r w:rsidR="00685D72" w:rsidRPr="00C25243">
        <w:t xml:space="preserve">electron high tension </w:t>
      </w:r>
      <w:r w:rsidR="00685D72">
        <w:t>(</w:t>
      </w:r>
      <w:r w:rsidRPr="000D7D3D">
        <w:t>EHT</w:t>
      </w:r>
      <w:r w:rsidR="00685D72">
        <w:t xml:space="preserve">) of 20 kV, </w:t>
      </w:r>
      <w:r w:rsidRPr="000D7D3D">
        <w:t>variable probe current of 60 pA through to 1 nA,</w:t>
      </w:r>
      <w:r w:rsidR="00685D72">
        <w:t xml:space="preserve"> working distance</w:t>
      </w:r>
      <w:r w:rsidRPr="000D7D3D">
        <w:t xml:space="preserve"> </w:t>
      </w:r>
      <w:r w:rsidR="00685D72">
        <w:t>(</w:t>
      </w:r>
      <w:r w:rsidRPr="000D7D3D">
        <w:t>WD</w:t>
      </w:r>
      <w:r w:rsidR="00685D72">
        <w:t>)</w:t>
      </w:r>
      <w:r w:rsidRPr="000D7D3D">
        <w:t xml:space="preserve"> of 9-19 mm, and variable pressure (VP) mode (not standard high vacuum operation). </w:t>
      </w:r>
      <w:r w:rsidR="00685D72" w:rsidRPr="000D7D3D">
        <w:t>S</w:t>
      </w:r>
      <w:r w:rsidR="00685D72">
        <w:t>amples were coated with 20nm Au</w:t>
      </w:r>
      <w:r w:rsidRPr="000D7D3D">
        <w:t>. Imaging was undertaken with a backscatter electron (BSE) detector</w:t>
      </w:r>
      <w:r w:rsidR="00D56D65">
        <w:t xml:space="preserve">, except for Figure 5.2G and </w:t>
      </w:r>
      <w:r w:rsidR="00D56D65" w:rsidRPr="000D7D3D">
        <w:t>O</w:t>
      </w:r>
      <w:r w:rsidR="00D56D65">
        <w:t xml:space="preserve"> where </w:t>
      </w:r>
      <w:r w:rsidR="00D56D65" w:rsidRPr="000D7D3D">
        <w:t>the VP-mode secondary electron (VPSE) detector</w:t>
      </w:r>
      <w:r w:rsidR="00D56D65">
        <w:t xml:space="preserve"> was used</w:t>
      </w:r>
      <w:r w:rsidR="00D56D65" w:rsidRPr="000D7D3D">
        <w:t>.</w:t>
      </w:r>
      <w:r w:rsidR="00980A78">
        <w:t xml:space="preserve"> </w:t>
      </w:r>
      <w:r w:rsidRPr="000D7D3D">
        <w:rPr>
          <w:rFonts w:eastAsia="AdvTT08640291"/>
        </w:rPr>
        <w:t xml:space="preserve">Element quantification </w:t>
      </w:r>
      <w:r w:rsidRPr="000D7D3D">
        <w:t xml:space="preserve">of the </w:t>
      </w:r>
      <w:r w:rsidR="00A82894">
        <w:t>HAP</w:t>
      </w:r>
      <w:r w:rsidRPr="000D7D3D">
        <w:t>-coated polystyrene discs</w:t>
      </w:r>
      <w:r w:rsidRPr="000D7D3D">
        <w:rPr>
          <w:rFonts w:eastAsia="AdvTT08640291"/>
        </w:rPr>
        <w:t xml:space="preserve"> </w:t>
      </w:r>
      <w:r w:rsidR="000B4691">
        <w:rPr>
          <w:rFonts w:eastAsia="AdvTT08640291"/>
        </w:rPr>
        <w:t xml:space="preserve">as </w:t>
      </w:r>
      <w:r w:rsidR="000B4691" w:rsidRPr="000D7D3D">
        <w:rPr>
          <w:rFonts w:eastAsia="AdvTT08640291"/>
        </w:rPr>
        <w:t xml:space="preserve">shown </w:t>
      </w:r>
      <w:r w:rsidR="000B4691" w:rsidRPr="000D7D3D">
        <w:t>in Figure 5.2</w:t>
      </w:r>
      <w:r w:rsidR="000B4691">
        <w:rPr>
          <w:rFonts w:ascii="Palatino Linotype" w:hAnsi="Palatino Linotype"/>
        </w:rPr>
        <w:t>I-V</w:t>
      </w:r>
      <w:r w:rsidR="000B4691" w:rsidRPr="000D7D3D">
        <w:t xml:space="preserve"> </w:t>
      </w:r>
      <w:r w:rsidR="000B4691" w:rsidRPr="000D7D3D">
        <w:rPr>
          <w:rFonts w:eastAsia="AdvTT08640291"/>
        </w:rPr>
        <w:t>in</w:t>
      </w:r>
      <w:r w:rsidR="000B4691" w:rsidRPr="000D7D3D">
        <w:t xml:space="preserve"> Section 5.3.1</w:t>
      </w:r>
      <w:r w:rsidR="000B4691">
        <w:t xml:space="preserve"> </w:t>
      </w:r>
      <w:r w:rsidRPr="000D7D3D">
        <w:rPr>
          <w:rFonts w:eastAsia="AdvTT08640291"/>
        </w:rPr>
        <w:t xml:space="preserve">was performed by EDX </w:t>
      </w:r>
      <w:r w:rsidRPr="000D7D3D">
        <w:t xml:space="preserve">(Oxford Instruments X-Act </w:t>
      </w:r>
      <w:r w:rsidRPr="000D7D3D">
        <w:lastRenderedPageBreak/>
        <w:t>10mm</w:t>
      </w:r>
      <w:r w:rsidRPr="000D7D3D">
        <w:rPr>
          <w:vertAlign w:val="superscript"/>
        </w:rPr>
        <w:t>2</w:t>
      </w:r>
      <w:r w:rsidRPr="000D7D3D">
        <w:t xml:space="preserve"> area Silicon Drift Detector, using the AZtec Energy software system) </w:t>
      </w:r>
      <w:r w:rsidRPr="000D7D3D">
        <w:rPr>
          <w:rFonts w:eastAsia="AdvTT08640291"/>
        </w:rPr>
        <w:t xml:space="preserve">with the same </w:t>
      </w:r>
      <w:r w:rsidR="000B4691">
        <w:rPr>
          <w:rFonts w:eastAsia="AdvTT08640291"/>
        </w:rPr>
        <w:t>SEM instrument.</w:t>
      </w:r>
    </w:p>
    <w:p w14:paraId="4C8E822E" w14:textId="77777777" w:rsidR="000D7D3D" w:rsidRPr="000D7D3D" w:rsidRDefault="000D7D3D" w:rsidP="007C3C15"/>
    <w:p w14:paraId="1224EF4D" w14:textId="1A749853" w:rsidR="000D7D3D" w:rsidRPr="000D7D3D" w:rsidRDefault="000D7D3D" w:rsidP="00635993">
      <w:pPr>
        <w:pStyle w:val="Heading2"/>
      </w:pPr>
      <w:bookmarkStart w:id="426" w:name="_Toc507604059"/>
      <w:bookmarkStart w:id="427" w:name="_Toc507604326"/>
      <w:bookmarkStart w:id="428" w:name="_Toc519017036"/>
      <w:bookmarkStart w:id="429" w:name="_Toc520837941"/>
      <w:r w:rsidRPr="000D7D3D">
        <w:t>5.2.7 Optical microscopy and imaging</w:t>
      </w:r>
      <w:bookmarkEnd w:id="426"/>
      <w:bookmarkEnd w:id="427"/>
      <w:bookmarkEnd w:id="428"/>
      <w:bookmarkEnd w:id="429"/>
    </w:p>
    <w:p w14:paraId="2DFD0AD5" w14:textId="5CB52D21" w:rsidR="000D7D3D" w:rsidRPr="000D7D3D" w:rsidRDefault="000D7D3D" w:rsidP="003F7054">
      <w:r w:rsidRPr="000D7D3D">
        <w:t xml:space="preserve">Microscopy images were taken with Leica stereoscope using the SPOT advanced software. Any other standard images were taken with a Canon EOS500 camera using </w:t>
      </w:r>
      <w:r w:rsidR="008A4054">
        <w:t>the</w:t>
      </w:r>
      <w:r w:rsidRPr="000D7D3D">
        <w:t xml:space="preserve"> automatic mode.</w:t>
      </w:r>
    </w:p>
    <w:p w14:paraId="5F954726" w14:textId="77777777" w:rsidR="000D7D3D" w:rsidRPr="000D7D3D" w:rsidRDefault="000D7D3D" w:rsidP="007F746A"/>
    <w:p w14:paraId="7CD7585D" w14:textId="1B24C14D" w:rsidR="000D7D3D" w:rsidRPr="000D7D3D" w:rsidRDefault="000D7D3D" w:rsidP="00635993">
      <w:pPr>
        <w:pStyle w:val="Heading2"/>
      </w:pPr>
      <w:bookmarkStart w:id="430" w:name="_Toc507604060"/>
      <w:bookmarkStart w:id="431" w:name="_Toc507604327"/>
      <w:bookmarkStart w:id="432" w:name="_Toc519017037"/>
      <w:bookmarkStart w:id="433" w:name="_Toc520837942"/>
      <w:r w:rsidRPr="000D7D3D">
        <w:t>5.2.8 Statistical analysis</w:t>
      </w:r>
      <w:bookmarkEnd w:id="430"/>
      <w:bookmarkEnd w:id="431"/>
      <w:bookmarkEnd w:id="432"/>
      <w:bookmarkEnd w:id="433"/>
    </w:p>
    <w:p w14:paraId="6C65E6A3" w14:textId="77777777" w:rsidR="000D7D3D" w:rsidRPr="000D7D3D" w:rsidRDefault="000D7D3D" w:rsidP="003F7054">
      <w:r w:rsidRPr="000D7D3D">
        <w:t>Statistically significant differences in hyphal/plant dry mass or Pi content in Section 5.3.1 were assessed by one-way analysis of variance (ANOVA) followed by Tukey’s post-hoc analysis for multiple comparisons (</w:t>
      </w:r>
      <w:r w:rsidRPr="000D7D3D">
        <w:rPr>
          <w:i/>
        </w:rPr>
        <w:t>α</w:t>
      </w:r>
      <w:r w:rsidRPr="000D7D3D">
        <w:t xml:space="preserve">= 0.05). </w:t>
      </w:r>
    </w:p>
    <w:p w14:paraId="1C4DE8FD" w14:textId="0D99E016" w:rsidR="000D7D3D" w:rsidRPr="000D7D3D" w:rsidRDefault="000D7D3D" w:rsidP="003F7054">
      <w:pPr>
        <w:ind w:firstLine="720"/>
      </w:pPr>
      <w:r w:rsidRPr="000D7D3D">
        <w:t xml:space="preserve">Statistically significant differences in atomic percentages of </w:t>
      </w:r>
      <w:r w:rsidR="001028C0">
        <w:t>carbon (</w:t>
      </w:r>
      <w:r w:rsidRPr="000D7D3D">
        <w:t>C</w:t>
      </w:r>
      <w:r w:rsidR="001028C0">
        <w:t>)</w:t>
      </w:r>
      <w:r w:rsidRPr="000D7D3D">
        <w:t xml:space="preserve">, P and </w:t>
      </w:r>
      <w:r w:rsidR="001028C0">
        <w:t>calcium (</w:t>
      </w:r>
      <w:r w:rsidRPr="000D7D3D">
        <w:t>Ca</w:t>
      </w:r>
      <w:r w:rsidR="001028C0">
        <w:t>)</w:t>
      </w:r>
      <w:r w:rsidRPr="000D7D3D">
        <w:t xml:space="preserve"> per sit</w:t>
      </w:r>
      <w:r w:rsidR="001028C0">
        <w:t>e of EDX measurement in Section</w:t>
      </w:r>
      <w:r w:rsidRPr="000D7D3D">
        <w:t xml:space="preserve"> 5.3.1 were assessed by one-way ANOVA, followed by Tukey’s post-hoc analysis for multiple comparisons (</w:t>
      </w:r>
      <w:r w:rsidRPr="000D7D3D">
        <w:rPr>
          <w:i/>
        </w:rPr>
        <w:t>α</w:t>
      </w:r>
      <w:r w:rsidRPr="000D7D3D">
        <w:t>= 0.05).</w:t>
      </w:r>
    </w:p>
    <w:p w14:paraId="73EFE96E" w14:textId="77777777" w:rsidR="000D7D3D" w:rsidRPr="000D7D3D" w:rsidRDefault="000D7D3D" w:rsidP="007F746A"/>
    <w:p w14:paraId="55DB11A7" w14:textId="2D2D3FA6" w:rsidR="000D7D3D" w:rsidRPr="000D7D3D" w:rsidRDefault="000D7D3D" w:rsidP="00635993">
      <w:pPr>
        <w:pStyle w:val="Heading2"/>
      </w:pPr>
      <w:bookmarkStart w:id="434" w:name="_Toc507604061"/>
      <w:bookmarkStart w:id="435" w:name="_Toc507604328"/>
      <w:bookmarkStart w:id="436" w:name="_Toc519017038"/>
      <w:bookmarkStart w:id="437" w:name="_Toc520837943"/>
      <w:r w:rsidRPr="000D7D3D">
        <w:t>5.2.9 RNA-seq library preparation and sequencing</w:t>
      </w:r>
      <w:bookmarkEnd w:id="434"/>
      <w:bookmarkEnd w:id="435"/>
      <w:bookmarkEnd w:id="436"/>
      <w:bookmarkEnd w:id="437"/>
      <w:r w:rsidRPr="000D7D3D">
        <w:t xml:space="preserve"> </w:t>
      </w:r>
    </w:p>
    <w:p w14:paraId="34F36B01" w14:textId="364D995B" w:rsidR="000D7D3D" w:rsidRPr="000D7D3D" w:rsidRDefault="000D7D3D" w:rsidP="007F746A">
      <w:r w:rsidRPr="000D7D3D">
        <w:t xml:space="preserve">RNA-seq libraries were prepared from total RNA samples, extracted (E.Z.N.A. </w:t>
      </w:r>
      <w:r w:rsidRPr="000D7D3D">
        <w:rPr>
          <w:vertAlign w:val="superscript"/>
        </w:rPr>
        <w:t>®</w:t>
      </w:r>
      <w:r w:rsidRPr="000D7D3D">
        <w:t xml:space="preserve"> Fungal RNA Kit) from </w:t>
      </w:r>
      <w:r w:rsidRPr="000D7D3D">
        <w:rPr>
          <w:i/>
        </w:rPr>
        <w:t>P. involutus DJR1</w:t>
      </w:r>
      <w:r w:rsidRPr="000D7D3D">
        <w:t xml:space="preserve"> hyphae grown in HAP+ or HAP-, for both the NS and S conditions, with the TruSeq stranded mRNA library prep kit (Illumina) at the University of Edinburgh (Edinburgh Genomics). Three biological replicates at each condition i.e. NS HAP+, NS HAP-, S HAP+ and S HAP- were used. The sequence strategy which was applied generated data of at least 290 </w:t>
      </w:r>
      <w:r w:rsidR="008A4054" w:rsidRPr="00720F46">
        <w:rPr>
          <w:sz w:val="22"/>
        </w:rPr>
        <w:t>million</w:t>
      </w:r>
      <w:r w:rsidR="008A4054">
        <w:t xml:space="preserve"> (M) </w:t>
      </w:r>
      <w:r w:rsidRPr="000D7D3D">
        <w:t>reads per strand per sample (HiSeq 4000 75PE).</w:t>
      </w:r>
      <w:r w:rsidR="00024500">
        <w:t xml:space="preserve"> In total 18.9 – 31.2 </w:t>
      </w:r>
      <w:r w:rsidR="008A4054" w:rsidRPr="000D7D3D">
        <w:t>M</w:t>
      </w:r>
      <w:r w:rsidR="008A4054">
        <w:t xml:space="preserve"> </w:t>
      </w:r>
      <w:r w:rsidR="00024500">
        <w:t>reads pairs were obtained.</w:t>
      </w:r>
      <w:r w:rsidR="00980A78">
        <w:br w:type="page"/>
      </w:r>
    </w:p>
    <w:p w14:paraId="5846D772" w14:textId="7EFC1BF6" w:rsidR="000D7D3D" w:rsidRPr="000D7D3D" w:rsidRDefault="000D7D3D" w:rsidP="00635993">
      <w:pPr>
        <w:pStyle w:val="Heading2"/>
      </w:pPr>
      <w:bookmarkStart w:id="438" w:name="_Toc507604062"/>
      <w:bookmarkStart w:id="439" w:name="_Toc507604329"/>
      <w:bookmarkStart w:id="440" w:name="_Toc519017039"/>
      <w:bookmarkStart w:id="441" w:name="_Toc520837944"/>
      <w:r w:rsidRPr="000D7D3D">
        <w:lastRenderedPageBreak/>
        <w:t>5.2.10 RNA-seq data analysis</w:t>
      </w:r>
      <w:bookmarkEnd w:id="438"/>
      <w:bookmarkEnd w:id="439"/>
      <w:bookmarkEnd w:id="440"/>
      <w:bookmarkEnd w:id="441"/>
    </w:p>
    <w:p w14:paraId="7893C58A" w14:textId="147DBAF4" w:rsidR="00EE6622" w:rsidRPr="000D7D3D" w:rsidRDefault="000D7D3D" w:rsidP="007F746A">
      <w:r w:rsidRPr="000D7D3D">
        <w:t xml:space="preserve">Default values were used for all parameters in all software used unless otherwise stated. Analyses in </w:t>
      </w:r>
      <w:r w:rsidR="00EE6622">
        <w:t>S</w:t>
      </w:r>
      <w:r w:rsidR="00EE6622" w:rsidRPr="000D7D3D">
        <w:t xml:space="preserve">ections </w:t>
      </w:r>
      <w:r w:rsidR="0048710A">
        <w:t>5.2.10</w:t>
      </w:r>
      <w:r w:rsidRPr="000D7D3D">
        <w:t>.1</w:t>
      </w:r>
      <w:r w:rsidR="0048710A">
        <w:t xml:space="preserve"> to 5.2.10</w:t>
      </w:r>
      <w:r w:rsidRPr="000D7D3D">
        <w:t>.5 were performed by Dr Jonathan Manning at Edinburgh Genomics.</w:t>
      </w:r>
    </w:p>
    <w:p w14:paraId="6F73471F" w14:textId="77777777" w:rsidR="000D7D3D" w:rsidRPr="000D7D3D" w:rsidRDefault="000D7D3D" w:rsidP="00FB36B8"/>
    <w:p w14:paraId="347C6F44" w14:textId="77777777" w:rsidR="000D7D3D" w:rsidRPr="000D7D3D" w:rsidRDefault="000D7D3D" w:rsidP="00635993">
      <w:pPr>
        <w:pStyle w:val="Heading3"/>
      </w:pPr>
      <w:bookmarkStart w:id="442" w:name="_Toc507604063"/>
      <w:bookmarkStart w:id="443" w:name="_Toc507604330"/>
      <w:bookmarkStart w:id="444" w:name="_Toc520837945"/>
      <w:r w:rsidRPr="000D7D3D">
        <w:t>5.2.10.1 Reads trimming</w:t>
      </w:r>
      <w:bookmarkEnd w:id="442"/>
      <w:bookmarkEnd w:id="443"/>
      <w:bookmarkEnd w:id="444"/>
    </w:p>
    <w:p w14:paraId="4A3AE145" w14:textId="6F5CF0B9" w:rsidR="00024500" w:rsidRPr="00720F46" w:rsidRDefault="000D7D3D" w:rsidP="00024500">
      <w:pPr>
        <w:rPr>
          <w:sz w:val="22"/>
        </w:rPr>
      </w:pPr>
      <w:r w:rsidRPr="00635993">
        <w:rPr>
          <w:sz w:val="22"/>
        </w:rPr>
        <w:t xml:space="preserve">Reads were trimmed using Cutadapt version cutadapt-1.9.dev2 </w:t>
      </w:r>
      <w:r w:rsidRPr="00635993">
        <w:rPr>
          <w:sz w:val="22"/>
        </w:rPr>
        <w:fldChar w:fldCharType="begin" w:fldLock="1"/>
      </w:r>
      <w:r w:rsidR="00EE33AB">
        <w:rPr>
          <w:sz w:val="22"/>
        </w:rPr>
        <w:instrText>ADDIN CSL_CITATION {"citationItems":[{"id":"ITEM-1","itemData":{"abstract":"When small RNA is sequenced on current sequencing machines, the resulting reads are usually longer than the RNA and therefore contain parts of the 3' adapter. That adapter must be found and removed error-tolerantly from each read before read mapping. Previous solutions are either hard to use or do not offer required features, in particular support for color space data. As an easy to use alternative, we developed the command-line tool cutadapt, which supports 454, Illumina and SOLiD (color space) data, offers two adapter trimming algorithms, and has other useful features.   Cutadapt, including its MIT-licensed source code, is available for download at  http://code.google.com/p/cutadapt/  ","author":[{"dropping-particle":"","family":"Martin","given":"Marcel","non-dropping-particle":"","parse-names":false,"suffix":""}],"container-title":"EMBnet.journal; Vol 17, No 1: Next Generation Sequencing Data Analysis","id":"ITEM-1","issued":{"date-parts":[["2011"]]},"title":"Cutadapt removes adapter sequences from high-throughput sequencing reads","type":"article-journal"},"uris":["http://www.mendeley.com/documents/?uuid=8fecea62-966b-416b-9d5a-6820967b2ab2"]}],"mendeley":{"formattedCitation":"(Martin, 2011)","plainTextFormattedCitation":"(Martin, 2011)","previouslyFormattedCitation":"(Martin, 2011)"},"properties":{"noteIndex":0},"schema":"https://github.com/citation-style-language/schema/raw/master/csl-citation.json"}</w:instrText>
      </w:r>
      <w:r w:rsidRPr="00635993">
        <w:rPr>
          <w:sz w:val="22"/>
        </w:rPr>
        <w:fldChar w:fldCharType="separate"/>
      </w:r>
      <w:r w:rsidRPr="00635993">
        <w:rPr>
          <w:noProof/>
          <w:sz w:val="22"/>
        </w:rPr>
        <w:t>(Martin, 2011)</w:t>
      </w:r>
      <w:r w:rsidRPr="00635993">
        <w:rPr>
          <w:sz w:val="22"/>
        </w:rPr>
        <w:fldChar w:fldCharType="end"/>
      </w:r>
      <w:r w:rsidRPr="00635993">
        <w:rPr>
          <w:sz w:val="22"/>
        </w:rPr>
        <w:t xml:space="preserve">. Reads were trimmed for quality at the 3’ end using a quality threshold of 30 and for adapter sequences of the TruSeq stranded mRNA kit (AGATCGGAAGAGC). </w:t>
      </w:r>
      <w:r w:rsidR="00024500" w:rsidRPr="00720F46">
        <w:rPr>
          <w:sz w:val="22"/>
        </w:rPr>
        <w:t xml:space="preserve">Reads after trimming were required to have a minimum length of 50. Among all samples, </w:t>
      </w:r>
      <w:r w:rsidR="00024500">
        <w:rPr>
          <w:sz w:val="22"/>
        </w:rPr>
        <w:t>18.4 - 30.6</w:t>
      </w:r>
      <w:r w:rsidR="00024500" w:rsidRPr="00720F46">
        <w:rPr>
          <w:sz w:val="22"/>
        </w:rPr>
        <w:t xml:space="preserve"> </w:t>
      </w:r>
      <w:r w:rsidR="00024500">
        <w:rPr>
          <w:sz w:val="22"/>
        </w:rPr>
        <w:t>M</w:t>
      </w:r>
      <w:r w:rsidR="00024500" w:rsidRPr="00720F46">
        <w:rPr>
          <w:sz w:val="22"/>
        </w:rPr>
        <w:t xml:space="preserve"> reads were identified after trimming (97 - 98.</w:t>
      </w:r>
      <w:r w:rsidR="00024500">
        <w:rPr>
          <w:sz w:val="22"/>
        </w:rPr>
        <w:t>1</w:t>
      </w:r>
      <w:r w:rsidR="00024500" w:rsidRPr="00720F46">
        <w:rPr>
          <w:sz w:val="22"/>
        </w:rPr>
        <w:t>%).</w:t>
      </w:r>
    </w:p>
    <w:p w14:paraId="41F5F6ED" w14:textId="77777777" w:rsidR="000D7D3D" w:rsidRPr="000D7D3D" w:rsidRDefault="000D7D3D" w:rsidP="007F746A"/>
    <w:p w14:paraId="140ECC93" w14:textId="77777777" w:rsidR="000D7D3D" w:rsidRPr="000D7D3D" w:rsidRDefault="000D7D3D" w:rsidP="00635993">
      <w:pPr>
        <w:pStyle w:val="Heading3"/>
      </w:pPr>
      <w:bookmarkStart w:id="445" w:name="_Toc507604064"/>
      <w:bookmarkStart w:id="446" w:name="_Toc507604331"/>
      <w:bookmarkStart w:id="447" w:name="_Toc520837946"/>
      <w:r w:rsidRPr="000D7D3D">
        <w:t>5.2.10.2 Reference genome</w:t>
      </w:r>
      <w:bookmarkEnd w:id="445"/>
      <w:bookmarkEnd w:id="446"/>
      <w:bookmarkEnd w:id="447"/>
    </w:p>
    <w:p w14:paraId="33BDADB7" w14:textId="6D1834E4" w:rsidR="00EE6622" w:rsidRPr="00635993" w:rsidRDefault="000D7D3D" w:rsidP="007F746A">
      <w:pPr>
        <w:rPr>
          <w:sz w:val="22"/>
        </w:rPr>
      </w:pPr>
      <w:r w:rsidRPr="00635993">
        <w:rPr>
          <w:sz w:val="22"/>
        </w:rPr>
        <w:t xml:space="preserve">The reference used for mapping was </w:t>
      </w:r>
      <w:r w:rsidRPr="00635993">
        <w:rPr>
          <w:rFonts w:cs="Arial"/>
          <w:sz w:val="22"/>
        </w:rPr>
        <w:t xml:space="preserve">the </w:t>
      </w:r>
      <w:r w:rsidRPr="00635993">
        <w:rPr>
          <w:rFonts w:cs="Arial"/>
          <w:i/>
          <w:sz w:val="22"/>
        </w:rPr>
        <w:t>P. involutus</w:t>
      </w:r>
      <w:r w:rsidRPr="00635993">
        <w:rPr>
          <w:rFonts w:cs="Arial"/>
          <w:sz w:val="22"/>
        </w:rPr>
        <w:t xml:space="preserve"> genome</w:t>
      </w:r>
      <w:r w:rsidRPr="00635993">
        <w:rPr>
          <w:sz w:val="22"/>
        </w:rPr>
        <w:t xml:space="preserve"> from Ensembl, assembly </w:t>
      </w:r>
      <w:r w:rsidRPr="00635993">
        <w:rPr>
          <w:i/>
          <w:sz w:val="22"/>
        </w:rPr>
        <w:t>ATCC 200175</w:t>
      </w:r>
      <w:r w:rsidRPr="00635993">
        <w:rPr>
          <w:sz w:val="22"/>
        </w:rPr>
        <w:t>, annotation version1.</w:t>
      </w:r>
    </w:p>
    <w:p w14:paraId="7F462009" w14:textId="77777777" w:rsidR="000D7D3D" w:rsidRPr="000D7D3D" w:rsidRDefault="000D7D3D" w:rsidP="00FB36B8"/>
    <w:p w14:paraId="4047F44D" w14:textId="77777777" w:rsidR="000D7D3D" w:rsidRPr="000D7D3D" w:rsidRDefault="000D7D3D" w:rsidP="00635993">
      <w:pPr>
        <w:pStyle w:val="Heading3"/>
      </w:pPr>
      <w:bookmarkStart w:id="448" w:name="_Toc507604065"/>
      <w:bookmarkStart w:id="449" w:name="_Toc507604332"/>
      <w:bookmarkStart w:id="450" w:name="_Toc520837947"/>
      <w:r w:rsidRPr="000D7D3D">
        <w:t>5.2.10.3 Reads alignment</w:t>
      </w:r>
      <w:bookmarkEnd w:id="448"/>
      <w:bookmarkEnd w:id="449"/>
      <w:bookmarkEnd w:id="450"/>
    </w:p>
    <w:p w14:paraId="1952B4BE" w14:textId="53AE215D" w:rsidR="00024500" w:rsidRPr="00720F46" w:rsidRDefault="000D7D3D" w:rsidP="00024500">
      <w:pPr>
        <w:rPr>
          <w:sz w:val="22"/>
        </w:rPr>
      </w:pPr>
      <w:r w:rsidRPr="00635993">
        <w:rPr>
          <w:sz w:val="22"/>
        </w:rPr>
        <w:t>Reads were aligned to the reference genome using STAR</w:t>
      </w:r>
      <w:r w:rsidRPr="00635993">
        <w:rPr>
          <w:color w:val="0000FF"/>
          <w:sz w:val="13"/>
          <w:szCs w:val="15"/>
        </w:rPr>
        <w:t xml:space="preserve"> </w:t>
      </w:r>
      <w:r w:rsidRPr="00635993">
        <w:rPr>
          <w:sz w:val="22"/>
        </w:rPr>
        <w:fldChar w:fldCharType="begin" w:fldLock="1"/>
      </w:r>
      <w:r w:rsidR="00EE33AB">
        <w:rPr>
          <w:sz w:val="22"/>
        </w:rPr>
        <w:instrText>ADDIN CSL_CITATION {"citationItems":[{"id":"ITEM-1","itemData":{"DOI":"10.1093/bioinformatics/bts635","ISBN":"1367-4811 (Electronic)\\n1367-4803 (Linking)","ISSN":"13674803","PMID":"23104886","abstract":"MOTIVATION: Accurate alignment of high-throughput RNA-seq data is a challenging and yet unsolved problem because of the non-contiguous transcript structure, relatively short read lengths and constantly increasing throughput of the sequencing technologies. Currently available RNA-seq aligners suffer from high mapping error rates, low mapping speed, read length limitation and mapping biases.\\n\\nRESULTS: To align our large (&gt;80 billon reads) ENCODE Transcriptome RNA-seq dataset, we developed the Spliced Transcripts Alignment to a Reference (STAR) software based on a previously undescribed RNA-seq alignment algorithm that uses sequential maximum mappable seed search in uncompressed suffix arrays followed by seed clustering and stitching procedure. STAR outperforms other aligners by a factor of &gt;50 in mapping speed, aligning to the human genome 550 million 2 × 76 bp paired-end reads per hour on a modest 12-core server, while at the same time improving alignment sensitivity and precision. In addition to unbiased de novo detection of canonical junctions, STAR can discover non-canonical splices and chimeric (fusion) transcripts, and is also capable of mapping full-length RNA sequences. Using Roche 454 sequencing of reverse transcription polymerase chain reaction amplicons, we experimentally validated 1960 novel intergenic splice junctions with an 80-90% success rate, corroborating the high precision of the STAR mapping strategy.\\n\\nAVAILABILITY AND IMPLEMENTATION: STAR is implemented as a standalone C++ code. STAR is free open source software distributed under GPLv3 license and can be downloaded from http://code.google.com/p/rna-star/.","author":[{"dropping-particle":"","family":"Dobin","given":"Alexander","non-dropping-particle":"","parse-names":false,"suffix":""},{"dropping-particle":"","family":"Davis","given":"Carrie A.","non-dropping-particle":"","parse-names":false,"suffix":""},{"dropping-particle":"","family":"Schlesinger","given":"Felix","non-dropping-particle":"","parse-names":false,"suffix":""},{"dropping-particle":"","family":"Drenkow","given":"Jorg","non-dropping-particle":"","parse-names":false,"suffix":""},{"dropping-particle":"","family":"Zaleski","given":"Chris","non-dropping-particle":"","parse-names":false,"suffix":""},{"dropping-particle":"","family":"Jha","given":"Sonali","non-dropping-particle":"","parse-names":false,"suffix":""},{"dropping-particle":"","family":"Batut","given":"Philippe","non-dropping-particle":"","parse-names":false,"suffix":""},{"dropping-particle":"","family":"Chaisson","given":"Mark","non-dropping-particle":"","parse-names":false,"suffix":""},{"dropping-particle":"","family":"Gingeras","given":"Thomas R.","non-dropping-particle":"","parse-names":false,"suffix":""}],"container-title":"Bioinformatics","id":"ITEM-1","issue":"1","issued":{"date-parts":[["2013"]]},"page":"15-21","title":"STAR: Ultrafast universal RNA-seq aligner","type":"article-journal","volume":"29"},"uris":["http://www.mendeley.com/documents/?uuid=cf8dda19-8885-41e8-9561-2788dcf8ecff"]}],"mendeley":{"formattedCitation":"(Dobin et al., 2013)","plainTextFormattedCitation":"(Dobin et al., 2013)","previouslyFormattedCitation":"(Dobin et al., 2013)"},"properties":{"noteIndex":0},"schema":"https://github.com/citation-style-language/schema/raw/master/csl-citation.json"}</w:instrText>
      </w:r>
      <w:r w:rsidRPr="00635993">
        <w:rPr>
          <w:sz w:val="22"/>
        </w:rPr>
        <w:fldChar w:fldCharType="separate"/>
      </w:r>
      <w:r w:rsidRPr="00635993">
        <w:rPr>
          <w:noProof/>
          <w:sz w:val="22"/>
        </w:rPr>
        <w:t>(Dobin et al., 2013)</w:t>
      </w:r>
      <w:r w:rsidRPr="00635993">
        <w:rPr>
          <w:sz w:val="22"/>
        </w:rPr>
        <w:fldChar w:fldCharType="end"/>
      </w:r>
      <w:r w:rsidRPr="00635993">
        <w:rPr>
          <w:sz w:val="22"/>
        </w:rPr>
        <w:t xml:space="preserve"> version 2.5.2b specifying paired-end reads and the option ‘–outSAMtype BAM Unsorted’. All other parameters were left at default.</w:t>
      </w:r>
      <w:r w:rsidR="00024500">
        <w:rPr>
          <w:sz w:val="22"/>
        </w:rPr>
        <w:t xml:space="preserve"> </w:t>
      </w:r>
      <w:r w:rsidR="00024500" w:rsidRPr="00720F46">
        <w:rPr>
          <w:sz w:val="22"/>
        </w:rPr>
        <w:t xml:space="preserve">Among all samples, </w:t>
      </w:r>
      <w:r w:rsidR="00024500">
        <w:rPr>
          <w:sz w:val="22"/>
        </w:rPr>
        <w:t>16.8</w:t>
      </w:r>
      <w:r w:rsidR="00024500" w:rsidRPr="00720F46">
        <w:rPr>
          <w:sz w:val="22"/>
        </w:rPr>
        <w:t xml:space="preserve"> </w:t>
      </w:r>
      <w:r w:rsidR="00024500">
        <w:rPr>
          <w:sz w:val="22"/>
        </w:rPr>
        <w:t>–</w:t>
      </w:r>
      <w:r w:rsidR="00024500" w:rsidRPr="00720F46">
        <w:rPr>
          <w:sz w:val="22"/>
        </w:rPr>
        <w:t xml:space="preserve"> </w:t>
      </w:r>
      <w:r w:rsidR="00024500">
        <w:rPr>
          <w:sz w:val="22"/>
        </w:rPr>
        <w:t>28.7</w:t>
      </w:r>
      <w:r w:rsidR="00024500" w:rsidRPr="00720F46">
        <w:rPr>
          <w:sz w:val="22"/>
        </w:rPr>
        <w:t xml:space="preserve"> M trimmed read pairs aligned to the reference genome (</w:t>
      </w:r>
      <w:r w:rsidR="00024500">
        <w:rPr>
          <w:sz w:val="22"/>
        </w:rPr>
        <w:t>90.7</w:t>
      </w:r>
      <w:r w:rsidR="00024500" w:rsidRPr="00720F46">
        <w:rPr>
          <w:sz w:val="22"/>
        </w:rPr>
        <w:t xml:space="preserve"> - </w:t>
      </w:r>
      <w:r w:rsidR="00024500">
        <w:rPr>
          <w:sz w:val="22"/>
        </w:rPr>
        <w:t>95.6</w:t>
      </w:r>
      <w:r w:rsidR="00024500" w:rsidRPr="00720F46">
        <w:rPr>
          <w:sz w:val="22"/>
        </w:rPr>
        <w:t>%).</w:t>
      </w:r>
    </w:p>
    <w:p w14:paraId="36D7F72A" w14:textId="77777777" w:rsidR="000D7D3D" w:rsidRPr="000D7D3D" w:rsidRDefault="000D7D3D" w:rsidP="007F746A"/>
    <w:p w14:paraId="1631D8C2" w14:textId="77777777" w:rsidR="000D7D3D" w:rsidRPr="000D7D3D" w:rsidRDefault="000D7D3D" w:rsidP="00635993">
      <w:pPr>
        <w:pStyle w:val="Heading3"/>
      </w:pPr>
      <w:bookmarkStart w:id="451" w:name="_Toc507604066"/>
      <w:bookmarkStart w:id="452" w:name="_Toc507604333"/>
      <w:bookmarkStart w:id="453" w:name="_Toc520837948"/>
      <w:r w:rsidRPr="000D7D3D">
        <w:t>5.2.10.4 Read counting</w:t>
      </w:r>
      <w:bookmarkEnd w:id="451"/>
      <w:bookmarkEnd w:id="452"/>
      <w:bookmarkEnd w:id="453"/>
    </w:p>
    <w:p w14:paraId="47A0EC1D" w14:textId="4891B6A3" w:rsidR="00024500" w:rsidRPr="00720F46" w:rsidRDefault="000D7D3D" w:rsidP="00024500">
      <w:pPr>
        <w:rPr>
          <w:sz w:val="22"/>
        </w:rPr>
      </w:pPr>
      <w:r w:rsidRPr="00635993">
        <w:rPr>
          <w:sz w:val="22"/>
        </w:rPr>
        <w:t xml:space="preserve">Reads were assigned to exon features grouped by gene id in the reference genome using ‘featureCounts‘ </w:t>
      </w:r>
      <w:r w:rsidRPr="00635993">
        <w:rPr>
          <w:sz w:val="22"/>
        </w:rPr>
        <w:fldChar w:fldCharType="begin" w:fldLock="1"/>
      </w:r>
      <w:r w:rsidR="00EE33AB">
        <w:rPr>
          <w:sz w:val="22"/>
        </w:rPr>
        <w:instrText>ADDIN CSL_CITATION {"citationItems":[{"id":"ITEM-1","itemData":{"DOI":"10.1093/bioinformatics/btt656","ISBN":"1367-4803","ISSN":"14602059","PMID":"24227677","abstract":"MOTIVATION: Next-generation sequencing technologies generate millions of short sequence reads, which are usually aligned to a reference genome. In many applications, the key information required for downstream analysis is the number of reads mapping to each genomic feature, for example to each exon or each gene. The process of counting reads is called read summarization. Read summarization is required for a great variety of genomic analyses but has so far received relatively little attention in the literature. RESULTS: We present featureCounts, a read summarization program suitable for counting reads generated from either RNA or genomic DNA sequencing experiments. featureCounts implements highly efficient chromosome hashing and feature blocking techniques. It is considerably faster than existing methods (by an order of magnitude for gene-level summarization) and requires far less computer memory. It works with either single or paired-end reads and provides a wide range of options appropriate for different sequencing applications. AVAILABILITY AND IMPLEMENTATION: featureCounts is available under GNU General Public License as part of the Subread (http://subread.sourceforge.net) or Rsubread (http://www.bioconductor.org) software packages.","author":[{"dropping-particle":"","family":"Liao","given":"Yang","non-dropping-particle":"","parse-names":false,"suffix":""},{"dropping-particle":"","family":"Smyth","given":"Gordon K.","non-dropping-particle":"","parse-names":false,"suffix":""},{"dropping-particle":"","family":"Shi","given":"Wei","non-dropping-particle":"","parse-names":false,"suffix":""}],"container-title":"Bioinformatics","id":"ITEM-1","issue":"7","issued":{"date-parts":[["2014"]]},"page":"923-930","title":"FeatureCounts: An efficient general purpose program for assigning sequence reads to genomic features","type":"article-journal","volume":"30"},"uris":["http://www.mendeley.com/documents/?uuid=c101a77c-10e8-41c3-b146-7fbc6aad6011"]}],"mendeley":{"formattedCitation":"(Liao et al., 2014)","plainTextFormattedCitation":"(Liao et al., 2014)","previouslyFormattedCitation":"(Liao et al., 2014)"},"properties":{"noteIndex":0},"schema":"https://github.com/citation-style-language/schema/raw/master/csl-citation.json"}</w:instrText>
      </w:r>
      <w:r w:rsidRPr="00635993">
        <w:rPr>
          <w:sz w:val="22"/>
        </w:rPr>
        <w:fldChar w:fldCharType="separate"/>
      </w:r>
      <w:r w:rsidRPr="00635993">
        <w:rPr>
          <w:noProof/>
          <w:sz w:val="22"/>
        </w:rPr>
        <w:t>(Liao et al., 2014)</w:t>
      </w:r>
      <w:r w:rsidRPr="00635993">
        <w:rPr>
          <w:sz w:val="22"/>
        </w:rPr>
        <w:fldChar w:fldCharType="end"/>
      </w:r>
      <w:r w:rsidRPr="00635993">
        <w:rPr>
          <w:sz w:val="22"/>
        </w:rPr>
        <w:t xml:space="preserve">, which assigns counts on a ‘fragment’ basis as opposed to individual reads such that a fragment is counted where one or both of its reads are aligned and associated with the specified features. Strandness was set to ‘reverse’ and a minimum alignment quality of 10 was specified. Gene names and other fields were derived from input annotation and </w:t>
      </w:r>
      <w:r w:rsidRPr="00635993">
        <w:rPr>
          <w:sz w:val="22"/>
        </w:rPr>
        <w:lastRenderedPageBreak/>
        <w:t>added to the counts matrix.</w:t>
      </w:r>
      <w:r w:rsidR="00024500">
        <w:rPr>
          <w:sz w:val="22"/>
        </w:rPr>
        <w:t xml:space="preserve"> </w:t>
      </w:r>
      <w:r w:rsidR="00024500" w:rsidRPr="00720F46">
        <w:rPr>
          <w:sz w:val="22"/>
        </w:rPr>
        <w:t xml:space="preserve">Among all samples, </w:t>
      </w:r>
      <w:r w:rsidR="00024500">
        <w:rPr>
          <w:sz w:val="22"/>
        </w:rPr>
        <w:t>13.6</w:t>
      </w:r>
      <w:r w:rsidR="00024500" w:rsidRPr="00720F46">
        <w:rPr>
          <w:sz w:val="22"/>
        </w:rPr>
        <w:t xml:space="preserve"> -</w:t>
      </w:r>
      <w:r w:rsidR="00024500">
        <w:rPr>
          <w:sz w:val="22"/>
        </w:rPr>
        <w:t xml:space="preserve"> 22.7</w:t>
      </w:r>
      <w:r w:rsidR="00024500" w:rsidRPr="00720F46">
        <w:rPr>
          <w:sz w:val="22"/>
        </w:rPr>
        <w:t xml:space="preserve"> M read pairs were aligned to exon features for counting </w:t>
      </w:r>
      <w:r w:rsidR="00024500">
        <w:rPr>
          <w:sz w:val="22"/>
        </w:rPr>
        <w:t>(78.5</w:t>
      </w:r>
      <w:r w:rsidR="00024500" w:rsidRPr="00720F46">
        <w:rPr>
          <w:sz w:val="22"/>
        </w:rPr>
        <w:t xml:space="preserve"> - </w:t>
      </w:r>
      <w:r w:rsidR="00024500">
        <w:rPr>
          <w:sz w:val="22"/>
        </w:rPr>
        <w:t>83.1</w:t>
      </w:r>
      <w:r w:rsidR="00024500" w:rsidRPr="00720F46">
        <w:rPr>
          <w:sz w:val="22"/>
        </w:rPr>
        <w:t>%).</w:t>
      </w:r>
    </w:p>
    <w:p w14:paraId="0E226C39" w14:textId="77777777" w:rsidR="000D7D3D" w:rsidRPr="00635993" w:rsidRDefault="000D7D3D" w:rsidP="007F746A">
      <w:pPr>
        <w:rPr>
          <w:sz w:val="22"/>
        </w:rPr>
      </w:pPr>
    </w:p>
    <w:p w14:paraId="599E7037" w14:textId="77777777" w:rsidR="000D7D3D" w:rsidRPr="000D7D3D" w:rsidRDefault="000D7D3D" w:rsidP="00635993">
      <w:pPr>
        <w:pStyle w:val="Heading3"/>
      </w:pPr>
      <w:bookmarkStart w:id="454" w:name="_Toc507604067"/>
      <w:bookmarkStart w:id="455" w:name="_Toc507604334"/>
      <w:bookmarkStart w:id="456" w:name="_Toc520837949"/>
      <w:r w:rsidRPr="000D7D3D">
        <w:t>5.2.10.5 Count pre-processing</w:t>
      </w:r>
      <w:bookmarkEnd w:id="454"/>
      <w:bookmarkEnd w:id="455"/>
      <w:bookmarkEnd w:id="456"/>
    </w:p>
    <w:p w14:paraId="0EF09820" w14:textId="54B1FB7A" w:rsidR="00EE6622" w:rsidRPr="00635993" w:rsidRDefault="000D7D3D" w:rsidP="007F746A">
      <w:pPr>
        <w:rPr>
          <w:sz w:val="22"/>
        </w:rPr>
      </w:pPr>
      <w:r w:rsidRPr="00635993">
        <w:rPr>
          <w:sz w:val="22"/>
        </w:rPr>
        <w:t>The raw counts table was filtered to remove rows consisting predominantly of near-zero counts, filtering on counts per million (CPM) to avoid artefacts due to library depth. Specifically, a row of the expression matrix was required to have values greater than 0.1 in at least 3 samples.</w:t>
      </w:r>
    </w:p>
    <w:p w14:paraId="7CF32B51" w14:textId="77777777" w:rsidR="000D7D3D" w:rsidRPr="000D7D3D" w:rsidRDefault="000D7D3D" w:rsidP="007F746A"/>
    <w:p w14:paraId="17D1AB8E" w14:textId="77777777" w:rsidR="000D7D3D" w:rsidRPr="000D7D3D" w:rsidRDefault="000D7D3D" w:rsidP="00635993">
      <w:pPr>
        <w:pStyle w:val="Heading3"/>
      </w:pPr>
      <w:bookmarkStart w:id="457" w:name="_Toc507604068"/>
      <w:bookmarkStart w:id="458" w:name="_Toc507604335"/>
      <w:bookmarkStart w:id="459" w:name="_Toc520837950"/>
      <w:r w:rsidRPr="000D7D3D">
        <w:t>5.2.10.6 Count normalization, exploratory analysis and differential analysis.</w:t>
      </w:r>
      <w:bookmarkEnd w:id="457"/>
      <w:bookmarkEnd w:id="458"/>
      <w:bookmarkEnd w:id="459"/>
    </w:p>
    <w:p w14:paraId="3F08AEB6" w14:textId="0FE0BA55" w:rsidR="00EE6622" w:rsidRPr="00635993" w:rsidRDefault="000D7D3D" w:rsidP="007F746A">
      <w:pPr>
        <w:rPr>
          <w:sz w:val="22"/>
        </w:rPr>
      </w:pPr>
      <w:r w:rsidRPr="00635993">
        <w:rPr>
          <w:sz w:val="22"/>
        </w:rPr>
        <w:t xml:space="preserve">Read counts were normalized through the R package “DESeq2”, which applies a negative binomial distribution and shrinkage estimation of gene dispersion </w:t>
      </w:r>
      <w:r w:rsidRPr="00635993">
        <w:rPr>
          <w:sz w:val="22"/>
        </w:rPr>
        <w:fldChar w:fldCharType="begin" w:fldLock="1"/>
      </w:r>
      <w:r w:rsidR="00EE33AB">
        <w:rPr>
          <w:sz w:val="22"/>
        </w:rPr>
        <w:instrText>ADDIN CSL_CITATION {"citationItems":[{"id":"ITEM-1","itemData":{"DOI":"10.1186/s13059-014-0550-8","ISBN":"1465-6906","ISSN":"1474-760X","PMID":"25516281","abstract":"In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http://www.bioconductor.org/packages/release/bioc/html/DESeq2.html webcite.","author":[{"dropping-particle":"","family":"Love","given":"Michael I","non-dropping-particle":"","parse-names":false,"suffix":""},{"dropping-particle":"","family":"Huber","given":"Wolfgang","non-dropping-particle":"","parse-names":false,"suffix":""},{"dropping-particle":"","family":"Anders","given":"Simon","non-dropping-particle":"","parse-names":false,"suffix":""}],"container-title":"Genome Biology","id":"ITEM-1","issue":"12","issued":{"date-parts":[["2014"]]},"page":"550","title":"Moderated estimation of fold change and dispersion for RNA-seq data with DESeq2","type":"article-journal","volume":"15"},"uris":["http://www.mendeley.com/documents/?uuid=006b0008-bad3-4291-81b1-f6922f70983e"]}],"mendeley":{"formattedCitation":"(Love et al., 2014)","plainTextFormattedCitation":"(Love et al., 2014)","previouslyFormattedCitation":"(Love et al., 2014)"},"properties":{"noteIndex":0},"schema":"https://github.com/citation-style-language/schema/raw/master/csl-citation.json"}</w:instrText>
      </w:r>
      <w:r w:rsidRPr="00635993">
        <w:rPr>
          <w:sz w:val="22"/>
        </w:rPr>
        <w:fldChar w:fldCharType="separate"/>
      </w:r>
      <w:r w:rsidRPr="00635993">
        <w:rPr>
          <w:noProof/>
          <w:sz w:val="22"/>
        </w:rPr>
        <w:t>(Love et al., 2014)</w:t>
      </w:r>
      <w:r w:rsidRPr="00635993">
        <w:rPr>
          <w:sz w:val="22"/>
        </w:rPr>
        <w:fldChar w:fldCharType="end"/>
      </w:r>
      <w:r w:rsidRPr="00635993">
        <w:rPr>
          <w:sz w:val="22"/>
        </w:rPr>
        <w:t xml:space="preserve">. Using the “DESeq2” package, a principal component analysis (PCA) on </w:t>
      </w:r>
      <w:r w:rsidRPr="00635993">
        <w:rPr>
          <w:i/>
          <w:sz w:val="22"/>
        </w:rPr>
        <w:t>rlog</w:t>
      </w:r>
      <w:r w:rsidRPr="00635993">
        <w:rPr>
          <w:sz w:val="22"/>
        </w:rPr>
        <w:t xml:space="preserve">-transformed read counts </w:t>
      </w:r>
      <w:r w:rsidRPr="00635993">
        <w:rPr>
          <w:sz w:val="22"/>
        </w:rPr>
        <w:fldChar w:fldCharType="begin" w:fldLock="1"/>
      </w:r>
      <w:r w:rsidR="00EE33AB">
        <w:rPr>
          <w:sz w:val="22"/>
        </w:rPr>
        <w:instrText>ADDIN CSL_CITATION {"citationItems":[{"id":"ITEM-1","itemData":{"DOI":"10.1186/s13059-014-0550-8","ISBN":"1465-6906","ISSN":"1474-760X","PMID":"25516281","abstract":"In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http://www.bioconductor.org/packages/release/bioc/html/DESeq2.html webcite.","author":[{"dropping-particle":"","family":"Love","given":"Michael I","non-dropping-particle":"","parse-names":false,"suffix":""},{"dropping-particle":"","family":"Huber","given":"Wolfgang","non-dropping-particle":"","parse-names":false,"suffix":""},{"dropping-particle":"","family":"Anders","given":"Simon","non-dropping-particle":"","parse-names":false,"suffix":""}],"container-title":"Genome Biology","id":"ITEM-1","issue":"12","issued":{"date-parts":[["2014"]]},"page":"550","title":"Moderated estimation of fold change and dispersion for RNA-seq data with DESeq2","type":"article-journal","volume":"15"},"uris":["http://www.mendeley.com/documents/?uuid=006b0008-bad3-4291-81b1-f6922f70983e"]}],"mendeley":{"formattedCitation":"(Love et al., 2014)","plainTextFormattedCitation":"(Love et al., 2014)","previouslyFormattedCitation":"(Love et al., 2014)"},"properties":{"noteIndex":0},"schema":"https://github.com/citation-style-language/schema/raw/master/csl-citation.json"}</w:instrText>
      </w:r>
      <w:r w:rsidRPr="00635993">
        <w:rPr>
          <w:sz w:val="22"/>
        </w:rPr>
        <w:fldChar w:fldCharType="separate"/>
      </w:r>
      <w:r w:rsidRPr="00635993">
        <w:rPr>
          <w:noProof/>
          <w:sz w:val="22"/>
        </w:rPr>
        <w:t>(Love et al., 2014)</w:t>
      </w:r>
      <w:r w:rsidRPr="00635993">
        <w:rPr>
          <w:sz w:val="22"/>
        </w:rPr>
        <w:fldChar w:fldCharType="end"/>
      </w:r>
      <w:r w:rsidRPr="00635993">
        <w:rPr>
          <w:sz w:val="22"/>
        </w:rPr>
        <w:t xml:space="preserve"> was performed using in order to visualize sample-to-sample differences. Differential gene expression analysis was carried out through the R package “DESeq2” using W</w:t>
      </w:r>
      <w:r w:rsidR="00177912">
        <w:rPr>
          <w:sz w:val="22"/>
        </w:rPr>
        <w:t>ald test, selecting genes with false discovery r</w:t>
      </w:r>
      <w:r w:rsidRPr="00635993">
        <w:rPr>
          <w:sz w:val="22"/>
        </w:rPr>
        <w:t>ate (FDR) corrected p-value &lt;0.05 (Q-value, Benjamini-Hochberg correction) at each indicated comparison.</w:t>
      </w:r>
    </w:p>
    <w:p w14:paraId="14A1B3D5" w14:textId="77777777" w:rsidR="000D7D3D" w:rsidRPr="000D7D3D" w:rsidRDefault="000D7D3D" w:rsidP="00FB36B8"/>
    <w:p w14:paraId="1A7CBC30" w14:textId="77777777" w:rsidR="000D7D3D" w:rsidRPr="000D7D3D" w:rsidRDefault="000D7D3D" w:rsidP="00635993">
      <w:pPr>
        <w:pStyle w:val="Heading3"/>
      </w:pPr>
      <w:bookmarkStart w:id="460" w:name="_Toc507604069"/>
      <w:bookmarkStart w:id="461" w:name="_Toc507604336"/>
      <w:bookmarkStart w:id="462" w:name="_Toc520837951"/>
      <w:r w:rsidRPr="000D7D3D">
        <w:t>5.3.10.7 RNA-seq data visualisation</w:t>
      </w:r>
      <w:bookmarkEnd w:id="460"/>
      <w:bookmarkEnd w:id="461"/>
      <w:bookmarkEnd w:id="462"/>
      <w:r w:rsidRPr="000D7D3D">
        <w:t xml:space="preserve"> </w:t>
      </w:r>
    </w:p>
    <w:p w14:paraId="053D5667" w14:textId="13574BFD" w:rsidR="000D7D3D" w:rsidRPr="00980A78" w:rsidRDefault="000D7D3D" w:rsidP="007F746A">
      <w:pPr>
        <w:rPr>
          <w:sz w:val="22"/>
        </w:rPr>
      </w:pPr>
      <w:r w:rsidRPr="00635993">
        <w:rPr>
          <w:sz w:val="22"/>
        </w:rPr>
        <w:t xml:space="preserve">In </w:t>
      </w:r>
      <w:r w:rsidR="00EE6622">
        <w:rPr>
          <w:sz w:val="22"/>
        </w:rPr>
        <w:t>S</w:t>
      </w:r>
      <w:r w:rsidR="00EE6622" w:rsidRPr="00635993">
        <w:rPr>
          <w:sz w:val="22"/>
        </w:rPr>
        <w:t xml:space="preserve">ections </w:t>
      </w:r>
      <w:r w:rsidR="003F061A">
        <w:rPr>
          <w:sz w:val="22"/>
        </w:rPr>
        <w:t>5</w:t>
      </w:r>
      <w:r w:rsidRPr="00635993">
        <w:rPr>
          <w:sz w:val="22"/>
        </w:rPr>
        <w:t xml:space="preserve">.3.4 to </w:t>
      </w:r>
      <w:r w:rsidR="003F061A">
        <w:rPr>
          <w:sz w:val="22"/>
        </w:rPr>
        <w:t>5</w:t>
      </w:r>
      <w:r w:rsidRPr="00635993">
        <w:rPr>
          <w:sz w:val="22"/>
        </w:rPr>
        <w:t xml:space="preserve">.3.6, normalized read counts of the top 50 differentially expressed genes ranked by significance (Q-value) were extracted from each indicated comparison. For each gene, the number of standard deviations from the mean of normalized read counts in all samples (z-scores) were plotted using the “pheatmap” package for R </w:t>
      </w:r>
      <w:r w:rsidRPr="00635993">
        <w:rPr>
          <w:sz w:val="22"/>
        </w:rPr>
        <w:fldChar w:fldCharType="begin" w:fldLock="1"/>
      </w:r>
      <w:r w:rsidR="00EE33AB">
        <w:rPr>
          <w:sz w:val="22"/>
        </w:rPr>
        <w:instrText>ADDIN CSL_CITATION {"citationItems":[{"id":"ITEM-1","itemData":{"author":[{"dropping-particle":"","family":"Kolde","given":"Raivo","non-dropping-particle":"","parse-names":false,"suffix":""}],"id":"ITEM-1","issued":{"date-parts":[["2015"]]},"title":"Package 'pheatmap'","type":"article"},"uris":["http://www.mendeley.com/documents/?uuid=9597e65b-4930-4466-8426-98f70234d2b5"]}],"mendeley":{"formattedCitation":"(Kolde, 2015)","plainTextFormattedCitation":"(Kolde, 2015)","previouslyFormattedCitation":"(Kolde, 2015)"},"properties":{"noteIndex":0},"schema":"https://github.com/citation-style-language/schema/raw/master/csl-citation.json"}</w:instrText>
      </w:r>
      <w:r w:rsidRPr="00635993">
        <w:rPr>
          <w:sz w:val="22"/>
        </w:rPr>
        <w:fldChar w:fldCharType="separate"/>
      </w:r>
      <w:r w:rsidRPr="00635993">
        <w:rPr>
          <w:noProof/>
          <w:sz w:val="22"/>
        </w:rPr>
        <w:t>(Kolde, 2015)</w:t>
      </w:r>
      <w:r w:rsidRPr="00635993">
        <w:rPr>
          <w:sz w:val="22"/>
        </w:rPr>
        <w:fldChar w:fldCharType="end"/>
      </w:r>
      <w:r w:rsidRPr="00635993">
        <w:rPr>
          <w:sz w:val="22"/>
        </w:rPr>
        <w:t xml:space="preserve"> to visualise expression differences in the indicated conditions. In </w:t>
      </w:r>
      <w:r w:rsidR="003F061A">
        <w:rPr>
          <w:sz w:val="22"/>
        </w:rPr>
        <w:t>S</w:t>
      </w:r>
      <w:r w:rsidRPr="00635993">
        <w:rPr>
          <w:sz w:val="22"/>
        </w:rPr>
        <w:t xml:space="preserve">ection </w:t>
      </w:r>
      <w:r w:rsidR="003F061A">
        <w:rPr>
          <w:sz w:val="22"/>
        </w:rPr>
        <w:t>5</w:t>
      </w:r>
      <w:r w:rsidRPr="00635993">
        <w:rPr>
          <w:sz w:val="22"/>
        </w:rPr>
        <w:t>.3</w:t>
      </w:r>
      <w:r w:rsidR="003F061A">
        <w:rPr>
          <w:sz w:val="22"/>
        </w:rPr>
        <w:t>.</w:t>
      </w:r>
      <w:r w:rsidRPr="00635993">
        <w:rPr>
          <w:sz w:val="22"/>
        </w:rPr>
        <w:t xml:space="preserve">7, the “pheatmap” package for R was also used for hierarchical clustering of all genes </w:t>
      </w:r>
      <w:r w:rsidR="00980A78">
        <w:rPr>
          <w:sz w:val="22"/>
        </w:rPr>
        <w:t>identified using Ward’s method.</w:t>
      </w:r>
      <w:r w:rsidR="00980A78">
        <w:br w:type="page"/>
      </w:r>
    </w:p>
    <w:p w14:paraId="0A85ED4E" w14:textId="57C9A0E5" w:rsidR="000D7D3D" w:rsidRPr="000D7D3D" w:rsidRDefault="000D7D3D" w:rsidP="00635993">
      <w:pPr>
        <w:pStyle w:val="Heading2"/>
      </w:pPr>
      <w:bookmarkStart w:id="463" w:name="_Toc507604070"/>
      <w:bookmarkStart w:id="464" w:name="_Toc507604337"/>
      <w:bookmarkStart w:id="465" w:name="_Toc519017040"/>
      <w:bookmarkStart w:id="466" w:name="_Toc520837952"/>
      <w:r w:rsidRPr="000D7D3D">
        <w:lastRenderedPageBreak/>
        <w:t>5.2.11 Sam</w:t>
      </w:r>
      <w:r w:rsidR="00DA75F0">
        <w:t>ples preparation for UPLC-Q-TOF-</w:t>
      </w:r>
      <w:r w:rsidR="00DA75F0">
        <w:rPr>
          <w:rFonts w:ascii="Helvetica" w:hAnsi="Helvetica" w:cs="Helvetica"/>
        </w:rPr>
        <w:t xml:space="preserve">MS </w:t>
      </w:r>
      <w:r w:rsidRPr="000D7D3D">
        <w:t>analysis</w:t>
      </w:r>
      <w:bookmarkEnd w:id="463"/>
      <w:bookmarkEnd w:id="464"/>
      <w:bookmarkEnd w:id="465"/>
      <w:bookmarkEnd w:id="466"/>
    </w:p>
    <w:p w14:paraId="4EED8773" w14:textId="7E2D73E7" w:rsidR="000D7D3D" w:rsidRPr="000D7D3D" w:rsidRDefault="000D7D3D" w:rsidP="003F7054">
      <w:r w:rsidRPr="000D7D3D">
        <w:t xml:space="preserve">HAP+ or HAP- discs were recovered from the </w:t>
      </w:r>
      <w:r w:rsidR="006E6445">
        <w:t>HAP</w:t>
      </w:r>
      <w:r w:rsidR="006E6445" w:rsidRPr="000D7D3D">
        <w:t xml:space="preserve"> </w:t>
      </w:r>
      <w:r w:rsidRPr="000D7D3D">
        <w:t xml:space="preserve">weathering systems after being colonised by </w:t>
      </w:r>
      <w:r w:rsidRPr="000D7D3D">
        <w:rPr>
          <w:i/>
        </w:rPr>
        <w:t>P. involutus</w:t>
      </w:r>
      <w:r w:rsidRPr="000D7D3D">
        <w:t xml:space="preserve"> hyphae, NS systems, or </w:t>
      </w:r>
      <w:r w:rsidRPr="000D7D3D">
        <w:rPr>
          <w:i/>
        </w:rPr>
        <w:t>P. involutus</w:t>
      </w:r>
      <w:r w:rsidRPr="000D7D3D">
        <w:t xml:space="preserve"> hyphae </w:t>
      </w:r>
      <w:r w:rsidR="00DA75F0">
        <w:t>together with</w:t>
      </w:r>
      <w:r w:rsidRPr="000D7D3D">
        <w:t xml:space="preserve"> </w:t>
      </w:r>
      <w:r w:rsidR="00DA75F0" w:rsidRPr="00DA75F0">
        <w:rPr>
          <w:i/>
        </w:rPr>
        <w:t>P. sylvestris</w:t>
      </w:r>
      <w:r w:rsidRPr="000D7D3D">
        <w:t xml:space="preserve"> roots</w:t>
      </w:r>
      <w:r w:rsidR="00DA75F0">
        <w:t>,</w:t>
      </w:r>
      <w:r w:rsidRPr="000D7D3D">
        <w:t xml:space="preserve"> </w:t>
      </w:r>
      <w:r w:rsidR="00DA75F0">
        <w:t>S systems,</w:t>
      </w:r>
      <w:r w:rsidR="00DA75F0" w:rsidRPr="000D7D3D">
        <w:t xml:space="preserve"> </w:t>
      </w:r>
      <w:r w:rsidR="00A277DC">
        <w:t>for five</w:t>
      </w:r>
      <w:r w:rsidRPr="000D7D3D">
        <w:t xml:space="preserve"> months. The discs </w:t>
      </w:r>
      <w:r w:rsidR="000E0FD9">
        <w:t xml:space="preserve">were </w:t>
      </w:r>
      <w:r w:rsidRPr="000D7D3D">
        <w:t xml:space="preserve">washed with 2 ml of UHP water in sterile Petri dishes (50 mm) at the rotational shaker for 3h. Next, the after-washes liquid samples </w:t>
      </w:r>
      <w:r w:rsidR="000E0FD9">
        <w:t xml:space="preserve">were </w:t>
      </w:r>
      <w:r w:rsidRPr="000D7D3D">
        <w:t xml:space="preserve">collected and filtered through a 0.22 </w:t>
      </w:r>
      <w:r w:rsidRPr="000D7D3D">
        <w:rPr>
          <w:lang w:val="el-GR"/>
        </w:rPr>
        <w:t>μ</w:t>
      </w:r>
      <w:r w:rsidRPr="000D7D3D">
        <w:t>m Millipore sterile filter (SLGV033RB, Millex). The filtrate</w:t>
      </w:r>
      <w:r w:rsidR="000E0FD9">
        <w:t>s</w:t>
      </w:r>
      <w:r w:rsidRPr="000D7D3D">
        <w:t xml:space="preserve"> </w:t>
      </w:r>
      <w:r w:rsidR="000E0FD9">
        <w:t xml:space="preserve">were </w:t>
      </w:r>
      <w:r w:rsidRPr="000D7D3D">
        <w:t>collected into 2ml Eppendorf tu</w:t>
      </w:r>
      <w:r w:rsidR="00250F80">
        <w:t>bes and the samples were freeze-</w:t>
      </w:r>
      <w:r w:rsidRPr="000D7D3D">
        <w:t>dried. Next</w:t>
      </w:r>
      <w:r w:rsidR="00250F80">
        <w:t>,</w:t>
      </w:r>
      <w:r w:rsidRPr="000D7D3D">
        <w:t xml:space="preserve"> the dri</w:t>
      </w:r>
      <w:r w:rsidR="00250F80">
        <w:t>ed samples were resuspended in</w:t>
      </w:r>
      <w:r w:rsidRPr="000D7D3D">
        <w:t xml:space="preserve"> 200 </w:t>
      </w:r>
      <w:r w:rsidRPr="000D7D3D">
        <w:rPr>
          <w:lang w:val="el-GR"/>
        </w:rPr>
        <w:t>μ</w:t>
      </w:r>
      <w:r w:rsidRPr="000D7D3D">
        <w:t>l solution of 50% methanol and 0.1% formic acid. The samples were centrifuged at 4</w:t>
      </w:r>
      <w:r w:rsidRPr="000D7D3D">
        <w:rPr>
          <w:rFonts w:cs="Arial"/>
        </w:rPr>
        <w:t>°</w:t>
      </w:r>
      <w:r w:rsidRPr="000D7D3D">
        <w:t xml:space="preserve">C for 20 min and recollected into 1.5 ml Eppendorf tubes, to avoid any solid particles prior to </w:t>
      </w:r>
      <w:r w:rsidR="000E0FD9" w:rsidRPr="000E0FD9">
        <w:t>UPLC-Q-TOF-MS</w:t>
      </w:r>
      <w:r w:rsidRPr="000D7D3D">
        <w:t xml:space="preserve"> analysis. </w:t>
      </w:r>
    </w:p>
    <w:p w14:paraId="097236E0" w14:textId="77777777" w:rsidR="000D7D3D" w:rsidRPr="000D7D3D" w:rsidRDefault="000D7D3D" w:rsidP="007F746A"/>
    <w:p w14:paraId="7DAFD8A8" w14:textId="6CB6E993" w:rsidR="000D7D3D" w:rsidRPr="000D7D3D" w:rsidRDefault="000E0FD9" w:rsidP="00635993">
      <w:pPr>
        <w:pStyle w:val="Heading2"/>
      </w:pPr>
      <w:bookmarkStart w:id="467" w:name="_Toc507604071"/>
      <w:bookmarkStart w:id="468" w:name="_Toc507604338"/>
      <w:bookmarkStart w:id="469" w:name="_Toc519017041"/>
      <w:bookmarkStart w:id="470" w:name="_Toc520837953"/>
      <w:r>
        <w:t>5.2.12 UPLC-Q-TOF-</w:t>
      </w:r>
      <w:r w:rsidR="006E6445">
        <w:rPr>
          <w:rFonts w:ascii="Helvetica" w:hAnsi="Helvetica" w:cs="Helvetica"/>
        </w:rPr>
        <w:t>MS</w:t>
      </w:r>
      <w:r w:rsidR="000D7D3D" w:rsidRPr="000D7D3D">
        <w:t xml:space="preserve"> analysis</w:t>
      </w:r>
      <w:bookmarkEnd w:id="467"/>
      <w:bookmarkEnd w:id="468"/>
      <w:bookmarkEnd w:id="469"/>
      <w:bookmarkEnd w:id="470"/>
    </w:p>
    <w:p w14:paraId="5E17A874" w14:textId="53182892" w:rsidR="000D7D3D" w:rsidRPr="000D7D3D" w:rsidRDefault="000E0FD9" w:rsidP="00635993">
      <w:r>
        <w:t>UPLC-Q-TOF-</w:t>
      </w:r>
      <w:r w:rsidR="000D7D3D" w:rsidRPr="000D7D3D">
        <w:t xml:space="preserve">MS analysis was performed together with Dr. P. Petriacq at the MS facility </w:t>
      </w:r>
      <w:r>
        <w:t>at</w:t>
      </w:r>
      <w:r w:rsidR="000D7D3D" w:rsidRPr="000D7D3D">
        <w:t xml:space="preserve"> the University of Sheffield as described previously </w:t>
      </w:r>
      <w:r w:rsidR="000D7D3D" w:rsidRPr="000D7D3D">
        <w:fldChar w:fldCharType="begin" w:fldLock="1"/>
      </w:r>
      <w:r w:rsidR="00EE33AB">
        <w:instrText>ADDIN CSL_CITATION {"citationID":"HH7IDwpm","citationItems":[{"id":"ITEM-1","itemData":{"DOI":"10.1104/pp.16.00780","ISSN":"1532-2548","abstract":"Pyridine nucleotides, such as nicotinamide adenine dinucleotide (NAD), are crucial redox carriers and have emerged as important signaling molecules in stress responses. Previously, we have demonstrated in Arabidopsis thaliana (Arabidopsis) that the inducible NAD-overproducing nadC lines are more resistant to an avirulent strain of Pseudomonas syringae pv. tomato (Pst-AvrRpm1), which was associated with salicylic acid-dependent defense. Here, we have further characterized the NAD-dependent immune response in Arabidopsis. Quinolinate-induced stimulation of intracellular NAD in transgenic nadC plants enhanced resistance against a diverse range of (a)virulent pathogens, including Pst-AvrRpt2, Dickeya dadantii and Botrytis cinerea. Characterization of the redox status demonstrated that elevated NAD levels induce reactive oxygen species (ROS) production and expression of redox marker genes of the cytosol and mitochondrion. Using pharmacological and reverse genetics approaches, we show that NAD-induced ROS production functions independently of NADPH oxidase activity and light metabolism but depends on mitochondrial respiration which was increased at higher NAD. We further demonstrate that NAD primes pathogen-induced callose deposition and cell death. Mass spectrometry analysis reveals that NAD simultaneously induces different defense hormones and that the NAD-induced metabolic profiles are similar to that of defense-expressing plants after treatment with pathogen-associated molecular patterns (PAMPs). We thus conclude that NAD triggers metabolic profiles rather similar to that of PAMPs and discuss how signaling crosstalk between defense hormones, ROS and NAD explains the observed resistance to pathogens.","author":[{"dropping-particle":"","family":"Pétriacq","given":"Pierre","non-dropping-particle":"","parse-names":false,"suffix":""},{"dropping-particle":"","family":"Ton","given":"Jurriaan","non-dropping-particle":"","parse-names":false,"suffix":""},{"dropping-particle":"","family":"Patrit","given":"Oriane","non-dropping-particle":"","parse-names":false,"suffix":""},{"dropping-particle":"","family":"Tcherkez","given":"Guillaume","non-dropping-particle":"","parse-names":false,"suffix":""},{"dropping-particle":"","family":"Gakière","given":"Bertrand","non-dropping-particle":"","parse-names":false,"suffix":""}],"container-title":"Plant Physiology","id":"ITEM-1","issued":{"date-parts":[["2016","9"]]},"language":"ENG","page":"1-15","title":"NAD acts as an integral regulator of multiple defense layers","type":"article-journal","volume":"172"},"uri":["http://www.mendeley.com/documents/?uuid=91160263-649a-4894-a4cd-c735550913fb"],"uris":["http://www.mendeley.com/documents/?uuid=91160263-649a-4894-a4cd-c735550913fb","http://www.mendeley.com/documents/?uuid=5ab59236-0787-4cff-b55c-327285a0304c"]}],"mendeley":{"formattedCitation":"(Pétriacq et al., 2016)","plainTextFormattedCitation":"(Pétriacq et al., 2016)","previouslyFormattedCitation":"(Pétriacq et al., 2016)"},"properties":{"formattedCitation":"{\\rtf (P\\uc0\\u233{}triacq, Ton, {\\i{}et al.}, 2016)}","noteIndex":0,"plainCitation":"(Pétriacq, Ton, et al., 2016)"},"schema":"https://github.com/citation-style-language/schema/raw/master/csl-citation.json"}</w:instrText>
      </w:r>
      <w:r w:rsidR="000D7D3D" w:rsidRPr="000D7D3D">
        <w:fldChar w:fldCharType="separate"/>
      </w:r>
      <w:r w:rsidR="000D7D3D" w:rsidRPr="000D7D3D">
        <w:rPr>
          <w:noProof/>
        </w:rPr>
        <w:t>(Pétriacq et al., 2016)</w:t>
      </w:r>
      <w:r w:rsidR="000D7D3D" w:rsidRPr="000D7D3D">
        <w:fldChar w:fldCharType="end"/>
      </w:r>
      <w:r w:rsidR="000D7D3D" w:rsidRPr="000D7D3D">
        <w:t>, using an ACQUITY ultra-high-pressure liquid chromatography (UPLC) system coupled to a SYNAPT G2 Q-TOF mass spectrometer with an electrospray (ESI) ionization source (Waters, UK). The system was controlled by MassLynx v. 4.1 software (Waters). Chromatographic separation of samples was carried out at a flow rate of 0.4 mL min</w:t>
      </w:r>
      <w:r w:rsidR="000D7D3D" w:rsidRPr="000D7D3D">
        <w:rPr>
          <w:vertAlign w:val="superscript"/>
        </w:rPr>
        <w:t xml:space="preserve">−1 </w:t>
      </w:r>
      <w:r w:rsidR="000D7D3D" w:rsidRPr="000D7D3D">
        <w:t>using an ACQUITY UPLC BEH C18 column (2.1 × 50 mm, 1.7 μm, Waters) coupled to a C18 VanGuard pre-column (2.1 x 5 mm, 1.7 µm, Waters). The mobile phase consisted of solvent A (0.05 %, formic acid v/v, in water) and solvent B (0.05 % formic acid v/v in acetonitrile) with the following gradient: 0 – 3 min 5 – 35 % B, 3 – 6 min 35 – 100 % B, holding at 100 % B for 2 min, 8 – 10 min, 100 – 5 % B. The column was maintained at 45 °C and the injection volume was 10 μL. Between each condition, a blank was injected with 50% methanol (v/v) to clean the column. Sample runs in negative and positive ionization mode (ESI</w:t>
      </w:r>
      <w:r w:rsidR="00343D90" w:rsidRPr="00343D90">
        <w:t>-</w:t>
      </w:r>
      <w:r w:rsidR="000D7D3D" w:rsidRPr="000D7D3D">
        <w:t xml:space="preserve"> and ESI</w:t>
      </w:r>
      <w:r w:rsidR="000D7D3D" w:rsidRPr="00343D90">
        <w:t>+</w:t>
      </w:r>
      <w:r w:rsidR="000D7D3D" w:rsidRPr="000D7D3D">
        <w:t>) were separated by two consecutive injections with 50% methanol (v/v) to allow stabilization of the ionization modes. An ACQUITY PDA detector (Waters) was used to monitor the UV trace (range 205 – 400 nm, sampling rate 40 points s</w:t>
      </w:r>
      <w:r w:rsidR="000D7D3D" w:rsidRPr="000D7D3D">
        <w:rPr>
          <w:vertAlign w:val="superscript"/>
        </w:rPr>
        <w:t>-1</w:t>
      </w:r>
      <w:r w:rsidR="000D7D3D" w:rsidRPr="000D7D3D">
        <w:t xml:space="preserve">, resolution 1.2 nm). MS detection of ions was operated in sensitivity mode by SYNAPT </w:t>
      </w:r>
      <w:r w:rsidR="000D7D3D" w:rsidRPr="000D7D3D">
        <w:lastRenderedPageBreak/>
        <w:t>G2 (50 - 1200 Da, scan time = 0.2 s) in both ESI</w:t>
      </w:r>
      <w:r w:rsidR="000D7D3D" w:rsidRPr="00343D90">
        <w:t>-</w:t>
      </w:r>
      <w:r w:rsidR="000D7D3D" w:rsidRPr="000D7D3D">
        <w:t xml:space="preserve"> and ESI</w:t>
      </w:r>
      <w:r w:rsidR="000D7D3D" w:rsidRPr="00343D90">
        <w:t>+</w:t>
      </w:r>
      <w:r w:rsidR="000D7D3D" w:rsidRPr="000D7D3D">
        <w:t>, using a full MS scan (</w:t>
      </w:r>
      <w:r w:rsidR="000D7D3D" w:rsidRPr="000D7D3D">
        <w:rPr>
          <w:i/>
        </w:rPr>
        <w:t>i.e.</w:t>
      </w:r>
      <w:r w:rsidR="000D7D3D" w:rsidRPr="000D7D3D">
        <w:t xml:space="preserve"> no collision energy) and applying the MS</w:t>
      </w:r>
      <w:r w:rsidR="000D7D3D" w:rsidRPr="000D7D3D">
        <w:rPr>
          <w:vertAlign w:val="superscript"/>
        </w:rPr>
        <w:t>E</w:t>
      </w:r>
      <w:r w:rsidR="000D7D3D" w:rsidRPr="000D7D3D">
        <w:t xml:space="preserve"> function with a ramp in the transfer cell in elevated energy mode (5 to 45 eV). The following conditions were applied for ESI</w:t>
      </w:r>
      <w:r w:rsidR="000D7D3D" w:rsidRPr="00343D90">
        <w:t>-</w:t>
      </w:r>
      <w:r w:rsidR="000D7D3D" w:rsidRPr="000D7D3D">
        <w:t xml:space="preserve"> (capillary voltage - 3 kV, sampling cone voltage - 25 V, extraction cone voltage -4.5 V, source temperature 120 °C, desolvation temperature 350 °C, desolvation gas flow 800 L h</w:t>
      </w:r>
      <w:r w:rsidR="000D7D3D" w:rsidRPr="000D7D3D">
        <w:rPr>
          <w:vertAlign w:val="superscript"/>
        </w:rPr>
        <w:t>-1</w:t>
      </w:r>
      <w:r w:rsidR="000D7D3D" w:rsidRPr="000D7D3D">
        <w:t>, cone gas flow 60 L h</w:t>
      </w:r>
      <w:r w:rsidR="000D7D3D" w:rsidRPr="000D7D3D">
        <w:rPr>
          <w:vertAlign w:val="superscript"/>
        </w:rPr>
        <w:t>-1</w:t>
      </w:r>
      <w:r w:rsidR="000D7D3D" w:rsidRPr="000D7D3D">
        <w:t>), and for ESI</w:t>
      </w:r>
      <w:r w:rsidR="000D7D3D" w:rsidRPr="00343D90">
        <w:t>+</w:t>
      </w:r>
      <w:r w:rsidR="000D7D3D" w:rsidRPr="000D7D3D">
        <w:t xml:space="preserve"> (capillary voltage 3.5 kV, sampling cone voltage 25 V, extraction cone voltage 4.5 V, source temperature 120 °C, desolvation temperature 350 °C, desolvation gas flow 800 L h</w:t>
      </w:r>
      <w:r w:rsidR="000D7D3D" w:rsidRPr="000D7D3D">
        <w:rPr>
          <w:vertAlign w:val="superscript"/>
        </w:rPr>
        <w:t>-1</w:t>
      </w:r>
      <w:r w:rsidR="000D7D3D" w:rsidRPr="000D7D3D">
        <w:t>, cone gas flow 60 L h</w:t>
      </w:r>
      <w:r w:rsidR="000D7D3D" w:rsidRPr="000D7D3D">
        <w:rPr>
          <w:vertAlign w:val="superscript"/>
        </w:rPr>
        <w:t>-1</w:t>
      </w:r>
      <w:r w:rsidR="000D7D3D" w:rsidRPr="000D7D3D">
        <w:t>). Prior to analyses, the Q-TOF was calibrated by infusing a sodium formate solution. Accurate mass detection was ensured by infusing the internal lockmass reference peptide leucine enkephalin during each run.</w:t>
      </w:r>
    </w:p>
    <w:p w14:paraId="4CA65B0F" w14:textId="77777777" w:rsidR="000D7D3D" w:rsidRPr="000D7D3D" w:rsidRDefault="000D7D3D" w:rsidP="003F7054"/>
    <w:p w14:paraId="25001E06" w14:textId="2B095104" w:rsidR="000D7D3D" w:rsidRPr="000D7D3D" w:rsidRDefault="000D7D3D" w:rsidP="00635993">
      <w:pPr>
        <w:pStyle w:val="Heading3"/>
      </w:pPr>
      <w:bookmarkStart w:id="471" w:name="_Toc507604072"/>
      <w:bookmarkStart w:id="472" w:name="_Toc507604339"/>
      <w:bookmarkStart w:id="473" w:name="_Toc520837954"/>
      <w:r w:rsidRPr="000D7D3D">
        <w:t>5.2.1</w:t>
      </w:r>
      <w:r w:rsidR="00AC7D60">
        <w:t>2.1</w:t>
      </w:r>
      <w:r w:rsidRPr="000D7D3D">
        <w:t xml:space="preserve"> Statistical analysis of </w:t>
      </w:r>
      <w:r w:rsidR="000E0FD9" w:rsidRPr="000E0FD9">
        <w:t>UPLC-Q-TOF-MS</w:t>
      </w:r>
      <w:r w:rsidRPr="000D7D3D">
        <w:t xml:space="preserve"> data</w:t>
      </w:r>
      <w:bookmarkEnd w:id="471"/>
      <w:bookmarkEnd w:id="472"/>
      <w:bookmarkEnd w:id="473"/>
    </w:p>
    <w:p w14:paraId="7E3A25F3" w14:textId="0392B69C" w:rsidR="000D7D3D" w:rsidRPr="00634533" w:rsidRDefault="000D7D3D" w:rsidP="007F746A">
      <w:pPr>
        <w:rPr>
          <w:sz w:val="22"/>
        </w:rPr>
      </w:pPr>
      <w:r w:rsidRPr="00635993">
        <w:rPr>
          <w:sz w:val="22"/>
        </w:rPr>
        <w:t xml:space="preserve">Prior to multivariate analyses, the XCMS R package (v. 3.1.3; </w:t>
      </w:r>
      <w:r w:rsidRPr="00635993">
        <w:rPr>
          <w:sz w:val="22"/>
        </w:rPr>
        <w:fldChar w:fldCharType="begin" w:fldLock="1"/>
      </w:r>
      <w:r w:rsidR="00EE33AB">
        <w:rPr>
          <w:sz w:val="22"/>
        </w:rPr>
        <w:instrText>ADDIN CSL_CITATION {"citationID":"3i5envmle","citationItems":[{"id":"ITEM-1","itemData":{"DOI":"10.1021/ac051437y","ISSN":"0003-2700","abstract":"Metabolite profiling in biomarker discovery, enzyme substrate assignment, drug activity/specificity determination, and basic metabolic research requires new data preprocessing approaches to correlate specific metabolites to their biological origin. Here we introduce an LC/MS-based data analysis approach, XCMS, which incorporates novel nonlinear retention time alignment, matched filtration, peak detection, and peak matching. Without using internal standards, the method dynamically identifies hundreds of endogenous metabolites for use as standards, calculating a nonlinear retention time correction profile for each sample. Following retention time correction, the relative metabolite ion intensities are directly compared to identify changes in specific endogenous metabolites, such as potential biomarkers. The software is demonstrated using data sets from a previously reported enzyme knockout study and a large-scale study of plasma samples. XCMS is freely available under an open-source license at http://metlin.scripps.edu/download/.","author":[{"dropping-particle":"","family":"Smith","given":"Colin A.","non-dropping-particle":"","parse-names":false,"suffix":""},{"dropping-particle":"","family":"Want","given":"Elizabeth J.","non-dropping-particle":"","parse-names":false,"suffix":""},{"dropping-particle":"","family":"O'Maille","given":"Grace","non-dropping-particle":"","parse-names":false,"suffix":""},{"dropping-particle":"","family":"Abagyan","given":"Ruben","non-dropping-particle":"","parse-names":false,"suffix":""},{"dropping-particle":"","family":"Siuzdak","given":"Gary","non-dropping-particle":"","parse-names":false,"suffix":""}],"container-title":"Analytical Chemistry","id":"ITEM-1","issue":"3","issued":{"date-parts":[["2006","2"]]},"language":"eng","page":"779-787","title":"XCMS: processing mass spectrometry data for metabolite profiling using nonlinear peak alignment, matching, and identification","type":"article-journal","volume":"78"},"uri":["http://www.mendeley.com/documents/?uuid=45a5d258-fcf9-4d7c-8889-30e84707ad47","http://zotero.org/users/687119/items/JRGN3V98"],"uris":["http://www.mendeley.com/documents/?uuid=45a5d258-fcf9-4d7c-8889-30e84707ad47","http://zotero.org/users/687119/items/JRGN3V98","http://www.mendeley.com/documents/?uuid=d88a7c0e-8e95-4fd1-9d14-59e8355bc1aa"]}],"mendeley":{"formattedCitation":"(Smith et al., 2006)","plainTextFormattedCitation":"(Smith et al., 2006)","previouslyFormattedCitation":"(Smith et al., 2006)"},"properties":{"formattedCitation":"{\\rtf (Smith {\\i{}et al.}, 2006)}","noteIndex":0,"plainCitation":"(Smith et al., 2006)"},"schema":"https://github.com/citation-style-language/schema/raw/master/csl-citation.json"}</w:instrText>
      </w:r>
      <w:r w:rsidRPr="00635993">
        <w:rPr>
          <w:sz w:val="22"/>
        </w:rPr>
        <w:fldChar w:fldCharType="separate"/>
      </w:r>
      <w:r w:rsidRPr="00635993">
        <w:rPr>
          <w:noProof/>
          <w:sz w:val="22"/>
        </w:rPr>
        <w:t>(Smith et al., 2006)</w:t>
      </w:r>
      <w:r w:rsidRPr="00635993">
        <w:rPr>
          <w:sz w:val="22"/>
        </w:rPr>
        <w:fldChar w:fldCharType="end"/>
      </w:r>
      <w:r w:rsidRPr="00635993">
        <w:rPr>
          <w:sz w:val="22"/>
        </w:rPr>
        <w:t>) was used to align and integrate raw UPLC-Q-TOF peaks, to correct for total ion current (TIC) and median fold-change.</w:t>
      </w:r>
      <w:r w:rsidRPr="00635993">
        <w:rPr>
          <w:b/>
          <w:sz w:val="22"/>
        </w:rPr>
        <w:t xml:space="preserve"> </w:t>
      </w:r>
      <w:r w:rsidRPr="00635993">
        <w:rPr>
          <w:sz w:val="22"/>
        </w:rPr>
        <w:t xml:space="preserve">All statistical analyses were performed with median-normalized, cube-root-transformed and Pareto-scaled data, using MetaboAnalyst software (v. 3.0, </w:t>
      </w:r>
      <w:hyperlink r:id="rId40" w:history="1">
        <w:r w:rsidRPr="00635993">
          <w:rPr>
            <w:sz w:val="22"/>
            <w:u w:val="single"/>
          </w:rPr>
          <w:t>http://www.metaboanalyst.ca</w:t>
        </w:r>
      </w:hyperlink>
      <w:r w:rsidRPr="00635993">
        <w:rPr>
          <w:sz w:val="22"/>
        </w:rPr>
        <w:t xml:space="preserve">; </w:t>
      </w:r>
      <w:r w:rsidRPr="00635993">
        <w:rPr>
          <w:sz w:val="22"/>
        </w:rPr>
        <w:fldChar w:fldCharType="begin" w:fldLock="1"/>
      </w:r>
      <w:r w:rsidR="00EE33AB">
        <w:rPr>
          <w:sz w:val="22"/>
        </w:rPr>
        <w:instrText>ADDIN CSL_CITATION {"citationID":"lfmhgdjdt","citationItems":[{"id":"ITEM-1","itemData":{"DOI":"10.1093/nar/gkv380","ISSN":"0305-1048, 1362-4962","author":[{"dropping-particle":"","family":"Xia","given":"Jianguo","non-dropping-particle":"","parse-names":false,"suffix":""},{"dropping-particle":"V.","family":"Sinelnikov","given":"Igor","non-dropping-particle":"","parse-names":false,"suffix":""},{"dropping-particle":"","family":"Han","given":"Beomsoo","non-dropping-particle":"","parse-names":false,"suffix":""},{"dropping-particle":"","family":"Wishart","given":"David S.","non-dropping-particle":"","parse-names":false,"suffix":""}],"container-title":"Nucleic Acids Research","id":"ITEM-1","issue":"W1","issued":{"date-parts":[["2015","7"]]},"language":"en","page":"W251-W257","title":"MetaboAnalyst 3.0—making metabolomics more meaningful","type":"article-journal","volume":"43"},"uri":["http://www.mendeley.com/documents/?uuid=12578872-a60f-433f-912e-addd2553b790","http://zotero.org/users/687119/items/WPNPFFXQ"],"uris":["http://www.mendeley.com/documents/?uuid=12578872-a60f-433f-912e-addd2553b790","http://zotero.org/users/687119/items/WPNPFFXQ","http://www.mendeley.com/documents/?uuid=0b07536a-2722-4b11-bd70-c4e71fdd3a9d"]}],"mendeley":{"formattedCitation":"(Xia et al., 2015)","plainTextFormattedCitation":"(Xia et al., 2015)","previouslyFormattedCitation":"(Xia et al., 2015)"},"properties":{"formattedCitation":"{\\rtf (Xia {\\i{}et al.}, 2015)}","noteIndex":0,"plainCitation":"(Xia et al., 2015)"},"schema":"https://github.com/citation-style-language/schema/raw/master/csl-citation.json"}</w:instrText>
      </w:r>
      <w:r w:rsidRPr="00635993">
        <w:rPr>
          <w:sz w:val="22"/>
        </w:rPr>
        <w:fldChar w:fldCharType="separate"/>
      </w:r>
      <w:r w:rsidRPr="00635993">
        <w:rPr>
          <w:noProof/>
          <w:sz w:val="22"/>
        </w:rPr>
        <w:t>(Xia et al., 2015)</w:t>
      </w:r>
      <w:r w:rsidRPr="00635993">
        <w:rPr>
          <w:sz w:val="22"/>
        </w:rPr>
        <w:fldChar w:fldCharType="end"/>
      </w:r>
      <w:r w:rsidRPr="00635993">
        <w:rPr>
          <w:sz w:val="22"/>
        </w:rPr>
        <w:t xml:space="preserve">). Numbers of total ions were obtained from XCMS output datasets. Putative metabolites were identified by referencing the final set of detected accurate </w:t>
      </w:r>
      <w:r w:rsidRPr="00635993">
        <w:rPr>
          <w:i/>
          <w:sz w:val="22"/>
        </w:rPr>
        <w:t xml:space="preserve">m/z </w:t>
      </w:r>
      <w:r w:rsidRPr="00635993">
        <w:rPr>
          <w:sz w:val="22"/>
        </w:rPr>
        <w:t>values using METLIN (</w:t>
      </w:r>
      <w:hyperlink r:id="rId41" w:history="1">
        <w:r w:rsidRPr="00635993">
          <w:rPr>
            <w:sz w:val="22"/>
            <w:u w:val="single"/>
          </w:rPr>
          <w:t>https://metlin.scripps.edu</w:t>
        </w:r>
      </w:hyperlink>
      <w:r w:rsidR="00634533">
        <w:rPr>
          <w:sz w:val="22"/>
        </w:rPr>
        <w:t>).</w:t>
      </w:r>
      <w:r w:rsidRPr="000D7D3D">
        <w:br w:type="page"/>
      </w:r>
    </w:p>
    <w:p w14:paraId="17CEE945" w14:textId="7B0A993D" w:rsidR="000D7D3D" w:rsidRPr="000D7D3D" w:rsidRDefault="000D7D3D" w:rsidP="00635993">
      <w:pPr>
        <w:pStyle w:val="Heading1"/>
      </w:pPr>
      <w:bookmarkStart w:id="474" w:name="_Toc507604073"/>
      <w:bookmarkStart w:id="475" w:name="_Toc507604340"/>
      <w:bookmarkStart w:id="476" w:name="_Toc519017042"/>
      <w:bookmarkStart w:id="477" w:name="_Toc520837955"/>
      <w:r w:rsidRPr="000D7D3D">
        <w:lastRenderedPageBreak/>
        <w:t>5.3 Results</w:t>
      </w:r>
      <w:bookmarkEnd w:id="474"/>
      <w:bookmarkEnd w:id="475"/>
      <w:bookmarkEnd w:id="476"/>
      <w:bookmarkEnd w:id="477"/>
    </w:p>
    <w:p w14:paraId="77D7B7A2" w14:textId="77777777" w:rsidR="000D7D3D" w:rsidRPr="000D7D3D" w:rsidRDefault="000D7D3D" w:rsidP="003F7054"/>
    <w:p w14:paraId="29ACAB34" w14:textId="61757FB9" w:rsidR="000D7D3D" w:rsidRDefault="000D7D3D" w:rsidP="00635993">
      <w:pPr>
        <w:pStyle w:val="Heading2"/>
      </w:pPr>
      <w:bookmarkStart w:id="478" w:name="_Toc507604074"/>
      <w:bookmarkStart w:id="479" w:name="_Toc507604341"/>
      <w:bookmarkStart w:id="480" w:name="_Toc519017043"/>
      <w:bookmarkStart w:id="481" w:name="_Toc520837956"/>
      <w:r w:rsidRPr="000D7D3D">
        <w:t xml:space="preserve">5.3.1 </w:t>
      </w:r>
      <w:r w:rsidR="006E6445">
        <w:t>HAP</w:t>
      </w:r>
      <w:r w:rsidR="006E6445" w:rsidRPr="000D7D3D">
        <w:t xml:space="preserve"> </w:t>
      </w:r>
      <w:r w:rsidR="00C501AE">
        <w:t>solubilisation experimental set</w:t>
      </w:r>
      <w:r w:rsidRPr="000D7D3D">
        <w:t>up</w:t>
      </w:r>
      <w:bookmarkEnd w:id="478"/>
      <w:bookmarkEnd w:id="479"/>
      <w:bookmarkEnd w:id="480"/>
      <w:bookmarkEnd w:id="481"/>
      <w:r w:rsidRPr="000D7D3D">
        <w:t xml:space="preserve"> </w:t>
      </w:r>
    </w:p>
    <w:p w14:paraId="429CAB24" w14:textId="0FF73CD8" w:rsidR="007F746A" w:rsidRPr="007F746A" w:rsidRDefault="007F746A" w:rsidP="00635993">
      <w:r w:rsidRPr="000D7D3D">
        <w:t xml:space="preserve">Fungal hyphae growing in the S condition appeared darker in colour from those growing in the NS condition (Figure </w:t>
      </w:r>
      <w:r>
        <w:t>5</w:t>
      </w:r>
      <w:r w:rsidRPr="000D7D3D">
        <w:t>.1A). In addition, mycorrhizas have been formed at the roots of</w:t>
      </w:r>
      <w:r w:rsidR="000533B1">
        <w:t xml:space="preserve"> the pine seedlings irrespective</w:t>
      </w:r>
      <w:r w:rsidRPr="000D7D3D">
        <w:t xml:space="preserve"> of the presence of </w:t>
      </w:r>
      <w:r>
        <w:t>HAP</w:t>
      </w:r>
      <w:r w:rsidRPr="000D7D3D">
        <w:t xml:space="preserve"> (Figure </w:t>
      </w:r>
      <w:r>
        <w:t>5</w:t>
      </w:r>
      <w:r w:rsidRPr="000D7D3D">
        <w:t>.1A).</w:t>
      </w:r>
    </w:p>
    <w:p w14:paraId="6030AC5A" w14:textId="64EFFB91" w:rsidR="000D7D3D" w:rsidRPr="000D7D3D" w:rsidRDefault="000D7D3D" w:rsidP="00635993">
      <w:pPr>
        <w:ind w:firstLine="720"/>
      </w:pPr>
      <w:r w:rsidRPr="000D7D3D">
        <w:rPr>
          <w:i/>
        </w:rPr>
        <w:t xml:space="preserve">P. involutus DJR1 </w:t>
      </w:r>
      <w:r w:rsidRPr="000D7D3D">
        <w:t xml:space="preserve">hyphae </w:t>
      </w:r>
      <w:r w:rsidR="00F25188">
        <w:t>showed a statistically significant increase in Pi content</w:t>
      </w:r>
      <w:r w:rsidRPr="000D7D3D">
        <w:t xml:space="preserve"> in the presence of </w:t>
      </w:r>
      <w:r w:rsidR="009B6B02">
        <w:t>HAP</w:t>
      </w:r>
      <w:r w:rsidR="00F25188" w:rsidRPr="00F25188">
        <w:t xml:space="preserve"> </w:t>
      </w:r>
      <w:r w:rsidR="00F25188" w:rsidRPr="000D7D3D">
        <w:t>at the S condition</w:t>
      </w:r>
      <w:r w:rsidR="004045D6">
        <w:t xml:space="preserve">, </w:t>
      </w:r>
      <w:r w:rsidRPr="000D7D3D">
        <w:t xml:space="preserve">but remained unchanged in the NS condition (Figure </w:t>
      </w:r>
      <w:r w:rsidR="007F746A">
        <w:t>5</w:t>
      </w:r>
      <w:r w:rsidRPr="000D7D3D">
        <w:t xml:space="preserve">.1D). In addition, no statistically significant differences in </w:t>
      </w:r>
      <w:r w:rsidR="00BA4DF2">
        <w:t xml:space="preserve">plant </w:t>
      </w:r>
      <w:r w:rsidRPr="000D7D3D">
        <w:t xml:space="preserve">Pi content were found in response to </w:t>
      </w:r>
      <w:r w:rsidR="009B6B02">
        <w:t>HAP</w:t>
      </w:r>
      <w:r w:rsidR="009B6B02" w:rsidRPr="000D7D3D">
        <w:t xml:space="preserve"> </w:t>
      </w:r>
      <w:r w:rsidRPr="000D7D3D">
        <w:t xml:space="preserve">(Figure </w:t>
      </w:r>
      <w:r w:rsidR="007F746A">
        <w:t>5</w:t>
      </w:r>
      <w:r w:rsidRPr="000D7D3D">
        <w:t>.1B).</w:t>
      </w:r>
    </w:p>
    <w:p w14:paraId="4650D6F4" w14:textId="5D4E75E4" w:rsidR="000D7D3D" w:rsidRPr="000D7D3D" w:rsidRDefault="000D7D3D" w:rsidP="007F746A">
      <w:pPr>
        <w:ind w:firstLine="720"/>
      </w:pPr>
      <w:r w:rsidRPr="000D7D3D">
        <w:rPr>
          <w:i/>
        </w:rPr>
        <w:t xml:space="preserve">P. involutus DJR1 </w:t>
      </w:r>
      <w:r w:rsidR="00F25188">
        <w:t xml:space="preserve">hyphae did not show any statistically significant increase in </w:t>
      </w:r>
      <w:r w:rsidRPr="000D7D3D">
        <w:t xml:space="preserve">dry mass </w:t>
      </w:r>
      <w:r w:rsidR="00F25188">
        <w:t>as a</w:t>
      </w:r>
      <w:r w:rsidRPr="000D7D3D">
        <w:t xml:space="preserve"> response to the presence of </w:t>
      </w:r>
      <w:r w:rsidR="009B6B02">
        <w:t>HAP</w:t>
      </w:r>
      <w:r w:rsidR="00BA4DF2">
        <w:t>,</w:t>
      </w:r>
      <w:r w:rsidR="009B6B02" w:rsidRPr="000D7D3D">
        <w:t xml:space="preserve"> </w:t>
      </w:r>
      <w:r w:rsidR="004045D6">
        <w:t xml:space="preserve">in </w:t>
      </w:r>
      <w:r w:rsidR="00F25188">
        <w:t>n</w:t>
      </w:r>
      <w:r w:rsidR="004045D6">
        <w:t>either</w:t>
      </w:r>
      <w:r w:rsidRPr="000D7D3D">
        <w:t xml:space="preserve"> </w:t>
      </w:r>
      <w:r w:rsidR="00BA4DF2">
        <w:t xml:space="preserve">of </w:t>
      </w:r>
      <w:r w:rsidRPr="000D7D3D">
        <w:t>NS or S condition</w:t>
      </w:r>
      <w:r w:rsidR="004045D6">
        <w:t>s</w:t>
      </w:r>
      <w:r w:rsidRPr="000D7D3D">
        <w:t xml:space="preserve"> (Figure </w:t>
      </w:r>
      <w:r w:rsidR="007F746A">
        <w:t>5</w:t>
      </w:r>
      <w:r w:rsidR="004045D6">
        <w:t>.1E</w:t>
      </w:r>
      <w:r w:rsidRPr="000D7D3D">
        <w:t>). Similarly, no statistically significant difference</w:t>
      </w:r>
      <w:r w:rsidR="00BA4DF2">
        <w:t>s were</w:t>
      </w:r>
      <w:r w:rsidRPr="000D7D3D">
        <w:t xml:space="preserve"> observed </w:t>
      </w:r>
      <w:r w:rsidR="004045D6">
        <w:t xml:space="preserve">for </w:t>
      </w:r>
      <w:r w:rsidR="004045D6" w:rsidRPr="004045D6">
        <w:rPr>
          <w:i/>
        </w:rPr>
        <w:t>P. sylvestris</w:t>
      </w:r>
      <w:r w:rsidRPr="000D7D3D">
        <w:t xml:space="preserve"> </w:t>
      </w:r>
      <w:r w:rsidR="00957508">
        <w:t>needle</w:t>
      </w:r>
      <w:r w:rsidR="00F25188">
        <w:t xml:space="preserve">s and roots </w:t>
      </w:r>
      <w:r w:rsidRPr="000D7D3D">
        <w:t xml:space="preserve">dry mass in response to </w:t>
      </w:r>
      <w:r w:rsidR="009B6B02">
        <w:t>HAP</w:t>
      </w:r>
      <w:r w:rsidR="009B6B02" w:rsidRPr="000D7D3D">
        <w:t xml:space="preserve"> </w:t>
      </w:r>
      <w:r w:rsidRPr="000D7D3D">
        <w:t xml:space="preserve">(Figure </w:t>
      </w:r>
      <w:r w:rsidR="007F746A">
        <w:t>5</w:t>
      </w:r>
      <w:r w:rsidR="004045D6">
        <w:t>.1C</w:t>
      </w:r>
      <w:r w:rsidRPr="000D7D3D">
        <w:t xml:space="preserve">). However, </w:t>
      </w:r>
      <w:r w:rsidR="00BA4DF2" w:rsidRPr="004045D6">
        <w:rPr>
          <w:i/>
        </w:rPr>
        <w:t>P. sylvestris</w:t>
      </w:r>
      <w:r w:rsidR="00BA4DF2" w:rsidRPr="000D7D3D">
        <w:t xml:space="preserve"> </w:t>
      </w:r>
      <w:r w:rsidR="001B4248">
        <w:t xml:space="preserve">seedlings </w:t>
      </w:r>
      <w:r w:rsidR="00BA4DF2">
        <w:t>showed a statistically significant</w:t>
      </w:r>
      <w:r w:rsidR="00BA4DF2" w:rsidRPr="000D7D3D">
        <w:t xml:space="preserve"> </w:t>
      </w:r>
      <w:r w:rsidR="00BA4DF2">
        <w:t>increase in</w:t>
      </w:r>
      <w:r w:rsidRPr="000D7D3D">
        <w:t xml:space="preserve"> </w:t>
      </w:r>
      <w:r w:rsidR="00957508">
        <w:t>needle</w:t>
      </w:r>
      <w:r w:rsidR="00BA4DF2">
        <w:t xml:space="preserve"> dry mass </w:t>
      </w:r>
      <w:r w:rsidR="003825B5">
        <w:t>in comparison to roots</w:t>
      </w:r>
      <w:r w:rsidRPr="000D7D3D">
        <w:t xml:space="preserve">, </w:t>
      </w:r>
      <w:r w:rsidR="001B4248">
        <w:t>independently</w:t>
      </w:r>
      <w:r w:rsidRPr="000D7D3D">
        <w:t xml:space="preserve"> </w:t>
      </w:r>
      <w:r w:rsidR="001B4248">
        <w:t>from</w:t>
      </w:r>
      <w:r w:rsidRPr="000D7D3D">
        <w:t xml:space="preserve"> the presence of </w:t>
      </w:r>
      <w:r w:rsidR="009B6B02">
        <w:t>HAP</w:t>
      </w:r>
      <w:r w:rsidR="009B6B02" w:rsidRPr="000D7D3D">
        <w:t xml:space="preserve"> </w:t>
      </w:r>
      <w:r w:rsidRPr="000D7D3D">
        <w:t xml:space="preserve">(Figure </w:t>
      </w:r>
      <w:r w:rsidR="007F746A">
        <w:t>5</w:t>
      </w:r>
      <w:r w:rsidR="004045D6">
        <w:t>.1C</w:t>
      </w:r>
      <w:r w:rsidRPr="000D7D3D">
        <w:t>).</w:t>
      </w:r>
    </w:p>
    <w:p w14:paraId="26533BD0" w14:textId="32201814" w:rsidR="000D7D3D" w:rsidRPr="000D7D3D" w:rsidRDefault="000D7D3D" w:rsidP="00FB36B8">
      <w:pPr>
        <w:ind w:firstLine="720"/>
      </w:pPr>
      <w:r w:rsidRPr="000D7D3D">
        <w:t xml:space="preserve">SEM images of the non-colonised area of the </w:t>
      </w:r>
      <w:r w:rsidR="009B6B02">
        <w:t>HAP</w:t>
      </w:r>
      <w:r w:rsidRPr="000D7D3D">
        <w:t xml:space="preserve">-coated disc in the NS condition (Figure 5.2H-J), exhibited </w:t>
      </w:r>
      <w:r w:rsidR="009B6B02">
        <w:t>HAP</w:t>
      </w:r>
      <w:r w:rsidR="009B6B02" w:rsidRPr="000D7D3D">
        <w:t xml:space="preserve"> </w:t>
      </w:r>
      <w:r w:rsidRPr="000D7D3D">
        <w:t xml:space="preserve">crystals similar to the </w:t>
      </w:r>
      <w:r w:rsidR="009B6B02">
        <w:t>HAP</w:t>
      </w:r>
      <w:r w:rsidR="009B6B02" w:rsidRPr="000D7D3D">
        <w:t xml:space="preserve"> </w:t>
      </w:r>
      <w:r w:rsidRPr="000D7D3D">
        <w:t xml:space="preserve">crystals of the abiotic </w:t>
      </w:r>
      <w:r w:rsidR="009B6B02">
        <w:t>HAP-</w:t>
      </w:r>
      <w:r w:rsidRPr="000D7D3D">
        <w:t>coated discs (Figure 5.2A-E). According to elemental composition data (Figure 5.2</w:t>
      </w:r>
      <w:r w:rsidR="00EA7B00">
        <w:rPr>
          <w:rFonts w:ascii="Palatino Linotype" w:hAnsi="Palatino Linotype"/>
        </w:rPr>
        <w:t>II</w:t>
      </w:r>
      <w:r w:rsidRPr="000D7D3D">
        <w:t xml:space="preserve">), </w:t>
      </w:r>
      <w:r w:rsidR="004045D6">
        <w:t xml:space="preserve">statistically </w:t>
      </w:r>
      <w:r w:rsidRPr="000D7D3D">
        <w:t>significant differences were found in the Ca content, which decreased relative to the Ca content of the abiotic HAP discs (Figure 5.2</w:t>
      </w:r>
      <w:r w:rsidR="00AC7A6D">
        <w:rPr>
          <w:rFonts w:ascii="Palatino Linotype" w:hAnsi="Palatino Linotype"/>
        </w:rPr>
        <w:t>I</w:t>
      </w:r>
      <w:r w:rsidRPr="000D7D3D">
        <w:t xml:space="preserve">). In addition, C was detected </w:t>
      </w:r>
      <w:r w:rsidRPr="000D7D3D">
        <w:rPr>
          <w:i/>
        </w:rPr>
        <w:t>de novo</w:t>
      </w:r>
      <w:r w:rsidRPr="000D7D3D">
        <w:t xml:space="preserve"> indicating organic presence possibly other than that of the C of the fungal hyphae. No </w:t>
      </w:r>
      <w:r w:rsidR="004045D6">
        <w:t>statistically</w:t>
      </w:r>
      <w:r w:rsidR="004045D6" w:rsidRPr="000D7D3D">
        <w:t xml:space="preserve"> </w:t>
      </w:r>
      <w:r w:rsidRPr="000D7D3D">
        <w:t xml:space="preserve">significant changes were found in the P content of </w:t>
      </w:r>
      <w:r w:rsidR="009B6B02">
        <w:t>HAP</w:t>
      </w:r>
      <w:r w:rsidR="009B6B02" w:rsidRPr="000D7D3D">
        <w:t xml:space="preserve"> </w:t>
      </w:r>
      <w:r w:rsidRPr="000D7D3D">
        <w:t xml:space="preserve">crystals from </w:t>
      </w:r>
      <w:r w:rsidR="002D63F8">
        <w:t xml:space="preserve">the </w:t>
      </w:r>
      <w:r w:rsidRPr="000D7D3D">
        <w:t>non-colonised area of the disc in the NS condition (Figure 5.2</w:t>
      </w:r>
      <w:r w:rsidR="00EA7B00">
        <w:rPr>
          <w:rFonts w:ascii="Palatino Linotype" w:hAnsi="Palatino Linotype"/>
        </w:rPr>
        <w:t>II</w:t>
      </w:r>
      <w:r w:rsidRPr="000D7D3D">
        <w:t>) compared to the abiotic ones (Figure 5.2</w:t>
      </w:r>
      <w:r w:rsidR="00AC7A6D">
        <w:rPr>
          <w:rFonts w:ascii="Palatino Linotype" w:hAnsi="Palatino Linotype"/>
        </w:rPr>
        <w:t>I</w:t>
      </w:r>
      <w:r w:rsidRPr="000D7D3D">
        <w:t>).</w:t>
      </w:r>
    </w:p>
    <w:p w14:paraId="622A66FD" w14:textId="144872D6" w:rsidR="000D7D3D" w:rsidRPr="000D7D3D" w:rsidRDefault="000D7D3D" w:rsidP="00FB36B8">
      <w:pPr>
        <w:ind w:firstLine="720"/>
      </w:pPr>
      <w:r w:rsidRPr="000D7D3D">
        <w:t xml:space="preserve">SEM images of the surface of the colonised area of the </w:t>
      </w:r>
      <w:r w:rsidR="009B6B02">
        <w:t>HAP</w:t>
      </w:r>
      <w:r w:rsidRPr="000D7D3D">
        <w:t xml:space="preserve">-coated disc in the NS condition (Figure 5.2K-M) showed tabular shaped crystals (5-20 </w:t>
      </w:r>
      <w:r w:rsidRPr="000D7D3D">
        <w:rPr>
          <w:lang w:val="el-GR"/>
        </w:rPr>
        <w:t>μ</w:t>
      </w:r>
      <w:r w:rsidRPr="000D7D3D">
        <w:t xml:space="preserve">m long) and crystals similar to </w:t>
      </w:r>
      <w:r w:rsidR="009B6B02">
        <w:t>HAP</w:t>
      </w:r>
      <w:r w:rsidR="009B6B02" w:rsidRPr="000D7D3D">
        <w:t xml:space="preserve"> </w:t>
      </w:r>
      <w:r w:rsidRPr="000D7D3D">
        <w:t xml:space="preserve">crystal in the abiotic HAP disc. In addition, elemental composition analysis </w:t>
      </w:r>
      <w:r w:rsidRPr="000D7D3D">
        <w:lastRenderedPageBreak/>
        <w:t>(Figure 5.2</w:t>
      </w:r>
      <w:r w:rsidR="00597398">
        <w:rPr>
          <w:rFonts w:ascii="Palatino Linotype" w:hAnsi="Palatino Linotype"/>
        </w:rPr>
        <w:t>III</w:t>
      </w:r>
      <w:r w:rsidRPr="000D7D3D">
        <w:t xml:space="preserve">) showed </w:t>
      </w:r>
      <w:r w:rsidR="002D63F8">
        <w:t xml:space="preserve">a </w:t>
      </w:r>
      <w:r w:rsidR="00597398">
        <w:t>statistically significant decrease</w:t>
      </w:r>
      <w:r w:rsidRPr="000D7D3D">
        <w:t xml:space="preserve"> </w:t>
      </w:r>
      <w:r w:rsidR="0046135E">
        <w:t>in Ca composition compared</w:t>
      </w:r>
      <w:r w:rsidRPr="000D7D3D">
        <w:t xml:space="preserve"> to </w:t>
      </w:r>
      <w:r w:rsidR="0046135E">
        <w:t xml:space="preserve">that of the </w:t>
      </w:r>
      <w:r w:rsidR="009B6B02">
        <w:t>HAP</w:t>
      </w:r>
      <w:r w:rsidR="009B6B02" w:rsidRPr="000D7D3D">
        <w:t xml:space="preserve"> </w:t>
      </w:r>
      <w:r w:rsidR="0046135E">
        <w:t>crystals on</w:t>
      </w:r>
      <w:r w:rsidRPr="000D7D3D">
        <w:t xml:space="preserve"> the abiotic disc (Figure 5.2</w:t>
      </w:r>
      <w:r w:rsidR="00597398">
        <w:rPr>
          <w:rFonts w:ascii="Palatino Linotype" w:hAnsi="Palatino Linotype"/>
        </w:rPr>
        <w:t>I</w:t>
      </w:r>
      <w:r w:rsidRPr="000D7D3D">
        <w:t xml:space="preserve">). As in the not-colonised area, C is detected </w:t>
      </w:r>
      <w:r w:rsidRPr="000D7D3D">
        <w:rPr>
          <w:i/>
        </w:rPr>
        <w:t>de novo</w:t>
      </w:r>
      <w:r w:rsidRPr="000D7D3D">
        <w:t xml:space="preserve"> indicating organic presence possibly other than that of the C of the fungal hyphae. However, the P content of </w:t>
      </w:r>
      <w:r w:rsidR="009B6B02">
        <w:t>HAP</w:t>
      </w:r>
      <w:r w:rsidR="009B6B02" w:rsidRPr="000D7D3D">
        <w:t xml:space="preserve"> </w:t>
      </w:r>
      <w:r w:rsidRPr="000D7D3D">
        <w:t>crystal</w:t>
      </w:r>
      <w:r w:rsidR="0046135E">
        <w:t>s</w:t>
      </w:r>
      <w:r w:rsidRPr="000D7D3D">
        <w:t xml:space="preserve"> from the colonised area of discs in the NS condition (Figure 5.2</w:t>
      </w:r>
      <w:r w:rsidR="00EA7B00">
        <w:rPr>
          <w:rFonts w:ascii="Palatino Linotype" w:hAnsi="Palatino Linotype"/>
        </w:rPr>
        <w:t>III</w:t>
      </w:r>
      <w:r w:rsidR="00597398">
        <w:t>) showed no statistically significant differences</w:t>
      </w:r>
      <w:r w:rsidRPr="000D7D3D">
        <w:t xml:space="preserve"> compared to </w:t>
      </w:r>
      <w:r w:rsidR="0046135E">
        <w:t xml:space="preserve">that of the HAP </w:t>
      </w:r>
      <w:r w:rsidRPr="000D7D3D">
        <w:t>cry</w:t>
      </w:r>
      <w:r w:rsidR="0046135E">
        <w:t>stals on</w:t>
      </w:r>
      <w:r w:rsidRPr="000D7D3D">
        <w:t xml:space="preserve"> </w:t>
      </w:r>
      <w:r w:rsidR="0046135E">
        <w:t xml:space="preserve">the </w:t>
      </w:r>
      <w:r w:rsidRPr="000D7D3D">
        <w:t>abiotic discs (Figure 5.2</w:t>
      </w:r>
      <w:r w:rsidR="00AC7A6D">
        <w:rPr>
          <w:rFonts w:ascii="Palatino Linotype" w:hAnsi="Palatino Linotype"/>
        </w:rPr>
        <w:t>I</w:t>
      </w:r>
      <w:r w:rsidRPr="000D7D3D">
        <w:t>)</w:t>
      </w:r>
      <w:r w:rsidR="0046135E">
        <w:t>,</w:t>
      </w:r>
      <w:r w:rsidRPr="000D7D3D">
        <w:t xml:space="preserve"> or </w:t>
      </w:r>
      <w:r w:rsidR="0046135E">
        <w:t xml:space="preserve">to that of the HAP crystals on the not-colonised area </w:t>
      </w:r>
      <w:r w:rsidR="00E106C0">
        <w:t xml:space="preserve">of </w:t>
      </w:r>
      <w:r w:rsidR="00E106C0" w:rsidRPr="000D7D3D">
        <w:t>disc</w:t>
      </w:r>
      <w:r w:rsidR="00E106C0">
        <w:t>s</w:t>
      </w:r>
      <w:r w:rsidR="00E106C0" w:rsidRPr="000D7D3D">
        <w:t xml:space="preserve"> </w:t>
      </w:r>
      <w:r w:rsidRPr="000D7D3D">
        <w:t xml:space="preserve">in </w:t>
      </w:r>
      <w:r w:rsidR="00E106C0">
        <w:t xml:space="preserve">the </w:t>
      </w:r>
      <w:r w:rsidRPr="000D7D3D">
        <w:t>NS condition (Figure 5.2</w:t>
      </w:r>
      <w:r w:rsidR="00EA7B00">
        <w:rPr>
          <w:rFonts w:ascii="Palatino Linotype" w:hAnsi="Palatino Linotype"/>
        </w:rPr>
        <w:t>II</w:t>
      </w:r>
      <w:r w:rsidRPr="000D7D3D">
        <w:t>).</w:t>
      </w:r>
    </w:p>
    <w:p w14:paraId="0FBDDC3E" w14:textId="226D692F" w:rsidR="000D7D3D" w:rsidRPr="000D7D3D" w:rsidRDefault="000D7D3D" w:rsidP="007C3C15">
      <w:pPr>
        <w:ind w:firstLine="720"/>
      </w:pPr>
      <w:r w:rsidRPr="000D7D3D">
        <w:t xml:space="preserve">SEM images of the not colonised area at the S condition (Figure 5.2P-R), detected crystals similar to the </w:t>
      </w:r>
      <w:r w:rsidR="009B6B02">
        <w:t>HAP</w:t>
      </w:r>
      <w:r w:rsidR="009B6B02" w:rsidRPr="000D7D3D">
        <w:t xml:space="preserve"> </w:t>
      </w:r>
      <w:r w:rsidRPr="000D7D3D">
        <w:t>ones in the abiotic HAP discs</w:t>
      </w:r>
      <w:r w:rsidR="00273617">
        <w:t xml:space="preserve"> (Figure 5.2C-E)</w:t>
      </w:r>
      <w:r w:rsidRPr="000D7D3D">
        <w:t>. Elemental composition analysis (Figure 5.2</w:t>
      </w:r>
      <w:r w:rsidR="00EA7B00">
        <w:rPr>
          <w:rFonts w:ascii="Palatino Linotype" w:hAnsi="Palatino Linotype"/>
        </w:rPr>
        <w:t>IV</w:t>
      </w:r>
      <w:r w:rsidRPr="000D7D3D">
        <w:t xml:space="preserve">), did not reveal any </w:t>
      </w:r>
      <w:r w:rsidR="00273617">
        <w:t xml:space="preserve">statistically </w:t>
      </w:r>
      <w:r w:rsidRPr="000D7D3D">
        <w:t xml:space="preserve">significant decreases in P and Ca content compared to abiotic </w:t>
      </w:r>
      <w:r w:rsidR="009B6B02">
        <w:t>HAP</w:t>
      </w:r>
      <w:r w:rsidR="009B6B02" w:rsidRPr="000D7D3D">
        <w:t xml:space="preserve"> </w:t>
      </w:r>
      <w:r w:rsidRPr="000D7D3D">
        <w:t>crystals, but C was also detected.</w:t>
      </w:r>
    </w:p>
    <w:p w14:paraId="627AE551" w14:textId="2E7427CF" w:rsidR="000D7D3D" w:rsidRPr="000D7D3D" w:rsidRDefault="000D7D3D" w:rsidP="00634533">
      <w:pPr>
        <w:ind w:firstLine="720"/>
      </w:pPr>
      <w:r w:rsidRPr="000D7D3D">
        <w:t xml:space="preserve">Lastly, according to the SEM images acquired from the colonised area of discs from S condition (Figure 5.2S-U), the morphology of the crystals was that </w:t>
      </w:r>
      <w:r w:rsidR="00273617">
        <w:t xml:space="preserve">of small tabular crystals (size </w:t>
      </w:r>
      <w:r w:rsidR="00273617">
        <w:rPr>
          <w:rFonts w:cs="Arial"/>
        </w:rPr>
        <w:t xml:space="preserve">≈ </w:t>
      </w:r>
      <w:r w:rsidRPr="000D7D3D">
        <w:t xml:space="preserve">1 </w:t>
      </w:r>
      <w:r w:rsidRPr="000D7D3D">
        <w:rPr>
          <w:lang w:val="el-GR"/>
        </w:rPr>
        <w:t>μ</w:t>
      </w:r>
      <w:r w:rsidRPr="000D7D3D">
        <w:t xml:space="preserve">m), resembling to calcium oxalate. Besides, the tabular crystals were formed along the fungal hyphae indicating possible secondary mineral formation due to </w:t>
      </w:r>
      <w:r w:rsidR="00273617">
        <w:t>HAP</w:t>
      </w:r>
      <w:r w:rsidR="009B6B02" w:rsidRPr="000D7D3D">
        <w:t xml:space="preserve"> </w:t>
      </w:r>
      <w:r w:rsidRPr="000D7D3D">
        <w:t>solubilisation. Elemental composition analysis (Figure 5.2</w:t>
      </w:r>
      <w:r w:rsidR="00EA7B00">
        <w:rPr>
          <w:rFonts w:ascii="Palatino Linotype" w:hAnsi="Palatino Linotype"/>
        </w:rPr>
        <w:t>V</w:t>
      </w:r>
      <w:r w:rsidRPr="000D7D3D">
        <w:t xml:space="preserve">), provides further evidence of </w:t>
      </w:r>
      <w:r w:rsidR="009B6B02">
        <w:t>HAP</w:t>
      </w:r>
      <w:r w:rsidR="009B6B02" w:rsidRPr="000D7D3D">
        <w:t xml:space="preserve"> </w:t>
      </w:r>
      <w:r w:rsidRPr="000D7D3D">
        <w:t xml:space="preserve">crystals solubilisation since the P content </w:t>
      </w:r>
      <w:r w:rsidR="00261F0B">
        <w:t>showed</w:t>
      </w:r>
      <w:r w:rsidRPr="000D7D3D">
        <w:t xml:space="preserve"> </w:t>
      </w:r>
      <w:r w:rsidR="00261F0B">
        <w:t xml:space="preserve">a </w:t>
      </w:r>
      <w:r w:rsidR="00273617">
        <w:t>statistically significant</w:t>
      </w:r>
      <w:r w:rsidR="00261F0B">
        <w:t xml:space="preserve"> decrease</w:t>
      </w:r>
      <w:r w:rsidRPr="000D7D3D">
        <w:t xml:space="preserve"> in comparison to that of the non-colonised area (Figure 5.2</w:t>
      </w:r>
      <w:r w:rsidR="00EA7B00">
        <w:rPr>
          <w:rFonts w:ascii="Palatino Linotype" w:hAnsi="Palatino Linotype"/>
        </w:rPr>
        <w:t>IV</w:t>
      </w:r>
      <w:r w:rsidRPr="000D7D3D">
        <w:t>) or to that of the abiotic HAP discs (Figure 5.2</w:t>
      </w:r>
      <w:r w:rsidR="00AC7A6D">
        <w:rPr>
          <w:rFonts w:ascii="Palatino Linotype" w:hAnsi="Palatino Linotype"/>
        </w:rPr>
        <w:t>I</w:t>
      </w:r>
      <w:r w:rsidRPr="000D7D3D">
        <w:t xml:space="preserve">). Moreover, the C content </w:t>
      </w:r>
      <w:r w:rsidR="00261F0B">
        <w:t>showed</w:t>
      </w:r>
      <w:r w:rsidRPr="000D7D3D">
        <w:t xml:space="preserve"> </w:t>
      </w:r>
      <w:r w:rsidR="00261F0B">
        <w:t>a statistically</w:t>
      </w:r>
      <w:r w:rsidR="00261F0B" w:rsidRPr="000D7D3D">
        <w:t xml:space="preserve"> </w:t>
      </w:r>
      <w:r w:rsidR="00261F0B">
        <w:t>significant increase</w:t>
      </w:r>
      <w:r w:rsidRPr="000D7D3D">
        <w:t xml:space="preserve"> (Figure 5.2</w:t>
      </w:r>
      <w:r w:rsidR="00EA7B00">
        <w:rPr>
          <w:rFonts w:ascii="Palatino Linotype" w:hAnsi="Palatino Linotype"/>
        </w:rPr>
        <w:t>V</w:t>
      </w:r>
      <w:r w:rsidRPr="000D7D3D">
        <w:t>), potentially indicating the presence of secondary mineral formation, such as calcium oxalate.</w:t>
      </w:r>
      <w:r w:rsidRPr="000D7D3D">
        <w:br w:type="page"/>
      </w:r>
    </w:p>
    <w:p w14:paraId="1314A7A3" w14:textId="16F76C57" w:rsidR="005362C8" w:rsidRDefault="00AE5B40" w:rsidP="007F746A">
      <w:r>
        <w:rPr>
          <w:noProof/>
          <w:lang w:eastAsia="en-GB"/>
        </w:rPr>
        <w:lastRenderedPageBreak/>
        <w:drawing>
          <wp:inline distT="0" distB="0" distL="0" distR="0" wp14:anchorId="57D12322" wp14:editId="002E3CF8">
            <wp:extent cx="4064000" cy="760789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5.1_new+++.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68711" cy="7616712"/>
                    </a:xfrm>
                    <a:prstGeom prst="rect">
                      <a:avLst/>
                    </a:prstGeom>
                  </pic:spPr>
                </pic:pic>
              </a:graphicData>
            </a:graphic>
          </wp:inline>
        </w:drawing>
      </w:r>
    </w:p>
    <w:p w14:paraId="1E354E28" w14:textId="1A6FD9A1" w:rsidR="000D7D3D" w:rsidRPr="000D7D3D" w:rsidRDefault="00BB60C7" w:rsidP="007F746A">
      <w:r>
        <w:br w:type="page"/>
      </w:r>
    </w:p>
    <w:p w14:paraId="11A6AB1D" w14:textId="18F54E3F" w:rsidR="000D7D3D" w:rsidRPr="00635993" w:rsidRDefault="000D7D3D" w:rsidP="00635993">
      <w:pPr>
        <w:pStyle w:val="Subtitle"/>
        <w:pBdr>
          <w:top w:val="single" w:sz="4" w:space="1" w:color="auto"/>
        </w:pBdr>
        <w:rPr>
          <w:b w:val="0"/>
        </w:rPr>
      </w:pPr>
      <w:r w:rsidRPr="000D7D3D">
        <w:lastRenderedPageBreak/>
        <w:t xml:space="preserve">Figure 5.1 </w:t>
      </w:r>
      <w:r w:rsidRPr="00635993">
        <w:rPr>
          <w:b w:val="0"/>
        </w:rPr>
        <w:t xml:space="preserve">Split (two-compartment) 90 mm Petri dish as the </w:t>
      </w:r>
      <w:r w:rsidR="009B6B02" w:rsidRPr="00635993">
        <w:rPr>
          <w:b w:val="0"/>
        </w:rPr>
        <w:t xml:space="preserve">HAP </w:t>
      </w:r>
      <w:r w:rsidRPr="00635993">
        <w:rPr>
          <w:b w:val="0"/>
        </w:rPr>
        <w:t xml:space="preserve">solubilisation experimental system showing </w:t>
      </w:r>
      <w:r w:rsidR="00C10C47" w:rsidRPr="00AB4F5C">
        <w:rPr>
          <w:b w:val="0"/>
          <w:i/>
        </w:rPr>
        <w:t>P. involutus DJR1</w:t>
      </w:r>
      <w:r w:rsidR="00C10C47">
        <w:rPr>
          <w:b w:val="0"/>
        </w:rPr>
        <w:t xml:space="preserve"> growth for five</w:t>
      </w:r>
      <w:r w:rsidRPr="00635993">
        <w:rPr>
          <w:b w:val="0"/>
        </w:rPr>
        <w:t xml:space="preserve"> </w:t>
      </w:r>
      <w:r w:rsidR="00AB4F5C">
        <w:rPr>
          <w:b w:val="0"/>
        </w:rPr>
        <w:t>months</w:t>
      </w:r>
      <w:r w:rsidR="0040683D">
        <w:rPr>
          <w:b w:val="0"/>
        </w:rPr>
        <w:t>,</w:t>
      </w:r>
      <w:r w:rsidR="002D63F8">
        <w:rPr>
          <w:b w:val="0"/>
        </w:rPr>
        <w:t xml:space="preserve"> either in NS or</w:t>
      </w:r>
      <w:r w:rsidR="00AB4F5C">
        <w:rPr>
          <w:b w:val="0"/>
        </w:rPr>
        <w:t xml:space="preserve"> S</w:t>
      </w:r>
      <w:r w:rsidRPr="00635993">
        <w:rPr>
          <w:b w:val="0"/>
        </w:rPr>
        <w:t xml:space="preserve"> conditions. </w:t>
      </w:r>
      <w:r w:rsidRPr="003F7054">
        <w:t>A.</w:t>
      </w:r>
      <w:r w:rsidRPr="00635993">
        <w:rPr>
          <w:b w:val="0"/>
        </w:rPr>
        <w:t xml:space="preserve"> Demonstration of NS and S conditions. </w:t>
      </w:r>
      <w:r w:rsidRPr="003F7054">
        <w:t>B.</w:t>
      </w:r>
      <w:r w:rsidRPr="00635993">
        <w:rPr>
          <w:b w:val="0"/>
        </w:rPr>
        <w:t xml:space="preserve"> </w:t>
      </w:r>
      <w:r w:rsidR="009B6B02" w:rsidRPr="00635993">
        <w:rPr>
          <w:b w:val="0"/>
        </w:rPr>
        <w:t xml:space="preserve">Pi </w:t>
      </w:r>
      <w:r w:rsidRPr="00635993">
        <w:rPr>
          <w:b w:val="0"/>
        </w:rPr>
        <w:t xml:space="preserve">content of </w:t>
      </w:r>
      <w:r w:rsidR="0040683D" w:rsidRPr="0040683D">
        <w:rPr>
          <w:b w:val="0"/>
          <w:i/>
        </w:rPr>
        <w:t>P. sylvestris</w:t>
      </w:r>
      <w:r w:rsidRPr="00635993">
        <w:rPr>
          <w:b w:val="0"/>
        </w:rPr>
        <w:t xml:space="preserve"> needles and roots in S condition. </w:t>
      </w:r>
      <w:r w:rsidRPr="003F7054">
        <w:t>C.</w:t>
      </w:r>
      <w:r w:rsidRPr="00635993">
        <w:rPr>
          <w:b w:val="0"/>
        </w:rPr>
        <w:t xml:space="preserve"> Dry mass of </w:t>
      </w:r>
      <w:r w:rsidR="0040683D" w:rsidRPr="0040683D">
        <w:rPr>
          <w:b w:val="0"/>
          <w:i/>
        </w:rPr>
        <w:t>P. sylvestris</w:t>
      </w:r>
      <w:r w:rsidRPr="00635993">
        <w:rPr>
          <w:b w:val="0"/>
        </w:rPr>
        <w:t xml:space="preserve"> needles and roots in S condition. </w:t>
      </w:r>
      <w:r w:rsidRPr="003F7054">
        <w:t>D.</w:t>
      </w:r>
      <w:r w:rsidRPr="00635993">
        <w:rPr>
          <w:b w:val="0"/>
        </w:rPr>
        <w:t xml:space="preserve"> </w:t>
      </w:r>
      <w:r w:rsidR="009B6B02" w:rsidRPr="00635993">
        <w:rPr>
          <w:b w:val="0"/>
        </w:rPr>
        <w:t xml:space="preserve">Pi </w:t>
      </w:r>
      <w:r w:rsidRPr="00635993">
        <w:rPr>
          <w:b w:val="0"/>
        </w:rPr>
        <w:t xml:space="preserve">content of </w:t>
      </w:r>
      <w:r w:rsidR="0040683D" w:rsidRPr="00AB4F5C">
        <w:rPr>
          <w:b w:val="0"/>
          <w:i/>
        </w:rPr>
        <w:t>P. involutus DJR1</w:t>
      </w:r>
      <w:r w:rsidRPr="00635993">
        <w:rPr>
          <w:b w:val="0"/>
        </w:rPr>
        <w:t xml:space="preserve"> hyphae for both NS and S conditions. </w:t>
      </w:r>
      <w:r w:rsidRPr="003F7054">
        <w:t>E.</w:t>
      </w:r>
      <w:r w:rsidRPr="00635993">
        <w:rPr>
          <w:b w:val="0"/>
        </w:rPr>
        <w:t xml:space="preserve"> Dry mass of </w:t>
      </w:r>
      <w:r w:rsidR="0040683D" w:rsidRPr="00AB4F5C">
        <w:rPr>
          <w:b w:val="0"/>
          <w:i/>
        </w:rPr>
        <w:t>P. involutus DJR1</w:t>
      </w:r>
      <w:r w:rsidRPr="00635993">
        <w:rPr>
          <w:b w:val="0"/>
        </w:rPr>
        <w:t xml:space="preserve"> hyphae for both NS and S condition. S</w:t>
      </w:r>
      <w:r w:rsidR="00060E44">
        <w:rPr>
          <w:b w:val="0"/>
        </w:rPr>
        <w:t>tatistically s</w:t>
      </w:r>
      <w:r w:rsidRPr="00635993">
        <w:rPr>
          <w:b w:val="0"/>
        </w:rPr>
        <w:t xml:space="preserve">ignificant differences in </w:t>
      </w:r>
      <w:r w:rsidR="009B6B02" w:rsidRPr="00635993">
        <w:rPr>
          <w:b w:val="0"/>
        </w:rPr>
        <w:t xml:space="preserve">Pi </w:t>
      </w:r>
      <w:r w:rsidRPr="00635993">
        <w:rPr>
          <w:b w:val="0"/>
        </w:rPr>
        <w:t xml:space="preserve">content (B and D) and dry mass (C and E) in presence or absence of </w:t>
      </w:r>
      <w:r w:rsidR="009B6B02" w:rsidRPr="00635993">
        <w:rPr>
          <w:b w:val="0"/>
        </w:rPr>
        <w:t xml:space="preserve">HAP </w:t>
      </w:r>
      <w:r w:rsidRPr="00635993">
        <w:rPr>
          <w:b w:val="0"/>
        </w:rPr>
        <w:t xml:space="preserve">were assessed by one-way ANOVA, followed by Tukey’s post-hoc analysis for multiple comparisons (letters, </w:t>
      </w:r>
      <w:r w:rsidRPr="00060E44">
        <w:rPr>
          <w:b w:val="0"/>
          <w:i/>
          <w:lang w:val="el-GR"/>
        </w:rPr>
        <w:t>α</w:t>
      </w:r>
      <w:r w:rsidR="00060E44">
        <w:rPr>
          <w:b w:val="0"/>
        </w:rPr>
        <w:t>=</w:t>
      </w:r>
      <w:r w:rsidRPr="00635993">
        <w:rPr>
          <w:b w:val="0"/>
        </w:rPr>
        <w:t>0.05). Error bars represent standard error of the mean of the number of biological replicates (n) which were used for each type of analysis. Scale bars 1 mm.</w:t>
      </w:r>
    </w:p>
    <w:p w14:paraId="41FF32F4" w14:textId="77777777" w:rsidR="000D7D3D" w:rsidRPr="003F7054" w:rsidRDefault="000D7D3D" w:rsidP="00635993">
      <w:pPr>
        <w:pBdr>
          <w:top w:val="single" w:sz="4" w:space="1" w:color="auto"/>
        </w:pBdr>
      </w:pPr>
      <w:r w:rsidRPr="003F7054">
        <w:br w:type="page"/>
      </w:r>
    </w:p>
    <w:p w14:paraId="7652960D" w14:textId="3591A3F5" w:rsidR="000D7D3D" w:rsidRPr="000D7D3D" w:rsidRDefault="00BE162C" w:rsidP="003F7054">
      <w:r>
        <w:rPr>
          <w:noProof/>
          <w:lang w:eastAsia="en-GB"/>
        </w:rPr>
        <w:lastRenderedPageBreak/>
        <w:drawing>
          <wp:inline distT="0" distB="0" distL="0" distR="0" wp14:anchorId="7B233257" wp14:editId="05BA4C08">
            <wp:extent cx="6019800" cy="451870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 5.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21920" cy="4520300"/>
                    </a:xfrm>
                    <a:prstGeom prst="rect">
                      <a:avLst/>
                    </a:prstGeom>
                  </pic:spPr>
                </pic:pic>
              </a:graphicData>
            </a:graphic>
          </wp:inline>
        </w:drawing>
      </w:r>
    </w:p>
    <w:p w14:paraId="595361A3" w14:textId="77777777" w:rsidR="000D7D3D" w:rsidRPr="000D7D3D" w:rsidRDefault="000D7D3D" w:rsidP="007F746A">
      <w:r w:rsidRPr="000D7D3D">
        <w:br w:type="page"/>
      </w:r>
    </w:p>
    <w:p w14:paraId="6ED5A039" w14:textId="5A4FB05E" w:rsidR="000D7D3D" w:rsidRPr="000D7D3D" w:rsidRDefault="000D7D3D" w:rsidP="00635993">
      <w:pPr>
        <w:pStyle w:val="Subtitle"/>
        <w:pBdr>
          <w:top w:val="single" w:sz="4" w:space="1" w:color="auto"/>
        </w:pBdr>
      </w:pPr>
      <w:r w:rsidRPr="000D7D3D">
        <w:lastRenderedPageBreak/>
        <w:t xml:space="preserve">Figure 5.2 </w:t>
      </w:r>
      <w:r w:rsidRPr="00635993">
        <w:rPr>
          <w:b w:val="0"/>
        </w:rPr>
        <w:t xml:space="preserve">SEM images on the surface of </w:t>
      </w:r>
      <w:r w:rsidR="009B6B02">
        <w:rPr>
          <w:b w:val="0"/>
        </w:rPr>
        <w:t>HAP-</w:t>
      </w:r>
      <w:r w:rsidRPr="00635993">
        <w:rPr>
          <w:b w:val="0"/>
        </w:rPr>
        <w:t xml:space="preserve">coated polystyrene discs after colonisation by the hyphae of </w:t>
      </w:r>
      <w:r w:rsidRPr="00635993">
        <w:rPr>
          <w:b w:val="0"/>
          <w:i/>
        </w:rPr>
        <w:t>P. involutus</w:t>
      </w:r>
      <w:r w:rsidR="0040683D">
        <w:rPr>
          <w:b w:val="0"/>
          <w:i/>
        </w:rPr>
        <w:t xml:space="preserve"> DJR1</w:t>
      </w:r>
      <w:r w:rsidRPr="00635993">
        <w:rPr>
          <w:b w:val="0"/>
          <w:i/>
        </w:rPr>
        <w:t xml:space="preserve"> </w:t>
      </w:r>
      <w:r w:rsidR="00C10C47">
        <w:rPr>
          <w:b w:val="0"/>
        </w:rPr>
        <w:t>for five</w:t>
      </w:r>
      <w:r w:rsidRPr="00635993">
        <w:rPr>
          <w:b w:val="0"/>
        </w:rPr>
        <w:t xml:space="preserve"> months, together with C, P and Ca </w:t>
      </w:r>
      <w:r w:rsidR="007E6735">
        <w:rPr>
          <w:b w:val="0"/>
        </w:rPr>
        <w:t xml:space="preserve">elemental composition, shown as </w:t>
      </w:r>
      <w:r w:rsidRPr="00635993">
        <w:rPr>
          <w:b w:val="0"/>
        </w:rPr>
        <w:t xml:space="preserve">atomic percentage, per site of imaging. </w:t>
      </w:r>
      <w:r w:rsidRPr="003F7054">
        <w:t>A-E.</w:t>
      </w:r>
      <w:r w:rsidRPr="00635993">
        <w:rPr>
          <w:b w:val="0"/>
        </w:rPr>
        <w:t xml:space="preserve"> SEM images of abiotic HAP</w:t>
      </w:r>
      <w:r w:rsidR="009B6B02">
        <w:rPr>
          <w:b w:val="0"/>
        </w:rPr>
        <w:t>-</w:t>
      </w:r>
      <w:r w:rsidRPr="00635993">
        <w:rPr>
          <w:b w:val="0"/>
        </w:rPr>
        <w:t xml:space="preserve">coated polystyrene disc. </w:t>
      </w:r>
      <w:r w:rsidRPr="003F7054">
        <w:t>I.</w:t>
      </w:r>
      <w:r w:rsidRPr="00635993">
        <w:rPr>
          <w:b w:val="0"/>
        </w:rPr>
        <w:t xml:space="preserve"> P and Ca elemental composition for abiotic HAP</w:t>
      </w:r>
      <w:r w:rsidR="009B6B02">
        <w:rPr>
          <w:b w:val="0"/>
        </w:rPr>
        <w:t>-</w:t>
      </w:r>
      <w:r w:rsidRPr="00635993">
        <w:rPr>
          <w:b w:val="0"/>
        </w:rPr>
        <w:t xml:space="preserve">coated polystyrene disc. </w:t>
      </w:r>
      <w:r w:rsidRPr="003F7054">
        <w:t>F-M.</w:t>
      </w:r>
      <w:r w:rsidRPr="00635993">
        <w:rPr>
          <w:b w:val="0"/>
        </w:rPr>
        <w:t xml:space="preserve"> SEM images of </w:t>
      </w:r>
      <w:r w:rsidR="009B6B02">
        <w:rPr>
          <w:b w:val="0"/>
        </w:rPr>
        <w:t>HAP-</w:t>
      </w:r>
      <w:r w:rsidRPr="00635993">
        <w:rPr>
          <w:b w:val="0"/>
        </w:rPr>
        <w:t>c</w:t>
      </w:r>
      <w:r w:rsidR="00C10C47">
        <w:rPr>
          <w:b w:val="0"/>
        </w:rPr>
        <w:t>oated polystyrene disc after five</w:t>
      </w:r>
      <w:r w:rsidRPr="00635993">
        <w:rPr>
          <w:b w:val="0"/>
        </w:rPr>
        <w:t xml:space="preserve"> months of hyphal colonisation. </w:t>
      </w:r>
      <w:r w:rsidRPr="003F7054">
        <w:t>F &amp; G.</w:t>
      </w:r>
      <w:r w:rsidR="006E321D">
        <w:rPr>
          <w:b w:val="0"/>
        </w:rPr>
        <w:t xml:space="preserve"> Montage image</w:t>
      </w:r>
      <w:r w:rsidRPr="00635993">
        <w:rPr>
          <w:b w:val="0"/>
        </w:rPr>
        <w:t xml:space="preserve"> showing the surface of </w:t>
      </w:r>
      <w:r w:rsidR="009B6B02">
        <w:rPr>
          <w:b w:val="0"/>
        </w:rPr>
        <w:t>HAP-</w:t>
      </w:r>
      <w:r w:rsidR="00C10C47">
        <w:rPr>
          <w:b w:val="0"/>
        </w:rPr>
        <w:t>coated disc after five</w:t>
      </w:r>
      <w:r w:rsidRPr="00635993">
        <w:rPr>
          <w:b w:val="0"/>
        </w:rPr>
        <w:t xml:space="preserve"> months</w:t>
      </w:r>
      <w:r w:rsidR="0040683D">
        <w:rPr>
          <w:b w:val="0"/>
        </w:rPr>
        <w:t xml:space="preserve"> of hyphal colonisation. BSE or</w:t>
      </w:r>
      <w:r w:rsidRPr="00635993">
        <w:rPr>
          <w:b w:val="0"/>
        </w:rPr>
        <w:t xml:space="preserve"> VPSE imaging mode</w:t>
      </w:r>
      <w:r w:rsidR="009B6B02">
        <w:rPr>
          <w:b w:val="0"/>
        </w:rPr>
        <w:t>s</w:t>
      </w:r>
      <w:r w:rsidR="0040683D">
        <w:rPr>
          <w:b w:val="0"/>
        </w:rPr>
        <w:t xml:space="preserve"> were used for F or</w:t>
      </w:r>
      <w:r w:rsidRPr="00635993">
        <w:rPr>
          <w:b w:val="0"/>
        </w:rPr>
        <w:t xml:space="preserve"> G respectively, at 100x magnification. </w:t>
      </w:r>
      <w:r w:rsidRPr="003F7054">
        <w:t>H-J.</w:t>
      </w:r>
      <w:r w:rsidRPr="00635993">
        <w:rPr>
          <w:b w:val="0"/>
        </w:rPr>
        <w:t xml:space="preserve"> SEM images of areas of </w:t>
      </w:r>
      <w:r w:rsidR="009B6B02">
        <w:rPr>
          <w:b w:val="0"/>
        </w:rPr>
        <w:t>HAP-</w:t>
      </w:r>
      <w:r w:rsidRPr="00635993">
        <w:rPr>
          <w:b w:val="0"/>
        </w:rPr>
        <w:t>coated polystyrene disc where no hyphal colonisation was observed</w:t>
      </w:r>
      <w:r w:rsidR="005D7852">
        <w:rPr>
          <w:b w:val="0"/>
        </w:rPr>
        <w:t xml:space="preserve"> (F and G, pink rectangle)</w:t>
      </w:r>
      <w:r w:rsidRPr="00635993">
        <w:rPr>
          <w:b w:val="0"/>
        </w:rPr>
        <w:t xml:space="preserve">. </w:t>
      </w:r>
      <w:r w:rsidRPr="003F7054">
        <w:t>II.</w:t>
      </w:r>
      <w:r w:rsidRPr="00635993">
        <w:rPr>
          <w:b w:val="0"/>
        </w:rPr>
        <w:t xml:space="preserve"> C, P and Ca elemental composition of H-J. </w:t>
      </w:r>
      <w:r w:rsidRPr="003F7054">
        <w:t>K-M.</w:t>
      </w:r>
      <w:r w:rsidRPr="00635993">
        <w:rPr>
          <w:b w:val="0"/>
        </w:rPr>
        <w:t xml:space="preserve"> SEM images of areas of </w:t>
      </w:r>
      <w:r w:rsidR="009B6B02">
        <w:rPr>
          <w:b w:val="0"/>
        </w:rPr>
        <w:t>HAP-</w:t>
      </w:r>
      <w:r w:rsidRPr="00635993">
        <w:rPr>
          <w:b w:val="0"/>
        </w:rPr>
        <w:t>coated polysty</w:t>
      </w:r>
      <w:r w:rsidR="0040683D">
        <w:rPr>
          <w:b w:val="0"/>
        </w:rPr>
        <w:t>rene disc which were</w:t>
      </w:r>
      <w:r w:rsidRPr="00635993">
        <w:rPr>
          <w:b w:val="0"/>
        </w:rPr>
        <w:t xml:space="preserve"> colonised by the fungal hyphae</w:t>
      </w:r>
      <w:r w:rsidR="005D7852">
        <w:rPr>
          <w:b w:val="0"/>
        </w:rPr>
        <w:t xml:space="preserve"> (F and G, orange rectangle)</w:t>
      </w:r>
      <w:r w:rsidRPr="00635993">
        <w:rPr>
          <w:b w:val="0"/>
        </w:rPr>
        <w:t xml:space="preserve">. </w:t>
      </w:r>
      <w:r w:rsidRPr="003F7054">
        <w:t>III.</w:t>
      </w:r>
      <w:r w:rsidRPr="00635993">
        <w:rPr>
          <w:b w:val="0"/>
        </w:rPr>
        <w:t xml:space="preserve"> C, P and Ca elemental composition from crystal formations within the hyphal colonised areas in K-M. Red crosses represent </w:t>
      </w:r>
      <w:r w:rsidR="0040683D">
        <w:rPr>
          <w:b w:val="0"/>
        </w:rPr>
        <w:t xml:space="preserve">sites of </w:t>
      </w:r>
      <w:r w:rsidRPr="00635993">
        <w:rPr>
          <w:b w:val="0"/>
        </w:rPr>
        <w:t xml:space="preserve">EDX measurements taken. </w:t>
      </w:r>
      <w:r w:rsidRPr="003F7054">
        <w:t>N-U.</w:t>
      </w:r>
      <w:r w:rsidRPr="00635993">
        <w:rPr>
          <w:b w:val="0"/>
        </w:rPr>
        <w:t xml:space="preserve"> SEM images of </w:t>
      </w:r>
      <w:r w:rsidR="009B6B02">
        <w:rPr>
          <w:b w:val="0"/>
        </w:rPr>
        <w:t>HAP-</w:t>
      </w:r>
      <w:r w:rsidRPr="00635993">
        <w:rPr>
          <w:b w:val="0"/>
        </w:rPr>
        <w:t>coated</w:t>
      </w:r>
      <w:r w:rsidR="00C10C47">
        <w:rPr>
          <w:b w:val="0"/>
        </w:rPr>
        <w:t xml:space="preserve"> polystyrene disc after five</w:t>
      </w:r>
      <w:r w:rsidRPr="00635993">
        <w:rPr>
          <w:b w:val="0"/>
        </w:rPr>
        <w:t xml:space="preserve"> months of hyphal colonisation in symbiosis with </w:t>
      </w:r>
      <w:r w:rsidR="0040683D" w:rsidRPr="0040683D">
        <w:rPr>
          <w:b w:val="0"/>
          <w:i/>
        </w:rPr>
        <w:t>P. sylvestris</w:t>
      </w:r>
      <w:r w:rsidRPr="00635993">
        <w:rPr>
          <w:b w:val="0"/>
        </w:rPr>
        <w:t xml:space="preserve">. </w:t>
      </w:r>
      <w:r w:rsidRPr="003F7054">
        <w:t>N &amp; O.</w:t>
      </w:r>
      <w:r w:rsidR="006E321D">
        <w:rPr>
          <w:b w:val="0"/>
        </w:rPr>
        <w:t xml:space="preserve"> Montage image</w:t>
      </w:r>
      <w:r w:rsidRPr="00635993">
        <w:rPr>
          <w:b w:val="0"/>
        </w:rPr>
        <w:t xml:space="preserve"> showing the surface of </w:t>
      </w:r>
      <w:r w:rsidR="009B6B02">
        <w:rPr>
          <w:b w:val="0"/>
        </w:rPr>
        <w:t>HAP-</w:t>
      </w:r>
      <w:r w:rsidR="00C10C47">
        <w:rPr>
          <w:b w:val="0"/>
        </w:rPr>
        <w:t>coated disc after five</w:t>
      </w:r>
      <w:r w:rsidRPr="00635993">
        <w:rPr>
          <w:b w:val="0"/>
        </w:rPr>
        <w:t xml:space="preserve"> months</w:t>
      </w:r>
      <w:r w:rsidR="0040683D">
        <w:rPr>
          <w:b w:val="0"/>
        </w:rPr>
        <w:t xml:space="preserve"> of hyphal colonisation. BSE or</w:t>
      </w:r>
      <w:r w:rsidRPr="00635993">
        <w:rPr>
          <w:b w:val="0"/>
        </w:rPr>
        <w:t xml:space="preserve"> VPSE imaging mode</w:t>
      </w:r>
      <w:r w:rsidR="009B6B02">
        <w:rPr>
          <w:b w:val="0"/>
        </w:rPr>
        <w:t>s</w:t>
      </w:r>
      <w:r w:rsidR="0040683D">
        <w:rPr>
          <w:b w:val="0"/>
        </w:rPr>
        <w:t xml:space="preserve"> were used for N or</w:t>
      </w:r>
      <w:r w:rsidRPr="00635993">
        <w:rPr>
          <w:b w:val="0"/>
        </w:rPr>
        <w:t xml:space="preserve"> O respectively, at 100x magnification. </w:t>
      </w:r>
      <w:r w:rsidRPr="003F7054">
        <w:t>P-R.</w:t>
      </w:r>
      <w:r w:rsidRPr="00635993">
        <w:rPr>
          <w:b w:val="0"/>
        </w:rPr>
        <w:t xml:space="preserve"> SEM images of areas of </w:t>
      </w:r>
      <w:r w:rsidR="009B6B02">
        <w:rPr>
          <w:b w:val="0"/>
        </w:rPr>
        <w:t>HAP-</w:t>
      </w:r>
      <w:r w:rsidRPr="00635993">
        <w:rPr>
          <w:b w:val="0"/>
        </w:rPr>
        <w:t>coated polystyrene disc where no hyphal colonisation was observed</w:t>
      </w:r>
      <w:r w:rsidR="005D7852">
        <w:rPr>
          <w:b w:val="0"/>
        </w:rPr>
        <w:t xml:space="preserve"> (N and O, pink rectangle)</w:t>
      </w:r>
      <w:r w:rsidRPr="00635993">
        <w:rPr>
          <w:b w:val="0"/>
        </w:rPr>
        <w:t xml:space="preserve">. </w:t>
      </w:r>
      <w:r w:rsidRPr="003F7054">
        <w:t>IV.</w:t>
      </w:r>
      <w:r w:rsidRPr="00635993">
        <w:rPr>
          <w:b w:val="0"/>
        </w:rPr>
        <w:t xml:space="preserve"> C, P and Ca elemental composition of </w:t>
      </w:r>
      <w:r w:rsidR="00F803F5">
        <w:rPr>
          <w:b w:val="0"/>
        </w:rPr>
        <w:t>P-R</w:t>
      </w:r>
      <w:r w:rsidRPr="00635993">
        <w:rPr>
          <w:b w:val="0"/>
        </w:rPr>
        <w:t xml:space="preserve">. </w:t>
      </w:r>
      <w:r w:rsidRPr="003F7054">
        <w:t>S-U.</w:t>
      </w:r>
      <w:r w:rsidRPr="00635993">
        <w:rPr>
          <w:b w:val="0"/>
        </w:rPr>
        <w:t xml:space="preserve"> SEM images of areas of </w:t>
      </w:r>
      <w:r w:rsidR="009B6B02">
        <w:rPr>
          <w:b w:val="0"/>
        </w:rPr>
        <w:t>HAP-</w:t>
      </w:r>
      <w:r w:rsidRPr="00635993">
        <w:rPr>
          <w:b w:val="0"/>
        </w:rPr>
        <w:t xml:space="preserve">coated polystyrene disc which was colonised by the fungal hyphae in symbiosis with </w:t>
      </w:r>
      <w:r w:rsidR="0040683D" w:rsidRPr="0040683D">
        <w:rPr>
          <w:b w:val="0"/>
          <w:i/>
        </w:rPr>
        <w:t>P. sylvestris</w:t>
      </w:r>
      <w:r w:rsidR="005D7852">
        <w:rPr>
          <w:b w:val="0"/>
          <w:i/>
        </w:rPr>
        <w:t xml:space="preserve"> </w:t>
      </w:r>
      <w:r w:rsidR="005D7852">
        <w:rPr>
          <w:b w:val="0"/>
        </w:rPr>
        <w:t>(N and O, orange rectangle)</w:t>
      </w:r>
      <w:r w:rsidRPr="00635993">
        <w:rPr>
          <w:b w:val="0"/>
        </w:rPr>
        <w:t xml:space="preserve">. </w:t>
      </w:r>
      <w:r w:rsidRPr="003F7054">
        <w:t>V.</w:t>
      </w:r>
      <w:r w:rsidRPr="00635993">
        <w:rPr>
          <w:b w:val="0"/>
        </w:rPr>
        <w:t xml:space="preserve"> C, P and Ca elemental composition from crystal formations within the hyphal colonised areas in S-U. Red crosses represent </w:t>
      </w:r>
      <w:r w:rsidR="0040683D">
        <w:rPr>
          <w:b w:val="0"/>
        </w:rPr>
        <w:t xml:space="preserve">sites of </w:t>
      </w:r>
      <w:r w:rsidRPr="00635993">
        <w:rPr>
          <w:b w:val="0"/>
        </w:rPr>
        <w:t xml:space="preserve">EDX measurements taken. Scale bars 50 </w:t>
      </w:r>
      <w:r w:rsidRPr="00635993">
        <w:rPr>
          <w:b w:val="0"/>
          <w:lang w:val="el-GR"/>
        </w:rPr>
        <w:t>μ</w:t>
      </w:r>
      <w:r w:rsidRPr="00635993">
        <w:rPr>
          <w:b w:val="0"/>
        </w:rPr>
        <w:t xml:space="preserve">m in A, 20 </w:t>
      </w:r>
      <w:r w:rsidRPr="00635993">
        <w:rPr>
          <w:b w:val="0"/>
          <w:lang w:val="el-GR"/>
        </w:rPr>
        <w:t>μ</w:t>
      </w:r>
      <w:r w:rsidRPr="00635993">
        <w:rPr>
          <w:b w:val="0"/>
        </w:rPr>
        <w:t xml:space="preserve">m in B &amp; H, 10 </w:t>
      </w:r>
      <w:r w:rsidRPr="00635993">
        <w:rPr>
          <w:b w:val="0"/>
          <w:lang w:val="el-GR"/>
        </w:rPr>
        <w:t>μ</w:t>
      </w:r>
      <w:r w:rsidRPr="00635993">
        <w:rPr>
          <w:b w:val="0"/>
        </w:rPr>
        <w:t xml:space="preserve">m in C, D, K, L, P, S &amp; T, 2 </w:t>
      </w:r>
      <w:r w:rsidRPr="00635993">
        <w:rPr>
          <w:b w:val="0"/>
          <w:lang w:val="el-GR"/>
        </w:rPr>
        <w:t>μ</w:t>
      </w:r>
      <w:r w:rsidRPr="00635993">
        <w:rPr>
          <w:b w:val="0"/>
        </w:rPr>
        <w:t xml:space="preserve">m in J, M, Q, R &amp; U and 1 </w:t>
      </w:r>
      <w:r w:rsidRPr="00635993">
        <w:rPr>
          <w:b w:val="0"/>
          <w:lang w:val="el-GR"/>
        </w:rPr>
        <w:t>μ</w:t>
      </w:r>
      <w:r w:rsidRPr="00635993">
        <w:rPr>
          <w:b w:val="0"/>
        </w:rPr>
        <w:t>m in E. S</w:t>
      </w:r>
      <w:r w:rsidR="006E321D">
        <w:rPr>
          <w:b w:val="0"/>
        </w:rPr>
        <w:t>tatistically s</w:t>
      </w:r>
      <w:r w:rsidRPr="00635993">
        <w:rPr>
          <w:b w:val="0"/>
        </w:rPr>
        <w:t>ignificant differences in atomic per</w:t>
      </w:r>
      <w:r w:rsidR="005D7852">
        <w:rPr>
          <w:b w:val="0"/>
        </w:rPr>
        <w:t>centages of C, P and Ca between areas</w:t>
      </w:r>
      <w:r w:rsidRPr="00635993">
        <w:rPr>
          <w:b w:val="0"/>
        </w:rPr>
        <w:t xml:space="preserve"> of EDX measurement were assessed by one-way ANOVA, followed by Tukey’s post-hoc analysis for multiple comparisons (letters, </w:t>
      </w:r>
      <w:r w:rsidRPr="006E321D">
        <w:rPr>
          <w:b w:val="0"/>
          <w:i/>
          <w:lang w:val="el-GR"/>
        </w:rPr>
        <w:t>α</w:t>
      </w:r>
      <w:r w:rsidR="006E321D">
        <w:rPr>
          <w:b w:val="0"/>
        </w:rPr>
        <w:t>=</w:t>
      </w:r>
      <w:r w:rsidRPr="00635993">
        <w:rPr>
          <w:b w:val="0"/>
        </w:rPr>
        <w:t>0.05).</w:t>
      </w:r>
    </w:p>
    <w:p w14:paraId="1470AE22" w14:textId="77777777" w:rsidR="000D7D3D" w:rsidRPr="000D7D3D" w:rsidRDefault="000D7D3D">
      <w:r w:rsidRPr="000D7D3D">
        <w:br w:type="page"/>
      </w:r>
    </w:p>
    <w:p w14:paraId="41D518E8" w14:textId="6D9DA834" w:rsidR="000D7D3D" w:rsidRPr="000D7D3D" w:rsidRDefault="000D7D3D" w:rsidP="00635993">
      <w:pPr>
        <w:pStyle w:val="Heading2"/>
      </w:pPr>
      <w:bookmarkStart w:id="482" w:name="_Toc507604075"/>
      <w:bookmarkStart w:id="483" w:name="_Toc507604342"/>
      <w:bookmarkStart w:id="484" w:name="_Toc519017044"/>
      <w:bookmarkStart w:id="485" w:name="_Toc520837957"/>
      <w:r w:rsidRPr="000D7D3D">
        <w:lastRenderedPageBreak/>
        <w:t xml:space="preserve">5.3.2 RNA-seq </w:t>
      </w:r>
      <w:r w:rsidR="00EE3851">
        <w:t>PCA</w:t>
      </w:r>
      <w:bookmarkEnd w:id="482"/>
      <w:bookmarkEnd w:id="483"/>
      <w:bookmarkEnd w:id="484"/>
      <w:bookmarkEnd w:id="485"/>
    </w:p>
    <w:p w14:paraId="26DF9587" w14:textId="3927FF53" w:rsidR="000D7D3D" w:rsidRPr="000D7D3D" w:rsidRDefault="000D7D3D" w:rsidP="00634533">
      <w:r w:rsidRPr="000D7D3D">
        <w:t xml:space="preserve">Exploratory analysis of RNA-seq dataset through </w:t>
      </w:r>
      <w:r w:rsidR="00EE3851">
        <w:t>PCA</w:t>
      </w:r>
      <w:r w:rsidRPr="000D7D3D">
        <w:t xml:space="preserve"> revealed clear samples separation between NS and S conditions and +HAP and –HAP treatments. The largest separation on principal component 1 (PC1) is indicative of the presence or absence of </w:t>
      </w:r>
      <w:r w:rsidR="00167FC6">
        <w:t>HAP</w:t>
      </w:r>
      <w:r w:rsidRPr="000D7D3D">
        <w:t xml:space="preserve">-coated discs (Figure 5.3, grey vs purple markers). Conversely, separation on principal component 2 (PC2) is indicative of presence or absence of EM symbiosis with </w:t>
      </w:r>
      <w:r w:rsidR="00E32612" w:rsidRPr="00E32612">
        <w:rPr>
          <w:i/>
        </w:rPr>
        <w:t>P. sylvestris</w:t>
      </w:r>
      <w:r w:rsidR="00E32612">
        <w:t xml:space="preserve"> </w:t>
      </w:r>
      <w:r w:rsidRPr="000D7D3D">
        <w:t xml:space="preserve">seedlings (Figure 5.3, square vs circular markers). Interestingly, samples from </w:t>
      </w:r>
      <w:r w:rsidR="00E32612" w:rsidRPr="00E32612">
        <w:rPr>
          <w:i/>
        </w:rPr>
        <w:t>P. involutus DJR1</w:t>
      </w:r>
      <w:r w:rsidRPr="000D7D3D">
        <w:t xml:space="preserve"> hyphae grown in the absence of </w:t>
      </w:r>
      <w:r w:rsidR="00167FC6">
        <w:t>HAP</w:t>
      </w:r>
      <w:r w:rsidRPr="000D7D3D">
        <w:t>-coated discs show a partial overlap (Figure 5.3, grey markers), which could indicate a reduced effect of EM symbi</w:t>
      </w:r>
      <w:r w:rsidR="00E32612">
        <w:t>osis on global gene transcription</w:t>
      </w:r>
      <w:r w:rsidRPr="000D7D3D">
        <w:t xml:space="preserve"> when </w:t>
      </w:r>
      <w:r w:rsidR="00167FC6">
        <w:t>HAP</w:t>
      </w:r>
      <w:r w:rsidR="00167FC6" w:rsidRPr="000D7D3D">
        <w:t xml:space="preserve"> </w:t>
      </w:r>
      <w:r w:rsidRPr="000D7D3D">
        <w:t xml:space="preserve">is absent. On the other hand, samples grown in plates containing </w:t>
      </w:r>
      <w:r w:rsidR="00167FC6">
        <w:t>HAP</w:t>
      </w:r>
      <w:r w:rsidRPr="000D7D3D">
        <w:t xml:space="preserve">-coated discs show a very large separation on PC2 (Figure 5.3, purple markers), indicating that EM symbiosis may have a profound effect </w:t>
      </w:r>
      <w:r w:rsidR="00E32612">
        <w:t>on the fungal</w:t>
      </w:r>
      <w:r w:rsidRPr="000D7D3D">
        <w:t xml:space="preserve"> </w:t>
      </w:r>
      <w:r w:rsidR="00E32612">
        <w:t>global</w:t>
      </w:r>
      <w:r w:rsidRPr="000D7D3D">
        <w:t xml:space="preserve"> gene transcription in response to </w:t>
      </w:r>
      <w:r w:rsidR="00E32612">
        <w:t xml:space="preserve">the </w:t>
      </w:r>
      <w:r w:rsidRPr="000D7D3D">
        <w:t xml:space="preserve">presence of </w:t>
      </w:r>
      <w:r w:rsidR="00167FC6">
        <w:t>HAP</w:t>
      </w:r>
      <w:r w:rsidRPr="000D7D3D">
        <w:t>. Together, PC1 and PC2 explai</w:t>
      </w:r>
      <w:r w:rsidR="00E32612">
        <w:t>ned 49% of the total variance</w:t>
      </w:r>
      <w:r w:rsidRPr="000D7D3D">
        <w:t xml:space="preserve"> of the dataset (Figure 5.3).</w:t>
      </w:r>
      <w:r w:rsidR="005362C8">
        <w:br w:type="page"/>
      </w:r>
    </w:p>
    <w:p w14:paraId="764FE6A6" w14:textId="77777777" w:rsidR="000D7D3D" w:rsidRPr="000D7D3D" w:rsidRDefault="000D7D3D" w:rsidP="003F7054">
      <w:r w:rsidRPr="000D7D3D">
        <w:rPr>
          <w:noProof/>
          <w:lang w:eastAsia="en-GB"/>
        </w:rPr>
        <w:lastRenderedPageBreak/>
        <w:drawing>
          <wp:inline distT="0" distB="0" distL="0" distR="0" wp14:anchorId="2AD67822" wp14:editId="48C42F65">
            <wp:extent cx="5486400" cy="409780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_5.3 new+.png"/>
                    <pic:cNvPicPr/>
                  </pic:nvPicPr>
                  <pic:blipFill>
                    <a:blip r:embed="rId44">
                      <a:extLst>
                        <a:ext uri="{28A0092B-C50C-407E-A947-70E740481C1C}">
                          <a14:useLocalDpi xmlns:a14="http://schemas.microsoft.com/office/drawing/2010/main" val="0"/>
                        </a:ext>
                      </a:extLst>
                    </a:blip>
                    <a:stretch>
                      <a:fillRect/>
                    </a:stretch>
                  </pic:blipFill>
                  <pic:spPr>
                    <a:xfrm>
                      <a:off x="0" y="0"/>
                      <a:ext cx="5494915" cy="4104162"/>
                    </a:xfrm>
                    <a:prstGeom prst="rect">
                      <a:avLst/>
                    </a:prstGeom>
                  </pic:spPr>
                </pic:pic>
              </a:graphicData>
            </a:graphic>
          </wp:inline>
        </w:drawing>
      </w:r>
    </w:p>
    <w:p w14:paraId="72506331" w14:textId="2E3BD594" w:rsidR="000D7D3D" w:rsidRPr="00635993" w:rsidRDefault="000D7D3D" w:rsidP="00635993">
      <w:pPr>
        <w:pStyle w:val="Subtitle"/>
        <w:pBdr>
          <w:top w:val="single" w:sz="4" w:space="1" w:color="auto"/>
        </w:pBdr>
        <w:rPr>
          <w:b w:val="0"/>
        </w:rPr>
      </w:pPr>
      <w:r w:rsidRPr="000D7D3D">
        <w:t xml:space="preserve">Figure 5.3 </w:t>
      </w:r>
      <w:r w:rsidRPr="00635993">
        <w:rPr>
          <w:b w:val="0"/>
        </w:rPr>
        <w:t>P</w:t>
      </w:r>
      <w:r w:rsidR="00EE0EEF">
        <w:rPr>
          <w:b w:val="0"/>
        </w:rPr>
        <w:t>CA</w:t>
      </w:r>
      <w:r w:rsidRPr="00635993">
        <w:rPr>
          <w:b w:val="0"/>
        </w:rPr>
        <w:t xml:space="preserve"> of </w:t>
      </w:r>
      <w:r w:rsidRPr="00635993">
        <w:rPr>
          <w:b w:val="0"/>
          <w:i/>
        </w:rPr>
        <w:t>rlog</w:t>
      </w:r>
      <w:r w:rsidRPr="00635993">
        <w:rPr>
          <w:b w:val="0"/>
        </w:rPr>
        <w:t xml:space="preserve">-transformed read counts from RNA-seq data derived from </w:t>
      </w:r>
      <w:r w:rsidRPr="00635993">
        <w:rPr>
          <w:b w:val="0"/>
          <w:i/>
        </w:rPr>
        <w:t>P. involutus</w:t>
      </w:r>
      <w:r w:rsidR="00480B0A">
        <w:rPr>
          <w:b w:val="0"/>
          <w:i/>
        </w:rPr>
        <w:t xml:space="preserve"> DJR1</w:t>
      </w:r>
      <w:r w:rsidR="00C10C47">
        <w:rPr>
          <w:b w:val="0"/>
        </w:rPr>
        <w:t xml:space="preserve"> </w:t>
      </w:r>
      <w:r w:rsidR="00480B0A">
        <w:rPr>
          <w:b w:val="0"/>
        </w:rPr>
        <w:t xml:space="preserve">hyphae </w:t>
      </w:r>
      <w:r w:rsidR="00C10C47">
        <w:rPr>
          <w:b w:val="0"/>
        </w:rPr>
        <w:t>after five</w:t>
      </w:r>
      <w:r w:rsidRPr="00635993">
        <w:rPr>
          <w:b w:val="0"/>
        </w:rPr>
        <w:t xml:space="preserve"> months of growth in the </w:t>
      </w:r>
      <w:r w:rsidR="00EE0EEF">
        <w:rPr>
          <w:b w:val="0"/>
        </w:rPr>
        <w:t>HAP</w:t>
      </w:r>
      <w:r w:rsidR="00EE0EEF" w:rsidRPr="00635993">
        <w:rPr>
          <w:b w:val="0"/>
        </w:rPr>
        <w:t xml:space="preserve"> </w:t>
      </w:r>
      <w:r w:rsidRPr="00635993">
        <w:rPr>
          <w:b w:val="0"/>
        </w:rPr>
        <w:t xml:space="preserve">solubilisation experimental system. Deep purple squares: </w:t>
      </w:r>
      <w:r w:rsidR="00480B0A" w:rsidRPr="00635993">
        <w:rPr>
          <w:b w:val="0"/>
          <w:i/>
        </w:rPr>
        <w:t>P. involutus</w:t>
      </w:r>
      <w:r w:rsidR="00480B0A">
        <w:rPr>
          <w:b w:val="0"/>
          <w:i/>
        </w:rPr>
        <w:t xml:space="preserve"> DJR1</w:t>
      </w:r>
      <w:r w:rsidRPr="00635993">
        <w:rPr>
          <w:b w:val="0"/>
        </w:rPr>
        <w:t xml:space="preserve"> grown in symbiosis with </w:t>
      </w:r>
      <w:r w:rsidR="00480B0A" w:rsidRPr="00480B0A">
        <w:rPr>
          <w:b w:val="0"/>
          <w:i/>
        </w:rPr>
        <w:t>P. sylvestris</w:t>
      </w:r>
      <w:r w:rsidRPr="00635993">
        <w:rPr>
          <w:b w:val="0"/>
        </w:rPr>
        <w:t xml:space="preserve"> seedling</w:t>
      </w:r>
      <w:r w:rsidR="00480B0A">
        <w:rPr>
          <w:b w:val="0"/>
        </w:rPr>
        <w:t>s</w:t>
      </w:r>
      <w:r w:rsidRPr="00635993">
        <w:rPr>
          <w:b w:val="0"/>
        </w:rPr>
        <w:t xml:space="preserve"> </w:t>
      </w:r>
      <w:r w:rsidR="00480B0A">
        <w:rPr>
          <w:b w:val="0"/>
        </w:rPr>
        <w:t xml:space="preserve">in </w:t>
      </w:r>
      <w:r w:rsidR="00694A41">
        <w:rPr>
          <w:b w:val="0"/>
        </w:rPr>
        <w:t xml:space="preserve">the </w:t>
      </w:r>
      <w:r w:rsidR="00480B0A">
        <w:rPr>
          <w:b w:val="0"/>
        </w:rPr>
        <w:t xml:space="preserve">presence of </w:t>
      </w:r>
      <w:r w:rsidR="00EE0EEF">
        <w:rPr>
          <w:b w:val="0"/>
        </w:rPr>
        <w:t>HAP</w:t>
      </w:r>
      <w:r w:rsidR="00DF6512">
        <w:rPr>
          <w:b w:val="0"/>
        </w:rPr>
        <w:t xml:space="preserve"> (S HAP+). Lilac circles</w:t>
      </w:r>
      <w:r w:rsidRPr="00635993">
        <w:rPr>
          <w:b w:val="0"/>
        </w:rPr>
        <w:t xml:space="preserve">: </w:t>
      </w:r>
      <w:r w:rsidR="00480B0A" w:rsidRPr="00635993">
        <w:rPr>
          <w:b w:val="0"/>
          <w:i/>
        </w:rPr>
        <w:t>P. involutus</w:t>
      </w:r>
      <w:r w:rsidR="00480B0A">
        <w:rPr>
          <w:b w:val="0"/>
          <w:i/>
        </w:rPr>
        <w:t xml:space="preserve"> DJR1</w:t>
      </w:r>
      <w:r w:rsidRPr="00635993">
        <w:rPr>
          <w:b w:val="0"/>
        </w:rPr>
        <w:t xml:space="preserve"> grown </w:t>
      </w:r>
      <w:r w:rsidR="00480B0A">
        <w:rPr>
          <w:b w:val="0"/>
        </w:rPr>
        <w:t>non-symbiotically</w:t>
      </w:r>
      <w:r w:rsidRPr="00635993">
        <w:rPr>
          <w:b w:val="0"/>
        </w:rPr>
        <w:t xml:space="preserve"> </w:t>
      </w:r>
      <w:r w:rsidR="00480B0A">
        <w:rPr>
          <w:b w:val="0"/>
        </w:rPr>
        <w:t xml:space="preserve">in </w:t>
      </w:r>
      <w:r w:rsidR="00694A41">
        <w:rPr>
          <w:b w:val="0"/>
        </w:rPr>
        <w:t xml:space="preserve">the </w:t>
      </w:r>
      <w:r w:rsidR="00480B0A">
        <w:rPr>
          <w:b w:val="0"/>
        </w:rPr>
        <w:t xml:space="preserve">presence of </w:t>
      </w:r>
      <w:r w:rsidR="00EE0EEF">
        <w:rPr>
          <w:b w:val="0"/>
        </w:rPr>
        <w:t>HAP</w:t>
      </w:r>
      <w:r w:rsidRPr="00635993">
        <w:rPr>
          <w:b w:val="0"/>
        </w:rPr>
        <w:t xml:space="preserve"> (NS HAP+). Coal </w:t>
      </w:r>
      <w:r w:rsidR="00DF6512" w:rsidRPr="00635993">
        <w:rPr>
          <w:b w:val="0"/>
        </w:rPr>
        <w:t>squares</w:t>
      </w:r>
      <w:r w:rsidRPr="00635993">
        <w:rPr>
          <w:b w:val="0"/>
        </w:rPr>
        <w:t xml:space="preserve">: </w:t>
      </w:r>
      <w:r w:rsidR="00480B0A" w:rsidRPr="00635993">
        <w:rPr>
          <w:b w:val="0"/>
          <w:i/>
        </w:rPr>
        <w:t>P. involutus</w:t>
      </w:r>
      <w:r w:rsidR="00480B0A">
        <w:rPr>
          <w:b w:val="0"/>
          <w:i/>
        </w:rPr>
        <w:t xml:space="preserve"> DJR1</w:t>
      </w:r>
      <w:r w:rsidRPr="00635993">
        <w:rPr>
          <w:b w:val="0"/>
        </w:rPr>
        <w:t xml:space="preserve"> grown in symbiosis with </w:t>
      </w:r>
      <w:r w:rsidR="00480B0A" w:rsidRPr="00480B0A">
        <w:rPr>
          <w:b w:val="0"/>
          <w:i/>
        </w:rPr>
        <w:t>P. sylvestris</w:t>
      </w:r>
      <w:r w:rsidRPr="00635993">
        <w:rPr>
          <w:b w:val="0"/>
        </w:rPr>
        <w:t xml:space="preserve"> seedling</w:t>
      </w:r>
      <w:r w:rsidR="00480B0A">
        <w:rPr>
          <w:b w:val="0"/>
        </w:rPr>
        <w:t>s</w:t>
      </w:r>
      <w:r w:rsidRPr="00635993">
        <w:rPr>
          <w:b w:val="0"/>
        </w:rPr>
        <w:t xml:space="preserve"> </w:t>
      </w:r>
      <w:r w:rsidR="00480B0A">
        <w:rPr>
          <w:b w:val="0"/>
        </w:rPr>
        <w:t xml:space="preserve">in </w:t>
      </w:r>
      <w:r w:rsidR="00694A41">
        <w:rPr>
          <w:b w:val="0"/>
        </w:rPr>
        <w:t xml:space="preserve">the </w:t>
      </w:r>
      <w:r w:rsidR="00480B0A">
        <w:rPr>
          <w:b w:val="0"/>
        </w:rPr>
        <w:t>absence of HAP</w:t>
      </w:r>
      <w:r w:rsidRPr="00635993">
        <w:rPr>
          <w:b w:val="0"/>
        </w:rPr>
        <w:t xml:space="preserve"> (S HAP-). Grey circles: </w:t>
      </w:r>
      <w:r w:rsidR="00480B0A" w:rsidRPr="00635993">
        <w:rPr>
          <w:b w:val="0"/>
          <w:i/>
        </w:rPr>
        <w:t>P. involutus</w:t>
      </w:r>
      <w:r w:rsidR="00480B0A">
        <w:rPr>
          <w:b w:val="0"/>
          <w:i/>
        </w:rPr>
        <w:t xml:space="preserve"> DJR1</w:t>
      </w:r>
      <w:r w:rsidRPr="00635993">
        <w:rPr>
          <w:b w:val="0"/>
        </w:rPr>
        <w:t xml:space="preserve"> grown </w:t>
      </w:r>
      <w:r w:rsidR="00480B0A">
        <w:rPr>
          <w:b w:val="0"/>
        </w:rPr>
        <w:t xml:space="preserve">non-symbiotically in </w:t>
      </w:r>
      <w:r w:rsidR="00694A41">
        <w:rPr>
          <w:b w:val="0"/>
        </w:rPr>
        <w:t xml:space="preserve">the </w:t>
      </w:r>
      <w:r w:rsidR="00480B0A">
        <w:rPr>
          <w:b w:val="0"/>
        </w:rPr>
        <w:t>absence of HAP</w:t>
      </w:r>
      <w:r w:rsidRPr="00635993">
        <w:rPr>
          <w:b w:val="0"/>
        </w:rPr>
        <w:t xml:space="preserve"> (NS HAP-).</w:t>
      </w:r>
    </w:p>
    <w:p w14:paraId="10FA366E" w14:textId="77777777" w:rsidR="000D7D3D" w:rsidRPr="000D7D3D" w:rsidRDefault="000D7D3D">
      <w:r w:rsidRPr="000D7D3D">
        <w:br w:type="page"/>
      </w:r>
    </w:p>
    <w:p w14:paraId="6A06D587" w14:textId="41188DDB" w:rsidR="000D7D3D" w:rsidRPr="000D7D3D" w:rsidRDefault="000D7D3D" w:rsidP="00635993">
      <w:pPr>
        <w:pStyle w:val="Heading2"/>
      </w:pPr>
      <w:bookmarkStart w:id="486" w:name="_Toc507604076"/>
      <w:bookmarkStart w:id="487" w:name="_Toc507604343"/>
      <w:bookmarkStart w:id="488" w:name="_Toc519017045"/>
      <w:bookmarkStart w:id="489" w:name="_Toc520837958"/>
      <w:r w:rsidRPr="000D7D3D">
        <w:lastRenderedPageBreak/>
        <w:t xml:space="preserve">5.3.3 Differential </w:t>
      </w:r>
      <w:r w:rsidR="004A4962">
        <w:t xml:space="preserve">gene expression </w:t>
      </w:r>
      <w:r w:rsidRPr="000D7D3D">
        <w:t>analysis</w:t>
      </w:r>
      <w:bookmarkEnd w:id="486"/>
      <w:bookmarkEnd w:id="487"/>
      <w:bookmarkEnd w:id="488"/>
      <w:bookmarkEnd w:id="489"/>
      <w:r w:rsidRPr="000D7D3D">
        <w:t xml:space="preserve"> </w:t>
      </w:r>
    </w:p>
    <w:p w14:paraId="233A8565" w14:textId="0F9AF72A" w:rsidR="000D7D3D" w:rsidRPr="000D7D3D" w:rsidRDefault="008E1C05" w:rsidP="003F7054">
      <w:r>
        <w:t>Differential gene expression analysis in the RNA-seq dataset was carried out</w:t>
      </w:r>
      <w:r w:rsidRPr="000D7D3D">
        <w:t xml:space="preserve"> </w:t>
      </w:r>
      <w:r>
        <w:t>in pairwise comparisons</w:t>
      </w:r>
      <w:r w:rsidR="000D7D3D" w:rsidRPr="000D7D3D">
        <w:t xml:space="preserve"> between the different conditions tested. A large number of differentially expressed genes was identified </w:t>
      </w:r>
      <w:r w:rsidR="00CE2817" w:rsidRPr="000D7D3D">
        <w:t xml:space="preserve">between </w:t>
      </w:r>
      <w:r w:rsidR="00F67DF2">
        <w:t>HAP+ and HAP- groups</w:t>
      </w:r>
      <w:r w:rsidR="000D7D3D" w:rsidRPr="000D7D3D">
        <w:t xml:space="preserve">, either in </w:t>
      </w:r>
      <w:r>
        <w:t>NS</w:t>
      </w:r>
      <w:r w:rsidR="000D7D3D" w:rsidRPr="000D7D3D">
        <w:t xml:space="preserve"> or </w:t>
      </w:r>
      <w:r>
        <w:t>S co</w:t>
      </w:r>
      <w:r w:rsidR="000D7D3D" w:rsidRPr="000D7D3D">
        <w:t>n</w:t>
      </w:r>
      <w:r>
        <w:t>dition</w:t>
      </w:r>
      <w:r w:rsidR="000D7D3D" w:rsidRPr="000D7D3D">
        <w:t xml:space="preserve"> (Table 5.1, comparison 1 and </w:t>
      </w:r>
      <w:r>
        <w:t xml:space="preserve">2). </w:t>
      </w:r>
      <w:r w:rsidR="00F67DF2">
        <w:t>However, t</w:t>
      </w:r>
      <w:r>
        <w:t>he largest number</w:t>
      </w:r>
      <w:r w:rsidR="000D7D3D" w:rsidRPr="000D7D3D">
        <w:t xml:space="preserve"> of differentially expressed genes was identified </w:t>
      </w:r>
      <w:r w:rsidR="00CE2817">
        <w:t>in</w:t>
      </w:r>
      <w:r w:rsidR="00F67DF2">
        <w:t xml:space="preserve"> the</w:t>
      </w:r>
      <w:r w:rsidR="00CE2817" w:rsidRPr="00F67DF2">
        <w:t xml:space="preserve"> </w:t>
      </w:r>
      <w:r w:rsidR="00F67DF2" w:rsidRPr="00F67DF2">
        <w:t>HAP+</w:t>
      </w:r>
      <w:r w:rsidR="00F67DF2">
        <w:t xml:space="preserve"> group, when compared by S or NS condition</w:t>
      </w:r>
      <w:r w:rsidR="000D7D3D" w:rsidRPr="000D7D3D">
        <w:t xml:space="preserve"> (Table 5.1, comparison 3). Conversely, the lowest amount of differentially expressed genes was identified </w:t>
      </w:r>
      <w:r w:rsidR="00F67DF2">
        <w:t>in the</w:t>
      </w:r>
      <w:r w:rsidR="000D7D3D" w:rsidRPr="000D7D3D">
        <w:t xml:space="preserve"> </w:t>
      </w:r>
      <w:r w:rsidR="00F67DF2">
        <w:t>HAP- group</w:t>
      </w:r>
      <w:r w:rsidR="004B560C" w:rsidRPr="000D7D3D">
        <w:t xml:space="preserve"> </w:t>
      </w:r>
      <w:r w:rsidR="000D7D3D" w:rsidRPr="000D7D3D">
        <w:t xml:space="preserve">(Table 5.1, comparison 4), indicating minimal differences in gene transcription </w:t>
      </w:r>
      <w:r w:rsidR="00F67DF2">
        <w:t>in this comparison</w:t>
      </w:r>
      <w:r w:rsidR="000D7D3D" w:rsidRPr="000D7D3D">
        <w:t xml:space="preserve">, as previously suggested by PCA (Figure 5.3). </w:t>
      </w:r>
    </w:p>
    <w:p w14:paraId="171C3601" w14:textId="27DE067B" w:rsidR="000D7D3D" w:rsidRPr="000D7D3D" w:rsidRDefault="000D7D3D" w:rsidP="007F746A">
      <w:pPr>
        <w:ind w:firstLine="720"/>
      </w:pPr>
      <w:r w:rsidRPr="000D7D3D">
        <w:t xml:space="preserve">Together, these results indicate that the presence of </w:t>
      </w:r>
      <w:r w:rsidR="004B560C">
        <w:t>HAP</w:t>
      </w:r>
      <w:r w:rsidR="004B560C" w:rsidRPr="000D7D3D">
        <w:t xml:space="preserve"> </w:t>
      </w:r>
      <w:r w:rsidRPr="000D7D3D">
        <w:t>had the greatest effect on fungal gene expres</w:t>
      </w:r>
      <w:r w:rsidR="00C9206B">
        <w:t>sion. Besides</w:t>
      </w:r>
      <w:r w:rsidR="00F67DF2">
        <w:t xml:space="preserve"> EM symbiosis did</w:t>
      </w:r>
      <w:r w:rsidRPr="000D7D3D">
        <w:t xml:space="preserve"> not have a major impact on fungal gene expression when </w:t>
      </w:r>
      <w:r w:rsidR="004B560C">
        <w:t>HAP</w:t>
      </w:r>
      <w:r w:rsidR="004B560C" w:rsidRPr="000D7D3D">
        <w:t xml:space="preserve"> </w:t>
      </w:r>
      <w:r w:rsidR="00C9206B">
        <w:t>was</w:t>
      </w:r>
      <w:r w:rsidRPr="000D7D3D">
        <w:t xml:space="preserve"> absent.</w:t>
      </w:r>
    </w:p>
    <w:p w14:paraId="305094B0" w14:textId="77777777" w:rsidR="000D7D3D" w:rsidRPr="000D7D3D" w:rsidRDefault="000D7D3D" w:rsidP="00FB36B8"/>
    <w:p w14:paraId="1E64F2FD" w14:textId="77777777" w:rsidR="000D7D3D" w:rsidRPr="000D7D3D" w:rsidRDefault="000D7D3D" w:rsidP="00FB36B8">
      <w:r w:rsidRPr="000D7D3D">
        <w:rPr>
          <w:noProof/>
          <w:lang w:eastAsia="en-GB"/>
        </w:rPr>
        <w:drawing>
          <wp:inline distT="0" distB="0" distL="0" distR="0" wp14:anchorId="17CF9606" wp14:editId="5FC797B5">
            <wp:extent cx="3200400" cy="101266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09364" cy="1015498"/>
                    </a:xfrm>
                    <a:prstGeom prst="rect">
                      <a:avLst/>
                    </a:prstGeom>
                    <a:noFill/>
                    <a:ln>
                      <a:noFill/>
                    </a:ln>
                  </pic:spPr>
                </pic:pic>
              </a:graphicData>
            </a:graphic>
          </wp:inline>
        </w:drawing>
      </w:r>
    </w:p>
    <w:p w14:paraId="4E7AE5CC" w14:textId="77777777" w:rsidR="00634533" w:rsidRDefault="000D7D3D" w:rsidP="00635993">
      <w:pPr>
        <w:pStyle w:val="Subtitle"/>
        <w:rPr>
          <w:b w:val="0"/>
        </w:rPr>
      </w:pPr>
      <w:r w:rsidRPr="00635993">
        <w:rPr>
          <w:rFonts w:cs="Arial"/>
          <w:bCs w:val="0"/>
        </w:rPr>
        <w:t>Table 5.1</w:t>
      </w:r>
      <w:r w:rsidRPr="00B46FB7">
        <w:rPr>
          <w:rFonts w:ascii="NimbusSanL-Bold" w:hAnsi="NimbusSanL-Bold" w:cs="NimbusSanL-Bold"/>
        </w:rPr>
        <w:t xml:space="preserve"> </w:t>
      </w:r>
      <w:r w:rsidRPr="00635993">
        <w:rPr>
          <w:b w:val="0"/>
        </w:rPr>
        <w:t xml:space="preserve">Table showing the number of differentially expressed </w:t>
      </w:r>
      <w:r w:rsidR="00C9206B" w:rsidRPr="00C9206B">
        <w:rPr>
          <w:b w:val="0"/>
          <w:i/>
        </w:rPr>
        <w:t>P. involutus DJR1</w:t>
      </w:r>
      <w:r w:rsidR="00C9206B">
        <w:rPr>
          <w:b w:val="0"/>
          <w:i/>
        </w:rPr>
        <w:t xml:space="preserve"> </w:t>
      </w:r>
      <w:r w:rsidRPr="00635993">
        <w:rPr>
          <w:b w:val="0"/>
        </w:rPr>
        <w:t>genes identified at each pairwise comparison after FDR c</w:t>
      </w:r>
      <w:r w:rsidR="00C9206B">
        <w:rPr>
          <w:b w:val="0"/>
        </w:rPr>
        <w:t xml:space="preserve">orrection (Q-value &lt;0.05). NS: </w:t>
      </w:r>
      <w:r w:rsidR="00C9206B" w:rsidRPr="00C9206B">
        <w:rPr>
          <w:b w:val="0"/>
          <w:i/>
        </w:rPr>
        <w:t>P. involutus DJR1</w:t>
      </w:r>
      <w:r w:rsidRPr="00635993">
        <w:rPr>
          <w:b w:val="0"/>
        </w:rPr>
        <w:t xml:space="preserve"> hyphae grown </w:t>
      </w:r>
      <w:r w:rsidR="00C9206B">
        <w:rPr>
          <w:b w:val="0"/>
        </w:rPr>
        <w:t>non-symbiotically</w:t>
      </w:r>
      <w:r w:rsidRPr="00635993">
        <w:rPr>
          <w:b w:val="0"/>
        </w:rPr>
        <w:t xml:space="preserve">. S: </w:t>
      </w:r>
      <w:r w:rsidR="00C9206B" w:rsidRPr="00C9206B">
        <w:rPr>
          <w:b w:val="0"/>
          <w:i/>
        </w:rPr>
        <w:t>P. involutus DJR1</w:t>
      </w:r>
      <w:r w:rsidRPr="00635993">
        <w:rPr>
          <w:b w:val="0"/>
        </w:rPr>
        <w:t xml:space="preserve"> hyphae grown in symbiosis with </w:t>
      </w:r>
      <w:r w:rsidR="00C9206B" w:rsidRPr="00C9206B">
        <w:rPr>
          <w:b w:val="0"/>
          <w:i/>
        </w:rPr>
        <w:t>P.</w:t>
      </w:r>
      <w:r w:rsidR="00C9206B">
        <w:rPr>
          <w:b w:val="0"/>
          <w:i/>
        </w:rPr>
        <w:t xml:space="preserve"> s</w:t>
      </w:r>
      <w:r w:rsidR="00C9206B" w:rsidRPr="00C9206B">
        <w:rPr>
          <w:b w:val="0"/>
          <w:i/>
        </w:rPr>
        <w:t>ylvestris</w:t>
      </w:r>
      <w:r w:rsidRPr="00635993">
        <w:rPr>
          <w:b w:val="0"/>
        </w:rPr>
        <w:t xml:space="preserve"> seedling</w:t>
      </w:r>
      <w:r w:rsidR="00C9206B">
        <w:rPr>
          <w:b w:val="0"/>
        </w:rPr>
        <w:t>s</w:t>
      </w:r>
      <w:r w:rsidRPr="00635993">
        <w:rPr>
          <w:b w:val="0"/>
        </w:rPr>
        <w:t xml:space="preserve">. HAP+: </w:t>
      </w:r>
      <w:r w:rsidR="00C9206B" w:rsidRPr="00C9206B">
        <w:rPr>
          <w:b w:val="0"/>
          <w:i/>
        </w:rPr>
        <w:t>P. involutus DJR1</w:t>
      </w:r>
      <w:r w:rsidRPr="00635993">
        <w:rPr>
          <w:b w:val="0"/>
        </w:rPr>
        <w:t xml:space="preserve"> hyphae grown in </w:t>
      </w:r>
      <w:r w:rsidR="00694A41">
        <w:rPr>
          <w:b w:val="0"/>
        </w:rPr>
        <w:t xml:space="preserve">the </w:t>
      </w:r>
      <w:r w:rsidRPr="00635993">
        <w:rPr>
          <w:b w:val="0"/>
        </w:rPr>
        <w:t xml:space="preserve">presence of </w:t>
      </w:r>
      <w:r w:rsidR="004B560C" w:rsidRPr="00635993">
        <w:rPr>
          <w:b w:val="0"/>
        </w:rPr>
        <w:t>HAP</w:t>
      </w:r>
      <w:r w:rsidRPr="00635993">
        <w:rPr>
          <w:b w:val="0"/>
        </w:rPr>
        <w:t xml:space="preserve">. HAP-: </w:t>
      </w:r>
      <w:r w:rsidR="00C9206B" w:rsidRPr="00C9206B">
        <w:rPr>
          <w:b w:val="0"/>
          <w:i/>
        </w:rPr>
        <w:t>P. involutus DJR1</w:t>
      </w:r>
      <w:r w:rsidRPr="00635993">
        <w:rPr>
          <w:b w:val="0"/>
        </w:rPr>
        <w:t xml:space="preserve"> hyphae grown in </w:t>
      </w:r>
      <w:r w:rsidR="00694A41">
        <w:rPr>
          <w:b w:val="0"/>
        </w:rPr>
        <w:t xml:space="preserve">the </w:t>
      </w:r>
      <w:r w:rsidR="00C9206B">
        <w:rPr>
          <w:b w:val="0"/>
        </w:rPr>
        <w:t>ab</w:t>
      </w:r>
      <w:r w:rsidRPr="00635993">
        <w:rPr>
          <w:b w:val="0"/>
        </w:rPr>
        <w:t xml:space="preserve">sence of </w:t>
      </w:r>
      <w:r w:rsidR="00C9206B">
        <w:rPr>
          <w:b w:val="0"/>
        </w:rPr>
        <w:t>HAP</w:t>
      </w:r>
      <w:r w:rsidRPr="00635993">
        <w:rPr>
          <w:b w:val="0"/>
        </w:rPr>
        <w:t xml:space="preserve">. Growth period of </w:t>
      </w:r>
      <w:r w:rsidR="00C9206B">
        <w:rPr>
          <w:b w:val="0"/>
        </w:rPr>
        <w:t>five</w:t>
      </w:r>
      <w:r w:rsidRPr="00635993">
        <w:rPr>
          <w:b w:val="0"/>
        </w:rPr>
        <w:t xml:space="preserve"> months. </w:t>
      </w:r>
      <w:r w:rsidRPr="00B46FB7">
        <w:t>Up:</w:t>
      </w:r>
      <w:r w:rsidRPr="00635993">
        <w:rPr>
          <w:b w:val="0"/>
        </w:rPr>
        <w:t xml:space="preserve"> genes upregulated in the first term compared to the second. </w:t>
      </w:r>
      <w:r w:rsidRPr="00B46FB7">
        <w:t>Down:</w:t>
      </w:r>
      <w:r w:rsidRPr="00635993">
        <w:rPr>
          <w:b w:val="0"/>
        </w:rPr>
        <w:t xml:space="preserve"> genes downregulated in the first term compared to the second.</w:t>
      </w:r>
    </w:p>
    <w:p w14:paraId="755928DD" w14:textId="5BCEAA5C" w:rsidR="000D7D3D" w:rsidRPr="00B12E33" w:rsidRDefault="000D7D3D" w:rsidP="00635993">
      <w:pPr>
        <w:pStyle w:val="Subtitle"/>
      </w:pPr>
      <w:r w:rsidRPr="00B12E33">
        <w:br w:type="page"/>
      </w:r>
    </w:p>
    <w:p w14:paraId="78818B49" w14:textId="6448CCB8" w:rsidR="000D7D3D" w:rsidRPr="000D7D3D" w:rsidRDefault="000D7D3D" w:rsidP="00635993">
      <w:pPr>
        <w:pStyle w:val="Heading2"/>
      </w:pPr>
      <w:bookmarkStart w:id="490" w:name="_Toc507604077"/>
      <w:bookmarkStart w:id="491" w:name="_Toc507604344"/>
      <w:bookmarkStart w:id="492" w:name="_Toc519017046"/>
      <w:bookmarkStart w:id="493" w:name="_Toc520837959"/>
      <w:r w:rsidRPr="000D7D3D">
        <w:lastRenderedPageBreak/>
        <w:t xml:space="preserve">5.3.4 </w:t>
      </w:r>
      <w:r w:rsidRPr="000D7D3D">
        <w:rPr>
          <w:i/>
        </w:rPr>
        <w:t>P. involutus</w:t>
      </w:r>
      <w:r w:rsidR="0094428C">
        <w:rPr>
          <w:i/>
        </w:rPr>
        <w:t xml:space="preserve"> DJR1</w:t>
      </w:r>
      <w:r w:rsidRPr="000D7D3D">
        <w:t xml:space="preserve"> genes differentially regulated in response to the presence of </w:t>
      </w:r>
      <w:r w:rsidR="004B560C">
        <w:t>HAP</w:t>
      </w:r>
      <w:r w:rsidR="004B560C" w:rsidRPr="000D7D3D">
        <w:t xml:space="preserve"> </w:t>
      </w:r>
      <w:r w:rsidRPr="000D7D3D">
        <w:t>in NS condition</w:t>
      </w:r>
      <w:bookmarkEnd w:id="490"/>
      <w:bookmarkEnd w:id="491"/>
      <w:bookmarkEnd w:id="492"/>
      <w:bookmarkEnd w:id="493"/>
    </w:p>
    <w:p w14:paraId="1CC96A08" w14:textId="0CF5A7CA" w:rsidR="000D7D3D" w:rsidRPr="000D7D3D" w:rsidRDefault="000D7D3D" w:rsidP="003F7054">
      <w:r w:rsidRPr="000D7D3D">
        <w:t xml:space="preserve">According to the differential gene expression analysis in Section 5.3.3 between the NS HAP+ and NS HAP-, a total of 559 genes were found to be upregulated and 837 downregulated (Table 5.1). There was a substantial variation in fold changes of gene expression values within this pairwise comparison, and their </w:t>
      </w:r>
      <w:r w:rsidR="0094428C">
        <w:t>statistical significance</w:t>
      </w:r>
      <w:r w:rsidRPr="000D7D3D">
        <w:t xml:space="preserve">. In RNA-seq </w:t>
      </w:r>
      <w:r w:rsidR="0094428C">
        <w:t>datasets, ranking genes by fold-</w:t>
      </w:r>
      <w:r w:rsidRPr="000D7D3D">
        <w:t xml:space="preserve">changes can result in noise from the large changes estimated in genes with low read counts </w:t>
      </w:r>
      <w:r w:rsidRPr="000D7D3D">
        <w:fldChar w:fldCharType="begin" w:fldLock="1"/>
      </w:r>
      <w:r w:rsidR="00EE33AB">
        <w:instrText>ADDIN CSL_CITATION {"citationItems":[{"id":"ITEM-1","itemData":{"DOI":"10.1186/s13059-014-0550-8","ISBN":"1465-6906","ISSN":"1474-760X","PMID":"25516281","abstract":"In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http://www.bioconductor.org/packages/release/bioc/html/DESeq2.html webcite.","author":[{"dropping-particle":"","family":"Love","given":"Michael I","non-dropping-particle":"","parse-names":false,"suffix":""},{"dropping-particle":"","family":"Huber","given":"Wolfgang","non-dropping-particle":"","parse-names":false,"suffix":""},{"dropping-particle":"","family":"Anders","given":"Simon","non-dropping-particle":"","parse-names":false,"suffix":""}],"container-title":"Genome Biology","id":"ITEM-1","issue":"12","issued":{"date-parts":[["2014"]]},"page":"550","title":"Moderated estimation of fold change and dispersion for RNA-seq data with DESeq2","type":"article-journal","volume":"15"},"uris":["http://www.mendeley.com/documents/?uuid=006b0008-bad3-4291-81b1-f6922f70983e"]}],"mendeley":{"formattedCitation":"(Love et al., 2014)","plainTextFormattedCitation":"(Love et al., 2014)","previouslyFormattedCitation":"(Love et al., 2014)"},"properties":{"noteIndex":0},"schema":"https://github.com/citation-style-language/schema/raw/master/csl-citation.json"}</w:instrText>
      </w:r>
      <w:r w:rsidRPr="000D7D3D">
        <w:fldChar w:fldCharType="separate"/>
      </w:r>
      <w:r w:rsidRPr="000D7D3D">
        <w:rPr>
          <w:noProof/>
        </w:rPr>
        <w:t>(Love et al., 2014)</w:t>
      </w:r>
      <w:r w:rsidRPr="000D7D3D">
        <w:fldChar w:fldCharType="end"/>
      </w:r>
      <w:r w:rsidRPr="000D7D3D">
        <w:t xml:space="preserve"> and for this reason in the present study, differentially expressed genes were ranked according to </w:t>
      </w:r>
      <w:r w:rsidR="0094428C">
        <w:t xml:space="preserve">statistical </w:t>
      </w:r>
      <w:r w:rsidRPr="000D7D3D">
        <w:t>significance. In order t</w:t>
      </w:r>
      <w:r w:rsidR="0094428C">
        <w:t xml:space="preserve">o highlight the genes which are most differentially </w:t>
      </w:r>
      <w:r w:rsidRPr="000D7D3D">
        <w:t xml:space="preserve">regulated at each comparison, heat maps of the top 50 </w:t>
      </w:r>
      <w:r w:rsidR="0094428C">
        <w:t xml:space="preserve">most </w:t>
      </w:r>
      <w:r w:rsidRPr="000D7D3D">
        <w:t>upregulated or downregulated genes</w:t>
      </w:r>
      <w:r w:rsidR="0094428C">
        <w:t>,</w:t>
      </w:r>
      <w:r w:rsidRPr="000D7D3D">
        <w:t xml:space="preserve"> </w:t>
      </w:r>
      <w:r w:rsidR="0094428C" w:rsidRPr="000D7D3D">
        <w:t xml:space="preserve">i.e. with the lowest Q-values, </w:t>
      </w:r>
      <w:r w:rsidRPr="000D7D3D">
        <w:t>were generated (</w:t>
      </w:r>
      <w:r w:rsidR="003F061A">
        <w:t>S</w:t>
      </w:r>
      <w:r w:rsidRPr="000D7D3D">
        <w:t>ections 5.3.4-5.3.6).</w:t>
      </w:r>
    </w:p>
    <w:p w14:paraId="75F567C8" w14:textId="21EB2C74" w:rsidR="000D7D3D" w:rsidRPr="000D7D3D" w:rsidRDefault="000D7D3D" w:rsidP="007F746A">
      <w:pPr>
        <w:ind w:firstLine="720"/>
      </w:pPr>
      <w:r w:rsidRPr="000D7D3D">
        <w:t xml:space="preserve">The top 50 </w:t>
      </w:r>
      <w:r w:rsidR="0006437A">
        <w:t xml:space="preserve">most significantly </w:t>
      </w:r>
      <w:r w:rsidRPr="000D7D3D">
        <w:t xml:space="preserve">upregulated or downregulated genes are presented in Figure 5.4A and 5.4B </w:t>
      </w:r>
      <w:r w:rsidR="0094428C">
        <w:t xml:space="preserve">respectively. In particular, </w:t>
      </w:r>
      <w:r w:rsidRPr="000D7D3D">
        <w:t xml:space="preserve">Figure 5.4A </w:t>
      </w:r>
      <w:r w:rsidR="0094428C">
        <w:t>shows</w:t>
      </w:r>
      <w:r w:rsidRPr="000D7D3D">
        <w:t xml:space="preserve"> the genes which are upregulated in response to HAP in NS condition. </w:t>
      </w:r>
      <w:r w:rsidR="00195C05">
        <w:t>Genes i</w:t>
      </w:r>
      <w:r w:rsidRPr="000D7D3D">
        <w:t xml:space="preserve">n this selection </w:t>
      </w:r>
      <w:r w:rsidR="00195C05">
        <w:t xml:space="preserve">encode for putative proteins </w:t>
      </w:r>
      <w:r w:rsidRPr="000D7D3D">
        <w:t>involved in signalling, such as serine/threonine kinas</w:t>
      </w:r>
      <w:r w:rsidR="0094428C">
        <w:t>es and tyrosine phosphatase</w:t>
      </w:r>
      <w:r w:rsidR="00195C05">
        <w:t>s</w:t>
      </w:r>
      <w:r w:rsidR="0094428C">
        <w:t xml:space="preserve">, or </w:t>
      </w:r>
      <w:r w:rsidRPr="000D7D3D">
        <w:t>gene transcriptional regulation, such as zinc finger (ZF) transcription factor</w:t>
      </w:r>
      <w:r w:rsidR="0094428C">
        <w:t>s</w:t>
      </w:r>
      <w:r w:rsidRPr="000D7D3D">
        <w:t xml:space="preserve">, </w:t>
      </w:r>
      <w:r w:rsidR="00195C05" w:rsidRPr="000D7D3D">
        <w:t>WD40 domain</w:t>
      </w:r>
      <w:r w:rsidRPr="000D7D3D">
        <w:t>, F-box domain, ARM repeats or YTH domain</w:t>
      </w:r>
      <w:r w:rsidR="00195C05">
        <w:t xml:space="preserve"> containing proteins</w:t>
      </w:r>
      <w:r w:rsidRPr="000D7D3D">
        <w:t xml:space="preserve">. Additionally, some </w:t>
      </w:r>
      <w:r w:rsidR="00195C05" w:rsidRPr="000D7D3D">
        <w:t xml:space="preserve">genes </w:t>
      </w:r>
      <w:r w:rsidR="00195C05">
        <w:t>encode</w:t>
      </w:r>
      <w:r w:rsidR="00DB6DE0">
        <w:t xml:space="preserve"> for</w:t>
      </w:r>
      <w:r w:rsidR="00195C05">
        <w:t xml:space="preserve"> </w:t>
      </w:r>
      <w:r w:rsidRPr="000D7D3D">
        <w:t xml:space="preserve">putative signalling </w:t>
      </w:r>
      <w:r w:rsidR="00195C05">
        <w:t xml:space="preserve">proteins </w:t>
      </w:r>
      <w:r w:rsidRPr="000D7D3D">
        <w:t>involved in cellular maintenance processes such as DNA replication, DNA repair, cell division and cell morphogenesis. These</w:t>
      </w:r>
      <w:r w:rsidR="00195C05">
        <w:t xml:space="preserve"> putative</w:t>
      </w:r>
      <w:r w:rsidRPr="000D7D3D">
        <w:t xml:space="preserve"> </w:t>
      </w:r>
      <w:r w:rsidR="00195C05">
        <w:t>proteins</w:t>
      </w:r>
      <w:r w:rsidRPr="000D7D3D">
        <w:t xml:space="preserve"> include </w:t>
      </w:r>
      <w:r w:rsidR="00195C05">
        <w:t xml:space="preserve">an </w:t>
      </w:r>
      <w:r w:rsidRPr="000D7D3D">
        <w:t xml:space="preserve">HMG-box transcription factor, </w:t>
      </w:r>
      <w:r w:rsidR="00195C05">
        <w:t>a</w:t>
      </w:r>
      <w:r w:rsidR="00DB6DE0">
        <w:t xml:space="preserve"> DNA ligase and</w:t>
      </w:r>
      <w:r w:rsidRPr="000D7D3D">
        <w:t xml:space="preserve"> </w:t>
      </w:r>
      <w:r w:rsidR="006028D9">
        <w:t>the</w:t>
      </w:r>
      <w:r w:rsidR="00195C05">
        <w:t xml:space="preserve"> </w:t>
      </w:r>
      <w:r w:rsidR="006028D9">
        <w:t>DNA repair protein RAD50, the</w:t>
      </w:r>
      <w:r w:rsidRPr="000D7D3D">
        <w:t xml:space="preserve"> spindle pole body-associated protein SAD1 and </w:t>
      </w:r>
      <w:r w:rsidR="006028D9">
        <w:t>the</w:t>
      </w:r>
      <w:r w:rsidR="00DB6DE0">
        <w:t xml:space="preserve"> </w:t>
      </w:r>
      <w:r w:rsidRPr="000D7D3D">
        <w:t>cell morphogenesis protein PAG1. Two genes encoding</w:t>
      </w:r>
      <w:r w:rsidR="00DB6DE0">
        <w:t xml:space="preserve"> for</w:t>
      </w:r>
      <w:r w:rsidRPr="000D7D3D">
        <w:t xml:space="preserve"> putative enzym</w:t>
      </w:r>
      <w:r w:rsidR="00DB6DE0">
        <w:t>es involved in N metabolism are</w:t>
      </w:r>
      <w:r w:rsidRPr="000D7D3D">
        <w:t xml:space="preserve"> also upregulated, such as </w:t>
      </w:r>
      <w:r w:rsidR="006028D9">
        <w:t xml:space="preserve">a </w:t>
      </w:r>
      <w:r w:rsidRPr="000D7D3D">
        <w:t xml:space="preserve">urease and </w:t>
      </w:r>
      <w:r w:rsidR="006028D9">
        <w:t xml:space="preserve">a </w:t>
      </w:r>
      <w:r w:rsidRPr="000D7D3D">
        <w:t>dipeptidyl aminopeptidase, as well as putative redox enzymes such as</w:t>
      </w:r>
      <w:r w:rsidR="006028D9">
        <w:t xml:space="preserve"> a</w:t>
      </w:r>
      <w:r w:rsidRPr="000D7D3D">
        <w:t xml:space="preserve"> NADPH oxidase and </w:t>
      </w:r>
      <w:r w:rsidR="006028D9">
        <w:t xml:space="preserve">a </w:t>
      </w:r>
      <w:r w:rsidRPr="000D7D3D">
        <w:t xml:space="preserve">NADH-ubiquinone oxidoreductase. Notably, many putative transporter encoding genes are also upregulated in response to HAP including a MATE efflux pump, </w:t>
      </w:r>
      <w:r w:rsidR="006028D9">
        <w:t xml:space="preserve">a </w:t>
      </w:r>
      <w:r w:rsidR="00543D59">
        <w:t>major facilitator superfamily (</w:t>
      </w:r>
      <w:r w:rsidRPr="000D7D3D">
        <w:t>MFS</w:t>
      </w:r>
      <w:r w:rsidR="00543D59">
        <w:t>)</w:t>
      </w:r>
      <w:r w:rsidRPr="000D7D3D">
        <w:t xml:space="preserve"> polyamine transporter, the </w:t>
      </w:r>
      <w:r w:rsidR="00F52BD5">
        <w:t>magnesium (</w:t>
      </w:r>
      <w:r w:rsidRPr="000D7D3D">
        <w:t>Mg</w:t>
      </w:r>
      <w:r w:rsidR="00F52BD5">
        <w:t>)</w:t>
      </w:r>
      <w:r w:rsidRPr="000D7D3D">
        <w:t xml:space="preserve"> transporter ALR1, multiple Ca-transporting ATPases and the Ca-permeable</w:t>
      </w:r>
      <w:r w:rsidR="006028D9">
        <w:t xml:space="preserve"> stress-gated channel 1 (CSC1).</w:t>
      </w:r>
    </w:p>
    <w:p w14:paraId="7A7E8CD7" w14:textId="226A70CD" w:rsidR="000D7D3D" w:rsidRPr="000D7D3D" w:rsidRDefault="000D7D3D" w:rsidP="00634533">
      <w:pPr>
        <w:ind w:firstLine="720"/>
      </w:pPr>
      <w:r w:rsidRPr="000D7D3D">
        <w:lastRenderedPageBreak/>
        <w:t xml:space="preserve">Downregulated genes in </w:t>
      </w:r>
      <w:r w:rsidR="00A273E4">
        <w:t xml:space="preserve">the </w:t>
      </w:r>
      <w:r w:rsidRPr="000D7D3D">
        <w:t xml:space="preserve">presence of </w:t>
      </w:r>
      <w:r w:rsidR="00AD408E">
        <w:t>HAP</w:t>
      </w:r>
      <w:r w:rsidRPr="000D7D3D">
        <w:t xml:space="preserve"> in NS conditions, shown in Figure 5.4B, </w:t>
      </w:r>
      <w:r w:rsidR="00AD408E">
        <w:t>encode</w:t>
      </w:r>
      <w:r w:rsidRPr="000D7D3D">
        <w:t xml:space="preserve"> for </w:t>
      </w:r>
      <w:r w:rsidR="00AD408E">
        <w:t xml:space="preserve">putative </w:t>
      </w:r>
      <w:r w:rsidRPr="000D7D3D">
        <w:t xml:space="preserve">components of primary metabolism, cellular respiration and redox </w:t>
      </w:r>
      <w:r w:rsidR="00AD408E">
        <w:t>homeostasis. These include a c</w:t>
      </w:r>
      <w:r w:rsidRPr="000D7D3D">
        <w:t>ytochrome-</w:t>
      </w:r>
      <w:r w:rsidR="00AD408E">
        <w:t>c</w:t>
      </w:r>
      <w:r w:rsidRPr="000D7D3D">
        <w:t xml:space="preserve"> oxidase (complex IV) and two </w:t>
      </w:r>
      <w:r w:rsidR="00AD408E">
        <w:t>c</w:t>
      </w:r>
      <w:r w:rsidRPr="000D7D3D">
        <w:t xml:space="preserve">ytochrome-c reductase (Complex III), </w:t>
      </w:r>
      <w:r w:rsidR="00AD408E">
        <w:t>a</w:t>
      </w:r>
      <w:r w:rsidRPr="000D7D3D">
        <w:t xml:space="preserve"> glutathione peroxidase (GPX2), a thioredoxin and three glutathione S-transferases. Additionally, multiple</w:t>
      </w:r>
      <w:r w:rsidR="00AD408E">
        <w:t xml:space="preserve"> genes encoding for putative</w:t>
      </w:r>
      <w:r w:rsidRPr="000D7D3D">
        <w:t xml:space="preserve"> components of carbohydrate and fatty acid biosynthesis are downregulated during </w:t>
      </w:r>
      <w:r w:rsidR="00AD408E">
        <w:t xml:space="preserve">HAP weathering </w:t>
      </w:r>
      <w:r w:rsidRPr="000D7D3D">
        <w:t xml:space="preserve">in NS conditions. Downregulated components of carbohydrate metabolism include a 2-keto-3-deoxy-L-rhamnonate aldolase, a sorbitol dehydrogenase and a ribulose phosphate 3-epimerase. </w:t>
      </w:r>
      <w:r w:rsidR="00ED0161" w:rsidRPr="000D7D3D">
        <w:t>D</w:t>
      </w:r>
      <w:r w:rsidRPr="000D7D3D">
        <w:t xml:space="preserve">ownregulated fatty acid biosynthesis components include two NADPH-dependant reductases, </w:t>
      </w:r>
      <w:r w:rsidR="00ED0161">
        <w:t>a 2,</w:t>
      </w:r>
      <w:r w:rsidR="001E4BEF">
        <w:t xml:space="preserve"> </w:t>
      </w:r>
      <w:r w:rsidR="00ED0161">
        <w:t>4-dienoyl-CoA reductase,</w:t>
      </w:r>
      <w:r w:rsidRPr="000D7D3D">
        <w:t xml:space="preserve"> </w:t>
      </w:r>
      <w:r w:rsidR="00ED0161">
        <w:t>a 3-oxoacyl-ACP reductase</w:t>
      </w:r>
      <w:r w:rsidRPr="000D7D3D">
        <w:t xml:space="preserve"> and </w:t>
      </w:r>
      <w:r w:rsidR="00ED0161">
        <w:t>a</w:t>
      </w:r>
      <w:r w:rsidRPr="000D7D3D">
        <w:t xml:space="preserve"> putative acyl carrier p</w:t>
      </w:r>
      <w:r w:rsidR="00A470A8">
        <w:t>rotein (ACP). Notably, the high-</w:t>
      </w:r>
      <w:r w:rsidRPr="000D7D3D">
        <w:t xml:space="preserve">affinity </w:t>
      </w:r>
      <w:r w:rsidR="00ED0161">
        <w:t xml:space="preserve">Pi </w:t>
      </w:r>
      <w:r w:rsidRPr="000D7D3D">
        <w:t xml:space="preserve">transporter </w:t>
      </w:r>
      <w:r w:rsidR="00234986">
        <w:t xml:space="preserve">gene </w:t>
      </w:r>
      <w:r w:rsidRPr="00635993">
        <w:rPr>
          <w:i/>
        </w:rPr>
        <w:t>PiPT1</w:t>
      </w:r>
      <w:r w:rsidRPr="000D7D3D">
        <w:t xml:space="preserve"> was strongly downregulated in </w:t>
      </w:r>
      <w:r w:rsidR="005E1EAD">
        <w:t xml:space="preserve">the </w:t>
      </w:r>
      <w:r w:rsidRPr="000D7D3D">
        <w:t xml:space="preserve">presence of </w:t>
      </w:r>
      <w:r w:rsidR="00ED0161">
        <w:t>HAP in NS condition</w:t>
      </w:r>
      <w:r w:rsidRPr="000D7D3D">
        <w:t>, confirming previous results (Chapter 4, Figure 4.8</w:t>
      </w:r>
      <w:r w:rsidR="00ED0161">
        <w:t>D). In addition</w:t>
      </w:r>
      <w:r w:rsidRPr="000D7D3D">
        <w:t xml:space="preserve">, </w:t>
      </w:r>
      <w:r w:rsidR="00ED0161">
        <w:t xml:space="preserve">a gene encoding for </w:t>
      </w:r>
      <w:r w:rsidRPr="000D7D3D">
        <w:t>a putative phosphat</w:t>
      </w:r>
      <w:r w:rsidR="00ED0161">
        <w:t>ase belonging</w:t>
      </w:r>
      <w:r w:rsidRPr="000D7D3D">
        <w:t xml:space="preserve"> </w:t>
      </w:r>
      <w:r w:rsidR="00ED0161">
        <w:t xml:space="preserve">to </w:t>
      </w:r>
      <w:r w:rsidRPr="000D7D3D">
        <w:t xml:space="preserve">the haloacid dehydrogenase (HAD) superfamily was also found to be downregulated. Several genes encoding </w:t>
      </w:r>
      <w:r w:rsidR="00ED0161">
        <w:t xml:space="preserve">for putative </w:t>
      </w:r>
      <w:r w:rsidRPr="000D7D3D">
        <w:t xml:space="preserve">signalling proteins were also found to be downregulated, including </w:t>
      </w:r>
      <w:r w:rsidR="00ED0161">
        <w:t>a ZF</w:t>
      </w:r>
      <w:r w:rsidRPr="000D7D3D">
        <w:t xml:space="preserve"> transcription factor, </w:t>
      </w:r>
      <w:r w:rsidR="00ED0161">
        <w:t>a</w:t>
      </w:r>
      <w:r w:rsidRPr="000D7D3D">
        <w:t xml:space="preserve"> serine/threonine kinase and </w:t>
      </w:r>
      <w:r w:rsidR="00ED0161">
        <w:t>a</w:t>
      </w:r>
      <w:r w:rsidRPr="000D7D3D">
        <w:t xml:space="preserve"> small GTPase </w:t>
      </w:r>
      <w:r w:rsidR="00ED0161">
        <w:t>belonging to</w:t>
      </w:r>
      <w:r w:rsidRPr="000D7D3D">
        <w:t xml:space="preserve"> the R</w:t>
      </w:r>
      <w:r w:rsidR="00ED0161" w:rsidRPr="00ED0161">
        <w:t>as</w:t>
      </w:r>
      <w:r w:rsidR="00ED0161">
        <w:t xml:space="preserve"> superfamily.</w:t>
      </w:r>
      <w:r w:rsidRPr="000D7D3D">
        <w:br w:type="page"/>
      </w:r>
    </w:p>
    <w:p w14:paraId="63EE13A2" w14:textId="77777777" w:rsidR="000D7D3D" w:rsidRPr="000D7D3D" w:rsidRDefault="000D7D3D" w:rsidP="007F746A">
      <w:r w:rsidRPr="000D7D3D">
        <w:rPr>
          <w:noProof/>
          <w:lang w:eastAsia="en-GB"/>
        </w:rPr>
        <w:lastRenderedPageBreak/>
        <w:drawing>
          <wp:inline distT="0" distB="0" distL="0" distR="0" wp14:anchorId="536D2F59" wp14:editId="1EBE4B74">
            <wp:extent cx="5943600" cy="45116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5.4++.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511675"/>
                    </a:xfrm>
                    <a:prstGeom prst="rect">
                      <a:avLst/>
                    </a:prstGeom>
                  </pic:spPr>
                </pic:pic>
              </a:graphicData>
            </a:graphic>
          </wp:inline>
        </w:drawing>
      </w:r>
    </w:p>
    <w:p w14:paraId="68763918" w14:textId="77777777" w:rsidR="00634533" w:rsidRDefault="000D7D3D" w:rsidP="00635993">
      <w:pPr>
        <w:pStyle w:val="Subtitle"/>
        <w:pBdr>
          <w:top w:val="single" w:sz="4" w:space="1" w:color="auto"/>
        </w:pBdr>
        <w:rPr>
          <w:b w:val="0"/>
        </w:rPr>
      </w:pPr>
      <w:r w:rsidRPr="000D7D3D">
        <w:t xml:space="preserve">Figure 5.4 </w:t>
      </w:r>
      <w:r w:rsidRPr="00635993">
        <w:rPr>
          <w:b w:val="0"/>
        </w:rPr>
        <w:t xml:space="preserve">Heat maps of normalized read counts for genes differentially expressed in </w:t>
      </w:r>
      <w:r w:rsidRPr="00635993">
        <w:rPr>
          <w:b w:val="0"/>
          <w:i/>
        </w:rPr>
        <w:t>P. involutus</w:t>
      </w:r>
      <w:r w:rsidR="00C076D6">
        <w:rPr>
          <w:b w:val="0"/>
          <w:i/>
        </w:rPr>
        <w:t xml:space="preserve"> DJR1</w:t>
      </w:r>
      <w:r w:rsidRPr="00635993">
        <w:rPr>
          <w:b w:val="0"/>
        </w:rPr>
        <w:t xml:space="preserve"> hyphae between </w:t>
      </w:r>
      <w:r w:rsidR="00C076D6">
        <w:rPr>
          <w:b w:val="0"/>
        </w:rPr>
        <w:t>NS</w:t>
      </w:r>
      <w:r w:rsidRPr="00635993">
        <w:rPr>
          <w:b w:val="0"/>
        </w:rPr>
        <w:t xml:space="preserve"> HAP- and </w:t>
      </w:r>
      <w:r w:rsidR="00C076D6">
        <w:rPr>
          <w:b w:val="0"/>
        </w:rPr>
        <w:t>NS</w:t>
      </w:r>
      <w:r w:rsidRPr="00635993">
        <w:rPr>
          <w:b w:val="0"/>
        </w:rPr>
        <w:t xml:space="preserve"> HAP+. Z-score values are shown for the top 50 genes ranked by significance (Q-values) between groups compared. The putative functional annotation for each gene is listed on the right of each heat map which was inferred mainly by using the BLAST program together with the annotation on the MycoCosm at the JGI database </w:t>
      </w:r>
      <w:r w:rsidRPr="00635993">
        <w:rPr>
          <w:b w:val="0"/>
        </w:rPr>
        <w:fldChar w:fldCharType="begin" w:fldLock="1"/>
      </w:r>
      <w:r w:rsidR="00EE33AB">
        <w:rPr>
          <w:b w:val="0"/>
        </w:rPr>
        <w:instrText>ADDIN CSL_CITATION {"citationItems":[{"id":"ITEM-1","itemData":{"DOI":"10.1093/nar/25.17.3389","ISBN":"0305-1048","ISSN":"13624962","PMID":"9254694","abstract":"The BLAST programs are widely used tools for searching protein and DNA databases for sequence similarities. For protein comparisons, a variety of definitional, algorithmic and statistical refinements described here permits the execution time of the BLAST programs to be decreased substantially while enhancing their sensitivity to weak similarities. A new criterion for triggering the extension of word hits, combined with a new heuristic for generating gapped alignments, yields a gapped BLAST program that runs at approximately three times the speed of the original. In addition, a method is introduced for automatically combining statistically significant alignments produced by BLAST into a position-specific score matrix, and searching the database using this matrix. The resulting Position-Specific Iterated BLAST (PSIBLAST) program runs at approximately the same speed per iteration as gapped BLAST, but in many cases is much more sensitive to weak but biologically relevant sequence similarities. PSI-BLAST is used to uncover several new and interesting members of the BRCT superfamily.","author":[{"dropping-particle":"","family":"Altschul","given":"Stephen F","non-dropping-particle":"","parse-names":false,"suffix":""},{"dropping-particle":"","family":"Madden","given":"Thomas L","non-dropping-particle":"","parse-names":false,"suffix":""},{"dropping-particle":"","family":"Schäffer","given":"Alejandto a","non-dropping-particle":"","parse-names":false,"suffix":""},{"dropping-particle":"","family":"Zhang","given":"Jinghui","non-dropping-particle":"","parse-names":false,"suffix":""},{"dropping-particle":"","family":"Zhang","given":"Zheng","non-dropping-particle":"","parse-names":false,"suffix":""},{"dropping-particle":"","family":"Miller","given":"Webb","non-dropping-particle":"","parse-names":false,"suffix":""},{"dropping-particle":"","family":"Lipman","given":"David J","non-dropping-particle":"","parse-names":false,"suffix":""}],"container-title":"Nucleic Acids Research","id":"ITEM-1","issue":"17","issued":{"date-parts":[["1997"]]},"page":"3389-3402","title":"Gapped BLAST and PSI-BLAST:a new generation of protein database search programs","type":"article-journal","volume":"25"},"uris":["http://www.mendeley.com/documents/?uuid=65c4a1d4-3fb8-4a6a-bb23-1f5f98fcd0e5"]},{"id":"ITEM-2","itemData":{"DOI":"10.1093/nar/gkt1183","ISBN":"1362-4962 (Electronic)\\n0305-1048 (Linking)","ISSN":"03051048","PMID":"24297253","abstract":"MycoCosm is a fungal genomics portal (http://jgi.doe.gov/fungi), developed by the US Department of Energy Joint Genome Institute to support integration, analysis and dissemination of fungal genome sequences and other 'omics' data by providing interactive web-based tools. MycoCosm also promotes and facilitates user community participation through the nomination of new species of fungi for sequencing, and the annotation and analysis of resulting data. By efficiently filling gaps in the Fungal Tree of Life, MycoCosm will help address important problems associated with energy and the environment, taking advantage of growing fungal genomics resources.","author":[{"dropping-particle":"V.","family":"Grigoriev","given":"Igor","non-dropping-particle":"","parse-names":false,"suffix":""},{"dropping-particle":"","family":"Nikitin","given":"Roman","non-dropping-particle":"","parse-names":false,"suffix":""},{"dropping-particle":"","family":"Haridas","given":"Sajeet","non-dropping-particle":"","parse-names":false,"suffix":""},{"dropping-particle":"","family":"Kuo","given":"Alan","non-dropping-particle":"","parse-names":false,"suffix":""},{"dropping-particle":"","family":"Ohm","given":"Robin","non-dropping-particle":"","parse-names":false,"suffix":""},{"dropping-particle":"","family":"Otillar","given":"Robert","non-dropping-particle":"","parse-names":false,"suffix":""},{"dropping-particle":"","family":"Riley","given":"Robert","non-dropping-particle":"","parse-names":false,"suffix":""},{"dropping-particle":"","family":"Salamov","given":"Asaf","non-dropping-particle":"","parse-names":false,"suffix":""},{"dropping-particle":"","family":"Zhao","given":"Xueling","non-dropping-particle":"","parse-names":false,"suffix":""},{"dropping-particle":"","family":"Korzeniewski","given":"Frank","non-dropping-particle":"","parse-names":false,"suffix":""},{"dropping-particle":"","family":"Smirnova","given":"Tatyana","non-dropping-particle":"","parse-names":false,"suffix":""},{"dropping-particle":"","family":"Nordberg","given":"Henrik","non-dropping-particle":"","parse-names":false,"suffix":""},{"dropping-particle":"","family":"Dubchak","given":"Inna","non-dropping-particle":"","parse-names":false,"suffix":""},{"dropping-particle":"","family":"Shabalov","given":"Igor","non-dropping-particle":"","parse-names":false,"suffix":""}],"container-title":"Nucleic Acids Research","id":"ITEM-2","issue":"December 2013","issued":{"date-parts":[["2014"]]},"page":"699-704","title":"MycoCosm portal: Gearing up for 1000 fungal genomes","type":"article-journal","volume":"42"},"uris":["http://www.mendeley.com/documents/?uuid=eee40767-9a6f-492f-9569-bb26ff80c11c"]},{"id":"ITEM-3","itemData":{"DOI":"10.1080/21501203.2011.584577","ISBN":"2150-1203","ISSN":"2150-1203","abstract":"Fungi play important roles across the range of current and future biofuel production processes. From crop/feedstock health to plant biomass saccharification, enzyme production to bioprocesses for producing ethanol, higher alcohols, or future hydrocarbon biofuels, fungi are involved. Research and development are underway to understand the underlying biological processes and improve them to make bioenergy production efficient on an industrial scale. Genomics is the foundation of the systems biology approach that is being used to accelerate the research and development efforts across the spectrum of topic areas that impact biofuels production. In this review, we discuss past, current, and future advances made possible by genomic analyses of the fungi that impact plant/feedstock health, degradation of lignocellulosic biomass, and fermentation of sugars to ethanol, hydrocarbon biofuels, and renewable chemicals.","author":[{"dropping-particle":"V.","family":"Grigoriev","given":"Igor","non-dropping-particle":"","parse-names":false,"suffix":""},{"dropping-particle":"","family":"Cullen","given":"Daniel","non-dropping-particle":"","parse-names":false,"suffix":""},{"dropping-particle":"","family":"Goodwin","given":"Stephen B.","non-dropping-particle":"","parse-names":false,"suffix":""},{"dropping-particle":"","family":"Hibbett","given":"David","non-dropping-particle":"","parse-names":false,"suffix":""},{"dropping-particle":"","family":"Jeffries","given":"Thomas W.","non-dropping-particle":"","parse-names":false,"suffix":""},{"dropping-particle":"","family":"Kubicek","given":"Christian P.","non-dropping-particle":"","parse-names":false,"suffix":""},{"dropping-particle":"","family":"Kuske","given":"Cheryl","non-dropping-particle":"","parse-names":false,"suffix":""},{"dropping-particle":"","family":"Magnuson","given":"Jon K.","non-dropping-particle":"","parse-names":false,"suffix":""},{"dropping-particle":"","family":"Martin","given":"Francis","non-dropping-particle":"","parse-names":false,"suffix":""},{"dropping-particle":"","family":"Spatafora","given":"Joseph W.","non-dropping-particle":"","parse-names":false,"suffix":""},{"dropping-particle":"","family":"Tsang","given":"Adrian","non-dropping-particle":"","parse-names":false,"suffix":""},{"dropping-particle":"","family":"Baker","given":"Scott E.","non-dropping-particle":"","parse-names":false,"suffix":""},{"dropping-particle":"","family":"Cullen","given":"","non-dropping-particle":"","parse-names":false,"suffix":""},{"dropping-particle":"","family":"Sb","given":"Goodwin","non-dropping-particle":"","parse-names":false,"suffix":""},{"dropping-particle":"","family":"D","given":"Hibbett","non-dropping-particle":"","parse-names":false,"suffix":""},{"dropping-particle":"","family":"Tw","given":"Jeffries","non-dropping-particle":"","parse-names":false,"suffix":""},{"dropping-particle":"","family":"Cp","given":"Kubicek","non-dropping-particle":"","parse-names":false,"suffix":""},{"dropping-particle":"","family":"C","given":"Kuske","non-dropping-particle":"","parse-names":false,"suffix":""},{"dropping-particle":"","family":"Jk","given":"Magnuson","non-dropping-particle":"","parse-names":false,"suffix":""},{"dropping-particle":"","family":"F","given":"Martin","non-dropping-particle":"","parse-names":false,"suffix":""},{"dropping-particle":"","family":"Jw","given":"Spatafora","non-dropping-particle":"","parse-names":false,"suffix":""},{"dropping-particle":"","family":"a","given":"Tsang","non-dropping-particle":"","parse-names":false,"suffix":""},{"dropping-particle":"","family":"Se","given":"Baker","non-dropping-particle":"","parse-names":false,"suffix":""}],"container-title":"Mycology: An international journal on fungal biology","id":"ITEM-3","issue":"June 2016","issued":{"date-parts":[["2011"]]},"page":"192-209","title":"Fueling the future with fungal genomics","type":"article-journal","volume":"2"},"uris":["http://www.mendeley.com/documents/?uuid=9a28282a-1011-48a6-9df1-2ef8df068138"]}],"mendeley":{"formattedCitation":"(Altschul et al., 1997; Grigoriev et al., 2014, 2011)","plainTextFormattedCitation":"(Altschul et al., 1997; Grigoriev et al., 2014, 2011)","previouslyFormattedCitation":"(Altschul et al., 1997; Grigoriev et al., 2014, 2011)"},"properties":{"noteIndex":0},"schema":"https://github.com/citation-style-language/schema/raw/master/csl-citation.json"}</w:instrText>
      </w:r>
      <w:r w:rsidRPr="00635993">
        <w:rPr>
          <w:b w:val="0"/>
        </w:rPr>
        <w:fldChar w:fldCharType="separate"/>
      </w:r>
      <w:r w:rsidRPr="00635993">
        <w:rPr>
          <w:b w:val="0"/>
          <w:noProof/>
        </w:rPr>
        <w:t>(Altschul et al., 1997; Grigoriev et al., 2014, 2011)</w:t>
      </w:r>
      <w:r w:rsidRPr="00635993">
        <w:rPr>
          <w:b w:val="0"/>
        </w:rPr>
        <w:fldChar w:fldCharType="end"/>
      </w:r>
      <w:r w:rsidRPr="00635993">
        <w:rPr>
          <w:b w:val="0"/>
        </w:rPr>
        <w:t xml:space="preserve">. </w:t>
      </w:r>
      <w:r w:rsidRPr="00B46FB7">
        <w:t>A.</w:t>
      </w:r>
      <w:r w:rsidR="00C501AE">
        <w:rPr>
          <w:b w:val="0"/>
        </w:rPr>
        <w:t xml:space="preserve"> Genes showing up</w:t>
      </w:r>
      <w:r w:rsidRPr="00635993">
        <w:rPr>
          <w:b w:val="0"/>
        </w:rPr>
        <w:t xml:space="preserve">regulation in </w:t>
      </w:r>
      <w:r w:rsidR="005E1EAD">
        <w:rPr>
          <w:b w:val="0"/>
        </w:rPr>
        <w:t xml:space="preserve">the </w:t>
      </w:r>
      <w:r w:rsidRPr="00635993">
        <w:rPr>
          <w:b w:val="0"/>
        </w:rPr>
        <w:t xml:space="preserve">presence of </w:t>
      </w:r>
      <w:r w:rsidR="004B560C" w:rsidRPr="00635993">
        <w:rPr>
          <w:b w:val="0"/>
        </w:rPr>
        <w:t xml:space="preserve">HAP </w:t>
      </w:r>
      <w:r w:rsidRPr="00635993">
        <w:rPr>
          <w:b w:val="0"/>
        </w:rPr>
        <w:t xml:space="preserve">in </w:t>
      </w:r>
      <w:r w:rsidR="004B560C" w:rsidRPr="00635993">
        <w:rPr>
          <w:b w:val="0"/>
        </w:rPr>
        <w:t>NS</w:t>
      </w:r>
      <w:r w:rsidRPr="00635993">
        <w:rPr>
          <w:b w:val="0"/>
        </w:rPr>
        <w:t xml:space="preserve"> conditions. </w:t>
      </w:r>
      <w:r w:rsidRPr="00B46FB7">
        <w:t>B.</w:t>
      </w:r>
      <w:r w:rsidR="00C076D6">
        <w:rPr>
          <w:b w:val="0"/>
        </w:rPr>
        <w:t xml:space="preserve"> Genes showing down</w:t>
      </w:r>
      <w:r w:rsidRPr="00635993">
        <w:rPr>
          <w:b w:val="0"/>
        </w:rPr>
        <w:t xml:space="preserve">regulation in </w:t>
      </w:r>
      <w:r w:rsidR="005E1EAD">
        <w:rPr>
          <w:b w:val="0"/>
        </w:rPr>
        <w:t xml:space="preserve">the </w:t>
      </w:r>
      <w:r w:rsidRPr="00635993">
        <w:rPr>
          <w:b w:val="0"/>
        </w:rPr>
        <w:t xml:space="preserve">presence of </w:t>
      </w:r>
      <w:r w:rsidR="004B560C" w:rsidRPr="00635993">
        <w:rPr>
          <w:b w:val="0"/>
        </w:rPr>
        <w:t xml:space="preserve">HAP </w:t>
      </w:r>
      <w:r w:rsidRPr="00635993">
        <w:rPr>
          <w:b w:val="0"/>
        </w:rPr>
        <w:t xml:space="preserve">in </w:t>
      </w:r>
      <w:r w:rsidR="004B560C" w:rsidRPr="00635993">
        <w:rPr>
          <w:b w:val="0"/>
        </w:rPr>
        <w:t>NS</w:t>
      </w:r>
      <w:r w:rsidRPr="00635993">
        <w:rPr>
          <w:b w:val="0"/>
        </w:rPr>
        <w:t xml:space="preserve"> conditions. The first annotation bar from the top represents </w:t>
      </w:r>
      <w:r w:rsidRPr="00635993">
        <w:rPr>
          <w:b w:val="0"/>
          <w:i/>
        </w:rPr>
        <w:t>P. involutus</w:t>
      </w:r>
      <w:r w:rsidR="00C076D6">
        <w:rPr>
          <w:b w:val="0"/>
          <w:i/>
        </w:rPr>
        <w:t xml:space="preserve"> DJR1</w:t>
      </w:r>
      <w:r w:rsidRPr="00635993">
        <w:rPr>
          <w:b w:val="0"/>
        </w:rPr>
        <w:t xml:space="preserve"> hyphae growth condition</w:t>
      </w:r>
      <w:r w:rsidR="00C076D6">
        <w:rPr>
          <w:b w:val="0"/>
        </w:rPr>
        <w:t>s</w:t>
      </w:r>
      <w:r w:rsidRPr="00635993">
        <w:rPr>
          <w:b w:val="0"/>
        </w:rPr>
        <w:t xml:space="preserve"> (orange: </w:t>
      </w:r>
      <w:r w:rsidR="00BF6816" w:rsidRPr="00635993">
        <w:rPr>
          <w:b w:val="0"/>
        </w:rPr>
        <w:t>NS</w:t>
      </w:r>
      <w:r w:rsidRPr="00635993">
        <w:rPr>
          <w:b w:val="0"/>
        </w:rPr>
        <w:t xml:space="preserve"> condition). The second annotation bar represents </w:t>
      </w:r>
      <w:r w:rsidR="005E1EAD">
        <w:rPr>
          <w:b w:val="0"/>
        </w:rPr>
        <w:t xml:space="preserve">the </w:t>
      </w:r>
      <w:r w:rsidRPr="00635993">
        <w:rPr>
          <w:b w:val="0"/>
        </w:rPr>
        <w:t xml:space="preserve">presence or absence of </w:t>
      </w:r>
      <w:r w:rsidR="004B560C" w:rsidRPr="00635993">
        <w:rPr>
          <w:b w:val="0"/>
        </w:rPr>
        <w:t xml:space="preserve">HAP </w:t>
      </w:r>
      <w:r w:rsidRPr="00635993">
        <w:rPr>
          <w:b w:val="0"/>
        </w:rPr>
        <w:t xml:space="preserve">(grey: </w:t>
      </w:r>
      <w:r w:rsidR="00C076D6">
        <w:rPr>
          <w:b w:val="0"/>
        </w:rPr>
        <w:t>HAP-</w:t>
      </w:r>
      <w:r w:rsidRPr="00635993">
        <w:rPr>
          <w:b w:val="0"/>
        </w:rPr>
        <w:t xml:space="preserve">; purple: </w:t>
      </w:r>
      <w:r w:rsidR="004B560C" w:rsidRPr="00635993">
        <w:rPr>
          <w:b w:val="0"/>
        </w:rPr>
        <w:t>HAP</w:t>
      </w:r>
      <w:r w:rsidR="008F3381">
        <w:rPr>
          <w:b w:val="0"/>
        </w:rPr>
        <w:t>+</w:t>
      </w:r>
      <w:r w:rsidRPr="00635993">
        <w:rPr>
          <w:b w:val="0"/>
        </w:rPr>
        <w:t>). Normalized read count values of each biological replicate are shown independently.</w:t>
      </w:r>
    </w:p>
    <w:p w14:paraId="623DD8A0" w14:textId="1A7938A5" w:rsidR="000D7D3D" w:rsidRPr="000D7D3D" w:rsidRDefault="000D7D3D" w:rsidP="00635993">
      <w:pPr>
        <w:pStyle w:val="Subtitle"/>
        <w:pBdr>
          <w:top w:val="single" w:sz="4" w:space="1" w:color="auto"/>
        </w:pBdr>
      </w:pPr>
      <w:r w:rsidRPr="000D7D3D">
        <w:br w:type="page"/>
      </w:r>
    </w:p>
    <w:p w14:paraId="79AC5B19" w14:textId="133164BD" w:rsidR="000D7D3D" w:rsidRPr="000D7D3D" w:rsidRDefault="000D7D3D" w:rsidP="00635993">
      <w:pPr>
        <w:pStyle w:val="Heading2"/>
      </w:pPr>
      <w:bookmarkStart w:id="494" w:name="_Toc507604078"/>
      <w:bookmarkStart w:id="495" w:name="_Toc507604345"/>
      <w:bookmarkStart w:id="496" w:name="_Toc519017047"/>
      <w:bookmarkStart w:id="497" w:name="_Toc520837960"/>
      <w:r w:rsidRPr="000D7D3D">
        <w:lastRenderedPageBreak/>
        <w:t xml:space="preserve">5.3.5 </w:t>
      </w:r>
      <w:r w:rsidRPr="000D7D3D">
        <w:rPr>
          <w:i/>
        </w:rPr>
        <w:t>P. involutus</w:t>
      </w:r>
      <w:r w:rsidRPr="000D7D3D">
        <w:t xml:space="preserve"> </w:t>
      </w:r>
      <w:r w:rsidR="00A76D98">
        <w:rPr>
          <w:i/>
        </w:rPr>
        <w:t xml:space="preserve">DJR1 </w:t>
      </w:r>
      <w:r w:rsidRPr="000D7D3D">
        <w:t xml:space="preserve">genes differentially regulated in response to the presence of </w:t>
      </w:r>
      <w:r w:rsidR="004B560C">
        <w:t>HAP</w:t>
      </w:r>
      <w:r w:rsidR="004B560C" w:rsidRPr="000D7D3D">
        <w:t xml:space="preserve"> </w:t>
      </w:r>
      <w:r w:rsidRPr="000D7D3D">
        <w:t>during EM symbiosis</w:t>
      </w:r>
      <w:bookmarkEnd w:id="494"/>
      <w:bookmarkEnd w:id="495"/>
      <w:bookmarkEnd w:id="496"/>
      <w:bookmarkEnd w:id="497"/>
    </w:p>
    <w:p w14:paraId="642FBA47" w14:textId="7903F29A" w:rsidR="000D7D3D" w:rsidRPr="000D7D3D" w:rsidRDefault="000D7D3D" w:rsidP="003F7054">
      <w:r w:rsidRPr="000D7D3D">
        <w:t>According to the differential gene expression analysis in Sectio</w:t>
      </w:r>
      <w:r w:rsidR="00A76D98">
        <w:t xml:space="preserve">n 5.3.3 between the S HAP+ and </w:t>
      </w:r>
      <w:r w:rsidRPr="000D7D3D">
        <w:t xml:space="preserve">S HAP-, in total 233 genes were upregulated and 275 downregulated (Table 5.1). Here, the top 50 </w:t>
      </w:r>
      <w:r w:rsidR="00A76D98">
        <w:t xml:space="preserve">most significantly </w:t>
      </w:r>
      <w:r w:rsidRPr="000D7D3D">
        <w:t xml:space="preserve">upregulated or downregulated genes are presented in Figure 5.5A and 5.5B respectively. Interestingly, none of the most </w:t>
      </w:r>
      <w:r w:rsidR="00A76D98">
        <w:t>significantly</w:t>
      </w:r>
      <w:r w:rsidR="00A76D98" w:rsidRPr="000D7D3D">
        <w:t xml:space="preserve"> </w:t>
      </w:r>
      <w:r w:rsidRPr="000D7D3D">
        <w:t xml:space="preserve">upregulated genes by HAP+ in </w:t>
      </w:r>
      <w:r w:rsidR="00A76D98">
        <w:t xml:space="preserve">the </w:t>
      </w:r>
      <w:r w:rsidRPr="000D7D3D">
        <w:t xml:space="preserve">S condition were </w:t>
      </w:r>
      <w:r w:rsidR="00A76D98">
        <w:t>found</w:t>
      </w:r>
      <w:r w:rsidRPr="000D7D3D">
        <w:t xml:space="preserve"> to be upregulated by HAP+ in </w:t>
      </w:r>
      <w:r w:rsidR="00A76D98">
        <w:t xml:space="preserve">the </w:t>
      </w:r>
      <w:r w:rsidRPr="000D7D3D">
        <w:t>NS condition (Figure 5.4A and 5.5</w:t>
      </w:r>
      <w:r w:rsidR="00AC7A6D">
        <w:t>A</w:t>
      </w:r>
      <w:r w:rsidRPr="000D7D3D">
        <w:t>, magenta annotation).</w:t>
      </w:r>
    </w:p>
    <w:p w14:paraId="160A1AB9" w14:textId="0DB22F4F" w:rsidR="000D7D3D" w:rsidRPr="000D7D3D" w:rsidRDefault="00A76D98" w:rsidP="007F746A">
      <w:pPr>
        <w:ind w:firstLine="720"/>
      </w:pPr>
      <w:r>
        <w:t>Among the genes most</w:t>
      </w:r>
      <w:r w:rsidR="000D7D3D" w:rsidRPr="000D7D3D">
        <w:t xml:space="preserve"> upregulated by HAP+ in S condition, </w:t>
      </w:r>
      <w:r w:rsidR="00850756">
        <w:t>some</w:t>
      </w:r>
      <w:r>
        <w:t xml:space="preserve"> encode for proteins</w:t>
      </w:r>
      <w:r w:rsidR="000D7D3D" w:rsidRPr="000D7D3D">
        <w:t xml:space="preserve"> putatively involved in N and carbohydrate metabolis</w:t>
      </w:r>
      <w:r>
        <w:t xml:space="preserve">m. </w:t>
      </w:r>
      <w:r w:rsidR="00850756">
        <w:t>In particular, p</w:t>
      </w:r>
      <w:r>
        <w:t xml:space="preserve">roteins </w:t>
      </w:r>
      <w:r w:rsidR="00850756">
        <w:t xml:space="preserve">putatively </w:t>
      </w:r>
      <w:r>
        <w:t>involved in amino acid</w:t>
      </w:r>
      <w:r w:rsidR="000D7D3D" w:rsidRPr="000D7D3D">
        <w:t xml:space="preserve"> metabolism include </w:t>
      </w:r>
      <w:r>
        <w:t xml:space="preserve">a </w:t>
      </w:r>
      <w:r w:rsidR="000D7D3D" w:rsidRPr="000D7D3D">
        <w:t xml:space="preserve">beta-Ala-His dipeptidase, </w:t>
      </w:r>
      <w:r>
        <w:t xml:space="preserve">an </w:t>
      </w:r>
      <w:r w:rsidR="000D7D3D" w:rsidRPr="000D7D3D">
        <w:t xml:space="preserve">alanine aminotransferase and </w:t>
      </w:r>
      <w:r w:rsidR="00850756">
        <w:t xml:space="preserve">two </w:t>
      </w:r>
      <w:r w:rsidR="000D7D3D" w:rsidRPr="000D7D3D">
        <w:t xml:space="preserve">aminoadipate reductases. </w:t>
      </w:r>
      <w:r w:rsidR="00850756">
        <w:t>Proteins putatively involved in carbohydrate metabolism</w:t>
      </w:r>
      <w:r w:rsidR="000D7D3D" w:rsidRPr="000D7D3D">
        <w:t xml:space="preserve"> include </w:t>
      </w:r>
      <w:r w:rsidR="00850756">
        <w:t xml:space="preserve">a </w:t>
      </w:r>
      <w:r w:rsidR="000D7D3D" w:rsidRPr="000D7D3D">
        <w:t xml:space="preserve">phosphoenolpyruvate carboxykinase, </w:t>
      </w:r>
      <w:r w:rsidR="00850756">
        <w:t xml:space="preserve">a </w:t>
      </w:r>
      <w:r w:rsidR="000D7D3D" w:rsidRPr="000D7D3D">
        <w:t xml:space="preserve">glycoside hydrolase and </w:t>
      </w:r>
      <w:r w:rsidR="00850756">
        <w:t xml:space="preserve">a </w:t>
      </w:r>
      <w:r w:rsidR="000D7D3D" w:rsidRPr="000D7D3D">
        <w:t xml:space="preserve">UDP-glucose pyrophosphorylase. Additionally, multiple transporter </w:t>
      </w:r>
      <w:r w:rsidR="00850756">
        <w:t xml:space="preserve">encoding </w:t>
      </w:r>
      <w:r w:rsidR="000D7D3D" w:rsidRPr="000D7D3D">
        <w:t xml:space="preserve">genes were identified, including a </w:t>
      </w:r>
      <w:r w:rsidR="00F52BD5">
        <w:t>MATE efflux transporter and a</w:t>
      </w:r>
      <w:r w:rsidR="005E1EAD">
        <w:t>n</w:t>
      </w:r>
      <w:r w:rsidR="00F52BD5">
        <w:t xml:space="preserve"> M</w:t>
      </w:r>
      <w:r w:rsidR="000D7D3D" w:rsidRPr="000D7D3D">
        <w:t>F</w:t>
      </w:r>
      <w:r w:rsidR="00F52BD5">
        <w:t>S</w:t>
      </w:r>
      <w:r w:rsidR="000D7D3D" w:rsidRPr="000D7D3D">
        <w:t xml:space="preserve"> transp</w:t>
      </w:r>
      <w:r w:rsidR="00850756">
        <w:t xml:space="preserve">orter, both localised in the plasma </w:t>
      </w:r>
      <w:r w:rsidR="000D7D3D" w:rsidRPr="000D7D3D">
        <w:t xml:space="preserve">membrane, and a </w:t>
      </w:r>
      <w:r w:rsidR="00850756">
        <w:t>Ca</w:t>
      </w:r>
      <w:r w:rsidR="000D7D3D" w:rsidRPr="000D7D3D">
        <w:t xml:space="preserve">-dependent ATPase. Multiple genes </w:t>
      </w:r>
      <w:r w:rsidR="00F52BD5">
        <w:t>en</w:t>
      </w:r>
      <w:r w:rsidR="000D7D3D" w:rsidRPr="000D7D3D">
        <w:t xml:space="preserve">coding for putative signalling proteins were identified to be upregulated in presence of </w:t>
      </w:r>
      <w:r w:rsidR="00F52BD5">
        <w:t>HAP</w:t>
      </w:r>
      <w:r w:rsidR="000D7D3D" w:rsidRPr="000D7D3D">
        <w:t xml:space="preserve"> in S condition, such as a tyrosine phosphatase, a </w:t>
      </w:r>
      <w:r w:rsidR="005E1EAD">
        <w:t>ZF transcription factor, a WD40 repeat-</w:t>
      </w:r>
      <w:r w:rsidR="000D7D3D" w:rsidRPr="000D7D3D">
        <w:t>containing protein and a diacylglycerol k</w:t>
      </w:r>
      <w:r w:rsidR="00F52BD5">
        <w:t>inase. Another prominent type</w:t>
      </w:r>
      <w:r w:rsidR="000D7D3D" w:rsidRPr="000D7D3D">
        <w:t xml:space="preserve"> of </w:t>
      </w:r>
      <w:r w:rsidR="00F52BD5" w:rsidRPr="000D7D3D">
        <w:t xml:space="preserve">upregulated </w:t>
      </w:r>
      <w:r w:rsidR="000D7D3D" w:rsidRPr="000D7D3D">
        <w:t xml:space="preserve">genes </w:t>
      </w:r>
      <w:r w:rsidR="00F52BD5">
        <w:t>encode for</w:t>
      </w:r>
      <w:r w:rsidR="000D7D3D" w:rsidRPr="000D7D3D">
        <w:t xml:space="preserve"> putative re</w:t>
      </w:r>
      <w:r w:rsidR="00F52BD5">
        <w:t>dox proteins, such as multiple c</w:t>
      </w:r>
      <w:r w:rsidR="000D7D3D" w:rsidRPr="000D7D3D">
        <w:t>ytochromes P450</w:t>
      </w:r>
      <w:r w:rsidR="00F52BD5">
        <w:t xml:space="preserve">. Lastly, several </w:t>
      </w:r>
      <w:r w:rsidR="000D7D3D" w:rsidRPr="000D7D3D">
        <w:t xml:space="preserve">genes </w:t>
      </w:r>
      <w:r w:rsidR="006B6930">
        <w:t>encoding</w:t>
      </w:r>
      <w:r w:rsidR="00F52BD5">
        <w:t xml:space="preserve"> for</w:t>
      </w:r>
      <w:r w:rsidR="000D7D3D" w:rsidRPr="000D7D3D">
        <w:t xml:space="preserve"> putative secondary metabolites biosynthetic enzymes, such as a ketopantoate hydroxymethyltransferase, a 2-oxoglutarate-Fe</w:t>
      </w:r>
      <w:r w:rsidR="00D90F82">
        <w:t xml:space="preserve"> </w:t>
      </w:r>
      <w:r w:rsidR="00F52BD5">
        <w:t>(II) oxidoreductase, an</w:t>
      </w:r>
      <w:r w:rsidR="000D7D3D" w:rsidRPr="000D7D3D">
        <w:t xml:space="preserve"> Acyl-CoA synthetase and </w:t>
      </w:r>
      <w:r w:rsidR="00F52BD5">
        <w:t xml:space="preserve">a </w:t>
      </w:r>
      <w:r w:rsidR="006B6930">
        <w:t>thioesterase, were found to be upregulated.</w:t>
      </w:r>
    </w:p>
    <w:p w14:paraId="25D8A4E4" w14:textId="16907E3A" w:rsidR="000D7D3D" w:rsidRPr="000D7D3D" w:rsidRDefault="006B6930" w:rsidP="00635993">
      <w:pPr>
        <w:ind w:firstLine="720"/>
      </w:pPr>
      <w:r>
        <w:t>Figure 5.5B shows</w:t>
      </w:r>
      <w:r w:rsidR="000D7D3D" w:rsidRPr="000D7D3D">
        <w:t xml:space="preserve"> the </w:t>
      </w:r>
      <w:r>
        <w:t xml:space="preserve">top </w:t>
      </w:r>
      <w:r w:rsidR="000D7D3D" w:rsidRPr="000D7D3D">
        <w:t xml:space="preserve">50 </w:t>
      </w:r>
      <w:r w:rsidR="000D7D3D" w:rsidRPr="000D7D3D">
        <w:rPr>
          <w:i/>
        </w:rPr>
        <w:t>P. involutus</w:t>
      </w:r>
      <w:r>
        <w:rPr>
          <w:i/>
        </w:rPr>
        <w:t xml:space="preserve"> DJR1</w:t>
      </w:r>
      <w:r w:rsidR="000D7D3D" w:rsidRPr="000D7D3D">
        <w:t xml:space="preserve"> </w:t>
      </w:r>
      <w:r w:rsidRPr="000D7D3D">
        <w:t>genes most significant</w:t>
      </w:r>
      <w:r>
        <w:t>ly</w:t>
      </w:r>
      <w:r w:rsidRPr="000D7D3D">
        <w:t xml:space="preserve"> </w:t>
      </w:r>
      <w:r>
        <w:t>downregulated</w:t>
      </w:r>
      <w:r w:rsidRPr="000D7D3D">
        <w:t xml:space="preserve"> </w:t>
      </w:r>
      <w:r w:rsidR="000D7D3D" w:rsidRPr="000D7D3D">
        <w:t xml:space="preserve">by </w:t>
      </w:r>
      <w:r>
        <w:t xml:space="preserve">the presence of HAP </w:t>
      </w:r>
      <w:r w:rsidR="000D7D3D" w:rsidRPr="000D7D3D">
        <w:t>in S condition. Similar to NS condition, the high</w:t>
      </w:r>
      <w:r w:rsidR="00A470A8">
        <w:t>-</w:t>
      </w:r>
      <w:r w:rsidR="000D7D3D" w:rsidRPr="000D7D3D">
        <w:t xml:space="preserve"> affinity Pi transporter </w:t>
      </w:r>
      <w:r>
        <w:t xml:space="preserve">gene </w:t>
      </w:r>
      <w:r w:rsidR="000D7D3D" w:rsidRPr="006B6930">
        <w:rPr>
          <w:i/>
        </w:rPr>
        <w:t>PiPT1</w:t>
      </w:r>
      <w:r w:rsidR="000D7D3D" w:rsidRPr="000D7D3D">
        <w:t xml:space="preserve"> </w:t>
      </w:r>
      <w:r>
        <w:t>was</w:t>
      </w:r>
      <w:r w:rsidR="000D7D3D" w:rsidRPr="000D7D3D">
        <w:t xml:space="preserve"> found to be strongly downregulated. Similarly, multiple </w:t>
      </w:r>
      <w:r w:rsidR="001845C9">
        <w:t xml:space="preserve">genes encoding for putative </w:t>
      </w:r>
      <w:r w:rsidR="001845C9" w:rsidRPr="000D7D3D">
        <w:t xml:space="preserve">phosphate </w:t>
      </w:r>
      <w:r w:rsidR="000D7D3D" w:rsidRPr="000D7D3D">
        <w:t xml:space="preserve">metabolism-related </w:t>
      </w:r>
      <w:r w:rsidR="001845C9">
        <w:t>proteins</w:t>
      </w:r>
      <w:r w:rsidR="000D7D3D" w:rsidRPr="000D7D3D">
        <w:t xml:space="preserve"> were found to be downregulated. These </w:t>
      </w:r>
      <w:r w:rsidR="001845C9">
        <w:t>proteins</w:t>
      </w:r>
      <w:r w:rsidR="000D7D3D" w:rsidRPr="000D7D3D">
        <w:t xml:space="preserve"> include </w:t>
      </w:r>
      <w:r w:rsidR="001845C9">
        <w:t>a</w:t>
      </w:r>
      <w:r w:rsidR="000D7D3D" w:rsidRPr="000D7D3D">
        <w:t xml:space="preserve"> putative purple acid phosphatase, </w:t>
      </w:r>
      <w:r w:rsidR="001845C9">
        <w:t>a</w:t>
      </w:r>
      <w:r w:rsidR="000D7D3D" w:rsidRPr="000D7D3D">
        <w:t xml:space="preserve"> putative acid phosphatase and </w:t>
      </w:r>
      <w:r w:rsidR="001845C9">
        <w:t>a</w:t>
      </w:r>
      <w:r w:rsidR="000D7D3D" w:rsidRPr="000D7D3D">
        <w:t xml:space="preserve"> putative diphosphoinositol-polyphosphate </w:t>
      </w:r>
      <w:r w:rsidR="001845C9">
        <w:lastRenderedPageBreak/>
        <w:t xml:space="preserve">diphosphatase. In addition, </w:t>
      </w:r>
      <w:r w:rsidR="000D7D3D" w:rsidRPr="000D7D3D">
        <w:t xml:space="preserve">genes </w:t>
      </w:r>
      <w:r w:rsidR="001845C9">
        <w:t xml:space="preserve">encoding for proteins </w:t>
      </w:r>
      <w:r w:rsidR="000D7D3D" w:rsidRPr="000D7D3D">
        <w:t>putatively involved in phospholipid metabolism, such as a glycerol-3-phosphate acyltransferase and a putative glycerophosphoryl diester phosphodiesterase</w:t>
      </w:r>
      <w:r w:rsidR="001845C9">
        <w:t xml:space="preserve"> were also downregulated</w:t>
      </w:r>
      <w:r w:rsidR="000D7D3D" w:rsidRPr="000D7D3D">
        <w:t xml:space="preserve">. Other downregulated genes </w:t>
      </w:r>
      <w:r w:rsidR="001845C9">
        <w:t>encode for</w:t>
      </w:r>
      <w:r w:rsidR="000D7D3D" w:rsidRPr="000D7D3D">
        <w:t xml:space="preserve"> two putative geranylgeranyl pyrophosphate synthases, </w:t>
      </w:r>
      <w:r w:rsidR="001845C9">
        <w:t>involved in</w:t>
      </w:r>
      <w:r w:rsidR="000D7D3D" w:rsidRPr="000D7D3D">
        <w:t xml:space="preserve"> the biosynthesis of terpenoid precursors. Interestingly, multiple genes </w:t>
      </w:r>
      <w:r w:rsidR="006B20E6">
        <w:t xml:space="preserve">encoding for proteins putatively </w:t>
      </w:r>
      <w:r w:rsidR="000D7D3D" w:rsidRPr="000D7D3D">
        <w:t>involved in fungal growth and branching were found to be downregulated, including a paxilli</w:t>
      </w:r>
      <w:r w:rsidR="006B20E6">
        <w:t xml:space="preserve">n-like protein, a GTPase belonging to the Ras superfamily and an </w:t>
      </w:r>
      <w:r w:rsidR="000D7D3D" w:rsidRPr="000D7D3D">
        <w:t>auxin efflux transpor</w:t>
      </w:r>
      <w:r w:rsidR="006B20E6">
        <w:t>ter. Other putative transporter</w:t>
      </w:r>
      <w:r w:rsidR="000D7D3D" w:rsidRPr="000D7D3D">
        <w:t xml:space="preserve"> </w:t>
      </w:r>
      <w:r w:rsidR="006B20E6">
        <w:t xml:space="preserve">encoding </w:t>
      </w:r>
      <w:r w:rsidR="000D7D3D" w:rsidRPr="000D7D3D">
        <w:t xml:space="preserve">genes </w:t>
      </w:r>
      <w:r w:rsidR="0027182B">
        <w:t xml:space="preserve">were </w:t>
      </w:r>
      <w:r w:rsidR="000D7D3D" w:rsidRPr="000D7D3D">
        <w:t xml:space="preserve">found to be downregulated </w:t>
      </w:r>
      <w:r w:rsidR="006B20E6">
        <w:t>including</w:t>
      </w:r>
      <w:r w:rsidR="000D7D3D" w:rsidRPr="000D7D3D">
        <w:t xml:space="preserve"> a MATE efflux transporter and a plasma membrane</w:t>
      </w:r>
      <w:r w:rsidR="006B20E6">
        <w:t xml:space="preserve"> localised</w:t>
      </w:r>
      <w:r w:rsidR="000D7D3D" w:rsidRPr="000D7D3D">
        <w:t xml:space="preserve"> Ca</w:t>
      </w:r>
      <w:r w:rsidR="000D7D3D" w:rsidRPr="000D7D3D">
        <w:rPr>
          <w:vertAlign w:val="superscript"/>
        </w:rPr>
        <w:t>2+</w:t>
      </w:r>
      <w:r w:rsidR="000D7D3D" w:rsidRPr="000D7D3D">
        <w:t>/H</w:t>
      </w:r>
      <w:r w:rsidR="000D7D3D" w:rsidRPr="000D7D3D">
        <w:rPr>
          <w:vertAlign w:val="superscript"/>
        </w:rPr>
        <w:t>+</w:t>
      </w:r>
      <w:r w:rsidR="00634533">
        <w:t xml:space="preserve"> antiporter.</w:t>
      </w:r>
      <w:r w:rsidR="000D7D3D" w:rsidRPr="000D7D3D">
        <w:br w:type="page"/>
      </w:r>
    </w:p>
    <w:p w14:paraId="033A77C7" w14:textId="77777777" w:rsidR="000D7D3D" w:rsidRPr="000D7D3D" w:rsidRDefault="000D7D3D" w:rsidP="003F7054">
      <w:r w:rsidRPr="000D7D3D">
        <w:rPr>
          <w:noProof/>
          <w:lang w:eastAsia="en-GB"/>
        </w:rPr>
        <w:lastRenderedPageBreak/>
        <w:drawing>
          <wp:inline distT="0" distB="0" distL="0" distR="0" wp14:anchorId="05616255" wp14:editId="04060B68">
            <wp:extent cx="5943600" cy="42297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5.5+++.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4229735"/>
                    </a:xfrm>
                    <a:prstGeom prst="rect">
                      <a:avLst/>
                    </a:prstGeom>
                  </pic:spPr>
                </pic:pic>
              </a:graphicData>
            </a:graphic>
          </wp:inline>
        </w:drawing>
      </w:r>
    </w:p>
    <w:p w14:paraId="404727A0" w14:textId="77777777" w:rsidR="00634533" w:rsidRDefault="000D7D3D" w:rsidP="00635993">
      <w:pPr>
        <w:pStyle w:val="Subtitle"/>
        <w:pBdr>
          <w:top w:val="single" w:sz="4" w:space="1" w:color="auto"/>
        </w:pBdr>
        <w:rPr>
          <w:b w:val="0"/>
        </w:rPr>
      </w:pPr>
      <w:r w:rsidRPr="000D7D3D">
        <w:t xml:space="preserve">Figure 5.5 </w:t>
      </w:r>
      <w:r w:rsidRPr="00635993">
        <w:rPr>
          <w:b w:val="0"/>
        </w:rPr>
        <w:t xml:space="preserve">Heat maps of normalized read counts for genes differentially expressed in </w:t>
      </w:r>
      <w:r w:rsidRPr="00635993">
        <w:rPr>
          <w:b w:val="0"/>
          <w:i/>
        </w:rPr>
        <w:t>P. involutus</w:t>
      </w:r>
      <w:r w:rsidRPr="00635993">
        <w:rPr>
          <w:b w:val="0"/>
        </w:rPr>
        <w:t xml:space="preserve"> </w:t>
      </w:r>
      <w:r w:rsidR="00527E36" w:rsidRPr="00527E36">
        <w:rPr>
          <w:b w:val="0"/>
          <w:i/>
        </w:rPr>
        <w:t>DJR1</w:t>
      </w:r>
      <w:r w:rsidR="00527E36">
        <w:rPr>
          <w:b w:val="0"/>
        </w:rPr>
        <w:t xml:space="preserve"> </w:t>
      </w:r>
      <w:r w:rsidRPr="00635993">
        <w:rPr>
          <w:b w:val="0"/>
        </w:rPr>
        <w:t xml:space="preserve">hyphae between </w:t>
      </w:r>
      <w:r w:rsidR="00527E36">
        <w:rPr>
          <w:b w:val="0"/>
        </w:rPr>
        <w:t>S</w:t>
      </w:r>
      <w:r w:rsidRPr="00635993">
        <w:rPr>
          <w:b w:val="0"/>
        </w:rPr>
        <w:t xml:space="preserve"> HAP- and </w:t>
      </w:r>
      <w:r w:rsidR="00527E36">
        <w:rPr>
          <w:b w:val="0"/>
        </w:rPr>
        <w:t>S</w:t>
      </w:r>
      <w:r w:rsidRPr="00635993">
        <w:rPr>
          <w:b w:val="0"/>
        </w:rPr>
        <w:t xml:space="preserve"> HAP+. Z-score values are shown for the top 50 genes ranked by significance (Q-values) between groups compared. The putative functional annotation for each gene is listed on the right of each heat map which was inferred mainly by using the BLAST program together with the annotation on the MycoCosm at the JGI database </w:t>
      </w:r>
      <w:r w:rsidRPr="00635993">
        <w:rPr>
          <w:b w:val="0"/>
        </w:rPr>
        <w:fldChar w:fldCharType="begin" w:fldLock="1"/>
      </w:r>
      <w:r w:rsidR="00EE33AB">
        <w:rPr>
          <w:b w:val="0"/>
        </w:rPr>
        <w:instrText>ADDIN CSL_CITATION {"citationItems":[{"id":"ITEM-1","itemData":{"DOI":"10.1093/nar/25.17.3389","ISBN":"0305-1048","ISSN":"13624962","PMID":"9254694","abstract":"The BLAST programs are widely used tools for searching protein and DNA databases for sequence similarities. For protein comparisons, a variety of definitional, algorithmic and statistical refinements described here permits the execution time of the BLAST programs to be decreased substantially while enhancing their sensitivity to weak similarities. A new criterion for triggering the extension of word hits, combined with a new heuristic for generating gapped alignments, yields a gapped BLAST program that runs at approximately three times the speed of the original. In addition, a method is introduced for automatically combining statistically significant alignments produced by BLAST into a position-specific score matrix, and searching the database using this matrix. The resulting Position-Specific Iterated BLAST (PSIBLAST) program runs at approximately the same speed per iteration as gapped BLAST, but in many cases is much more sensitive to weak but biologically relevant sequence similarities. PSI-BLAST is used to uncover several new and interesting members of the BRCT superfamily.","author":[{"dropping-particle":"","family":"Altschul","given":"Stephen F","non-dropping-particle":"","parse-names":false,"suffix":""},{"dropping-particle":"","family":"Madden","given":"Thomas L","non-dropping-particle":"","parse-names":false,"suffix":""},{"dropping-particle":"","family":"Schäffer","given":"Alejandto a","non-dropping-particle":"","parse-names":false,"suffix":""},{"dropping-particle":"","family":"Zhang","given":"Jinghui","non-dropping-particle":"","parse-names":false,"suffix":""},{"dropping-particle":"","family":"Zhang","given":"Zheng","non-dropping-particle":"","parse-names":false,"suffix":""},{"dropping-particle":"","family":"Miller","given":"Webb","non-dropping-particle":"","parse-names":false,"suffix":""},{"dropping-particle":"","family":"Lipman","given":"David J","non-dropping-particle":"","parse-names":false,"suffix":""}],"container-title":"Nucleic Acids Research","id":"ITEM-1","issue":"17","issued":{"date-parts":[["1997"]]},"page":"3389-3402","title":"Gapped BLAST and PSI-BLAST:a new generation of protein database search programs","type":"article-journal","volume":"25"},"uris":["http://www.mendeley.com/documents/?uuid=65c4a1d4-3fb8-4a6a-bb23-1f5f98fcd0e5"]},{"id":"ITEM-2","itemData":{"DOI":"10.1093/nar/gkt1183","ISBN":"1362-4962 (Electronic)\\n0305-1048 (Linking)","ISSN":"03051048","PMID":"24297253","abstract":"MycoCosm is a fungal genomics portal (http://jgi.doe.gov/fungi), developed by the US Department of Energy Joint Genome Institute to support integration, analysis and dissemination of fungal genome sequences and other 'omics' data by providing interactive web-based tools. MycoCosm also promotes and facilitates user community participation through the nomination of new species of fungi for sequencing, and the annotation and analysis of resulting data. By efficiently filling gaps in the Fungal Tree of Life, MycoCosm will help address important problems associated with energy and the environment, taking advantage of growing fungal genomics resources.","author":[{"dropping-particle":"V.","family":"Grigoriev","given":"Igor","non-dropping-particle":"","parse-names":false,"suffix":""},{"dropping-particle":"","family":"Nikitin","given":"Roman","non-dropping-particle":"","parse-names":false,"suffix":""},{"dropping-particle":"","family":"Haridas","given":"Sajeet","non-dropping-particle":"","parse-names":false,"suffix":""},{"dropping-particle":"","family":"Kuo","given":"Alan","non-dropping-particle":"","parse-names":false,"suffix":""},{"dropping-particle":"","family":"Ohm","given":"Robin","non-dropping-particle":"","parse-names":false,"suffix":""},{"dropping-particle":"","family":"Otillar","given":"Robert","non-dropping-particle":"","parse-names":false,"suffix":""},{"dropping-particle":"","family":"Riley","given":"Robert","non-dropping-particle":"","parse-names":false,"suffix":""},{"dropping-particle":"","family":"Salamov","given":"Asaf","non-dropping-particle":"","parse-names":false,"suffix":""},{"dropping-particle":"","family":"Zhao","given":"Xueling","non-dropping-particle":"","parse-names":false,"suffix":""},{"dropping-particle":"","family":"Korzeniewski","given":"Frank","non-dropping-particle":"","parse-names":false,"suffix":""},{"dropping-particle":"","family":"Smirnova","given":"Tatyana","non-dropping-particle":"","parse-names":false,"suffix":""},{"dropping-particle":"","family":"Nordberg","given":"Henrik","non-dropping-particle":"","parse-names":false,"suffix":""},{"dropping-particle":"","family":"Dubchak","given":"Inna","non-dropping-particle":"","parse-names":false,"suffix":""},{"dropping-particle":"","family":"Shabalov","given":"Igor","non-dropping-particle":"","parse-names":false,"suffix":""}],"container-title":"Nucleic Acids Research","id":"ITEM-2","issue":"December 2013","issued":{"date-parts":[["2014"]]},"page":"699-704","title":"MycoCosm portal: Gearing up for 1000 fungal genomes","type":"article-journal","volume":"42"},"uris":["http://www.mendeley.com/documents/?uuid=eee40767-9a6f-492f-9569-bb26ff80c11c"]},{"id":"ITEM-3","itemData":{"DOI":"10.1080/21501203.2011.584577","ISBN":"2150-1203","ISSN":"2150-1203","abstract":"Fungi play important roles across the range of current and future biofuel production processes. From crop/feedstock health to plant biomass saccharification, enzyme production to bioprocesses for producing ethanol, higher alcohols, or future hydrocarbon biofuels, fungi are involved. Research and development are underway to understand the underlying biological processes and improve them to make bioenergy production efficient on an industrial scale. Genomics is the foundation of the systems biology approach that is being used to accelerate the research and development efforts across the spectrum of topic areas that impact biofuels production. In this review, we discuss past, current, and future advances made possible by genomic analyses of the fungi that impact plant/feedstock health, degradation of lignocellulosic biomass, and fermentation of sugars to ethanol, hydrocarbon biofuels, and renewable chemicals.","author":[{"dropping-particle":"V.","family":"Grigoriev","given":"Igor","non-dropping-particle":"","parse-names":false,"suffix":""},{"dropping-particle":"","family":"Cullen","given":"Daniel","non-dropping-particle":"","parse-names":false,"suffix":""},{"dropping-particle":"","family":"Goodwin","given":"Stephen B.","non-dropping-particle":"","parse-names":false,"suffix":""},{"dropping-particle":"","family":"Hibbett","given":"David","non-dropping-particle":"","parse-names":false,"suffix":""},{"dropping-particle":"","family":"Jeffries","given":"Thomas W.","non-dropping-particle":"","parse-names":false,"suffix":""},{"dropping-particle":"","family":"Kubicek","given":"Christian P.","non-dropping-particle":"","parse-names":false,"suffix":""},{"dropping-particle":"","family":"Kuske","given":"Cheryl","non-dropping-particle":"","parse-names":false,"suffix":""},{"dropping-particle":"","family":"Magnuson","given":"Jon K.","non-dropping-particle":"","parse-names":false,"suffix":""},{"dropping-particle":"","family":"Martin","given":"Francis","non-dropping-particle":"","parse-names":false,"suffix":""},{"dropping-particle":"","family":"Spatafora","given":"Joseph W.","non-dropping-particle":"","parse-names":false,"suffix":""},{"dropping-particle":"","family":"Tsang","given":"Adrian","non-dropping-particle":"","parse-names":false,"suffix":""},{"dropping-particle":"","family":"Baker","given":"Scott E.","non-dropping-particle":"","parse-names":false,"suffix":""},{"dropping-particle":"","family":"Cullen","given":"","non-dropping-particle":"","parse-names":false,"suffix":""},{"dropping-particle":"","family":"Sb","given":"Goodwin","non-dropping-particle":"","parse-names":false,"suffix":""},{"dropping-particle":"","family":"D","given":"Hibbett","non-dropping-particle":"","parse-names":false,"suffix":""},{"dropping-particle":"","family":"Tw","given":"Jeffries","non-dropping-particle":"","parse-names":false,"suffix":""},{"dropping-particle":"","family":"Cp","given":"Kubicek","non-dropping-particle":"","parse-names":false,"suffix":""},{"dropping-particle":"","family":"C","given":"Kuske","non-dropping-particle":"","parse-names":false,"suffix":""},{"dropping-particle":"","family":"Jk","given":"Magnuson","non-dropping-particle":"","parse-names":false,"suffix":""},{"dropping-particle":"","family":"F","given":"Martin","non-dropping-particle":"","parse-names":false,"suffix":""},{"dropping-particle":"","family":"Jw","given":"Spatafora","non-dropping-particle":"","parse-names":false,"suffix":""},{"dropping-particle":"","family":"a","given":"Tsang","non-dropping-particle":"","parse-names":false,"suffix":""},{"dropping-particle":"","family":"Se","given":"Baker","non-dropping-particle":"","parse-names":false,"suffix":""}],"container-title":"Mycology: An international journal on fungal biology","id":"ITEM-3","issue":"June 2016","issued":{"date-parts":[["2011"]]},"page":"192-209","title":"Fueling the future with fungal genomics","type":"article-journal","volume":"2"},"uris":["http://www.mendeley.com/documents/?uuid=9a28282a-1011-48a6-9df1-2ef8df068138"]}],"mendeley":{"formattedCitation":"(Altschul et al., 1997; Grigoriev et al., 2014, 2011)","plainTextFormattedCitation":"(Altschul et al., 1997; Grigoriev et al., 2014, 2011)","previouslyFormattedCitation":"(Altschul et al., 1997; Grigoriev et al., 2014, 2011)"},"properties":{"noteIndex":0},"schema":"https://github.com/citation-style-language/schema/raw/master/csl-citation.json"}</w:instrText>
      </w:r>
      <w:r w:rsidRPr="00635993">
        <w:rPr>
          <w:b w:val="0"/>
        </w:rPr>
        <w:fldChar w:fldCharType="separate"/>
      </w:r>
      <w:r w:rsidRPr="00635993">
        <w:rPr>
          <w:b w:val="0"/>
          <w:noProof/>
        </w:rPr>
        <w:t>(Altschul et al., 1997; Grigoriev et al., 2014, 2011)</w:t>
      </w:r>
      <w:r w:rsidRPr="00635993">
        <w:rPr>
          <w:b w:val="0"/>
        </w:rPr>
        <w:fldChar w:fldCharType="end"/>
      </w:r>
      <w:r w:rsidRPr="00635993">
        <w:rPr>
          <w:b w:val="0"/>
        </w:rPr>
        <w:t xml:space="preserve">. </w:t>
      </w:r>
      <w:r w:rsidRPr="00B46FB7">
        <w:t>A.</w:t>
      </w:r>
      <w:r w:rsidR="00C501AE">
        <w:rPr>
          <w:b w:val="0"/>
        </w:rPr>
        <w:t xml:space="preserve"> Genes showing up</w:t>
      </w:r>
      <w:r w:rsidRPr="00635993">
        <w:rPr>
          <w:b w:val="0"/>
        </w:rPr>
        <w:t xml:space="preserve">regulation in </w:t>
      </w:r>
      <w:r w:rsidR="005E1EAD">
        <w:rPr>
          <w:b w:val="0"/>
        </w:rPr>
        <w:t xml:space="preserve">the </w:t>
      </w:r>
      <w:r w:rsidRPr="00635993">
        <w:rPr>
          <w:b w:val="0"/>
        </w:rPr>
        <w:t xml:space="preserve">presence of </w:t>
      </w:r>
      <w:r w:rsidR="004B560C" w:rsidRPr="00635993">
        <w:rPr>
          <w:b w:val="0"/>
        </w:rPr>
        <w:t xml:space="preserve">HAP </w:t>
      </w:r>
      <w:r w:rsidRPr="00635993">
        <w:rPr>
          <w:b w:val="0"/>
        </w:rPr>
        <w:t xml:space="preserve">in </w:t>
      </w:r>
      <w:r w:rsidR="004B560C" w:rsidRPr="00635993">
        <w:rPr>
          <w:b w:val="0"/>
        </w:rPr>
        <w:t xml:space="preserve">S </w:t>
      </w:r>
      <w:r w:rsidRPr="00635993">
        <w:rPr>
          <w:b w:val="0"/>
        </w:rPr>
        <w:t xml:space="preserve">conditions. </w:t>
      </w:r>
      <w:r w:rsidRPr="00B46FB7">
        <w:t>B.</w:t>
      </w:r>
      <w:r w:rsidR="00877B3F">
        <w:rPr>
          <w:b w:val="0"/>
        </w:rPr>
        <w:t xml:space="preserve"> Genes showing down</w:t>
      </w:r>
      <w:r w:rsidRPr="00635993">
        <w:rPr>
          <w:b w:val="0"/>
        </w:rPr>
        <w:t xml:space="preserve">regulation in </w:t>
      </w:r>
      <w:r w:rsidR="005E1EAD">
        <w:rPr>
          <w:b w:val="0"/>
        </w:rPr>
        <w:t xml:space="preserve">the </w:t>
      </w:r>
      <w:r w:rsidRPr="00635993">
        <w:rPr>
          <w:b w:val="0"/>
        </w:rPr>
        <w:t xml:space="preserve">presence of </w:t>
      </w:r>
      <w:r w:rsidR="00EC479F" w:rsidRPr="00635993">
        <w:rPr>
          <w:b w:val="0"/>
        </w:rPr>
        <w:t xml:space="preserve">HAP </w:t>
      </w:r>
      <w:r w:rsidRPr="00635993">
        <w:rPr>
          <w:b w:val="0"/>
        </w:rPr>
        <w:t xml:space="preserve">in </w:t>
      </w:r>
      <w:r w:rsidR="00EC479F" w:rsidRPr="00635993">
        <w:rPr>
          <w:b w:val="0"/>
        </w:rPr>
        <w:t xml:space="preserve">S </w:t>
      </w:r>
      <w:r w:rsidRPr="00635993">
        <w:rPr>
          <w:b w:val="0"/>
        </w:rPr>
        <w:t xml:space="preserve">conditions. The first annotation bar from the top represents </w:t>
      </w:r>
      <w:r w:rsidRPr="00635993">
        <w:rPr>
          <w:b w:val="0"/>
          <w:i/>
        </w:rPr>
        <w:t>P. involutus</w:t>
      </w:r>
      <w:r w:rsidRPr="00635993">
        <w:rPr>
          <w:b w:val="0"/>
        </w:rPr>
        <w:t xml:space="preserve"> </w:t>
      </w:r>
      <w:r w:rsidR="002C2ECD" w:rsidRPr="002C2ECD">
        <w:rPr>
          <w:b w:val="0"/>
          <w:i/>
        </w:rPr>
        <w:t>DJR1</w:t>
      </w:r>
      <w:r w:rsidR="002C2ECD">
        <w:rPr>
          <w:b w:val="0"/>
        </w:rPr>
        <w:t xml:space="preserve"> </w:t>
      </w:r>
      <w:r w:rsidRPr="00635993">
        <w:rPr>
          <w:b w:val="0"/>
        </w:rPr>
        <w:t>hyphae growth condition</w:t>
      </w:r>
      <w:r w:rsidR="002C2ECD">
        <w:rPr>
          <w:b w:val="0"/>
        </w:rPr>
        <w:t>s</w:t>
      </w:r>
      <w:r w:rsidRPr="00635993">
        <w:rPr>
          <w:b w:val="0"/>
        </w:rPr>
        <w:t xml:space="preserve"> (green: </w:t>
      </w:r>
      <w:r w:rsidR="00BF6816" w:rsidRPr="00635993">
        <w:rPr>
          <w:b w:val="0"/>
        </w:rPr>
        <w:t xml:space="preserve">S </w:t>
      </w:r>
      <w:r w:rsidRPr="00635993">
        <w:rPr>
          <w:b w:val="0"/>
        </w:rPr>
        <w:t xml:space="preserve">condition). The second annotation bar represents </w:t>
      </w:r>
      <w:r w:rsidR="005E1EAD">
        <w:rPr>
          <w:b w:val="0"/>
        </w:rPr>
        <w:t xml:space="preserve">the </w:t>
      </w:r>
      <w:r w:rsidRPr="00635993">
        <w:rPr>
          <w:b w:val="0"/>
        </w:rPr>
        <w:t xml:space="preserve">presence or absence of </w:t>
      </w:r>
      <w:r w:rsidR="00EC479F" w:rsidRPr="00635993">
        <w:rPr>
          <w:b w:val="0"/>
        </w:rPr>
        <w:t xml:space="preserve">HAP </w:t>
      </w:r>
      <w:r w:rsidRPr="00635993">
        <w:rPr>
          <w:b w:val="0"/>
        </w:rPr>
        <w:t xml:space="preserve">(grey: </w:t>
      </w:r>
      <w:r w:rsidR="002C2ECD">
        <w:rPr>
          <w:b w:val="0"/>
        </w:rPr>
        <w:t>HAP-</w:t>
      </w:r>
      <w:r w:rsidRPr="00635993">
        <w:rPr>
          <w:b w:val="0"/>
        </w:rPr>
        <w:t xml:space="preserve">; purple: </w:t>
      </w:r>
      <w:r w:rsidR="00EC479F" w:rsidRPr="00635993">
        <w:rPr>
          <w:b w:val="0"/>
        </w:rPr>
        <w:t>HAP</w:t>
      </w:r>
      <w:r w:rsidR="008F3381">
        <w:rPr>
          <w:b w:val="0"/>
        </w:rPr>
        <w:t>+</w:t>
      </w:r>
      <w:r w:rsidRPr="00635993">
        <w:rPr>
          <w:b w:val="0"/>
        </w:rPr>
        <w:t>). Normalized read count values of each biological replicate are shown independently.</w:t>
      </w:r>
    </w:p>
    <w:p w14:paraId="45621423" w14:textId="04C7F394" w:rsidR="000D7D3D" w:rsidRPr="000D7D3D" w:rsidRDefault="000D7D3D" w:rsidP="00635993">
      <w:pPr>
        <w:pStyle w:val="Subtitle"/>
        <w:pBdr>
          <w:top w:val="single" w:sz="4" w:space="1" w:color="auto"/>
        </w:pBdr>
      </w:pPr>
      <w:r w:rsidRPr="00635993">
        <w:rPr>
          <w:b w:val="0"/>
        </w:rPr>
        <w:br w:type="page"/>
      </w:r>
    </w:p>
    <w:p w14:paraId="5EAB5D00" w14:textId="1689D1E4" w:rsidR="000D7D3D" w:rsidRPr="000D7D3D" w:rsidRDefault="000D7D3D" w:rsidP="00635993">
      <w:pPr>
        <w:pStyle w:val="Heading2"/>
      </w:pPr>
      <w:bookmarkStart w:id="498" w:name="_Toc507604079"/>
      <w:bookmarkStart w:id="499" w:name="_Toc507604346"/>
      <w:bookmarkStart w:id="500" w:name="_Toc519017048"/>
      <w:bookmarkStart w:id="501" w:name="_Toc520837961"/>
      <w:r w:rsidRPr="000D7D3D">
        <w:lastRenderedPageBreak/>
        <w:t xml:space="preserve">5.3.6 </w:t>
      </w:r>
      <w:r w:rsidRPr="000D7D3D">
        <w:rPr>
          <w:i/>
        </w:rPr>
        <w:t>P. involutus</w:t>
      </w:r>
      <w:r w:rsidR="00F24FCD">
        <w:rPr>
          <w:i/>
        </w:rPr>
        <w:t xml:space="preserve"> DJR1</w:t>
      </w:r>
      <w:r w:rsidRPr="000D7D3D">
        <w:t xml:space="preserve"> genes differentially regulated in response to EM symbiosis and the presence of </w:t>
      </w:r>
      <w:r w:rsidR="000C5269">
        <w:t>HAP</w:t>
      </w:r>
      <w:bookmarkEnd w:id="498"/>
      <w:bookmarkEnd w:id="499"/>
      <w:bookmarkEnd w:id="500"/>
      <w:bookmarkEnd w:id="501"/>
    </w:p>
    <w:p w14:paraId="6F1BC47B" w14:textId="3BADA564" w:rsidR="000D7D3D" w:rsidRPr="000D7D3D" w:rsidRDefault="000D7D3D" w:rsidP="003F7054">
      <w:r w:rsidRPr="000D7D3D">
        <w:t>In Figure 5.6A are listed the genes showing the most significant upregulation in HAP+ in S condition c</w:t>
      </w:r>
      <w:r w:rsidR="00A44293">
        <w:t>ompared to HAP+ in NS condition</w:t>
      </w:r>
      <w:r w:rsidRPr="000D7D3D">
        <w:t xml:space="preserve">. This selection represents genes which are not induced </w:t>
      </w:r>
      <w:r w:rsidR="00F24FCD">
        <w:t>by the</w:t>
      </w:r>
      <w:r w:rsidRPr="000D7D3D">
        <w:t xml:space="preserve"> presence of </w:t>
      </w:r>
      <w:r w:rsidR="000C5269">
        <w:t>HAP</w:t>
      </w:r>
      <w:r w:rsidR="000C5269" w:rsidRPr="000D7D3D">
        <w:t xml:space="preserve"> </w:t>
      </w:r>
      <w:r w:rsidRPr="000D7D3D">
        <w:t xml:space="preserve">in NS condition, but strongly induced </w:t>
      </w:r>
      <w:r w:rsidR="00F24FCD">
        <w:t>by the</w:t>
      </w:r>
      <w:r w:rsidRPr="000D7D3D">
        <w:t xml:space="preserve"> presence of </w:t>
      </w:r>
      <w:r w:rsidR="000C5269">
        <w:t>HAP</w:t>
      </w:r>
      <w:r w:rsidR="000C5269" w:rsidRPr="000D7D3D">
        <w:t xml:space="preserve"> </w:t>
      </w:r>
      <w:r w:rsidRPr="000D7D3D">
        <w:t xml:space="preserve">in S condition. Most notably, multiple genes encoding putative enzymes involved in carboxylic acid metabolism are found to be upregulated in this selection. These </w:t>
      </w:r>
      <w:r w:rsidR="00F24FCD">
        <w:t>enzymes</w:t>
      </w:r>
      <w:r w:rsidRPr="000D7D3D">
        <w:t xml:space="preserve"> include two oxalate decarboxylases, involved in degradation of oxalic acid into formate and CO</w:t>
      </w:r>
      <w:r w:rsidRPr="00635993">
        <w:rPr>
          <w:vertAlign w:val="subscript"/>
        </w:rPr>
        <w:t>2</w:t>
      </w:r>
      <w:r w:rsidR="00F24FCD">
        <w:t>,</w:t>
      </w:r>
      <w:r w:rsidRPr="000D7D3D">
        <w:t xml:space="preserve"> </w:t>
      </w:r>
      <w:r w:rsidR="00F24FCD">
        <w:t>a</w:t>
      </w:r>
      <w:r w:rsidRPr="000D7D3D">
        <w:t xml:space="preserve"> formate dehydrogenase, involved in the degradation of formate into CO</w:t>
      </w:r>
      <w:r w:rsidRPr="00635993">
        <w:rPr>
          <w:vertAlign w:val="subscript"/>
        </w:rPr>
        <w:t>2</w:t>
      </w:r>
      <w:r w:rsidR="00F24FCD">
        <w:t xml:space="preserve">, and an </w:t>
      </w:r>
      <w:r w:rsidRPr="000D7D3D">
        <w:t xml:space="preserve">isocitrate lyase, which catalyses </w:t>
      </w:r>
      <w:r w:rsidR="005E1EAD">
        <w:t xml:space="preserve">the </w:t>
      </w:r>
      <w:r w:rsidRPr="000D7D3D">
        <w:t>cleavage of isocitrate into succinate and glyoxylate</w:t>
      </w:r>
      <w:r w:rsidRPr="000D7D3D">
        <w:rPr>
          <w:lang w:val="en-US"/>
        </w:rPr>
        <w:t xml:space="preserve">. </w:t>
      </w:r>
      <w:r w:rsidR="00F24FCD" w:rsidRPr="000D7D3D">
        <w:rPr>
          <w:lang w:val="en-US"/>
        </w:rPr>
        <w:t>T</w:t>
      </w:r>
      <w:r w:rsidRPr="000D7D3D">
        <w:rPr>
          <w:lang w:val="en-US"/>
        </w:rPr>
        <w:t xml:space="preserve">ransporter </w:t>
      </w:r>
      <w:r w:rsidR="00F24FCD">
        <w:rPr>
          <w:lang w:val="en-US"/>
        </w:rPr>
        <w:t xml:space="preserve">encoding </w:t>
      </w:r>
      <w:r w:rsidRPr="000D7D3D">
        <w:rPr>
          <w:lang w:val="en-US"/>
        </w:rPr>
        <w:t>genes upreg</w:t>
      </w:r>
      <w:r w:rsidR="00F24FCD">
        <w:rPr>
          <w:lang w:val="en-US"/>
        </w:rPr>
        <w:t>ulated in this selection include</w:t>
      </w:r>
      <w:r w:rsidRPr="000D7D3D">
        <w:rPr>
          <w:lang w:val="en-US"/>
        </w:rPr>
        <w:t xml:space="preserve"> a plasma membrane monocarboxylic acid transporter,</w:t>
      </w:r>
      <w:r w:rsidRPr="000D7D3D">
        <w:t xml:space="preserve"> </w:t>
      </w:r>
      <w:r w:rsidR="00F24FCD">
        <w:t>a</w:t>
      </w:r>
      <w:r w:rsidRPr="000D7D3D">
        <w:t xml:space="preserve"> putative amino acid transporter and two putative MFS transporters.</w:t>
      </w:r>
      <w:r w:rsidRPr="000D7D3D">
        <w:rPr>
          <w:lang w:val="en-US"/>
        </w:rPr>
        <w:t xml:space="preserve"> </w:t>
      </w:r>
      <w:r w:rsidRPr="000D7D3D">
        <w:t xml:space="preserve">Multiple </w:t>
      </w:r>
      <w:r w:rsidR="00F24FCD" w:rsidRPr="000D7D3D">
        <w:t>genes</w:t>
      </w:r>
      <w:r w:rsidR="00F24FCD">
        <w:t xml:space="preserve"> encoding for</w:t>
      </w:r>
      <w:r w:rsidR="00F24FCD" w:rsidRPr="000D7D3D">
        <w:t xml:space="preserve"> </w:t>
      </w:r>
      <w:r w:rsidRPr="000D7D3D">
        <w:t xml:space="preserve">putative signalling </w:t>
      </w:r>
      <w:r w:rsidR="00F24FCD">
        <w:t xml:space="preserve">proteins were </w:t>
      </w:r>
      <w:r w:rsidRPr="000D7D3D">
        <w:t>found to be upregulated</w:t>
      </w:r>
      <w:r w:rsidR="00F24FCD">
        <w:t>,</w:t>
      </w:r>
      <w:r w:rsidRPr="000D7D3D">
        <w:t xml:space="preserve"> </w:t>
      </w:r>
      <w:r w:rsidR="00F24FCD">
        <w:t>including</w:t>
      </w:r>
      <w:r w:rsidRPr="000D7D3D">
        <w:t xml:space="preserve"> two tyrosine phosphatase</w:t>
      </w:r>
      <w:r w:rsidR="00F24FCD">
        <w:t>s</w:t>
      </w:r>
      <w:r w:rsidRPr="000D7D3D">
        <w:t xml:space="preserve">, </w:t>
      </w:r>
      <w:r w:rsidR="00F24FCD">
        <w:t>a</w:t>
      </w:r>
      <w:r w:rsidRPr="000D7D3D">
        <w:t xml:space="preserve"> WD40 repeat-containing protein, </w:t>
      </w:r>
      <w:r w:rsidR="00F24FCD">
        <w:t>a</w:t>
      </w:r>
      <w:r w:rsidRPr="000D7D3D">
        <w:t xml:space="preserve"> </w:t>
      </w:r>
      <w:r w:rsidR="00F24FCD" w:rsidRPr="000D7D3D">
        <w:t xml:space="preserve">protein </w:t>
      </w:r>
      <w:r w:rsidR="00F24FCD">
        <w:t xml:space="preserve">belonging to the </w:t>
      </w:r>
      <w:r w:rsidRPr="000D7D3D">
        <w:t xml:space="preserve">phosphotransferase family and </w:t>
      </w:r>
      <w:r w:rsidR="00F24FCD">
        <w:t>a</w:t>
      </w:r>
      <w:r w:rsidR="003C662F">
        <w:t>n ARM repeat-containing protein.</w:t>
      </w:r>
    </w:p>
    <w:p w14:paraId="14A8DBAB" w14:textId="05D82F10" w:rsidR="000D7D3D" w:rsidRPr="000D7D3D" w:rsidRDefault="000D7D3D" w:rsidP="00634533">
      <w:pPr>
        <w:ind w:firstLine="720"/>
      </w:pPr>
      <w:r w:rsidRPr="000D7D3D">
        <w:t>Figure 5.6B shows the top 50 genes most significant</w:t>
      </w:r>
      <w:r w:rsidR="00A44293">
        <w:t xml:space="preserve">ly downregulated </w:t>
      </w:r>
      <w:r w:rsidR="00A44293" w:rsidRPr="000D7D3D">
        <w:t>in HAP+ in S condition c</w:t>
      </w:r>
      <w:r w:rsidR="00A44293">
        <w:t>ompared to HAP+ in NS condition</w:t>
      </w:r>
      <w:r w:rsidRPr="000D7D3D">
        <w:t xml:space="preserve">. Most of the genes in this selection are induced by HAP+ in NS condition but not by HAP+ in S condition. Many genes in this selection encode for putative transporter proteins, such as two plasma membrane </w:t>
      </w:r>
      <w:r w:rsidR="000C5269" w:rsidRPr="000D7D3D">
        <w:t>Ca</w:t>
      </w:r>
      <w:r w:rsidR="00A44293">
        <w:t>-dependent ATPases</w:t>
      </w:r>
      <w:r w:rsidRPr="000D7D3D">
        <w:t>, the Ca-permeable stre</w:t>
      </w:r>
      <w:r w:rsidR="00A44293">
        <w:t xml:space="preserve">ss-gated channel 1 (CSC1) and an </w:t>
      </w:r>
      <w:r w:rsidRPr="000D7D3D">
        <w:t>efflux transporter of the MATE family. Other notable genes downre</w:t>
      </w:r>
      <w:r w:rsidR="00207D8D">
        <w:t>gulated by HAP+ in S condition</w:t>
      </w:r>
      <w:r w:rsidRPr="000D7D3D">
        <w:t xml:space="preserve"> compared to </w:t>
      </w:r>
      <w:r w:rsidR="00207D8D">
        <w:t xml:space="preserve">HAP+ is </w:t>
      </w:r>
      <w:r w:rsidRPr="000D7D3D">
        <w:t xml:space="preserve">NS </w:t>
      </w:r>
      <w:r w:rsidR="00207D8D">
        <w:t xml:space="preserve">condition encode for </w:t>
      </w:r>
      <w:r w:rsidRPr="000D7D3D">
        <w:t xml:space="preserve">a putative glycoside hydrolase </w:t>
      </w:r>
      <w:r w:rsidR="00207D8D">
        <w:t>(</w:t>
      </w:r>
      <w:r w:rsidR="00207D8D" w:rsidRPr="000D7D3D">
        <w:t>family 9</w:t>
      </w:r>
      <w:r w:rsidRPr="000D7D3D">
        <w:t xml:space="preserve">), a polysaccharide lyase </w:t>
      </w:r>
      <w:r w:rsidR="001E4BEF">
        <w:t>(family 14), a putative</w:t>
      </w:r>
      <w:r w:rsidRPr="000D7D3D">
        <w:t xml:space="preserve"> ZF transcription factor, </w:t>
      </w:r>
      <w:r w:rsidR="00207D8D">
        <w:t xml:space="preserve">which was </w:t>
      </w:r>
      <w:r w:rsidRPr="000D7D3D">
        <w:t>previously found to be strongly upre</w:t>
      </w:r>
      <w:r w:rsidR="00207D8D">
        <w:t>gulated by HAP+ in NS condition</w:t>
      </w:r>
      <w:r w:rsidRPr="000D7D3D">
        <w:t xml:space="preserve"> (Figure </w:t>
      </w:r>
      <w:r w:rsidR="00AC7A6D">
        <w:t>5</w:t>
      </w:r>
      <w:r w:rsidRPr="000D7D3D">
        <w:t>.4A)</w:t>
      </w:r>
      <w:r w:rsidR="00207D8D">
        <w:t>,</w:t>
      </w:r>
      <w:r w:rsidRPr="000D7D3D">
        <w:t xml:space="preserve"> and two putative geranylgeranyl pyrophosphate synthases, </w:t>
      </w:r>
      <w:r w:rsidR="00207D8D">
        <w:t xml:space="preserve">which were also </w:t>
      </w:r>
      <w:r w:rsidRPr="000D7D3D">
        <w:t xml:space="preserve">found to be </w:t>
      </w:r>
      <w:r w:rsidR="0082191E">
        <w:t>down</w:t>
      </w:r>
      <w:r w:rsidR="00207D8D">
        <w:t>regulated in low Pi condition</w:t>
      </w:r>
      <w:r w:rsidRPr="000D7D3D">
        <w:t xml:space="preserve"> </w:t>
      </w:r>
      <w:r w:rsidR="0082191E">
        <w:t>during EM symbiosis (Chapter 3, Figures 3.6B</w:t>
      </w:r>
      <w:r w:rsidRPr="000D7D3D">
        <w:t>).</w:t>
      </w:r>
      <w:r w:rsidRPr="000D7D3D">
        <w:br w:type="page"/>
      </w:r>
    </w:p>
    <w:p w14:paraId="2CFFECB7" w14:textId="77777777" w:rsidR="000D7D3D" w:rsidRPr="000D7D3D" w:rsidRDefault="000D7D3D" w:rsidP="003F7054">
      <w:r w:rsidRPr="000D7D3D">
        <w:rPr>
          <w:noProof/>
          <w:lang w:eastAsia="en-GB"/>
        </w:rPr>
        <w:lastRenderedPageBreak/>
        <w:drawing>
          <wp:inline distT="0" distB="0" distL="0" distR="0" wp14:anchorId="76F054EB" wp14:editId="7CF6A7CA">
            <wp:extent cx="5943600" cy="45548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5.6++.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4554855"/>
                    </a:xfrm>
                    <a:prstGeom prst="rect">
                      <a:avLst/>
                    </a:prstGeom>
                  </pic:spPr>
                </pic:pic>
              </a:graphicData>
            </a:graphic>
          </wp:inline>
        </w:drawing>
      </w:r>
    </w:p>
    <w:p w14:paraId="5192386D" w14:textId="77777777" w:rsidR="00634533" w:rsidRDefault="000D7D3D" w:rsidP="00635993">
      <w:pPr>
        <w:pStyle w:val="Subtitle"/>
        <w:pBdr>
          <w:top w:val="single" w:sz="4" w:space="1" w:color="auto"/>
        </w:pBdr>
        <w:rPr>
          <w:b w:val="0"/>
        </w:rPr>
      </w:pPr>
      <w:r w:rsidRPr="000D7D3D">
        <w:t xml:space="preserve">Figure 5.6 </w:t>
      </w:r>
      <w:r w:rsidRPr="00635993">
        <w:rPr>
          <w:b w:val="0"/>
        </w:rPr>
        <w:t xml:space="preserve">Heat maps of normalized read counts for genes differentially expressed in </w:t>
      </w:r>
      <w:r w:rsidRPr="00635993">
        <w:rPr>
          <w:b w:val="0"/>
          <w:i/>
        </w:rPr>
        <w:t>P. involutus</w:t>
      </w:r>
      <w:r w:rsidR="00207D8D">
        <w:rPr>
          <w:b w:val="0"/>
          <w:i/>
        </w:rPr>
        <w:t xml:space="preserve"> DJR1</w:t>
      </w:r>
      <w:r w:rsidRPr="00635993">
        <w:rPr>
          <w:b w:val="0"/>
        </w:rPr>
        <w:t xml:space="preserve"> hyphae between </w:t>
      </w:r>
      <w:r w:rsidR="00207D8D">
        <w:rPr>
          <w:b w:val="0"/>
        </w:rPr>
        <w:t>NS</w:t>
      </w:r>
      <w:r w:rsidRPr="00635993">
        <w:rPr>
          <w:b w:val="0"/>
        </w:rPr>
        <w:t xml:space="preserve"> HAP+ and </w:t>
      </w:r>
      <w:r w:rsidR="00207D8D">
        <w:rPr>
          <w:b w:val="0"/>
        </w:rPr>
        <w:t>S</w:t>
      </w:r>
      <w:r w:rsidRPr="00635993">
        <w:rPr>
          <w:b w:val="0"/>
        </w:rPr>
        <w:t xml:space="preserve"> HAP+. Z-score values are shown for the top 50 genes ranked by significance (Q-values) between groups compared. The putative functional annotation for each gene is listed on the right of each heat map which was mainly inferred by using the BLAST program together with the annotation on the MycoCosm at the JGI database </w:t>
      </w:r>
      <w:r w:rsidRPr="00635993">
        <w:rPr>
          <w:b w:val="0"/>
        </w:rPr>
        <w:fldChar w:fldCharType="begin" w:fldLock="1"/>
      </w:r>
      <w:r w:rsidR="00EE33AB">
        <w:rPr>
          <w:b w:val="0"/>
        </w:rPr>
        <w:instrText>ADDIN CSL_CITATION {"citationItems":[{"id":"ITEM-1","itemData":{"DOI":"10.1093/nar/25.17.3389","ISBN":"0305-1048","ISSN":"13624962","PMID":"9254694","abstract":"The BLAST programs are widely used tools for searching protein and DNA databases for sequence similarities. For protein comparisons, a variety of definitional, algorithmic and statistical refinements described here permits the execution time of the BLAST programs to be decreased substantially while enhancing their sensitivity to weak similarities. A new criterion for triggering the extension of word hits, combined with a new heuristic for generating gapped alignments, yields a gapped BLAST program that runs at approximately three times the speed of the original. In addition, a method is introduced for automatically combining statistically significant alignments produced by BLAST into a position-specific score matrix, and searching the database using this matrix. The resulting Position-Specific Iterated BLAST (PSIBLAST) program runs at approximately the same speed per iteration as gapped BLAST, but in many cases is much more sensitive to weak but biologically relevant sequence similarities. PSI-BLAST is used to uncover several new and interesting members of the BRCT superfamily.","author":[{"dropping-particle":"","family":"Altschul","given":"Stephen F","non-dropping-particle":"","parse-names":false,"suffix":""},{"dropping-particle":"","family":"Madden","given":"Thomas L","non-dropping-particle":"","parse-names":false,"suffix":""},{"dropping-particle":"","family":"Schäffer","given":"Alejandto a","non-dropping-particle":"","parse-names":false,"suffix":""},{"dropping-particle":"","family":"Zhang","given":"Jinghui","non-dropping-particle":"","parse-names":false,"suffix":""},{"dropping-particle":"","family":"Zhang","given":"Zheng","non-dropping-particle":"","parse-names":false,"suffix":""},{"dropping-particle":"","family":"Miller","given":"Webb","non-dropping-particle":"","parse-names":false,"suffix":""},{"dropping-particle":"","family":"Lipman","given":"David J","non-dropping-particle":"","parse-names":false,"suffix":""}],"container-title":"Nucleic Acids Research","id":"ITEM-1","issue":"17","issued":{"date-parts":[["1997"]]},"page":"3389-3402","title":"Gapped BLAST and PSI-BLAST:a new generation of protein database search programs","type":"article-journal","volume":"25"},"uris":["http://www.mendeley.com/documents/?uuid=65c4a1d4-3fb8-4a6a-bb23-1f5f98fcd0e5"]},{"id":"ITEM-2","itemData":{"DOI":"10.1093/nar/gkt1183","ISBN":"1362-4962 (Electronic)\\n0305-1048 (Linking)","ISSN":"03051048","PMID":"24297253","abstract":"MycoCosm is a fungal genomics portal (http://jgi.doe.gov/fungi), developed by the US Department of Energy Joint Genome Institute to support integration, analysis and dissemination of fungal genome sequences and other 'omics' data by providing interactive web-based tools. MycoCosm also promotes and facilitates user community participation through the nomination of new species of fungi for sequencing, and the annotation and analysis of resulting data. By efficiently filling gaps in the Fungal Tree of Life, MycoCosm will help address important problems associated with energy and the environment, taking advantage of growing fungal genomics resources.","author":[{"dropping-particle":"V.","family":"Grigoriev","given":"Igor","non-dropping-particle":"","parse-names":false,"suffix":""},{"dropping-particle":"","family":"Nikitin","given":"Roman","non-dropping-particle":"","parse-names":false,"suffix":""},{"dropping-particle":"","family":"Haridas","given":"Sajeet","non-dropping-particle":"","parse-names":false,"suffix":""},{"dropping-particle":"","family":"Kuo","given":"Alan","non-dropping-particle":"","parse-names":false,"suffix":""},{"dropping-particle":"","family":"Ohm","given":"Robin","non-dropping-particle":"","parse-names":false,"suffix":""},{"dropping-particle":"","family":"Otillar","given":"Robert","non-dropping-particle":"","parse-names":false,"suffix":""},{"dropping-particle":"","family":"Riley","given":"Robert","non-dropping-particle":"","parse-names":false,"suffix":""},{"dropping-particle":"","family":"Salamov","given":"Asaf","non-dropping-particle":"","parse-names":false,"suffix":""},{"dropping-particle":"","family":"Zhao","given":"Xueling","non-dropping-particle":"","parse-names":false,"suffix":""},{"dropping-particle":"","family":"Korzeniewski","given":"Frank","non-dropping-particle":"","parse-names":false,"suffix":""},{"dropping-particle":"","family":"Smirnova","given":"Tatyana","non-dropping-particle":"","parse-names":false,"suffix":""},{"dropping-particle":"","family":"Nordberg","given":"Henrik","non-dropping-particle":"","parse-names":false,"suffix":""},{"dropping-particle":"","family":"Dubchak","given":"Inna","non-dropping-particle":"","parse-names":false,"suffix":""},{"dropping-particle":"","family":"Shabalov","given":"Igor","non-dropping-particle":"","parse-names":false,"suffix":""}],"container-title":"Nucleic Acids Research","id":"ITEM-2","issue":"December 2013","issued":{"date-parts":[["2014"]]},"page":"699-704","title":"MycoCosm portal: Gearing up for 1000 fungal genomes","type":"article-journal","volume":"42"},"uris":["http://www.mendeley.com/documents/?uuid=eee40767-9a6f-492f-9569-bb26ff80c11c"]},{"id":"ITEM-3","itemData":{"DOI":"10.1080/21501203.2011.584577","ISBN":"2150-1203","ISSN":"2150-1203","abstract":"Fungi play important roles across the range of current and future biofuel production processes. From crop/feedstock health to plant biomass saccharification, enzyme production to bioprocesses for producing ethanol, higher alcohols, or future hydrocarbon biofuels, fungi are involved. Research and development are underway to understand the underlying biological processes and improve them to make bioenergy production efficient on an industrial scale. Genomics is the foundation of the systems biology approach that is being used to accelerate the research and development efforts across the spectrum of topic areas that impact biofuels production. In this review, we discuss past, current, and future advances made possible by genomic analyses of the fungi that impact plant/feedstock health, degradation of lignocellulosic biomass, and fermentation of sugars to ethanol, hydrocarbon biofuels, and renewable chemicals.","author":[{"dropping-particle":"V.","family":"Grigoriev","given":"Igor","non-dropping-particle":"","parse-names":false,"suffix":""},{"dropping-particle":"","family":"Cullen","given":"Daniel","non-dropping-particle":"","parse-names":false,"suffix":""},{"dropping-particle":"","family":"Goodwin","given":"Stephen B.","non-dropping-particle":"","parse-names":false,"suffix":""},{"dropping-particle":"","family":"Hibbett","given":"David","non-dropping-particle":"","parse-names":false,"suffix":""},{"dropping-particle":"","family":"Jeffries","given":"Thomas W.","non-dropping-particle":"","parse-names":false,"suffix":""},{"dropping-particle":"","family":"Kubicek","given":"Christian P.","non-dropping-particle":"","parse-names":false,"suffix":""},{"dropping-particle":"","family":"Kuske","given":"Cheryl","non-dropping-particle":"","parse-names":false,"suffix":""},{"dropping-particle":"","family":"Magnuson","given":"Jon K.","non-dropping-particle":"","parse-names":false,"suffix":""},{"dropping-particle":"","family":"Martin","given":"Francis","non-dropping-particle":"","parse-names":false,"suffix":""},{"dropping-particle":"","family":"Spatafora","given":"Joseph W.","non-dropping-particle":"","parse-names":false,"suffix":""},{"dropping-particle":"","family":"Tsang","given":"Adrian","non-dropping-particle":"","parse-names":false,"suffix":""},{"dropping-particle":"","family":"Baker","given":"Scott E.","non-dropping-particle":"","parse-names":false,"suffix":""},{"dropping-particle":"","family":"Cullen","given":"","non-dropping-particle":"","parse-names":false,"suffix":""},{"dropping-particle":"","family":"Sb","given":"Goodwin","non-dropping-particle":"","parse-names":false,"suffix":""},{"dropping-particle":"","family":"D","given":"Hibbett","non-dropping-particle":"","parse-names":false,"suffix":""},{"dropping-particle":"","family":"Tw","given":"Jeffries","non-dropping-particle":"","parse-names":false,"suffix":""},{"dropping-particle":"","family":"Cp","given":"Kubicek","non-dropping-particle":"","parse-names":false,"suffix":""},{"dropping-particle":"","family":"C","given":"Kuske","non-dropping-particle":"","parse-names":false,"suffix":""},{"dropping-particle":"","family":"Jk","given":"Magnuson","non-dropping-particle":"","parse-names":false,"suffix":""},{"dropping-particle":"","family":"F","given":"Martin","non-dropping-particle":"","parse-names":false,"suffix":""},{"dropping-particle":"","family":"Jw","given":"Spatafora","non-dropping-particle":"","parse-names":false,"suffix":""},{"dropping-particle":"","family":"a","given":"Tsang","non-dropping-particle":"","parse-names":false,"suffix":""},{"dropping-particle":"","family":"Se","given":"Baker","non-dropping-particle":"","parse-names":false,"suffix":""}],"container-title":"Mycology: An international journal on fungal biology","id":"ITEM-3","issue":"June 2016","issued":{"date-parts":[["2011"]]},"page":"192-209","title":"Fueling the future with fungal genomics","type":"article-journal","volume":"2"},"uris":["http://www.mendeley.com/documents/?uuid=9a28282a-1011-48a6-9df1-2ef8df068138"]}],"mendeley":{"formattedCitation":"(Altschul et al., 1997; Grigoriev et al., 2014, 2011)","plainTextFormattedCitation":"(Altschul et al., 1997; Grigoriev et al., 2014, 2011)","previouslyFormattedCitation":"(Altschul et al., 1997; Grigoriev et al., 2014, 2011)"},"properties":{"noteIndex":0},"schema":"https://github.com/citation-style-language/schema/raw/master/csl-citation.json"}</w:instrText>
      </w:r>
      <w:r w:rsidRPr="00635993">
        <w:rPr>
          <w:b w:val="0"/>
        </w:rPr>
        <w:fldChar w:fldCharType="separate"/>
      </w:r>
      <w:r w:rsidRPr="00635993">
        <w:rPr>
          <w:b w:val="0"/>
          <w:noProof/>
        </w:rPr>
        <w:t>(Altschul et al., 1997; Grigoriev et al., 2014, 2011)</w:t>
      </w:r>
      <w:r w:rsidRPr="00635993">
        <w:rPr>
          <w:b w:val="0"/>
        </w:rPr>
        <w:fldChar w:fldCharType="end"/>
      </w:r>
      <w:r w:rsidRPr="00635993">
        <w:rPr>
          <w:b w:val="0"/>
        </w:rPr>
        <w:t xml:space="preserve">. </w:t>
      </w:r>
      <w:r w:rsidRPr="00B46FB7">
        <w:t>A.</w:t>
      </w:r>
      <w:r w:rsidRPr="00635993">
        <w:rPr>
          <w:b w:val="0"/>
        </w:rPr>
        <w:t xml:space="preserve"> Genes showi</w:t>
      </w:r>
      <w:r w:rsidR="00C501AE">
        <w:rPr>
          <w:b w:val="0"/>
        </w:rPr>
        <w:t>ng up</w:t>
      </w:r>
      <w:r w:rsidRPr="00635993">
        <w:rPr>
          <w:b w:val="0"/>
        </w:rPr>
        <w:t xml:space="preserve">regulation in </w:t>
      </w:r>
      <w:r w:rsidR="000C5269" w:rsidRPr="00635993">
        <w:rPr>
          <w:b w:val="0"/>
        </w:rPr>
        <w:t>HAP</w:t>
      </w:r>
      <w:r w:rsidR="00207D8D">
        <w:rPr>
          <w:b w:val="0"/>
        </w:rPr>
        <w:t>+</w:t>
      </w:r>
      <w:r w:rsidR="000C5269" w:rsidRPr="00635993">
        <w:rPr>
          <w:b w:val="0"/>
        </w:rPr>
        <w:t xml:space="preserve"> </w:t>
      </w:r>
      <w:r w:rsidRPr="00635993">
        <w:rPr>
          <w:b w:val="0"/>
        </w:rPr>
        <w:t xml:space="preserve">in </w:t>
      </w:r>
      <w:r w:rsidR="000C5269" w:rsidRPr="00635993">
        <w:rPr>
          <w:b w:val="0"/>
        </w:rPr>
        <w:t xml:space="preserve">S </w:t>
      </w:r>
      <w:r w:rsidRPr="00635993">
        <w:rPr>
          <w:b w:val="0"/>
        </w:rPr>
        <w:t xml:space="preserve">condition compared </w:t>
      </w:r>
      <w:r w:rsidR="00207D8D">
        <w:rPr>
          <w:b w:val="0"/>
        </w:rPr>
        <w:t xml:space="preserve">to </w:t>
      </w:r>
      <w:r w:rsidR="000C5269" w:rsidRPr="00635993">
        <w:rPr>
          <w:b w:val="0"/>
        </w:rPr>
        <w:t>HAP</w:t>
      </w:r>
      <w:r w:rsidR="00207D8D">
        <w:rPr>
          <w:b w:val="0"/>
        </w:rPr>
        <w:t>+</w:t>
      </w:r>
      <w:r w:rsidR="000C5269" w:rsidRPr="00635993">
        <w:rPr>
          <w:b w:val="0"/>
        </w:rPr>
        <w:t xml:space="preserve"> </w:t>
      </w:r>
      <w:r w:rsidRPr="00635993">
        <w:rPr>
          <w:b w:val="0"/>
        </w:rPr>
        <w:t xml:space="preserve">in </w:t>
      </w:r>
      <w:r w:rsidR="000C5269" w:rsidRPr="00635993">
        <w:rPr>
          <w:b w:val="0"/>
        </w:rPr>
        <w:t>NS</w:t>
      </w:r>
      <w:r w:rsidR="00207D8D">
        <w:rPr>
          <w:b w:val="0"/>
        </w:rPr>
        <w:t xml:space="preserve"> condition</w:t>
      </w:r>
      <w:r w:rsidRPr="00635993">
        <w:rPr>
          <w:b w:val="0"/>
        </w:rPr>
        <w:t xml:space="preserve">. </w:t>
      </w:r>
      <w:r w:rsidRPr="00B46FB7">
        <w:t>B.</w:t>
      </w:r>
      <w:r w:rsidR="00207D8D">
        <w:rPr>
          <w:b w:val="0"/>
        </w:rPr>
        <w:t xml:space="preserve"> G</w:t>
      </w:r>
      <w:r w:rsidR="00877B3F">
        <w:rPr>
          <w:b w:val="0"/>
        </w:rPr>
        <w:t>enes showing down</w:t>
      </w:r>
      <w:r w:rsidRPr="00635993">
        <w:rPr>
          <w:b w:val="0"/>
        </w:rPr>
        <w:t xml:space="preserve">regulation in </w:t>
      </w:r>
      <w:r w:rsidR="000C5269" w:rsidRPr="00635993">
        <w:rPr>
          <w:b w:val="0"/>
        </w:rPr>
        <w:t>HAP</w:t>
      </w:r>
      <w:r w:rsidR="00207D8D">
        <w:rPr>
          <w:b w:val="0"/>
        </w:rPr>
        <w:t>+</w:t>
      </w:r>
      <w:r w:rsidR="000C5269" w:rsidRPr="00635993">
        <w:rPr>
          <w:b w:val="0"/>
        </w:rPr>
        <w:t xml:space="preserve"> </w:t>
      </w:r>
      <w:r w:rsidRPr="00635993">
        <w:rPr>
          <w:b w:val="0"/>
        </w:rPr>
        <w:t xml:space="preserve">in </w:t>
      </w:r>
      <w:r w:rsidR="000C5269" w:rsidRPr="00635993">
        <w:rPr>
          <w:b w:val="0"/>
        </w:rPr>
        <w:t xml:space="preserve">S </w:t>
      </w:r>
      <w:r w:rsidRPr="00635993">
        <w:rPr>
          <w:b w:val="0"/>
        </w:rPr>
        <w:t xml:space="preserve">condition compared </w:t>
      </w:r>
      <w:r w:rsidR="00207D8D">
        <w:rPr>
          <w:b w:val="0"/>
        </w:rPr>
        <w:t xml:space="preserve">to </w:t>
      </w:r>
      <w:r w:rsidR="000C5269" w:rsidRPr="00635993">
        <w:rPr>
          <w:b w:val="0"/>
        </w:rPr>
        <w:t>HAP</w:t>
      </w:r>
      <w:r w:rsidR="00207D8D">
        <w:rPr>
          <w:b w:val="0"/>
        </w:rPr>
        <w:t>+</w:t>
      </w:r>
      <w:r w:rsidR="000C5269" w:rsidRPr="00635993">
        <w:rPr>
          <w:b w:val="0"/>
        </w:rPr>
        <w:t xml:space="preserve"> </w:t>
      </w:r>
      <w:r w:rsidRPr="00635993">
        <w:rPr>
          <w:b w:val="0"/>
        </w:rPr>
        <w:t xml:space="preserve">in </w:t>
      </w:r>
      <w:r w:rsidR="000C5269" w:rsidRPr="00635993">
        <w:rPr>
          <w:b w:val="0"/>
        </w:rPr>
        <w:t>NS</w:t>
      </w:r>
      <w:r w:rsidRPr="00635993">
        <w:rPr>
          <w:b w:val="0"/>
        </w:rPr>
        <w:t xml:space="preserve"> conditions. The first annotation bar from the top represents </w:t>
      </w:r>
      <w:r w:rsidRPr="00635993">
        <w:rPr>
          <w:b w:val="0"/>
          <w:i/>
        </w:rPr>
        <w:t>P. involutus</w:t>
      </w:r>
      <w:r w:rsidR="001D167B">
        <w:rPr>
          <w:b w:val="0"/>
          <w:i/>
        </w:rPr>
        <w:t xml:space="preserve"> DJR1</w:t>
      </w:r>
      <w:r w:rsidRPr="00635993">
        <w:rPr>
          <w:b w:val="0"/>
        </w:rPr>
        <w:t xml:space="preserve"> hyphae </w:t>
      </w:r>
      <w:r w:rsidR="001D167B">
        <w:rPr>
          <w:b w:val="0"/>
        </w:rPr>
        <w:t>growth</w:t>
      </w:r>
      <w:r w:rsidR="000C5269" w:rsidRPr="00635993">
        <w:rPr>
          <w:b w:val="0"/>
        </w:rPr>
        <w:t xml:space="preserve"> </w:t>
      </w:r>
      <w:r w:rsidRPr="00635993">
        <w:rPr>
          <w:b w:val="0"/>
        </w:rPr>
        <w:t>condition</w:t>
      </w:r>
      <w:r w:rsidR="001D167B">
        <w:rPr>
          <w:b w:val="0"/>
        </w:rPr>
        <w:t>s</w:t>
      </w:r>
      <w:r w:rsidRPr="00635993">
        <w:rPr>
          <w:b w:val="0"/>
        </w:rPr>
        <w:t xml:space="preserve"> (orange: </w:t>
      </w:r>
      <w:r w:rsidR="00BF6816" w:rsidRPr="00635993">
        <w:rPr>
          <w:b w:val="0"/>
        </w:rPr>
        <w:t>NS</w:t>
      </w:r>
      <w:r w:rsidRPr="00635993">
        <w:rPr>
          <w:b w:val="0"/>
        </w:rPr>
        <w:t xml:space="preserve"> condition; green: </w:t>
      </w:r>
      <w:r w:rsidR="00BF6816" w:rsidRPr="00635993">
        <w:rPr>
          <w:b w:val="0"/>
        </w:rPr>
        <w:t xml:space="preserve">S </w:t>
      </w:r>
      <w:r w:rsidRPr="00635993">
        <w:rPr>
          <w:b w:val="0"/>
        </w:rPr>
        <w:t xml:space="preserve">condition). The second annotation bar represents the presence of </w:t>
      </w:r>
      <w:r w:rsidR="000C5269" w:rsidRPr="00635993">
        <w:rPr>
          <w:b w:val="0"/>
        </w:rPr>
        <w:t xml:space="preserve">HAP </w:t>
      </w:r>
      <w:r w:rsidRPr="00635993">
        <w:rPr>
          <w:b w:val="0"/>
        </w:rPr>
        <w:t xml:space="preserve">(purple: </w:t>
      </w:r>
      <w:r w:rsidR="001D167B">
        <w:rPr>
          <w:b w:val="0"/>
        </w:rPr>
        <w:t>HAP+</w:t>
      </w:r>
      <w:r w:rsidRPr="00635993">
        <w:rPr>
          <w:b w:val="0"/>
        </w:rPr>
        <w:t>). Normalized read count values of each biological replicate are shown independently.</w:t>
      </w:r>
    </w:p>
    <w:p w14:paraId="4951433E" w14:textId="718B8F9A" w:rsidR="000D7D3D" w:rsidRPr="000D7D3D" w:rsidRDefault="000D7D3D" w:rsidP="00635993">
      <w:pPr>
        <w:pStyle w:val="Subtitle"/>
        <w:pBdr>
          <w:top w:val="single" w:sz="4" w:space="1" w:color="auto"/>
        </w:pBdr>
      </w:pPr>
      <w:r w:rsidRPr="000D7D3D">
        <w:br w:type="page"/>
      </w:r>
    </w:p>
    <w:p w14:paraId="4D8D7BF6" w14:textId="144E1590" w:rsidR="000D7D3D" w:rsidRPr="000D7D3D" w:rsidRDefault="000D7D3D" w:rsidP="00635993">
      <w:pPr>
        <w:pStyle w:val="Heading2"/>
      </w:pPr>
      <w:bookmarkStart w:id="502" w:name="_Toc507604080"/>
      <w:bookmarkStart w:id="503" w:name="_Toc507604347"/>
      <w:bookmarkStart w:id="504" w:name="_Toc519017049"/>
      <w:bookmarkStart w:id="505" w:name="_Toc520837962"/>
      <w:r w:rsidRPr="000D7D3D">
        <w:lastRenderedPageBreak/>
        <w:t xml:space="preserve">5.3.7 </w:t>
      </w:r>
      <w:r w:rsidRPr="000D7D3D">
        <w:rPr>
          <w:i/>
        </w:rPr>
        <w:t>P. involutus</w:t>
      </w:r>
      <w:r w:rsidR="00337763">
        <w:rPr>
          <w:i/>
        </w:rPr>
        <w:t xml:space="preserve"> DJR1</w:t>
      </w:r>
      <w:r w:rsidRPr="000D7D3D">
        <w:rPr>
          <w:i/>
        </w:rPr>
        <w:t xml:space="preserve"> </w:t>
      </w:r>
      <w:r w:rsidRPr="000D7D3D">
        <w:t xml:space="preserve">genes differentially and putatively regulated in response to </w:t>
      </w:r>
      <w:r w:rsidR="00BF6816">
        <w:t>HAP</w:t>
      </w:r>
      <w:r w:rsidR="00BF6816" w:rsidRPr="000D7D3D">
        <w:t xml:space="preserve"> </w:t>
      </w:r>
      <w:r w:rsidRPr="000D7D3D">
        <w:t>weathering during EM symbiosis</w:t>
      </w:r>
      <w:bookmarkEnd w:id="502"/>
      <w:bookmarkEnd w:id="503"/>
      <w:bookmarkEnd w:id="504"/>
      <w:bookmarkEnd w:id="505"/>
    </w:p>
    <w:p w14:paraId="47D96F6C" w14:textId="3712A9F3" w:rsidR="000D7D3D" w:rsidRPr="000D7D3D" w:rsidRDefault="000D7D3D" w:rsidP="003F7054">
      <w:r w:rsidRPr="000D7D3D">
        <w:t>In order to identify</w:t>
      </w:r>
      <w:r w:rsidRPr="000D7D3D">
        <w:rPr>
          <w:i/>
        </w:rPr>
        <w:t xml:space="preserve"> P. involutus DJR1</w:t>
      </w:r>
      <w:r w:rsidRPr="000D7D3D">
        <w:t xml:space="preserve"> genes potentially involved in </w:t>
      </w:r>
      <w:r w:rsidR="00BF6816">
        <w:t>HAP</w:t>
      </w:r>
      <w:r w:rsidR="00BF6816" w:rsidRPr="000D7D3D">
        <w:t xml:space="preserve"> </w:t>
      </w:r>
      <w:r w:rsidRPr="000D7D3D">
        <w:t xml:space="preserve">weathering </w:t>
      </w:r>
      <w:r w:rsidR="007546EB">
        <w:t>of which the</w:t>
      </w:r>
      <w:r w:rsidRPr="000D7D3D">
        <w:t xml:space="preserve"> expression may be co-regulated by EM symbiosis, </w:t>
      </w:r>
      <w:r w:rsidR="002E7B48">
        <w:t xml:space="preserve">an </w:t>
      </w:r>
      <w:r w:rsidRPr="000D7D3D">
        <w:t xml:space="preserve">additional statistical selection was applied to the RNA-seq dataset. In order to identify genes upregulated in </w:t>
      </w:r>
      <w:r w:rsidR="002E7B48">
        <w:t xml:space="preserve">the </w:t>
      </w:r>
      <w:r w:rsidRPr="000D7D3D">
        <w:t xml:space="preserve">presence of </w:t>
      </w:r>
      <w:r w:rsidR="00BF6816">
        <w:t>HAP</w:t>
      </w:r>
      <w:r w:rsidR="00BF6816" w:rsidRPr="000D7D3D">
        <w:t xml:space="preserve"> </w:t>
      </w:r>
      <w:r w:rsidRPr="000D7D3D">
        <w:t xml:space="preserve">and </w:t>
      </w:r>
      <w:r w:rsidR="007546EB">
        <w:t>of which the</w:t>
      </w:r>
      <w:r w:rsidRPr="000D7D3D">
        <w:t xml:space="preserve"> expression is further upregulated by EM symbiosis, three selection criteria were applied: (a) statistically significant upregulation betw</w:t>
      </w:r>
      <w:r w:rsidR="007546EB">
        <w:t>een HAP+</w:t>
      </w:r>
      <w:r w:rsidRPr="000D7D3D">
        <w:t xml:space="preserve"> or </w:t>
      </w:r>
      <w:r w:rsidR="007546EB">
        <w:t>HAP- in NS condition</w:t>
      </w:r>
      <w:r w:rsidRPr="000D7D3D">
        <w:t>; (b) statistically significant upregulation bet</w:t>
      </w:r>
      <w:r w:rsidR="007546EB">
        <w:t>ween HAP+ or HAP- in S condition</w:t>
      </w:r>
      <w:r w:rsidRPr="000D7D3D">
        <w:t>; (c) statistically significant upregulat</w:t>
      </w:r>
      <w:r w:rsidR="007546EB">
        <w:t>ion between HAP+ in S condition and HAP+ in NS condition</w:t>
      </w:r>
      <w:r w:rsidRPr="000D7D3D">
        <w:t xml:space="preserve"> (Figure 5.7A). Similarly, three selection criteria were applied to identify genes downregulated in </w:t>
      </w:r>
      <w:r w:rsidR="002E7B48">
        <w:t xml:space="preserve">the </w:t>
      </w:r>
      <w:r w:rsidRPr="000D7D3D">
        <w:t xml:space="preserve">presence of </w:t>
      </w:r>
      <w:r w:rsidR="00BF6816">
        <w:t>HAP</w:t>
      </w:r>
      <w:r w:rsidR="00BF6816" w:rsidRPr="000D7D3D">
        <w:t xml:space="preserve"> </w:t>
      </w:r>
      <w:r w:rsidRPr="000D7D3D">
        <w:t xml:space="preserve">and </w:t>
      </w:r>
      <w:r w:rsidR="007546EB">
        <w:t>of which the</w:t>
      </w:r>
      <w:r w:rsidRPr="000D7D3D">
        <w:t xml:space="preserve"> expression is further repressed by EM symbiosis: (a) statistically significant downregulation betwe</w:t>
      </w:r>
      <w:r w:rsidR="007546EB">
        <w:t>en HAP+ or HAP- in NS condition</w:t>
      </w:r>
      <w:r w:rsidRPr="000D7D3D">
        <w:t>; (b) statistically significant downregulation betw</w:t>
      </w:r>
      <w:r w:rsidR="007546EB">
        <w:t>een HAP+ or HAP- in S condition</w:t>
      </w:r>
      <w:r w:rsidRPr="000D7D3D">
        <w:t>; (c) statistically significant downregulat</w:t>
      </w:r>
      <w:r w:rsidR="007546EB">
        <w:t>ion between HAP+ in S condition</w:t>
      </w:r>
      <w:r w:rsidRPr="000D7D3D">
        <w:t xml:space="preserve"> and HAP+</w:t>
      </w:r>
      <w:r w:rsidR="007546EB">
        <w:t xml:space="preserve"> in NS condition</w:t>
      </w:r>
      <w:r w:rsidRPr="000D7D3D">
        <w:t xml:space="preserve"> (Figure 5.7B).</w:t>
      </w:r>
    </w:p>
    <w:p w14:paraId="7B946104" w14:textId="769F5C55" w:rsidR="000D7D3D" w:rsidRPr="000D7D3D" w:rsidRDefault="000D7D3D" w:rsidP="007F746A">
      <w:pPr>
        <w:ind w:firstLine="720"/>
      </w:pPr>
      <w:r w:rsidRPr="000D7D3D">
        <w:t>For both selections, only a sm</w:t>
      </w:r>
      <w:r w:rsidR="00877B3F">
        <w:t>all number of genes up- or down</w:t>
      </w:r>
      <w:r w:rsidR="00C501AE">
        <w:t>-</w:t>
      </w:r>
      <w:r w:rsidRPr="000D7D3D">
        <w:t xml:space="preserve">regulated by the presence of </w:t>
      </w:r>
      <w:r w:rsidR="00BF6816">
        <w:t>HAP</w:t>
      </w:r>
      <w:r w:rsidR="00BF6816" w:rsidRPr="000D7D3D">
        <w:t xml:space="preserve"> </w:t>
      </w:r>
      <w:r w:rsidRPr="000D7D3D">
        <w:t>were shared between</w:t>
      </w:r>
      <w:r w:rsidR="007546EB">
        <w:t xml:space="preserve"> the</w:t>
      </w:r>
      <w:r w:rsidRPr="000D7D3D">
        <w:t xml:space="preserve"> S or NS conditions (Figure 5.7A and B, top overlaps). In particular, only 22 genes upregulated by the presence of </w:t>
      </w:r>
      <w:r w:rsidR="00BF6816">
        <w:t>HAP</w:t>
      </w:r>
      <w:r w:rsidR="00BF6816" w:rsidRPr="000D7D3D">
        <w:t xml:space="preserve"> </w:t>
      </w:r>
      <w:r w:rsidRPr="000D7D3D">
        <w:t>were shared between</w:t>
      </w:r>
      <w:r w:rsidR="007546EB">
        <w:t xml:space="preserve"> the</w:t>
      </w:r>
      <w:r w:rsidRPr="000D7D3D">
        <w:t xml:space="preserve"> NS and S condition (Figure 5.7</w:t>
      </w:r>
      <w:r w:rsidR="007546EB">
        <w:t>A, top overlap), and none of the</w:t>
      </w:r>
      <w:r w:rsidRPr="000D7D3D">
        <w:t xml:space="preserve">se were found to be further enhanced by EM symbiosis (Figure 5.7A, central overlap). For genes downregulated by the presence of </w:t>
      </w:r>
      <w:r w:rsidR="00BF6816">
        <w:t>HAP</w:t>
      </w:r>
      <w:r w:rsidRPr="000D7D3D">
        <w:t xml:space="preserve">, 80 genes were shared between </w:t>
      </w:r>
      <w:r w:rsidR="007546EB">
        <w:t xml:space="preserve">the </w:t>
      </w:r>
      <w:r w:rsidRPr="000D7D3D">
        <w:t xml:space="preserve">NS and S conditions, of which 77 showed no </w:t>
      </w:r>
      <w:r w:rsidR="007546EB">
        <w:t xml:space="preserve">statistically </w:t>
      </w:r>
      <w:r w:rsidRPr="000D7D3D">
        <w:t>significant difference in downregulation between the two</w:t>
      </w:r>
      <w:r w:rsidR="007546EB">
        <w:t xml:space="preserve"> conditions (Figure 5.7B, top overlap). On the other hand,</w:t>
      </w:r>
      <w:r w:rsidRPr="000D7D3D">
        <w:t xml:space="preserve"> three genes were further downregulated by EM symbiosis in the presence of </w:t>
      </w:r>
      <w:r w:rsidR="00BF6816">
        <w:t>HAP</w:t>
      </w:r>
      <w:r w:rsidR="00BF6816" w:rsidRPr="000D7D3D">
        <w:t xml:space="preserve"> </w:t>
      </w:r>
      <w:r w:rsidR="007546EB">
        <w:t>(Figure 5.7B, central overlap).</w:t>
      </w:r>
    </w:p>
    <w:p w14:paraId="065ACE0B" w14:textId="7EC23AE8" w:rsidR="000D7D3D" w:rsidRPr="000D7D3D" w:rsidRDefault="00DF557F" w:rsidP="00FB36B8">
      <w:pPr>
        <w:ind w:firstLine="720"/>
      </w:pPr>
      <w:r>
        <w:t>The p</w:t>
      </w:r>
      <w:r w:rsidR="000D7D3D" w:rsidRPr="000D7D3D">
        <w:t xml:space="preserve">resence of </w:t>
      </w:r>
      <w:r w:rsidR="00BF6816">
        <w:t>HAP</w:t>
      </w:r>
      <w:r w:rsidR="00BF6816" w:rsidRPr="000D7D3D">
        <w:t xml:space="preserve"> </w:t>
      </w:r>
      <w:r>
        <w:t>in the solubilisation</w:t>
      </w:r>
      <w:r w:rsidR="000D7D3D" w:rsidRPr="000D7D3D">
        <w:t xml:space="preserve"> system can affect both genes involved in </w:t>
      </w:r>
      <w:r>
        <w:t xml:space="preserve">HAP </w:t>
      </w:r>
      <w:r w:rsidR="000D7D3D" w:rsidRPr="000D7D3D">
        <w:t xml:space="preserve">weathering and genes involved in Pi uptake and metabolism, </w:t>
      </w:r>
      <w:r>
        <w:t>for instance</w:t>
      </w:r>
      <w:r w:rsidR="000D7D3D" w:rsidRPr="000D7D3D">
        <w:t xml:space="preserve"> the downregulation of the Pi transporter </w:t>
      </w:r>
      <w:r>
        <w:t xml:space="preserve">gene </w:t>
      </w:r>
      <w:r w:rsidR="000D7D3D" w:rsidRPr="00DF557F">
        <w:rPr>
          <w:i/>
        </w:rPr>
        <w:t>PiPT1</w:t>
      </w:r>
      <w:r w:rsidR="000D7D3D" w:rsidRPr="000D7D3D">
        <w:t xml:space="preserve"> (Figures 5.4B and 5.5B). </w:t>
      </w:r>
      <w:r>
        <w:t>In order t</w:t>
      </w:r>
      <w:r w:rsidR="000D7D3D" w:rsidRPr="000D7D3D">
        <w:t>o</w:t>
      </w:r>
      <w:r>
        <w:t xml:space="preserve"> isolate genes which are solely differentially expressed in response to </w:t>
      </w:r>
      <w:r w:rsidR="00BF6816">
        <w:t>HAP</w:t>
      </w:r>
      <w:r w:rsidR="00BF6816" w:rsidRPr="000D7D3D">
        <w:t xml:space="preserve"> </w:t>
      </w:r>
      <w:r>
        <w:t>weathering, genes of which their</w:t>
      </w:r>
      <w:r w:rsidR="000D7D3D" w:rsidRPr="000D7D3D">
        <w:t xml:space="preserve"> expression was significantly affected by </w:t>
      </w:r>
      <w:r>
        <w:t xml:space="preserve">the </w:t>
      </w:r>
      <w:r w:rsidR="000D7D3D" w:rsidRPr="000D7D3D">
        <w:t xml:space="preserve">presence of </w:t>
      </w:r>
      <w:r w:rsidR="00BF6816">
        <w:t>HAP</w:t>
      </w:r>
      <w:r w:rsidR="00BF6816" w:rsidRPr="000D7D3D">
        <w:t xml:space="preserve"> </w:t>
      </w:r>
      <w:r w:rsidR="000D7D3D" w:rsidRPr="000D7D3D">
        <w:t xml:space="preserve">were </w:t>
      </w:r>
      <w:r w:rsidR="000D7D3D" w:rsidRPr="000D7D3D">
        <w:lastRenderedPageBreak/>
        <w:t xml:space="preserve">compared with </w:t>
      </w:r>
      <w:r>
        <w:t>those</w:t>
      </w:r>
      <w:r w:rsidR="000D7D3D" w:rsidRPr="000D7D3D">
        <w:t xml:space="preserve"> differentially expressed in response to varying </w:t>
      </w:r>
      <w:r w:rsidRPr="000D7D3D">
        <w:t xml:space="preserve">Pi </w:t>
      </w:r>
      <w:r>
        <w:t>concentrations</w:t>
      </w:r>
      <w:r w:rsidR="000D7D3D" w:rsidRPr="000D7D3D">
        <w:t xml:space="preserve">. In particular, genes upregulated in HAP+ compared to HAP- in both NS and S conditions were compared with genes upregulated in low Pi concentration compared to high Pi concentration in both NS and S condition (Figure 5.8A). </w:t>
      </w:r>
      <w:r>
        <w:t>O</w:t>
      </w:r>
      <w:r w:rsidR="000D7D3D" w:rsidRPr="000D7D3D">
        <w:t xml:space="preserve">n the other hand, genes downregulated in HAP+ compared to HAP- in both NS and S conditions were compared with genes downregulated in low Pi concentration compared to high Pi concentration in both NS and S condition (Figure 5.8B). Out of the 22 genes previously found to be upregulated by the presence of </w:t>
      </w:r>
      <w:r w:rsidR="00BF6816">
        <w:t>HAP</w:t>
      </w:r>
      <w:r w:rsidR="00BF6816" w:rsidRPr="000D7D3D">
        <w:t xml:space="preserve"> </w:t>
      </w:r>
      <w:r w:rsidR="000D7D3D" w:rsidRPr="000D7D3D">
        <w:t xml:space="preserve">in both NS and S conditions (Figure 5.7A, top overlap), six were found to be upregulated </w:t>
      </w:r>
      <w:r w:rsidR="0075767B">
        <w:t>also by the</w:t>
      </w:r>
      <w:r w:rsidR="000D7D3D" w:rsidRPr="000D7D3D">
        <w:t xml:space="preserve"> Pi varying conditions, whereas 16 appeared to be upregulated </w:t>
      </w:r>
      <w:r w:rsidR="0075767B">
        <w:t>solely by</w:t>
      </w:r>
      <w:r w:rsidR="000D7D3D" w:rsidRPr="000D7D3D">
        <w:t xml:space="preserve"> the presence of </w:t>
      </w:r>
      <w:r w:rsidR="00BF6816">
        <w:t>HAP</w:t>
      </w:r>
      <w:r w:rsidR="00BF6816" w:rsidRPr="000D7D3D">
        <w:t xml:space="preserve"> </w:t>
      </w:r>
      <w:r w:rsidR="000D7D3D" w:rsidRPr="000D7D3D">
        <w:t xml:space="preserve">(Figure 5.8A, topmost right overlap). Out of the 80 genes previously found to be downregulated by the presence of </w:t>
      </w:r>
      <w:r w:rsidR="00BF6816">
        <w:t>HAP</w:t>
      </w:r>
      <w:r w:rsidR="00BF6816" w:rsidRPr="000D7D3D">
        <w:t xml:space="preserve"> </w:t>
      </w:r>
      <w:r w:rsidR="000D7D3D" w:rsidRPr="000D7D3D">
        <w:t xml:space="preserve">in both NS and S conditions (Figure 5.7B, central and top overlap), nine were found to be downregulated </w:t>
      </w:r>
      <w:r w:rsidR="0075767B">
        <w:t xml:space="preserve">also by the </w:t>
      </w:r>
      <w:r w:rsidR="000D7D3D" w:rsidRPr="000D7D3D">
        <w:t xml:space="preserve">Pi varying conditions, while 71 appeared to be downregulated </w:t>
      </w:r>
      <w:r w:rsidR="0075767B">
        <w:t>solely by</w:t>
      </w:r>
      <w:r w:rsidR="000D7D3D" w:rsidRPr="000D7D3D">
        <w:t xml:space="preserve"> the presence of </w:t>
      </w:r>
      <w:r w:rsidR="00BF6816">
        <w:t>HAP</w:t>
      </w:r>
      <w:r w:rsidR="000D7D3D" w:rsidRPr="000D7D3D">
        <w:t xml:space="preserve"> (Figure 5.8B, topmost right overlap). </w:t>
      </w:r>
    </w:p>
    <w:p w14:paraId="49578D5B" w14:textId="0ED7623D" w:rsidR="000D7D3D" w:rsidRPr="000D7D3D" w:rsidRDefault="000D7D3D" w:rsidP="00635993">
      <w:pPr>
        <w:ind w:firstLine="720"/>
      </w:pPr>
      <w:r w:rsidRPr="000D7D3D">
        <w:t xml:space="preserve">Gene expression profiles of the 16 genes </w:t>
      </w:r>
      <w:r w:rsidR="00B6486B">
        <w:t xml:space="preserve">solely </w:t>
      </w:r>
      <w:r w:rsidRPr="000D7D3D">
        <w:t xml:space="preserve">upregulated by </w:t>
      </w:r>
      <w:r w:rsidR="00BF6816">
        <w:t>HAP</w:t>
      </w:r>
      <w:r w:rsidR="00BF6816" w:rsidRPr="000D7D3D">
        <w:t xml:space="preserve"> </w:t>
      </w:r>
      <w:r w:rsidR="00B6486B">
        <w:t>in both NS and S conditions are</w:t>
      </w:r>
      <w:r w:rsidRPr="000D7D3D">
        <w:t xml:space="preserve"> </w:t>
      </w:r>
      <w:r w:rsidR="00B6486B">
        <w:t>shown in a heat map which is</w:t>
      </w:r>
      <w:r w:rsidRPr="000D7D3D">
        <w:t xml:space="preserve"> hierarchically clustered (Figure 5.9). Most of these genes encode putative signalling prot</w:t>
      </w:r>
      <w:r w:rsidR="002E7B48">
        <w:t xml:space="preserve">eins, such as a WD40 </w:t>
      </w:r>
      <w:r w:rsidRPr="000D7D3D">
        <w:t>domain</w:t>
      </w:r>
      <w:r w:rsidR="002E7B48">
        <w:t>-</w:t>
      </w:r>
      <w:r w:rsidRPr="000D7D3D">
        <w:t xml:space="preserve"> containing protein, a protein </w:t>
      </w:r>
      <w:r w:rsidR="00B6486B" w:rsidRPr="000D7D3D">
        <w:t xml:space="preserve">kinase </w:t>
      </w:r>
      <w:r w:rsidRPr="000D7D3D">
        <w:t xml:space="preserve">similar to Sck1, a homolog of </w:t>
      </w:r>
      <w:r w:rsidR="00807E30">
        <w:t xml:space="preserve">the translational activator </w:t>
      </w:r>
      <w:r w:rsidRPr="000D7D3D">
        <w:t>Gcn1, and the osmosensor SSK1. Other sign</w:t>
      </w:r>
      <w:r w:rsidR="00807E30">
        <w:t xml:space="preserve">alling genes upregulated by </w:t>
      </w:r>
      <w:r w:rsidR="004F170E">
        <w:t xml:space="preserve">the presence of </w:t>
      </w:r>
      <w:r w:rsidR="00807E30">
        <w:t>HAP</w:t>
      </w:r>
      <w:r w:rsidRPr="000D7D3D">
        <w:t xml:space="preserve"> </w:t>
      </w:r>
      <w:r w:rsidR="00807E30">
        <w:t xml:space="preserve">encode for putative </w:t>
      </w:r>
      <w:r w:rsidRPr="000D7D3D">
        <w:t>components of phospholipi</w:t>
      </w:r>
      <w:r w:rsidR="00807E30">
        <w:t>d signalling, such as the phosphatidate phosphatase PAH1 and the diacylglycerol</w:t>
      </w:r>
      <w:r w:rsidRPr="000D7D3D">
        <w:t xml:space="preserve"> kinase</w:t>
      </w:r>
      <w:r w:rsidR="002E7B48">
        <w:t xml:space="preserve"> DGK1. In addition, genes encoding</w:t>
      </w:r>
      <w:r w:rsidR="00807E30">
        <w:t xml:space="preserve"> for </w:t>
      </w:r>
      <w:r w:rsidRPr="000D7D3D">
        <w:t xml:space="preserve">putative regulators of vesicle formation and trafficking, such as a Vam6/Vps39-like protein, a protein containing an ANTH domain, </w:t>
      </w:r>
      <w:r w:rsidR="004F170E">
        <w:t>and</w:t>
      </w:r>
      <w:r w:rsidRPr="000D7D3D">
        <w:t xml:space="preserve"> a vesicle-associated membrane protein (VAMP).</w:t>
      </w:r>
      <w:r w:rsidRPr="000D7D3D">
        <w:br w:type="page"/>
      </w:r>
    </w:p>
    <w:p w14:paraId="3ED6A590" w14:textId="77777777" w:rsidR="000D7D3D" w:rsidRPr="000D7D3D" w:rsidRDefault="000D7D3D" w:rsidP="003F7054">
      <w:r w:rsidRPr="000D7D3D">
        <w:rPr>
          <w:noProof/>
          <w:lang w:eastAsia="en-GB"/>
        </w:rPr>
        <w:lastRenderedPageBreak/>
        <w:drawing>
          <wp:inline distT="0" distB="0" distL="0" distR="0" wp14:anchorId="1D8FEA4B" wp14:editId="351C071A">
            <wp:extent cx="5943600" cy="28860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5.7+.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2886075"/>
                    </a:xfrm>
                    <a:prstGeom prst="rect">
                      <a:avLst/>
                    </a:prstGeom>
                  </pic:spPr>
                </pic:pic>
              </a:graphicData>
            </a:graphic>
          </wp:inline>
        </w:drawing>
      </w:r>
    </w:p>
    <w:p w14:paraId="4B9A666B" w14:textId="77E06ABD" w:rsidR="000D7D3D" w:rsidRPr="00B46FB7" w:rsidRDefault="000D7D3D" w:rsidP="00635993">
      <w:pPr>
        <w:pStyle w:val="Subtitle"/>
        <w:pBdr>
          <w:top w:val="single" w:sz="4" w:space="1" w:color="auto"/>
        </w:pBdr>
      </w:pPr>
      <w:r w:rsidRPr="000D7D3D">
        <w:t xml:space="preserve">Figure 5.7 </w:t>
      </w:r>
      <w:r w:rsidRPr="00635993">
        <w:rPr>
          <w:b w:val="0"/>
        </w:rPr>
        <w:t xml:space="preserve">Venn diagrams showing the statistical criteria used to select genes showing up- or down-regulation by both </w:t>
      </w:r>
      <w:r w:rsidR="002E7B48">
        <w:rPr>
          <w:b w:val="0"/>
        </w:rPr>
        <w:t xml:space="preserve">the </w:t>
      </w:r>
      <w:r w:rsidRPr="00635993">
        <w:rPr>
          <w:b w:val="0"/>
        </w:rPr>
        <w:t xml:space="preserve">presence of </w:t>
      </w:r>
      <w:r w:rsidR="00BF6816">
        <w:rPr>
          <w:b w:val="0"/>
        </w:rPr>
        <w:t>HAP</w:t>
      </w:r>
      <w:r w:rsidR="00BF6816" w:rsidRPr="00635993">
        <w:rPr>
          <w:b w:val="0"/>
        </w:rPr>
        <w:t xml:space="preserve"> </w:t>
      </w:r>
      <w:r w:rsidRPr="00635993">
        <w:rPr>
          <w:b w:val="0"/>
        </w:rPr>
        <w:t xml:space="preserve">and </w:t>
      </w:r>
      <w:r w:rsidR="00BF6816">
        <w:rPr>
          <w:b w:val="0"/>
        </w:rPr>
        <w:t>EM</w:t>
      </w:r>
      <w:r w:rsidR="00BF6816" w:rsidRPr="00635993">
        <w:rPr>
          <w:b w:val="0"/>
        </w:rPr>
        <w:t xml:space="preserve"> </w:t>
      </w:r>
      <w:r w:rsidRPr="00635993">
        <w:rPr>
          <w:b w:val="0"/>
        </w:rPr>
        <w:t>symbiosis (central overlap). Statistically significant differential expression in each pairwise comparison (circles) was assessed by Wald test (Q</w:t>
      </w:r>
      <w:r w:rsidRPr="00635993">
        <w:rPr>
          <w:b w:val="0"/>
          <w:i/>
        </w:rPr>
        <w:t>-</w:t>
      </w:r>
      <w:r w:rsidRPr="00635993">
        <w:rPr>
          <w:b w:val="0"/>
        </w:rPr>
        <w:t>value &lt;0.05) using the R package “DEseq2”. Numbers indicate the number of genes showing statistically significant up- or down-regulation in each pairwise comparison or overlap.</w:t>
      </w:r>
    </w:p>
    <w:p w14:paraId="7D58004B" w14:textId="77777777" w:rsidR="000D7D3D" w:rsidRPr="000D7D3D" w:rsidRDefault="000D7D3D">
      <w:r w:rsidRPr="000D7D3D">
        <w:br w:type="page"/>
      </w:r>
    </w:p>
    <w:p w14:paraId="34102CE4" w14:textId="77777777" w:rsidR="000D7D3D" w:rsidRPr="000D7D3D" w:rsidRDefault="000D7D3D">
      <w:r w:rsidRPr="000D7D3D">
        <w:rPr>
          <w:noProof/>
          <w:lang w:eastAsia="en-GB"/>
        </w:rPr>
        <w:lastRenderedPageBreak/>
        <w:drawing>
          <wp:inline distT="0" distB="0" distL="0" distR="0" wp14:anchorId="0F4951B5" wp14:editId="0AD03764">
            <wp:extent cx="5943600" cy="232092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5.8_NEW+.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2320925"/>
                    </a:xfrm>
                    <a:prstGeom prst="rect">
                      <a:avLst/>
                    </a:prstGeom>
                  </pic:spPr>
                </pic:pic>
              </a:graphicData>
            </a:graphic>
          </wp:inline>
        </w:drawing>
      </w:r>
    </w:p>
    <w:p w14:paraId="6B96F32D" w14:textId="7F420F0F" w:rsidR="000D7D3D" w:rsidRPr="000D7D3D" w:rsidRDefault="000D7D3D" w:rsidP="00635993">
      <w:pPr>
        <w:pStyle w:val="Subtitle"/>
        <w:pBdr>
          <w:top w:val="single" w:sz="4" w:space="1" w:color="auto"/>
        </w:pBdr>
      </w:pPr>
      <w:r w:rsidRPr="00635993">
        <w:rPr>
          <w:rStyle w:val="SubtitleChar"/>
          <w:b/>
        </w:rPr>
        <w:t>Figure 5.8</w:t>
      </w:r>
      <w:r w:rsidRPr="00635993">
        <w:rPr>
          <w:rStyle w:val="SubtitleChar"/>
        </w:rPr>
        <w:t xml:space="preserve"> Venn diagrams showing the statistical criteria used to compare genes showing up- or down-regulation in low Pi</w:t>
      </w:r>
      <w:r w:rsidR="002E7B48">
        <w:rPr>
          <w:rStyle w:val="SubtitleChar"/>
        </w:rPr>
        <w:t xml:space="preserve"> availability (Chapter 3) or </w:t>
      </w:r>
      <w:r w:rsidR="00A97143">
        <w:rPr>
          <w:rStyle w:val="SubtitleChar"/>
        </w:rPr>
        <w:t xml:space="preserve">the </w:t>
      </w:r>
      <w:r w:rsidRPr="00635993">
        <w:rPr>
          <w:rStyle w:val="SubtitleChar"/>
        </w:rPr>
        <w:t xml:space="preserve">presence of </w:t>
      </w:r>
      <w:r w:rsidR="00A22154" w:rsidRPr="00635993">
        <w:rPr>
          <w:rStyle w:val="SubtitleChar"/>
        </w:rPr>
        <w:t>HAP</w:t>
      </w:r>
      <w:r w:rsidRPr="00635993">
        <w:rPr>
          <w:rStyle w:val="SubtitleChar"/>
        </w:rPr>
        <w:t xml:space="preserve">, with or without </w:t>
      </w:r>
      <w:r w:rsidR="00A22154" w:rsidRPr="00635993">
        <w:rPr>
          <w:rStyle w:val="SubtitleChar"/>
        </w:rPr>
        <w:t xml:space="preserve">EM </w:t>
      </w:r>
      <w:r w:rsidRPr="00635993">
        <w:rPr>
          <w:rStyle w:val="SubtitleChar"/>
        </w:rPr>
        <w:t>symbiosis. Statistically significant differential express</w:t>
      </w:r>
      <w:r w:rsidR="00A97143">
        <w:rPr>
          <w:rStyle w:val="SubtitleChar"/>
        </w:rPr>
        <w:t>ion in each pairwise comparison</w:t>
      </w:r>
      <w:r w:rsidRPr="00635993">
        <w:rPr>
          <w:rStyle w:val="SubtitleChar"/>
        </w:rPr>
        <w:t xml:space="preserve"> was assessed by Wald test (Q-value &lt;0.05) using the R package “DEseq2”. Numbers indicate the number of genes showing statistically significant up- or down-regulation in each pairwise comparison or overlap</w:t>
      </w:r>
      <w:r w:rsidRPr="000D7D3D">
        <w:t>.</w:t>
      </w:r>
    </w:p>
    <w:p w14:paraId="18FC0913" w14:textId="77777777" w:rsidR="000D7D3D" w:rsidRPr="000D7D3D" w:rsidRDefault="000D7D3D">
      <w:r w:rsidRPr="000D7D3D">
        <w:br w:type="page"/>
      </w:r>
    </w:p>
    <w:p w14:paraId="17F4DDF8" w14:textId="77777777" w:rsidR="000D7D3D" w:rsidRPr="000D7D3D" w:rsidRDefault="000D7D3D">
      <w:r w:rsidRPr="000D7D3D">
        <w:rPr>
          <w:noProof/>
          <w:lang w:eastAsia="en-GB"/>
        </w:rPr>
        <w:lastRenderedPageBreak/>
        <w:drawing>
          <wp:inline distT="0" distB="0" distL="0" distR="0" wp14:anchorId="70E9B85D" wp14:editId="5152BB19">
            <wp:extent cx="5943600" cy="23844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5.9.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2384425"/>
                    </a:xfrm>
                    <a:prstGeom prst="rect">
                      <a:avLst/>
                    </a:prstGeom>
                  </pic:spPr>
                </pic:pic>
              </a:graphicData>
            </a:graphic>
          </wp:inline>
        </w:drawing>
      </w:r>
    </w:p>
    <w:p w14:paraId="27F4322F" w14:textId="614E70CF" w:rsidR="000D7D3D" w:rsidRPr="00B46FB7" w:rsidRDefault="000D7D3D" w:rsidP="00635993">
      <w:pPr>
        <w:pStyle w:val="Subtitle"/>
        <w:pBdr>
          <w:top w:val="single" w:sz="4" w:space="1" w:color="auto"/>
        </w:pBdr>
      </w:pPr>
      <w:r w:rsidRPr="000D7D3D">
        <w:t xml:space="preserve">Figure 5.9 </w:t>
      </w:r>
      <w:r w:rsidRPr="00635993">
        <w:rPr>
          <w:b w:val="0"/>
        </w:rPr>
        <w:t xml:space="preserve">Heat map of normalized read counts for genes upregulated in </w:t>
      </w:r>
      <w:r w:rsidRPr="00635993">
        <w:rPr>
          <w:b w:val="0"/>
          <w:i/>
        </w:rPr>
        <w:t>P. involutus DJR1</w:t>
      </w:r>
      <w:r w:rsidRPr="00635993">
        <w:rPr>
          <w:b w:val="0"/>
        </w:rPr>
        <w:t xml:space="preserve"> hyphae </w:t>
      </w:r>
      <w:r w:rsidR="008F3381">
        <w:rPr>
          <w:b w:val="0"/>
        </w:rPr>
        <w:t xml:space="preserve">solely by the </w:t>
      </w:r>
      <w:r w:rsidRPr="00635993">
        <w:rPr>
          <w:b w:val="0"/>
        </w:rPr>
        <w:t xml:space="preserve">presence of </w:t>
      </w:r>
      <w:r w:rsidR="00A22154">
        <w:rPr>
          <w:b w:val="0"/>
        </w:rPr>
        <w:t>HAP</w:t>
      </w:r>
      <w:r w:rsidRPr="00635993">
        <w:rPr>
          <w:b w:val="0"/>
        </w:rPr>
        <w:t xml:space="preserve">. Z-scores are shown for the 16 genes upregulated by </w:t>
      </w:r>
      <w:r w:rsidR="008F3381">
        <w:rPr>
          <w:b w:val="0"/>
        </w:rPr>
        <w:t xml:space="preserve">the </w:t>
      </w:r>
      <w:r w:rsidRPr="00635993">
        <w:rPr>
          <w:b w:val="0"/>
        </w:rPr>
        <w:t xml:space="preserve">presence of </w:t>
      </w:r>
      <w:r w:rsidR="00A22154">
        <w:rPr>
          <w:b w:val="0"/>
        </w:rPr>
        <w:t>HAP</w:t>
      </w:r>
      <w:r w:rsidR="00A22154" w:rsidRPr="00635993">
        <w:rPr>
          <w:b w:val="0"/>
        </w:rPr>
        <w:t xml:space="preserve"> </w:t>
      </w:r>
      <w:r w:rsidRPr="00635993">
        <w:rPr>
          <w:b w:val="0"/>
        </w:rPr>
        <w:t xml:space="preserve">in both </w:t>
      </w:r>
      <w:r w:rsidR="00A22154">
        <w:rPr>
          <w:b w:val="0"/>
        </w:rPr>
        <w:t>S</w:t>
      </w:r>
      <w:r w:rsidR="00A22154" w:rsidRPr="00635993">
        <w:rPr>
          <w:b w:val="0"/>
        </w:rPr>
        <w:t xml:space="preserve"> </w:t>
      </w:r>
      <w:r w:rsidRPr="00635993">
        <w:rPr>
          <w:b w:val="0"/>
        </w:rPr>
        <w:t xml:space="preserve">and </w:t>
      </w:r>
      <w:r w:rsidR="00A22154">
        <w:rPr>
          <w:b w:val="0"/>
        </w:rPr>
        <w:t>NS</w:t>
      </w:r>
      <w:r w:rsidRPr="00635993">
        <w:rPr>
          <w:b w:val="0"/>
        </w:rPr>
        <w:t xml:space="preserve"> conditions and not by </w:t>
      </w:r>
      <w:r w:rsidR="008F3381">
        <w:rPr>
          <w:b w:val="0"/>
        </w:rPr>
        <w:t>varying Pi content (Figure 5.8</w:t>
      </w:r>
      <w:r w:rsidRPr="00635993">
        <w:rPr>
          <w:b w:val="0"/>
        </w:rPr>
        <w:t xml:space="preserve">). The first annotation bar from the top represents </w:t>
      </w:r>
      <w:r w:rsidRPr="00635993">
        <w:rPr>
          <w:b w:val="0"/>
          <w:i/>
        </w:rPr>
        <w:t>P. involutus</w:t>
      </w:r>
      <w:r w:rsidR="008F3381">
        <w:rPr>
          <w:b w:val="0"/>
          <w:i/>
        </w:rPr>
        <w:t xml:space="preserve"> DJR1</w:t>
      </w:r>
      <w:r w:rsidRPr="00635993">
        <w:rPr>
          <w:b w:val="0"/>
        </w:rPr>
        <w:t xml:space="preserve"> hyphae growth condition</w:t>
      </w:r>
      <w:r w:rsidR="008F3381">
        <w:rPr>
          <w:b w:val="0"/>
        </w:rPr>
        <w:t>s</w:t>
      </w:r>
      <w:r w:rsidRPr="00635993">
        <w:rPr>
          <w:b w:val="0"/>
        </w:rPr>
        <w:t xml:space="preserve"> (orange: NS condition; green: S condition). The second annotation bar represents </w:t>
      </w:r>
      <w:r w:rsidR="008F3381">
        <w:rPr>
          <w:b w:val="0"/>
        </w:rPr>
        <w:t xml:space="preserve">the </w:t>
      </w:r>
      <w:r w:rsidRPr="00635993">
        <w:rPr>
          <w:b w:val="0"/>
        </w:rPr>
        <w:t xml:space="preserve">presence or absence of </w:t>
      </w:r>
      <w:r w:rsidR="00A22154">
        <w:rPr>
          <w:b w:val="0"/>
        </w:rPr>
        <w:t>HAP</w:t>
      </w:r>
      <w:r w:rsidR="00A22154" w:rsidRPr="00635993">
        <w:rPr>
          <w:b w:val="0"/>
        </w:rPr>
        <w:t xml:space="preserve"> </w:t>
      </w:r>
      <w:r w:rsidRPr="00635993">
        <w:rPr>
          <w:b w:val="0"/>
        </w:rPr>
        <w:t xml:space="preserve">(grey: HAP-; purple: HAP+). Genes were clustered based on </w:t>
      </w:r>
      <w:r w:rsidR="008F3381">
        <w:rPr>
          <w:b w:val="0"/>
        </w:rPr>
        <w:t xml:space="preserve">their </w:t>
      </w:r>
      <w:r w:rsidRPr="00635993">
        <w:rPr>
          <w:b w:val="0"/>
        </w:rPr>
        <w:t>read count distribution in all experimental conditions using the “pheatmap” package of R (Ward method). Normalized read count values of each biological replicate are shown independently.</w:t>
      </w:r>
    </w:p>
    <w:p w14:paraId="5E360CAA" w14:textId="77777777" w:rsidR="000D7D3D" w:rsidRPr="000D7D3D" w:rsidRDefault="000D7D3D">
      <w:r w:rsidRPr="000D7D3D">
        <w:br w:type="page"/>
      </w:r>
    </w:p>
    <w:p w14:paraId="5A90BC8F" w14:textId="22878A6B" w:rsidR="000D7D3D" w:rsidRPr="000D7D3D" w:rsidRDefault="000D7D3D" w:rsidP="00635993">
      <w:pPr>
        <w:pStyle w:val="Heading2"/>
      </w:pPr>
      <w:bookmarkStart w:id="506" w:name="_Toc507604081"/>
      <w:bookmarkStart w:id="507" w:name="_Toc507604348"/>
      <w:bookmarkStart w:id="508" w:name="_Toc519017050"/>
      <w:bookmarkStart w:id="509" w:name="_Toc520837963"/>
      <w:r w:rsidRPr="000D7D3D">
        <w:lastRenderedPageBreak/>
        <w:t xml:space="preserve">5.3.8 </w:t>
      </w:r>
      <w:r w:rsidR="00976D5C">
        <w:t>UPLC-Q-TOF-</w:t>
      </w:r>
      <w:r w:rsidR="00976D5C">
        <w:rPr>
          <w:rFonts w:ascii="Helvetica" w:hAnsi="Helvetica" w:cs="Helvetica"/>
        </w:rPr>
        <w:t>MS</w:t>
      </w:r>
      <w:r w:rsidRPr="000D7D3D">
        <w:t xml:space="preserve"> analysis: PCA</w:t>
      </w:r>
      <w:bookmarkEnd w:id="506"/>
      <w:bookmarkEnd w:id="507"/>
      <w:bookmarkEnd w:id="508"/>
      <w:bookmarkEnd w:id="509"/>
      <w:r w:rsidRPr="000D7D3D">
        <w:t xml:space="preserve"> </w:t>
      </w:r>
    </w:p>
    <w:p w14:paraId="7D9E9BE1" w14:textId="14EBF78E" w:rsidR="000D7D3D" w:rsidRPr="000D7D3D" w:rsidRDefault="000D7D3D" w:rsidP="003F7054">
      <w:r w:rsidRPr="000D7D3D">
        <w:t xml:space="preserve">Mineral weathering by fungal hyphae involves secretion of metabolites such as LMWOA on the mineral surface </w:t>
      </w:r>
      <w:r w:rsidRPr="000D7D3D">
        <w:fldChar w:fldCharType="begin" w:fldLock="1"/>
      </w:r>
      <w:r w:rsidR="00EE33AB">
        <w:instrText>ADDIN CSL_CITATION {"citationItems":[{"id":"ITEM-1","itemData":{"DOI":"10.1111/j.1469-8137.2006.01649.x","ISSN":"0028-646X","PMID":"16539612","abstract":"Low molecular weight organic anions (LMWOA) can enhance weathering of mineral grains. We tested the hypothesis that ectomycorrhizal (EcM) fungi and tree seedlings increase their exudation of LMWOA when supply of magnesium, potassium and phosphorus is low to enhance the mobilization of Mg, K and P from mineral grains. Ectomycorrhizal fungi and Pinus sylvestris seedlings were cultured in symbiosis and in isolation on glass beads with nutrient solution or with sand as a rooting medium, with a complete nutrient supply or with Mg, K, P or N in low supply. Concentrations of all dicarboxylic LMWOA in the rooting medium were measured. Nonmycorrhizal seedlings released predominantly malonate. Colonization with Hebeloma longicaudum decreased the amount of organic anions exuded, whereas Paxillus involutus and Piloderma croceum increased the concentration of oxalate but not the total amount of LMWOA. Phosphorus deficiency increased the concentration of LMWOA by nonmycorrhizal and EcM seedlings. Magnesium deficiency increased the concentration of oxalate by nonmycorrhizal and EcM seedlings, but not the concentration of total LMWOA. Paxillus involutus grown in pure culture responded differently to low nutrient supply compared with symbiotic growth. Ectomycorrhizal fungi did not increase the total concentration of LMWOA compared with nonmycorrhizal seedlings but, depending on the fungal species, they affected the type of LMWOA found.","author":[{"dropping-particle":"","family":"Schöll","given":"Laura","non-dropping-particle":"van","parse-names":false,"suffix":""},{"dropping-particle":"","family":"Hoffland","given":"Ellis","non-dropping-particle":"","parse-names":false,"suffix":""},{"dropping-particle":"","family":"Breemen","given":"Nico","non-dropping-particle":"van","parse-names":false,"suffix":""}],"container-title":"The New phytologist","id":"ITEM-1","issue":"1","issued":{"date-parts":[["2006","1"]]},"page":"153-63","title":"Organic anion exudation by ectomycorrhizal fungi and Pinus sylvestris in response to nutrient deficiencies.","type":"article-journal","volume":"170"},"uris":["http://www.mendeley.com/documents/?uuid=108984f8-a009-4d3f-9a3c-fab934dea47a"]},{"id":"ITEM-2","itemData":{"DOI":"10.1007/s11104-007-9513-0","ISSN":"0032-079X","author":[{"dropping-particle":"","family":"Schöll","given":"Laura","non-dropping-particle":"van","parse-names":false,"suffix":""},{"dropping-particle":"","family":"Kuyper","given":"Thomas W.","non-dropping-particle":"","parse-names":false,"suffix":""},{"dropping-particle":"","family":"Smits","given":"Mark M.","non-dropping-particle":"","parse-names":false,"suffix":""},{"dropping-particle":"","family":"Landeweert","given":"Renske","non-dropping-particle":"","parse-names":false,"suffix":""},{"dropping-particle":"","family":"Hoffland","given":"Ellis","non-dropping-particle":"","parse-names":false,"suffix":""},{"dropping-particle":"Van","family":"Breemen","given":"Nico","non-dropping-particle":"","parse-names":false,"suffix":""}],"container-title":"Plant and Soil","id":"ITEM-2","issue":"1-2","issued":{"date-parts":[["2007","12","21"]]},"page":"35-47","title":"Rock-eating mycorrhizas: their role in plant nutrition and biogeochemical cycles","type":"article-journal","volume":"303"},"uris":["http://www.mendeley.com/documents/?uuid=874583c9-16c0-4aea-84ab-1c03a951fb02"]},{"id":"ITEM-3","itemData":{"DOI":"10.3390/min6020041","ISSN":"2075-163X","abstract":"In the field of microbial biomineralization, much of the scientific attention is focused on processes carried out by prokaryotes, in particular bacteria, even though fungi are also known to be involved in biogeochemical cycles in numerous ways. They are traditionally recognized as key players in organic matter recycling, as nutrient suppliers via mineral weathering, as well as large producers of organic acids such as oxalic acid for instance, an activity leading to the genesis of various metal complexes such as metal-oxalate. Their implications in the transformation of various mineral and metallic compounds has been widely acknowledged during the last decade, however, currently, their contribution to the genesis of a common biomineral, calcite, needs to be more thoroughly documented. Calcite is observed in many ecosystems and plays an essential role in the biogeochemical cycles of both carbon (C) and calcium (Ca). It may be physicochemical or biogenic in origin and numerous organisms have been recognized to control or induce its biomineralization. While fungi have often been suspected of being involved in this process in terrestrial environments, only scarce information supports this hypothesis in natural settings. As a result, calcite biomineralization by microbes is still largely attributed to bacteria at present. However, in some terrestrial environments there are particular calcitic habits that have been described as being fungal in origin. In addition to this, several studies dealing with axenic cultures of fungi have demonstrated the ability of fungi to produce calcite. Examples of fungal biomineralization range from induced to organomineralization processes. More examples of calcite biomineralization related to direct fungal activity, or at least to their presence, have been described within the last decade. However, the peculiar mechanisms leading to calcite biomineralization by fungi remain incompletely understood and more research is necessary, posing new exciting questions linked to microbial biomineralization processes.","author":[{"dropping-particle":"","family":"Bindschedler","given":"Saskia","non-dropping-particle":"","parse-names":false,"suffix":""},{"dropping-particle":"","family":"Cailleau","given":"Guillaume","non-dropping-particle":"","parse-names":false,"suffix":""},{"dropping-particle":"","family":"Verrecchia","given":"Eric","non-dropping-particle":"","parse-names":false,"suffix":""}],"container-title":"Minerals","id":"ITEM-3","issue":"2","issued":{"date-parts":[["2016"]]},"page":"41","title":"Role of Fungi in the Biomineralization of Calcite","type":"article-journal","volume":"6"},"uris":["http://www.mendeley.com/documents/?uuid=b28e54b1-604f-438c-807d-292b3863ac3e"]}],"mendeley":{"formattedCitation":"(van Schöll et al., 2006a, 2007; Bindschedler et al., 2016)","plainTextFormattedCitation":"(van Schöll et al., 2006a, 2007; Bindschedler et al., 2016)","previouslyFormattedCitation":"(van Schöll et al., 2006a, 2007; Bindschedler et al., 2016)"},"properties":{"noteIndex":0},"schema":"https://github.com/citation-style-language/schema/raw/master/csl-citation.json"}</w:instrText>
      </w:r>
      <w:r w:rsidRPr="000D7D3D">
        <w:fldChar w:fldCharType="separate"/>
      </w:r>
      <w:r w:rsidRPr="000D7D3D">
        <w:rPr>
          <w:noProof/>
        </w:rPr>
        <w:t>(van Schöll et al., 2006a, 2007; Bindschedler et al., 2016)</w:t>
      </w:r>
      <w:r w:rsidRPr="000D7D3D">
        <w:fldChar w:fldCharType="end"/>
      </w:r>
      <w:r w:rsidRPr="000D7D3D">
        <w:t xml:space="preserve">. In order to investigate the role of secreted metabolites in </w:t>
      </w:r>
      <w:r w:rsidR="00A22154">
        <w:t>HAP</w:t>
      </w:r>
      <w:r w:rsidR="00A22154" w:rsidRPr="000D7D3D">
        <w:t xml:space="preserve"> </w:t>
      </w:r>
      <w:r w:rsidRPr="000D7D3D">
        <w:t xml:space="preserve">weathering by </w:t>
      </w:r>
      <w:r w:rsidRPr="000D7D3D">
        <w:rPr>
          <w:i/>
        </w:rPr>
        <w:t>P. involutus DJR1</w:t>
      </w:r>
      <w:r w:rsidR="00976D5C">
        <w:t>, UPLC-Q-TOF-</w:t>
      </w:r>
      <w:r w:rsidRPr="000D7D3D">
        <w:t xml:space="preserve">MS was performed as described in </w:t>
      </w:r>
      <w:r w:rsidR="003F061A">
        <w:t>S</w:t>
      </w:r>
      <w:r w:rsidRPr="000D7D3D">
        <w:t xml:space="preserve">ection 5.2.12 on samples of HAP+ or HAP- polystyrene discs </w:t>
      </w:r>
      <w:r w:rsidR="00976D5C" w:rsidRPr="000D7D3D">
        <w:t xml:space="preserve">recovered </w:t>
      </w:r>
      <w:r w:rsidRPr="000D7D3D">
        <w:t>from</w:t>
      </w:r>
      <w:r w:rsidR="00976D5C">
        <w:t xml:space="preserve"> HAP</w:t>
      </w:r>
      <w:r w:rsidRPr="000D7D3D">
        <w:t xml:space="preserve"> weathering systems</w:t>
      </w:r>
      <w:r w:rsidR="002E7B48">
        <w:t>, either in NS or</w:t>
      </w:r>
      <w:r w:rsidR="00976D5C">
        <w:t xml:space="preserve"> S conditions</w:t>
      </w:r>
      <w:r w:rsidRPr="000D7D3D">
        <w:t>.</w:t>
      </w:r>
    </w:p>
    <w:p w14:paraId="45DD64D1" w14:textId="2FEAA9F8" w:rsidR="000D7D3D" w:rsidRPr="000D7D3D" w:rsidRDefault="000D7D3D" w:rsidP="00634533">
      <w:pPr>
        <w:ind w:firstLine="720"/>
      </w:pPr>
      <w:r w:rsidRPr="000D7D3D">
        <w:t xml:space="preserve">PCA analysis of metabolites identified through </w:t>
      </w:r>
      <w:r w:rsidR="00976D5C">
        <w:t>UPLC-Q-TOF-</w:t>
      </w:r>
      <w:r w:rsidR="00976D5C" w:rsidRPr="000D7D3D">
        <w:t>MS</w:t>
      </w:r>
      <w:r w:rsidR="00976D5C">
        <w:t xml:space="preserve"> analysis</w:t>
      </w:r>
      <w:r w:rsidRPr="000D7D3D">
        <w:t xml:space="preserve"> revealed the largest separation (PC1) between samples from HAP+ or HAP- conditions (Figure 5.10, purple markers compared to grey markers), indicating that </w:t>
      </w:r>
      <w:r w:rsidR="00976D5C">
        <w:t xml:space="preserve">the </w:t>
      </w:r>
      <w:r w:rsidRPr="000D7D3D">
        <w:t xml:space="preserve">presence of </w:t>
      </w:r>
      <w:r w:rsidR="00A22154">
        <w:t>HAP</w:t>
      </w:r>
      <w:r w:rsidR="00A22154" w:rsidRPr="000D7D3D">
        <w:t xml:space="preserve"> </w:t>
      </w:r>
      <w:r w:rsidRPr="000D7D3D">
        <w:t xml:space="preserve">has the greatest effect on </w:t>
      </w:r>
      <w:r w:rsidR="00976D5C">
        <w:t xml:space="preserve">the </w:t>
      </w:r>
      <w:r w:rsidRPr="000D7D3D">
        <w:t xml:space="preserve">secreted metabolome. On the other hand, the second largest separation (PC2) appeared between samples from weathering systems in which </w:t>
      </w:r>
      <w:r w:rsidRPr="000D7D3D">
        <w:rPr>
          <w:i/>
        </w:rPr>
        <w:t xml:space="preserve">P. involutus DJR1 </w:t>
      </w:r>
      <w:r w:rsidRPr="000D7D3D">
        <w:t xml:space="preserve">was grown </w:t>
      </w:r>
      <w:r w:rsidR="00976D5C">
        <w:t xml:space="preserve">either </w:t>
      </w:r>
      <w:r w:rsidRPr="000D7D3D">
        <w:t>in NS or S conditions (Figure 5.10, circular markers compared to square markers). Together, PC1 and PC2 explain 29.7% of the</w:t>
      </w:r>
      <w:r w:rsidR="00634533">
        <w:t xml:space="preserve"> total variance of the dataset.</w:t>
      </w:r>
      <w:r w:rsidRPr="000D7D3D">
        <w:br w:type="page"/>
      </w:r>
    </w:p>
    <w:p w14:paraId="5971842F" w14:textId="77777777" w:rsidR="000D7D3D" w:rsidRPr="000D7D3D" w:rsidRDefault="000D7D3D" w:rsidP="007F746A">
      <w:r w:rsidRPr="000D7D3D">
        <w:rPr>
          <w:noProof/>
          <w:lang w:eastAsia="en-GB"/>
        </w:rPr>
        <w:lastRenderedPageBreak/>
        <w:drawing>
          <wp:inline distT="0" distB="0" distL="0" distR="0" wp14:anchorId="6DE09CE6" wp14:editId="1F15ADC3">
            <wp:extent cx="5372100" cy="409714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5.10_MS PCA+.png"/>
                    <pic:cNvPicPr/>
                  </pic:nvPicPr>
                  <pic:blipFill>
                    <a:blip r:embed="rId52">
                      <a:extLst>
                        <a:ext uri="{28A0092B-C50C-407E-A947-70E740481C1C}">
                          <a14:useLocalDpi xmlns:a14="http://schemas.microsoft.com/office/drawing/2010/main" val="0"/>
                        </a:ext>
                      </a:extLst>
                    </a:blip>
                    <a:stretch>
                      <a:fillRect/>
                    </a:stretch>
                  </pic:blipFill>
                  <pic:spPr>
                    <a:xfrm>
                      <a:off x="0" y="0"/>
                      <a:ext cx="5425459" cy="4137836"/>
                    </a:xfrm>
                    <a:prstGeom prst="rect">
                      <a:avLst/>
                    </a:prstGeom>
                  </pic:spPr>
                </pic:pic>
              </a:graphicData>
            </a:graphic>
          </wp:inline>
        </w:drawing>
      </w:r>
    </w:p>
    <w:p w14:paraId="72E8EC3E" w14:textId="07D7C025" w:rsidR="000D7D3D" w:rsidRPr="00B46FB7" w:rsidRDefault="000D7D3D" w:rsidP="00635993">
      <w:pPr>
        <w:pStyle w:val="Subtitle"/>
        <w:pBdr>
          <w:top w:val="single" w:sz="4" w:space="1" w:color="auto"/>
        </w:pBdr>
      </w:pPr>
      <w:r w:rsidRPr="000D7D3D">
        <w:t xml:space="preserve">Figure 5.10 </w:t>
      </w:r>
      <w:r w:rsidR="00090764">
        <w:rPr>
          <w:b w:val="0"/>
        </w:rPr>
        <w:t>PCA</w:t>
      </w:r>
      <w:r w:rsidRPr="00635993">
        <w:rPr>
          <w:b w:val="0"/>
        </w:rPr>
        <w:t xml:space="preserve"> of normalized </w:t>
      </w:r>
      <w:r w:rsidR="00090764" w:rsidRPr="00635993">
        <w:rPr>
          <w:b w:val="0"/>
        </w:rPr>
        <w:t xml:space="preserve">intensities </w:t>
      </w:r>
      <w:r w:rsidR="00090764">
        <w:rPr>
          <w:b w:val="0"/>
        </w:rPr>
        <w:t xml:space="preserve">of </w:t>
      </w:r>
      <w:r w:rsidR="00980A78">
        <w:rPr>
          <w:b w:val="0"/>
        </w:rPr>
        <w:t xml:space="preserve">the </w:t>
      </w:r>
      <w:r w:rsidR="00191F56">
        <w:rPr>
          <w:b w:val="0"/>
        </w:rPr>
        <w:t>metabolites</w:t>
      </w:r>
      <w:r w:rsidRPr="00635993">
        <w:rPr>
          <w:b w:val="0"/>
        </w:rPr>
        <w:t xml:space="preserve"> </w:t>
      </w:r>
      <w:r w:rsidR="00191F56">
        <w:rPr>
          <w:b w:val="0"/>
        </w:rPr>
        <w:t>recovered from the</w:t>
      </w:r>
      <w:r w:rsidRPr="00635993">
        <w:rPr>
          <w:b w:val="0"/>
        </w:rPr>
        <w:t xml:space="preserve"> </w:t>
      </w:r>
      <w:r w:rsidR="00A22154">
        <w:rPr>
          <w:b w:val="0"/>
        </w:rPr>
        <w:t>HAP</w:t>
      </w:r>
      <w:r w:rsidR="00A22154" w:rsidRPr="00635993">
        <w:rPr>
          <w:b w:val="0"/>
        </w:rPr>
        <w:t xml:space="preserve"> </w:t>
      </w:r>
      <w:r w:rsidR="00090764">
        <w:rPr>
          <w:b w:val="0"/>
        </w:rPr>
        <w:t xml:space="preserve">solubilisation </w:t>
      </w:r>
      <w:r w:rsidRPr="00635993">
        <w:rPr>
          <w:b w:val="0"/>
        </w:rPr>
        <w:t>system</w:t>
      </w:r>
      <w:r w:rsidRPr="00635993">
        <w:rPr>
          <w:b w:val="0"/>
          <w:i/>
        </w:rPr>
        <w:t xml:space="preserve"> </w:t>
      </w:r>
      <w:r w:rsidR="00C10C47">
        <w:rPr>
          <w:b w:val="0"/>
        </w:rPr>
        <w:t xml:space="preserve">after </w:t>
      </w:r>
      <w:r w:rsidR="00191F56">
        <w:rPr>
          <w:b w:val="0"/>
        </w:rPr>
        <w:t xml:space="preserve">the period of </w:t>
      </w:r>
      <w:r w:rsidR="00C10C47">
        <w:rPr>
          <w:b w:val="0"/>
        </w:rPr>
        <w:t>five</w:t>
      </w:r>
      <w:r w:rsidR="00191F56">
        <w:rPr>
          <w:b w:val="0"/>
        </w:rPr>
        <w:t xml:space="preserve"> months</w:t>
      </w:r>
      <w:r w:rsidRPr="00635993">
        <w:rPr>
          <w:b w:val="0"/>
        </w:rPr>
        <w:t xml:space="preserve">. Deep purple squares: metabolites from </w:t>
      </w:r>
      <w:r w:rsidR="00191F56">
        <w:rPr>
          <w:b w:val="0"/>
        </w:rPr>
        <w:t>HAP</w:t>
      </w:r>
      <w:r w:rsidRPr="00635993">
        <w:rPr>
          <w:b w:val="0"/>
        </w:rPr>
        <w:t xml:space="preserve">-coated polystyrene disc colonized by </w:t>
      </w:r>
      <w:r w:rsidR="00191F56" w:rsidRPr="00191F56">
        <w:rPr>
          <w:b w:val="0"/>
          <w:i/>
        </w:rPr>
        <w:t>P. involutus DJR1</w:t>
      </w:r>
      <w:r w:rsidR="00191F56">
        <w:rPr>
          <w:b w:val="0"/>
        </w:rPr>
        <w:t xml:space="preserve"> hyphae in symbiosis with </w:t>
      </w:r>
      <w:r w:rsidR="00191F56" w:rsidRPr="00191F56">
        <w:rPr>
          <w:b w:val="0"/>
          <w:i/>
        </w:rPr>
        <w:t>P. sylvestris</w:t>
      </w:r>
      <w:r w:rsidRPr="00635993">
        <w:rPr>
          <w:b w:val="0"/>
        </w:rPr>
        <w:t xml:space="preserve"> seedling</w:t>
      </w:r>
      <w:r w:rsidR="00191F56">
        <w:rPr>
          <w:b w:val="0"/>
        </w:rPr>
        <w:t>s</w:t>
      </w:r>
      <w:r w:rsidRPr="00635993">
        <w:rPr>
          <w:b w:val="0"/>
        </w:rPr>
        <w:t xml:space="preserve"> (S HAP+). Lilac squares: metabolites from </w:t>
      </w:r>
      <w:r w:rsidR="00A22154">
        <w:rPr>
          <w:b w:val="0"/>
        </w:rPr>
        <w:t>HAP</w:t>
      </w:r>
      <w:r w:rsidRPr="00635993">
        <w:rPr>
          <w:b w:val="0"/>
        </w:rPr>
        <w:t xml:space="preserve">-coated polystyrene disc colonized by </w:t>
      </w:r>
      <w:r w:rsidR="00191F56" w:rsidRPr="00191F56">
        <w:rPr>
          <w:b w:val="0"/>
          <w:i/>
        </w:rPr>
        <w:t>P. involutus DJR1</w:t>
      </w:r>
      <w:r w:rsidRPr="00635993">
        <w:rPr>
          <w:b w:val="0"/>
        </w:rPr>
        <w:t xml:space="preserve"> hyphae grown </w:t>
      </w:r>
      <w:r w:rsidR="00191F56">
        <w:rPr>
          <w:b w:val="0"/>
        </w:rPr>
        <w:t xml:space="preserve">non-symbiotically </w:t>
      </w:r>
      <w:r w:rsidRPr="00635993">
        <w:rPr>
          <w:b w:val="0"/>
        </w:rPr>
        <w:t>(NS HAP+). Coal circles: metabolites from uncoated polystyrene disc</w:t>
      </w:r>
      <w:r w:rsidR="00191F56">
        <w:rPr>
          <w:b w:val="0"/>
        </w:rPr>
        <w:t>s</w:t>
      </w:r>
      <w:r w:rsidRPr="00635993">
        <w:rPr>
          <w:b w:val="0"/>
        </w:rPr>
        <w:t xml:space="preserve"> colonized by </w:t>
      </w:r>
      <w:r w:rsidR="00191F56" w:rsidRPr="00191F56">
        <w:rPr>
          <w:b w:val="0"/>
          <w:i/>
        </w:rPr>
        <w:t>P. involutus DJR1</w:t>
      </w:r>
      <w:r w:rsidR="00191F56">
        <w:rPr>
          <w:b w:val="0"/>
        </w:rPr>
        <w:t xml:space="preserve"> hyphae in symbiosis with </w:t>
      </w:r>
      <w:r w:rsidR="00191F56" w:rsidRPr="00191F56">
        <w:rPr>
          <w:b w:val="0"/>
          <w:i/>
        </w:rPr>
        <w:t>P. sylvestris</w:t>
      </w:r>
      <w:r w:rsidR="00191F56" w:rsidRPr="00635993">
        <w:rPr>
          <w:b w:val="0"/>
        </w:rPr>
        <w:t xml:space="preserve"> seedling</w:t>
      </w:r>
      <w:r w:rsidR="00191F56">
        <w:rPr>
          <w:b w:val="0"/>
        </w:rPr>
        <w:t>s</w:t>
      </w:r>
      <w:r w:rsidRPr="00635993">
        <w:rPr>
          <w:b w:val="0"/>
        </w:rPr>
        <w:t xml:space="preserve"> (S HAP-). Coal circles: metabolites from uncoated polystyrene disc colonized by </w:t>
      </w:r>
      <w:r w:rsidR="00191F56" w:rsidRPr="00191F56">
        <w:rPr>
          <w:b w:val="0"/>
          <w:i/>
        </w:rPr>
        <w:t>P. involutus DJR1</w:t>
      </w:r>
      <w:r w:rsidR="00191F56" w:rsidRPr="00635993">
        <w:rPr>
          <w:b w:val="0"/>
        </w:rPr>
        <w:t xml:space="preserve"> hyphae grown </w:t>
      </w:r>
      <w:r w:rsidR="00191F56">
        <w:rPr>
          <w:b w:val="0"/>
        </w:rPr>
        <w:t>non-symbiotically</w:t>
      </w:r>
      <w:r w:rsidRPr="00635993">
        <w:rPr>
          <w:b w:val="0"/>
        </w:rPr>
        <w:t xml:space="preserve"> (NS HAP-).</w:t>
      </w:r>
    </w:p>
    <w:p w14:paraId="6CBBF950" w14:textId="77777777" w:rsidR="000D7D3D" w:rsidRPr="000D7D3D" w:rsidRDefault="000D7D3D">
      <w:r w:rsidRPr="000D7D3D">
        <w:br w:type="page"/>
      </w:r>
    </w:p>
    <w:p w14:paraId="02585665" w14:textId="0AC5F35D" w:rsidR="000D7D3D" w:rsidRPr="000D7D3D" w:rsidRDefault="000D7D3D" w:rsidP="00635993">
      <w:pPr>
        <w:pStyle w:val="Heading2"/>
      </w:pPr>
      <w:bookmarkStart w:id="510" w:name="_Toc507604082"/>
      <w:bookmarkStart w:id="511" w:name="_Toc507604349"/>
      <w:bookmarkStart w:id="512" w:name="_Toc519017051"/>
      <w:bookmarkStart w:id="513" w:name="_Toc520837964"/>
      <w:r w:rsidRPr="000D7D3D">
        <w:lastRenderedPageBreak/>
        <w:t xml:space="preserve">5.3.9 </w:t>
      </w:r>
      <w:r w:rsidRPr="000D7D3D">
        <w:rPr>
          <w:i/>
        </w:rPr>
        <w:t>P. involutus</w:t>
      </w:r>
      <w:r w:rsidR="00710834">
        <w:rPr>
          <w:i/>
        </w:rPr>
        <w:t xml:space="preserve"> DJR1</w:t>
      </w:r>
      <w:r w:rsidR="00541D88">
        <w:rPr>
          <w:i/>
        </w:rPr>
        <w:t xml:space="preserve"> </w:t>
      </w:r>
      <w:r w:rsidRPr="000D7D3D">
        <w:rPr>
          <w:i/>
        </w:rPr>
        <w:t>-</w:t>
      </w:r>
      <w:r w:rsidR="00541D88">
        <w:rPr>
          <w:i/>
        </w:rPr>
        <w:t xml:space="preserve"> </w:t>
      </w:r>
      <w:r w:rsidR="00710834" w:rsidRPr="00710834">
        <w:rPr>
          <w:i/>
        </w:rPr>
        <w:t>P. sylvestris</w:t>
      </w:r>
      <w:r w:rsidRPr="000D7D3D">
        <w:t xml:space="preserve"> metabolome profiling in response to </w:t>
      </w:r>
      <w:r w:rsidR="00756633">
        <w:t>HAP</w:t>
      </w:r>
      <w:r w:rsidR="00756633" w:rsidRPr="000D7D3D">
        <w:t xml:space="preserve"> </w:t>
      </w:r>
      <w:r w:rsidRPr="000D7D3D">
        <w:t>weathering</w:t>
      </w:r>
      <w:bookmarkEnd w:id="510"/>
      <w:bookmarkEnd w:id="511"/>
      <w:bookmarkEnd w:id="512"/>
      <w:bookmarkEnd w:id="513"/>
    </w:p>
    <w:p w14:paraId="11F71C90" w14:textId="4136E31D" w:rsidR="000D7D3D" w:rsidRPr="000D7D3D" w:rsidRDefault="000D7D3D" w:rsidP="003F7054">
      <w:r w:rsidRPr="000D7D3D">
        <w:t xml:space="preserve">To identify differential metabolites whose production and secretion was altered by both experimental factors (presence/absence of </w:t>
      </w:r>
      <w:r w:rsidR="00343D90">
        <w:t>HAP</w:t>
      </w:r>
      <w:r w:rsidRPr="000D7D3D">
        <w:t xml:space="preserve"> and presence/absence of EM symbiosis), </w:t>
      </w:r>
      <w:r w:rsidR="00343D90">
        <w:t xml:space="preserve">the </w:t>
      </w:r>
      <w:r w:rsidRPr="000D7D3D">
        <w:t>intensities of all metabolites identified were filtered through two-way ANOVA across all experimental conditions (</w:t>
      </w:r>
      <w:r w:rsidRPr="000D7D3D">
        <w:rPr>
          <w:i/>
        </w:rPr>
        <w:t>p</w:t>
      </w:r>
      <w:r w:rsidRPr="000D7D3D">
        <w:t xml:space="preserve"> &lt;0.001). The intensities of differential met</w:t>
      </w:r>
      <w:r w:rsidR="00343D90">
        <w:t>abolites from both ESI+ and ESI-</w:t>
      </w:r>
      <w:r w:rsidRPr="000D7D3D">
        <w:t xml:space="preserve"> mode</w:t>
      </w:r>
      <w:r w:rsidR="00343D90">
        <w:t>s</w:t>
      </w:r>
      <w:r w:rsidRPr="000D7D3D">
        <w:t xml:space="preserve"> were normalized by row and columns and displayed as heat map</w:t>
      </w:r>
      <w:r w:rsidR="00343D90">
        <w:t>s</w:t>
      </w:r>
      <w:r w:rsidRPr="000D7D3D">
        <w:t>, following hierar</w:t>
      </w:r>
      <w:r w:rsidR="00343D90">
        <w:t>chical clustering (</w:t>
      </w:r>
      <w:r w:rsidRPr="000D7D3D">
        <w:t xml:space="preserve">Figure 5.11). Interestingly, some putative LMWOA were secreted in the system even in </w:t>
      </w:r>
      <w:r w:rsidR="009D6EE6">
        <w:t xml:space="preserve">the </w:t>
      </w:r>
      <w:r w:rsidRPr="000D7D3D">
        <w:t xml:space="preserve">absence of </w:t>
      </w:r>
      <w:r w:rsidR="00756633">
        <w:t>HAP</w:t>
      </w:r>
      <w:r w:rsidR="00756633" w:rsidRPr="000D7D3D">
        <w:t xml:space="preserve"> </w:t>
      </w:r>
      <w:r w:rsidRPr="000D7D3D">
        <w:t>(Figure 5.11B, asterisks). These include lactic acid, aspartic acid, glutamic acid, malic acid, kojic acid, pimelic acid and shikimic acid.</w:t>
      </w:r>
    </w:p>
    <w:p w14:paraId="500F78CF" w14:textId="50927DC2" w:rsidR="000D7D3D" w:rsidRPr="000D7D3D" w:rsidRDefault="000D7D3D" w:rsidP="007F746A">
      <w:pPr>
        <w:ind w:firstLine="720"/>
      </w:pPr>
      <w:r w:rsidRPr="000D7D3D">
        <w:t xml:space="preserve">Only two metabolites were enriched in HAP+ in both NS and S conditions (oxaloacetate and glucuronic acid, Figure 5.11A, cluster I). Interestingly, several metabolites were found to be enriched in HAP+ only in NS condition (Figure 5.11A, cluster IV; Figure 5.11B, cluster III) or in S condition (Figure 5.11A, cluster II; Figure 5.11B, cluster I). Together, these metabolites may represent potential weathering agents secreted in the system by the fungal hyphae or pine roots. Other metabolites were enriched only in NS HAP- and S HAP+ conditions (Figure 5.11A, cluster III; Figure 5.11B, cluster II), or only in NS HAP+ and S HAP- (Figure 5.11A, cluster VI; Figure 5.11B, cluster IV). Two clusters show metabolites enriched only in S condition in the absence of </w:t>
      </w:r>
      <w:r w:rsidR="00756633">
        <w:t>HAP</w:t>
      </w:r>
      <w:r w:rsidR="00756633" w:rsidRPr="000D7D3D">
        <w:t xml:space="preserve"> </w:t>
      </w:r>
      <w:r w:rsidRPr="000D7D3D">
        <w:t>(Figure 5.11A, cluster V; Figure 5.11B, cluster V).</w:t>
      </w:r>
    </w:p>
    <w:p w14:paraId="7C9A8C64" w14:textId="15500FB9" w:rsidR="000D7D3D" w:rsidRPr="000D7D3D" w:rsidRDefault="000D7D3D" w:rsidP="007F746A">
      <w:pPr>
        <w:ind w:firstLine="720"/>
      </w:pPr>
      <w:r w:rsidRPr="000D7D3D">
        <w:t>A selection o</w:t>
      </w:r>
      <w:r w:rsidR="0027071C">
        <w:t>f differential metabolites which</w:t>
      </w:r>
      <w:r w:rsidRPr="000D7D3D">
        <w:t xml:space="preserve"> intensity is higher in samples from HAP+ system</w:t>
      </w:r>
      <w:r w:rsidR="009D6EE6">
        <w:t>s (in either NS or S conditions</w:t>
      </w:r>
      <w:r w:rsidRPr="000D7D3D">
        <w:t xml:space="preserve"> or both) is presented in Figure 5.12.</w:t>
      </w:r>
    </w:p>
    <w:p w14:paraId="5A041F3C" w14:textId="5C922564" w:rsidR="000D7D3D" w:rsidRPr="000D7D3D" w:rsidRDefault="00EB742C" w:rsidP="007F746A">
      <w:r>
        <w:rPr>
          <w:noProof/>
          <w:lang w:eastAsia="en-GB"/>
        </w:rPr>
        <w:lastRenderedPageBreak/>
        <w:drawing>
          <wp:inline distT="0" distB="0" distL="0" distR="0" wp14:anchorId="6DB1449E" wp14:editId="01EC90E3">
            <wp:extent cx="4873446" cy="525145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e 5.11++.png"/>
                    <pic:cNvPicPr/>
                  </pic:nvPicPr>
                  <pic:blipFill>
                    <a:blip r:embed="rId53">
                      <a:extLst>
                        <a:ext uri="{28A0092B-C50C-407E-A947-70E740481C1C}">
                          <a14:useLocalDpi xmlns:a14="http://schemas.microsoft.com/office/drawing/2010/main" val="0"/>
                        </a:ext>
                      </a:extLst>
                    </a:blip>
                    <a:stretch>
                      <a:fillRect/>
                    </a:stretch>
                  </pic:blipFill>
                  <pic:spPr>
                    <a:xfrm>
                      <a:off x="0" y="0"/>
                      <a:ext cx="4881172" cy="5259775"/>
                    </a:xfrm>
                    <a:prstGeom prst="rect">
                      <a:avLst/>
                    </a:prstGeom>
                  </pic:spPr>
                </pic:pic>
              </a:graphicData>
            </a:graphic>
          </wp:inline>
        </w:drawing>
      </w:r>
    </w:p>
    <w:p w14:paraId="320A4D11" w14:textId="77777777" w:rsidR="00EB742C" w:rsidRDefault="000D7D3D" w:rsidP="00635993">
      <w:pPr>
        <w:pStyle w:val="Subtitle"/>
        <w:pBdr>
          <w:top w:val="single" w:sz="4" w:space="1" w:color="auto"/>
        </w:pBdr>
        <w:rPr>
          <w:b w:val="0"/>
        </w:rPr>
      </w:pPr>
      <w:r w:rsidRPr="000D7D3D">
        <w:t xml:space="preserve">Figure 5.11 </w:t>
      </w:r>
      <w:r w:rsidRPr="00635993">
        <w:rPr>
          <w:b w:val="0"/>
        </w:rPr>
        <w:t>Heat maps of differenti</w:t>
      </w:r>
      <w:r w:rsidR="00C10C47">
        <w:rPr>
          <w:b w:val="0"/>
        </w:rPr>
        <w:t xml:space="preserve">al metabolites </w:t>
      </w:r>
      <w:r w:rsidR="00A97CDB">
        <w:rPr>
          <w:b w:val="0"/>
        </w:rPr>
        <w:t>recovered from the</w:t>
      </w:r>
      <w:r w:rsidR="00A97CDB" w:rsidRPr="00635993">
        <w:rPr>
          <w:b w:val="0"/>
        </w:rPr>
        <w:t xml:space="preserve"> </w:t>
      </w:r>
      <w:r w:rsidR="00A97CDB">
        <w:rPr>
          <w:b w:val="0"/>
        </w:rPr>
        <w:t>HAP</w:t>
      </w:r>
      <w:r w:rsidR="00A97CDB" w:rsidRPr="00635993">
        <w:rPr>
          <w:b w:val="0"/>
        </w:rPr>
        <w:t xml:space="preserve"> </w:t>
      </w:r>
      <w:r w:rsidR="00A97CDB">
        <w:rPr>
          <w:b w:val="0"/>
        </w:rPr>
        <w:t xml:space="preserve">solubilisation </w:t>
      </w:r>
      <w:r w:rsidR="00A97CDB" w:rsidRPr="00635993">
        <w:rPr>
          <w:b w:val="0"/>
        </w:rPr>
        <w:t>system</w:t>
      </w:r>
      <w:r w:rsidR="00A97CDB" w:rsidRPr="00635993">
        <w:rPr>
          <w:b w:val="0"/>
          <w:i/>
        </w:rPr>
        <w:t xml:space="preserve"> </w:t>
      </w:r>
      <w:r w:rsidR="00A97CDB">
        <w:rPr>
          <w:b w:val="0"/>
        </w:rPr>
        <w:t>after the period of five months. R</w:t>
      </w:r>
      <w:r w:rsidRPr="00635993">
        <w:rPr>
          <w:b w:val="0"/>
        </w:rPr>
        <w:t xml:space="preserve">elative intensities, normalized by row and by column, of metabolites significantly altered by both presence/absence of </w:t>
      </w:r>
      <w:r w:rsidR="00756633">
        <w:rPr>
          <w:b w:val="0"/>
        </w:rPr>
        <w:t>HAP</w:t>
      </w:r>
      <w:r w:rsidR="00756633" w:rsidRPr="00635993">
        <w:rPr>
          <w:b w:val="0"/>
        </w:rPr>
        <w:t xml:space="preserve"> </w:t>
      </w:r>
      <w:r w:rsidRPr="00635993">
        <w:rPr>
          <w:b w:val="0"/>
        </w:rPr>
        <w:t xml:space="preserve">and </w:t>
      </w:r>
      <w:r w:rsidR="00A97CDB">
        <w:rPr>
          <w:b w:val="0"/>
        </w:rPr>
        <w:t xml:space="preserve">EM </w:t>
      </w:r>
      <w:r w:rsidRPr="00635993">
        <w:rPr>
          <w:b w:val="0"/>
        </w:rPr>
        <w:t xml:space="preserve">symbiosis with </w:t>
      </w:r>
      <w:r w:rsidR="00A97CDB" w:rsidRPr="00A97CDB">
        <w:rPr>
          <w:b w:val="0"/>
          <w:i/>
        </w:rPr>
        <w:t>P.</w:t>
      </w:r>
      <w:r w:rsidR="00A97CDB">
        <w:rPr>
          <w:b w:val="0"/>
        </w:rPr>
        <w:t xml:space="preserve"> </w:t>
      </w:r>
      <w:r w:rsidR="00A97CDB" w:rsidRPr="00A97CDB">
        <w:rPr>
          <w:b w:val="0"/>
          <w:i/>
        </w:rPr>
        <w:t>sylvestris</w:t>
      </w:r>
      <w:r w:rsidR="00A97CDB">
        <w:rPr>
          <w:b w:val="0"/>
        </w:rPr>
        <w:t xml:space="preserve"> </w:t>
      </w:r>
      <w:r w:rsidRPr="00635993">
        <w:rPr>
          <w:b w:val="0"/>
        </w:rPr>
        <w:t xml:space="preserve">seedlings (2-way ANOVA, </w:t>
      </w:r>
      <w:r w:rsidRPr="00635993">
        <w:rPr>
          <w:b w:val="0"/>
          <w:i/>
        </w:rPr>
        <w:t>p</w:t>
      </w:r>
      <w:r w:rsidRPr="00635993">
        <w:rPr>
          <w:b w:val="0"/>
        </w:rPr>
        <w:t xml:space="preserve"> &lt;0.001). </w:t>
      </w:r>
      <w:r w:rsidRPr="003F7054">
        <w:t>A.</w:t>
      </w:r>
      <w:r w:rsidR="00A97CDB">
        <w:rPr>
          <w:b w:val="0"/>
        </w:rPr>
        <w:t xml:space="preserve"> Metabolites detected in ESI+</w:t>
      </w:r>
      <w:r w:rsidRPr="00635993">
        <w:rPr>
          <w:b w:val="0"/>
        </w:rPr>
        <w:t xml:space="preserve"> mode. </w:t>
      </w:r>
      <w:r w:rsidRPr="003F7054">
        <w:t>B.</w:t>
      </w:r>
      <w:r w:rsidRPr="00635993">
        <w:rPr>
          <w:b w:val="0"/>
        </w:rPr>
        <w:t xml:space="preserve"> Meta</w:t>
      </w:r>
      <w:r w:rsidR="00A97CDB">
        <w:rPr>
          <w:b w:val="0"/>
        </w:rPr>
        <w:t>bolites detected in ESI-</w:t>
      </w:r>
      <w:r w:rsidRPr="00635993">
        <w:rPr>
          <w:b w:val="0"/>
        </w:rPr>
        <w:t xml:space="preserve"> mode. Latin numbers indicate hierarchical clusters identified based on similarities between all experimental conditions using the “pheatmap” package of R (Ward method). The first annotation bar from the top represents growth condition</w:t>
      </w:r>
      <w:r w:rsidR="00A97CDB">
        <w:rPr>
          <w:b w:val="0"/>
        </w:rPr>
        <w:t>s</w:t>
      </w:r>
      <w:r w:rsidRPr="00635993">
        <w:rPr>
          <w:b w:val="0"/>
        </w:rPr>
        <w:t xml:space="preserve"> (orange: NS condition; green: S condition). The second annotation bar represents </w:t>
      </w:r>
      <w:r w:rsidR="00A97CDB">
        <w:rPr>
          <w:b w:val="0"/>
        </w:rPr>
        <w:t xml:space="preserve">the </w:t>
      </w:r>
      <w:r w:rsidRPr="00635993">
        <w:rPr>
          <w:b w:val="0"/>
        </w:rPr>
        <w:t xml:space="preserve">presence or absence of </w:t>
      </w:r>
      <w:r w:rsidR="00756633">
        <w:rPr>
          <w:b w:val="0"/>
        </w:rPr>
        <w:t>HAP</w:t>
      </w:r>
      <w:r w:rsidR="00756633" w:rsidRPr="00635993">
        <w:rPr>
          <w:b w:val="0"/>
        </w:rPr>
        <w:t xml:space="preserve"> </w:t>
      </w:r>
      <w:r w:rsidRPr="00635993">
        <w:rPr>
          <w:b w:val="0"/>
        </w:rPr>
        <w:t>(grey: HAP-; purple: HAP+). Asterisks indicate putative LMWOA.</w:t>
      </w:r>
    </w:p>
    <w:p w14:paraId="7BD848A3" w14:textId="503B496F" w:rsidR="000D7D3D" w:rsidRPr="00635993" w:rsidRDefault="000D7D3D" w:rsidP="00635993">
      <w:pPr>
        <w:pStyle w:val="Subtitle"/>
        <w:pBdr>
          <w:top w:val="single" w:sz="4" w:space="1" w:color="auto"/>
        </w:pBdr>
        <w:rPr>
          <w:b w:val="0"/>
        </w:rPr>
      </w:pPr>
      <w:r w:rsidRPr="00635993">
        <w:rPr>
          <w:b w:val="0"/>
        </w:rPr>
        <w:br w:type="page"/>
      </w:r>
    </w:p>
    <w:p w14:paraId="33678875" w14:textId="77777777" w:rsidR="000D7D3D" w:rsidRPr="000D7D3D" w:rsidRDefault="000D7D3D">
      <w:r w:rsidRPr="000D7D3D">
        <w:rPr>
          <w:noProof/>
          <w:lang w:eastAsia="en-GB"/>
        </w:rPr>
        <w:lastRenderedPageBreak/>
        <w:drawing>
          <wp:inline distT="0" distB="0" distL="0" distR="0" wp14:anchorId="5B4B9D78" wp14:editId="7EE4F432">
            <wp:extent cx="5943600" cy="440499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5.12+.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4404995"/>
                    </a:xfrm>
                    <a:prstGeom prst="rect">
                      <a:avLst/>
                    </a:prstGeom>
                  </pic:spPr>
                </pic:pic>
              </a:graphicData>
            </a:graphic>
          </wp:inline>
        </w:drawing>
      </w:r>
    </w:p>
    <w:p w14:paraId="588766C2" w14:textId="77777777" w:rsidR="00634533" w:rsidRDefault="000D7D3D" w:rsidP="00635993">
      <w:pPr>
        <w:pStyle w:val="Subtitle"/>
        <w:pBdr>
          <w:top w:val="single" w:sz="4" w:space="1" w:color="auto"/>
        </w:pBdr>
        <w:rPr>
          <w:b w:val="0"/>
        </w:rPr>
      </w:pPr>
      <w:r w:rsidRPr="000D7D3D">
        <w:t xml:space="preserve">Figure 5.12 </w:t>
      </w:r>
      <w:r w:rsidRPr="00635993">
        <w:rPr>
          <w:b w:val="0"/>
        </w:rPr>
        <w:t>Heat maps of selection of differenti</w:t>
      </w:r>
      <w:r w:rsidR="00C10C47">
        <w:rPr>
          <w:b w:val="0"/>
        </w:rPr>
        <w:t xml:space="preserve">al metabolites </w:t>
      </w:r>
      <w:r w:rsidR="00107367">
        <w:rPr>
          <w:b w:val="0"/>
        </w:rPr>
        <w:t>recovered from the</w:t>
      </w:r>
      <w:r w:rsidR="00107367" w:rsidRPr="00635993">
        <w:rPr>
          <w:b w:val="0"/>
        </w:rPr>
        <w:t xml:space="preserve"> </w:t>
      </w:r>
      <w:r w:rsidR="00107367">
        <w:rPr>
          <w:b w:val="0"/>
        </w:rPr>
        <w:t>HAP</w:t>
      </w:r>
      <w:r w:rsidR="00107367" w:rsidRPr="00635993">
        <w:rPr>
          <w:b w:val="0"/>
        </w:rPr>
        <w:t xml:space="preserve"> </w:t>
      </w:r>
      <w:r w:rsidR="00107367">
        <w:rPr>
          <w:b w:val="0"/>
        </w:rPr>
        <w:t xml:space="preserve">solubilisation </w:t>
      </w:r>
      <w:r w:rsidR="00107367" w:rsidRPr="00635993">
        <w:rPr>
          <w:b w:val="0"/>
        </w:rPr>
        <w:t>system</w:t>
      </w:r>
      <w:r w:rsidR="00107367" w:rsidRPr="00635993">
        <w:rPr>
          <w:b w:val="0"/>
          <w:i/>
        </w:rPr>
        <w:t xml:space="preserve"> </w:t>
      </w:r>
      <w:r w:rsidR="00107367">
        <w:rPr>
          <w:b w:val="0"/>
        </w:rPr>
        <w:t>after the period of five months. R</w:t>
      </w:r>
      <w:r w:rsidR="00107367" w:rsidRPr="00635993">
        <w:rPr>
          <w:b w:val="0"/>
        </w:rPr>
        <w:t>elative intensities</w:t>
      </w:r>
      <w:r w:rsidRPr="00635993">
        <w:rPr>
          <w:b w:val="0"/>
        </w:rPr>
        <w:t xml:space="preserve">, normalized by row and by column, of metabolites significantly altered by both presence/absence of </w:t>
      </w:r>
      <w:r w:rsidR="00756633" w:rsidRPr="00635993">
        <w:rPr>
          <w:b w:val="0"/>
        </w:rPr>
        <w:t xml:space="preserve">HAP </w:t>
      </w:r>
      <w:r w:rsidRPr="00635993">
        <w:rPr>
          <w:b w:val="0"/>
        </w:rPr>
        <w:t xml:space="preserve">and </w:t>
      </w:r>
      <w:r w:rsidR="00107367">
        <w:rPr>
          <w:b w:val="0"/>
        </w:rPr>
        <w:t xml:space="preserve">EM </w:t>
      </w:r>
      <w:r w:rsidRPr="00635993">
        <w:rPr>
          <w:b w:val="0"/>
        </w:rPr>
        <w:t xml:space="preserve">symbiosis with </w:t>
      </w:r>
      <w:r w:rsidR="00107367" w:rsidRPr="00A97CDB">
        <w:rPr>
          <w:b w:val="0"/>
          <w:i/>
        </w:rPr>
        <w:t>P.</w:t>
      </w:r>
      <w:r w:rsidR="00107367">
        <w:rPr>
          <w:b w:val="0"/>
        </w:rPr>
        <w:t xml:space="preserve"> </w:t>
      </w:r>
      <w:r w:rsidR="00107367" w:rsidRPr="00A97CDB">
        <w:rPr>
          <w:b w:val="0"/>
          <w:i/>
        </w:rPr>
        <w:t>sylvestris</w:t>
      </w:r>
      <w:r w:rsidRPr="00635993">
        <w:rPr>
          <w:b w:val="0"/>
        </w:rPr>
        <w:t xml:space="preserve"> seedlings (2-way ANOVA, </w:t>
      </w:r>
      <w:r w:rsidRPr="00635993">
        <w:rPr>
          <w:b w:val="0"/>
          <w:i/>
        </w:rPr>
        <w:t>p</w:t>
      </w:r>
      <w:r w:rsidRPr="00635993">
        <w:rPr>
          <w:b w:val="0"/>
        </w:rPr>
        <w:t xml:space="preserve"> &lt;0.001). The putative functional annotation for each metabolite is listed on the right of each heat map, which was inferred by using the METLIN database. </w:t>
      </w:r>
      <w:r w:rsidRPr="00B46FB7">
        <w:t>A.</w:t>
      </w:r>
      <w:r w:rsidRPr="00635993">
        <w:rPr>
          <w:b w:val="0"/>
        </w:rPr>
        <w:t xml:space="preserve"> Selection of meta</w:t>
      </w:r>
      <w:r w:rsidR="00107367">
        <w:rPr>
          <w:b w:val="0"/>
        </w:rPr>
        <w:t>bolites detected in ESI+</w:t>
      </w:r>
      <w:r w:rsidRPr="00635993">
        <w:rPr>
          <w:b w:val="0"/>
        </w:rPr>
        <w:t xml:space="preserve"> mode. </w:t>
      </w:r>
      <w:r w:rsidRPr="00B46FB7">
        <w:t>B.</w:t>
      </w:r>
      <w:r w:rsidRPr="00635993">
        <w:rPr>
          <w:b w:val="0"/>
        </w:rPr>
        <w:t xml:space="preserve"> Selection of meta</w:t>
      </w:r>
      <w:r w:rsidR="00107367">
        <w:rPr>
          <w:b w:val="0"/>
        </w:rPr>
        <w:t>bolites detected in ESI-</w:t>
      </w:r>
      <w:r w:rsidRPr="00635993">
        <w:rPr>
          <w:b w:val="0"/>
        </w:rPr>
        <w:t xml:space="preserve"> mode. Latin numbers indicate the hierarchical clusters selected (from Figure 5.11). The first annotation bar from the top represents growth condition</w:t>
      </w:r>
      <w:r w:rsidR="00107367">
        <w:rPr>
          <w:b w:val="0"/>
        </w:rPr>
        <w:t>s</w:t>
      </w:r>
      <w:r w:rsidRPr="00635993">
        <w:rPr>
          <w:b w:val="0"/>
        </w:rPr>
        <w:t xml:space="preserve"> (orange: NS condition; green: S condition). The second annotation bar represents </w:t>
      </w:r>
      <w:r w:rsidR="009D6EE6">
        <w:rPr>
          <w:b w:val="0"/>
        </w:rPr>
        <w:t xml:space="preserve">the </w:t>
      </w:r>
      <w:r w:rsidRPr="00635993">
        <w:rPr>
          <w:b w:val="0"/>
        </w:rPr>
        <w:t xml:space="preserve">presence or absence of </w:t>
      </w:r>
      <w:r w:rsidR="00756633" w:rsidRPr="00635993">
        <w:rPr>
          <w:b w:val="0"/>
        </w:rPr>
        <w:t xml:space="preserve">HAP </w:t>
      </w:r>
      <w:r w:rsidRPr="00635993">
        <w:rPr>
          <w:b w:val="0"/>
        </w:rPr>
        <w:t>(grey: HAP-; purple: HAP+). * Fuca1-2Galb1-4[Fuca1-3] GlcNAcb1-3Galb1-4[Fuca1-3] GlcNAcb.</w:t>
      </w:r>
    </w:p>
    <w:p w14:paraId="37BE0D8B" w14:textId="5D7E0E3F" w:rsidR="000D7D3D" w:rsidRPr="000D7D3D" w:rsidRDefault="000D7D3D" w:rsidP="00635993">
      <w:pPr>
        <w:pStyle w:val="Subtitle"/>
        <w:pBdr>
          <w:top w:val="single" w:sz="4" w:space="1" w:color="auto"/>
        </w:pBdr>
      </w:pPr>
      <w:r w:rsidRPr="000D7D3D">
        <w:br w:type="page"/>
      </w:r>
    </w:p>
    <w:p w14:paraId="111A5F65" w14:textId="0F5F8FE0" w:rsidR="000D7D3D" w:rsidRDefault="000D7D3D" w:rsidP="00635993">
      <w:pPr>
        <w:pStyle w:val="Heading1"/>
      </w:pPr>
      <w:bookmarkStart w:id="514" w:name="_Toc507604083"/>
      <w:bookmarkStart w:id="515" w:name="_Toc507604350"/>
      <w:bookmarkStart w:id="516" w:name="_Toc519017052"/>
      <w:bookmarkStart w:id="517" w:name="_Toc520837965"/>
      <w:r w:rsidRPr="000D7D3D">
        <w:lastRenderedPageBreak/>
        <w:t>5.4 Discussion</w:t>
      </w:r>
      <w:bookmarkEnd w:id="514"/>
      <w:bookmarkEnd w:id="515"/>
      <w:bookmarkEnd w:id="516"/>
      <w:bookmarkEnd w:id="517"/>
    </w:p>
    <w:p w14:paraId="589767AA" w14:textId="77777777" w:rsidR="009B625F" w:rsidRPr="00635993" w:rsidRDefault="009B625F" w:rsidP="00635993"/>
    <w:p w14:paraId="3BCA6DA0" w14:textId="12EB5465" w:rsidR="000D7D3D" w:rsidRPr="000D7D3D" w:rsidRDefault="00C501AE" w:rsidP="00635993">
      <w:pPr>
        <w:pStyle w:val="Heading2"/>
      </w:pPr>
      <w:bookmarkStart w:id="518" w:name="_Toc507604084"/>
      <w:bookmarkStart w:id="519" w:name="_Toc507604351"/>
      <w:bookmarkStart w:id="520" w:name="_Toc519017053"/>
      <w:bookmarkStart w:id="521" w:name="_Toc520837966"/>
      <w:r>
        <w:t>5.4.1 Experimental set</w:t>
      </w:r>
      <w:r w:rsidR="000D7D3D" w:rsidRPr="000D7D3D">
        <w:t xml:space="preserve">up: the role of symbiosis in </w:t>
      </w:r>
      <w:r w:rsidR="00653491">
        <w:t>HAP</w:t>
      </w:r>
      <w:r w:rsidR="00F1077F" w:rsidRPr="000D7D3D">
        <w:t xml:space="preserve"> </w:t>
      </w:r>
      <w:r w:rsidR="000D7D3D" w:rsidRPr="000D7D3D">
        <w:t>enhanced weathering</w:t>
      </w:r>
      <w:bookmarkEnd w:id="518"/>
      <w:bookmarkEnd w:id="519"/>
      <w:bookmarkEnd w:id="520"/>
      <w:bookmarkEnd w:id="521"/>
      <w:r w:rsidR="000D7D3D" w:rsidRPr="000D7D3D">
        <w:t xml:space="preserve"> </w:t>
      </w:r>
    </w:p>
    <w:p w14:paraId="5FDC54FC" w14:textId="00563550" w:rsidR="000D7D3D" w:rsidRPr="000D7D3D" w:rsidRDefault="000D7D3D" w:rsidP="003F7054">
      <w:r w:rsidRPr="000D7D3D">
        <w:t xml:space="preserve">The results presented in this chapter provide novel molecular evidence on the global </w:t>
      </w:r>
      <w:r w:rsidR="00653491">
        <w:t xml:space="preserve">gene </w:t>
      </w:r>
      <w:r w:rsidRPr="000D7D3D">
        <w:t>transcriptional response</w:t>
      </w:r>
      <w:r w:rsidR="00653491">
        <w:t>s</w:t>
      </w:r>
      <w:r w:rsidRPr="000D7D3D">
        <w:t xml:space="preserve"> of </w:t>
      </w:r>
      <w:r w:rsidRPr="000D7D3D">
        <w:rPr>
          <w:i/>
        </w:rPr>
        <w:t>P. involutus</w:t>
      </w:r>
      <w:r w:rsidRPr="000D7D3D">
        <w:t xml:space="preserve"> during </w:t>
      </w:r>
      <w:r w:rsidR="00F1077F">
        <w:t>HAP</w:t>
      </w:r>
      <w:r w:rsidR="00F1077F" w:rsidRPr="000D7D3D">
        <w:t xml:space="preserve"> </w:t>
      </w:r>
      <w:r w:rsidRPr="000D7D3D">
        <w:t>weathering. The investigation of the transcriptomic responses of EM</w:t>
      </w:r>
      <w:r w:rsidR="00F1077F">
        <w:t>F</w:t>
      </w:r>
      <w:r w:rsidRPr="000D7D3D">
        <w:t xml:space="preserve"> during mineral weathering in symbiosis with a host tree is unprecedented. Only two studies have previously analysed the transcriptional response of fungal hyphae to mineral weathering. These were based on K-bearing minerals </w:t>
      </w:r>
      <w:r w:rsidRPr="000D7D3D">
        <w:fldChar w:fldCharType="begin" w:fldLock="1"/>
      </w:r>
      <w:r w:rsidR="00EE33AB">
        <w:instrText>ADDIN CSL_CITATION {"citationItems":[{"id":"ITEM-1","itemData":{"DOI":"10.1080/01490451.2014.991812","ISBN":"0149-0451","ISSN":"15210529","abstract":"Microbial transformation of potassium feldspar to produce organic composite potassium fertilizer is recognized to be an important method of effective use of the huge reserves of low grade K+-bearing rock in China. The mechanism underlying microbial weathering of silicate minerals is still unclear, and this is an obstacle to practical methods of application. To thoroughly understand the molecular mechanism responsible for the weathering of potassium feldspar by Aspergillus niger at a molecular level, high-throughput RNA-sequencing (RNA-seq) and treatment with different potassium sources (cultured in Czapek medium with soluble K+ or potassium feldspar) were used to investigate the differentially expressed genes of A. niger associated with potassium feldspar weathering and the related metabolic pathways. A series of differentially expressed genes related to the synthesis and transportation of organic acids, polysaccharides, and proteins (enzymes) were found to be closely associated with the K+ released from minerals through bioinformatic analysis. In addition, 12 genes that showed apparent expression differences by RNA-seq analysis and are relevant to organic acid synthesis, protein modification, maintenance of cellular homeostasis, and material transportation, were selected to be further verified using RT-qPCR. Compared to the fungal samples cultured with soluble K+, those with potassium feldspar have certain genes that are more up-regulated, such as the genes for Na+,K+-ATPase (447.6 multiples), cystathionine beta-synthase (5.6 multiples), cysteine synthase (9 multiples), and glutathione synthase (3.5 multiples). The analysis indicates that A. niger weathering of potassium feldspar is due to the synergistic effect of many factors including the up-regulation of certain genes and activation of related metabolite pathways. The research improves our understanding of the mechanisms of microbial weathering of silicate minerals.","author":[{"dropping-particle":"","family":"Wang","given":"Weiying","non-dropping-particle":"","parse-names":false,"suffix":""},{"dropping-particle":"","family":"Lian","given":"Bin","non-dropping-particle":"","parse-names":false,"suffix":""},{"dropping-particle":"","family":"Pan","given":"Ling","non-dropping-particle":"","parse-names":false,"suffix":""}],"container-title":"Geomicrobiology Journal","id":"ITEM-1","issue":"8","issued":{"date-parts":[["2015"]]},"page":"689-700","title":"An RNA-Sequencing Study of the Genes and Metabolic Pathways Involved in Aspergillus niger Weathering of Potassium Feldspar","type":"article-journal","volume":"32"},"uris":["http://www.mendeley.com/documents/?uuid=fe1aa69e-8355-41f5-b0bb-77f1c600160f"]},{"id":"ITEM-2","itemData":{"DOI":"10.1016/j.chemgeo.2012.02.014","ISBN":"0009-2541","ISSN":"00092541","abstract":"In order to determine the mechanisms by which fungi weather potassium-bearing minerals on a molecular level, we prepared differential expression cDNA libraries of Aspergillus fumigatus using suppression subtractive hybridization (SSH) technology. The specimens were cultured with and without potassium-bearing minerals. Among genes that were upregulated by the presence of these minerals, 24% were found to be involved in carbon source consumption. Of downregulated genes, 54% were found to code for membrane proteins. This study showed that the factors that could accelerate weathering of K-bearing minerals involved organic acids, carbonic acid, and redox participant molecules. K-bearing minerals were found to upregulate the expression of carbonic anhydrase (CA), implying that A. fumigatus was capable of converting CO 2 into carbonate to accelerate the weathering of potassium-bearing minerals, which fixed CO 2. During mineral weathering, the fungus changed its metabolism, produced more metal-binding proteins, and reduced membrane metal transporter expression, which can modulate ion absorption and disposal and promote acid production. The results of this study may improve our understanding of the mechanisms by which microorganisms weather silicate minerals. Because silicate weathering consumes CO 2, the current study provides molecular evidence for the participation of microorganisms in silicate weathering and carbonate formation. © 2012 Elsevier B.V.","author":[{"dropping-particle":"","family":"Xiao","given":"Bo","non-dropping-particle":"","parse-names":false,"suffix":""},{"dropping-particle":"","family":"Lian","given":"Bin","non-dropping-particle":"","parse-names":false,"suffix":""},{"dropping-particle":"","family":"Sun","given":"Leilei","non-dropping-particle":"","parse-names":false,"suffix":""},{"dropping-particle":"","family":"Shao","given":"Weilan","non-dropping-particle":"","parse-names":false,"suffix":""}],"container-title":"Chemical Geology","id":"ITEM-2","issued":{"date-parts":[["2012"]]},"page":"1-9","publisher":"Elsevier B.V.","title":"Gene transcription response to weathering of K-bearing minerals by Aspergillus fumigatus","type":"article-journal","volume":"306-307"},"uris":["http://www.mendeley.com/documents/?uuid=dfd0d7fb-57a5-4c5b-8318-68d054ab1459"]}],"mendeley":{"formattedCitation":"(Wang et al., 2015; Xiao et al., 2012)","plainTextFormattedCitation":"(Wang et al., 2015; Xiao et al., 2012)","previouslyFormattedCitation":"(Wang et al., 2015; Xiao et al., 2012)"},"properties":{"noteIndex":0},"schema":"https://github.com/citation-style-language/schema/raw/master/csl-citation.json"}</w:instrText>
      </w:r>
      <w:r w:rsidRPr="000D7D3D">
        <w:fldChar w:fldCharType="separate"/>
      </w:r>
      <w:r w:rsidRPr="000D7D3D">
        <w:rPr>
          <w:noProof/>
        </w:rPr>
        <w:t>(Wang et al., 2015; Xiao et al., 2012)</w:t>
      </w:r>
      <w:r w:rsidRPr="000D7D3D">
        <w:fldChar w:fldCharType="end"/>
      </w:r>
      <w:r w:rsidRPr="000D7D3D">
        <w:t xml:space="preserve"> and, most importantly, these studies were based on non-mycorrhizal fungi. On the other hand, the establishment of a </w:t>
      </w:r>
      <w:r w:rsidR="003A10FE">
        <w:t>HAP</w:t>
      </w:r>
      <w:r w:rsidR="003A10FE" w:rsidRPr="000D7D3D">
        <w:t xml:space="preserve"> </w:t>
      </w:r>
      <w:r w:rsidRPr="000D7D3D">
        <w:t xml:space="preserve">weathering system based on the </w:t>
      </w:r>
      <w:r w:rsidR="003A10FE">
        <w:t>EM</w:t>
      </w:r>
      <w:r w:rsidR="003A10FE" w:rsidRPr="000D7D3D">
        <w:t xml:space="preserve"> </w:t>
      </w:r>
      <w:r w:rsidRPr="000D7D3D">
        <w:t xml:space="preserve">fungus </w:t>
      </w:r>
      <w:r w:rsidRPr="000D7D3D">
        <w:rPr>
          <w:i/>
        </w:rPr>
        <w:t xml:space="preserve">P. involutus </w:t>
      </w:r>
      <w:r w:rsidRPr="000D7D3D">
        <w:t xml:space="preserve">allows to study the molecular basis of mineral weathering either with or without a host plant (Figures 5.1 and 5.2). Indeed, the presence of EM symbiosis enhanced the solubilisation of </w:t>
      </w:r>
      <w:r w:rsidR="003A10FE">
        <w:t>HAP</w:t>
      </w:r>
      <w:r w:rsidR="003A10FE" w:rsidRPr="000D7D3D">
        <w:t xml:space="preserve"> </w:t>
      </w:r>
      <w:r w:rsidRPr="000D7D3D">
        <w:t>crystals (Figure 5.2</w:t>
      </w:r>
      <w:r w:rsidR="00015411">
        <w:rPr>
          <w:rFonts w:ascii="Palatino Linotype" w:hAnsi="Palatino Linotype"/>
        </w:rPr>
        <w:t>V</w:t>
      </w:r>
      <w:r w:rsidRPr="000D7D3D">
        <w:t xml:space="preserve">), which in turn resulted in higher Pi content in </w:t>
      </w:r>
      <w:r w:rsidR="00653491">
        <w:t xml:space="preserve">the </w:t>
      </w:r>
      <w:r w:rsidRPr="000D7D3D">
        <w:t>fungal hyphae (Figure 5.1</w:t>
      </w:r>
      <w:r w:rsidR="00015411">
        <w:t>D</w:t>
      </w:r>
      <w:r w:rsidRPr="000D7D3D">
        <w:t>).</w:t>
      </w:r>
    </w:p>
    <w:p w14:paraId="22B53ACA" w14:textId="35A81BA6" w:rsidR="000D7D3D" w:rsidRPr="000D7D3D" w:rsidRDefault="000D7D3D" w:rsidP="007F746A">
      <w:pPr>
        <w:ind w:firstLine="720"/>
      </w:pPr>
      <w:r w:rsidRPr="000D7D3D">
        <w:t xml:space="preserve">Global transcriptomic analysis of </w:t>
      </w:r>
      <w:r w:rsidR="003A10FE">
        <w:t>HAP</w:t>
      </w:r>
      <w:r w:rsidR="003A10FE" w:rsidRPr="000D7D3D">
        <w:t xml:space="preserve"> </w:t>
      </w:r>
      <w:r w:rsidRPr="000D7D3D">
        <w:t xml:space="preserve">weathering </w:t>
      </w:r>
      <w:r w:rsidR="00653491">
        <w:t xml:space="preserve">through </w:t>
      </w:r>
      <w:r w:rsidRPr="000D7D3D">
        <w:t xml:space="preserve">RNA-seq revealed that </w:t>
      </w:r>
      <w:r w:rsidR="00653491">
        <w:t xml:space="preserve">the </w:t>
      </w:r>
      <w:r w:rsidRPr="000D7D3D">
        <w:t xml:space="preserve">presence of </w:t>
      </w:r>
      <w:r w:rsidR="003A10FE">
        <w:t>HAP</w:t>
      </w:r>
      <w:r w:rsidR="003A10FE" w:rsidRPr="000D7D3D">
        <w:t xml:space="preserve"> </w:t>
      </w:r>
      <w:r w:rsidRPr="000D7D3D">
        <w:t xml:space="preserve">causes the largest differences in </w:t>
      </w:r>
      <w:r w:rsidR="00364B87">
        <w:t xml:space="preserve">fungal gene </w:t>
      </w:r>
      <w:r w:rsidRPr="000D7D3D">
        <w:t>transcription (Figure 5.</w:t>
      </w:r>
      <w:r w:rsidR="00AA4DD1">
        <w:t>3, Table 5.1). At the same time</w:t>
      </w:r>
      <w:r w:rsidRPr="000D7D3D">
        <w:t xml:space="preserve">, </w:t>
      </w:r>
      <w:r w:rsidR="00364B87">
        <w:t xml:space="preserve">the </w:t>
      </w:r>
      <w:r w:rsidR="00AA4DD1">
        <w:t>presence of EM symbiosis</w:t>
      </w:r>
      <w:r w:rsidRPr="000D7D3D">
        <w:t xml:space="preserve"> </w:t>
      </w:r>
      <w:r w:rsidR="00364B87">
        <w:t>had</w:t>
      </w:r>
      <w:r w:rsidRPr="000D7D3D">
        <w:t xml:space="preserve"> a very pronounced effect on </w:t>
      </w:r>
      <w:r w:rsidR="00364B87">
        <w:t xml:space="preserve">the </w:t>
      </w:r>
      <w:r w:rsidRPr="000D7D3D">
        <w:t xml:space="preserve">fungal transcriptome when </w:t>
      </w:r>
      <w:r w:rsidR="003A10FE">
        <w:t>HAP</w:t>
      </w:r>
      <w:r w:rsidR="003A10FE" w:rsidRPr="000D7D3D">
        <w:t xml:space="preserve"> </w:t>
      </w:r>
      <w:r w:rsidRPr="000D7D3D">
        <w:t xml:space="preserve">is present, but very little effect when </w:t>
      </w:r>
      <w:r w:rsidR="003A10FE">
        <w:t>HAP</w:t>
      </w:r>
      <w:r w:rsidR="003A10FE" w:rsidRPr="000D7D3D">
        <w:t xml:space="preserve"> </w:t>
      </w:r>
      <w:r w:rsidRPr="000D7D3D">
        <w:t xml:space="preserve">is absent (Figure 5.3, Table 5.1). Interestingly, none of the </w:t>
      </w:r>
      <w:r w:rsidR="00364B87">
        <w:t xml:space="preserve">top </w:t>
      </w:r>
      <w:r w:rsidRPr="000D7D3D">
        <w:t>50 most significant</w:t>
      </w:r>
      <w:r w:rsidR="00364B87">
        <w:t>ly</w:t>
      </w:r>
      <w:r w:rsidRPr="000D7D3D">
        <w:t xml:space="preserve"> upregulated </w:t>
      </w:r>
      <w:r w:rsidR="00364B87" w:rsidRPr="000D7D3D">
        <w:t xml:space="preserve">genes </w:t>
      </w:r>
      <w:r w:rsidRPr="000D7D3D">
        <w:t xml:space="preserve">by HAP+ in NS condition were shared with the </w:t>
      </w:r>
      <w:r w:rsidR="00364B87">
        <w:t xml:space="preserve">top </w:t>
      </w:r>
      <w:r w:rsidRPr="000D7D3D">
        <w:t>50 most significant</w:t>
      </w:r>
      <w:r w:rsidR="00364B87">
        <w:t>ly</w:t>
      </w:r>
      <w:r w:rsidRPr="000D7D3D">
        <w:t xml:space="preserve"> </w:t>
      </w:r>
      <w:r w:rsidR="00364B87" w:rsidRPr="000D7D3D">
        <w:t xml:space="preserve">upregulated </w:t>
      </w:r>
      <w:r w:rsidRPr="000D7D3D">
        <w:t xml:space="preserve">genes by HAP+ in S condition (Figure 5.4A and 5.5A, magenta annotations). Additionally, when comparing all the </w:t>
      </w:r>
      <w:r w:rsidR="00364B87" w:rsidRPr="000D7D3D">
        <w:t xml:space="preserve">differentially expressed </w:t>
      </w:r>
      <w:r w:rsidRPr="000D7D3D">
        <w:t xml:space="preserve">genes by </w:t>
      </w:r>
      <w:r w:rsidR="003A10FE">
        <w:t>HAP</w:t>
      </w:r>
      <w:r w:rsidR="003A10FE" w:rsidRPr="000D7D3D">
        <w:t xml:space="preserve"> </w:t>
      </w:r>
      <w:r w:rsidRPr="000D7D3D">
        <w:t xml:space="preserve">in </w:t>
      </w:r>
      <w:r w:rsidR="00364B87">
        <w:t xml:space="preserve">the </w:t>
      </w:r>
      <w:r w:rsidRPr="000D7D3D">
        <w:t xml:space="preserve">NS condition against the ones in </w:t>
      </w:r>
      <w:r w:rsidR="00364B87">
        <w:t xml:space="preserve">the </w:t>
      </w:r>
      <w:r w:rsidRPr="000D7D3D">
        <w:t>S co</w:t>
      </w:r>
      <w:r w:rsidR="00364B87">
        <w:t>ndition, very little gene transcripts are shared</w:t>
      </w:r>
      <w:r w:rsidRPr="000D7D3D">
        <w:t xml:space="preserve"> (Figure 5.7, central and top overlap). In the Pi-varying RNA-seq experiment</w:t>
      </w:r>
      <w:r w:rsidR="00465649">
        <w:t>,</w:t>
      </w:r>
      <w:r w:rsidRPr="000D7D3D">
        <w:t xml:space="preserve"> the majority of </w:t>
      </w:r>
      <w:r w:rsidR="00364B87">
        <w:t xml:space="preserve">the </w:t>
      </w:r>
      <w:r w:rsidRPr="000D7D3D">
        <w:t>genes up</w:t>
      </w:r>
      <w:r w:rsidR="00C501AE">
        <w:t>-</w:t>
      </w:r>
      <w:r w:rsidRPr="000D7D3D">
        <w:t xml:space="preserve"> or down-regulated in response to </w:t>
      </w:r>
      <w:r w:rsidR="00364B87">
        <w:t xml:space="preserve">low </w:t>
      </w:r>
      <w:r w:rsidRPr="000D7D3D">
        <w:t>P</w:t>
      </w:r>
      <w:r w:rsidR="00364B87">
        <w:t>i availability</w:t>
      </w:r>
      <w:r w:rsidRPr="000D7D3D">
        <w:t xml:space="preserve"> were shared between </w:t>
      </w:r>
      <w:r w:rsidR="00364B87">
        <w:t xml:space="preserve">the </w:t>
      </w:r>
      <w:r w:rsidRPr="000D7D3D">
        <w:t xml:space="preserve">S and NS conditions, </w:t>
      </w:r>
      <w:r w:rsidR="00364B87">
        <w:t>where</w:t>
      </w:r>
      <w:r w:rsidRPr="000D7D3D">
        <w:t xml:space="preserve"> EM symbiosis </w:t>
      </w:r>
      <w:r w:rsidR="00364B87">
        <w:t>enhanced or further repressed</w:t>
      </w:r>
      <w:r w:rsidRPr="000D7D3D">
        <w:t xml:space="preserve"> their expression (Chapter 3, Figure 3.7). </w:t>
      </w:r>
      <w:r w:rsidR="00465649">
        <w:t>T</w:t>
      </w:r>
      <w:r w:rsidRPr="000D7D3D">
        <w:t xml:space="preserve">hese results clearly show that, in </w:t>
      </w:r>
      <w:r w:rsidR="00364B87">
        <w:t xml:space="preserve">the </w:t>
      </w:r>
      <w:r w:rsidRPr="000D7D3D">
        <w:t xml:space="preserve">presence of </w:t>
      </w:r>
      <w:r w:rsidR="003A10FE">
        <w:t>HAP</w:t>
      </w:r>
      <w:r w:rsidRPr="000D7D3D">
        <w:t xml:space="preserve">, when </w:t>
      </w:r>
      <w:r w:rsidR="00364B87" w:rsidRPr="000D7D3D">
        <w:rPr>
          <w:i/>
        </w:rPr>
        <w:t>P. involutus</w:t>
      </w:r>
      <w:r w:rsidR="00364B87" w:rsidRPr="000D7D3D">
        <w:t xml:space="preserve"> </w:t>
      </w:r>
      <w:r w:rsidR="00B05C54">
        <w:t>hyphae grow</w:t>
      </w:r>
      <w:r w:rsidR="00364B87">
        <w:t xml:space="preserve"> </w:t>
      </w:r>
      <w:r w:rsidRPr="000D7D3D">
        <w:t xml:space="preserve">in EM symbiosis </w:t>
      </w:r>
      <w:r w:rsidR="00364B87">
        <w:t xml:space="preserve">then </w:t>
      </w:r>
      <w:r w:rsidR="00364B87" w:rsidRPr="000D7D3D">
        <w:t xml:space="preserve">a different suite of weathering genes </w:t>
      </w:r>
      <w:r w:rsidR="00364B87">
        <w:t xml:space="preserve">are </w:t>
      </w:r>
      <w:r w:rsidR="00107264">
        <w:t>induced</w:t>
      </w:r>
      <w:r w:rsidR="00364B87">
        <w:t xml:space="preserve"> </w:t>
      </w:r>
      <w:r w:rsidRPr="000D7D3D">
        <w:t xml:space="preserve">compared </w:t>
      </w:r>
      <w:r w:rsidR="00364B87">
        <w:t xml:space="preserve">to </w:t>
      </w:r>
      <w:r w:rsidR="00364B87" w:rsidRPr="000D7D3D">
        <w:rPr>
          <w:i/>
        </w:rPr>
        <w:t>P. involutus</w:t>
      </w:r>
      <w:r w:rsidR="00364B87" w:rsidRPr="000D7D3D">
        <w:t xml:space="preserve"> </w:t>
      </w:r>
      <w:r w:rsidR="00364B87">
        <w:t>hyphae</w:t>
      </w:r>
      <w:r w:rsidR="00107264">
        <w:t xml:space="preserve"> grown non-symbiotically.</w:t>
      </w:r>
    </w:p>
    <w:p w14:paraId="1D9D18CC" w14:textId="16E6979B" w:rsidR="000D7D3D" w:rsidRPr="000D7D3D" w:rsidRDefault="000D7D3D" w:rsidP="007F746A">
      <w:pPr>
        <w:ind w:firstLine="720"/>
      </w:pPr>
      <w:r w:rsidRPr="000D7D3D">
        <w:lastRenderedPageBreak/>
        <w:t xml:space="preserve">The establishment of </w:t>
      </w:r>
      <w:r w:rsidRPr="000D7D3D">
        <w:rPr>
          <w:i/>
        </w:rPr>
        <w:t xml:space="preserve">P. involutus </w:t>
      </w:r>
      <w:r w:rsidR="003A10FE">
        <w:t>HAP</w:t>
      </w:r>
      <w:r w:rsidR="003A10FE" w:rsidRPr="000D7D3D">
        <w:t xml:space="preserve"> </w:t>
      </w:r>
      <w:r w:rsidRPr="000D7D3D">
        <w:t xml:space="preserve">weathering system allowed global analysis of metabolites secreted in the system by </w:t>
      </w:r>
      <w:r w:rsidR="00350393">
        <w:t xml:space="preserve">the </w:t>
      </w:r>
      <w:r w:rsidRPr="000D7D3D">
        <w:t xml:space="preserve">fungal hyphae (or plant roots), which is </w:t>
      </w:r>
      <w:r w:rsidR="00350393">
        <w:t>a complete novelty in the field</w:t>
      </w:r>
      <w:r w:rsidRPr="000D7D3D">
        <w:t xml:space="preserve"> of fungal mineral weathering and </w:t>
      </w:r>
      <w:r w:rsidR="003A10FE">
        <w:t>G</w:t>
      </w:r>
      <w:r w:rsidR="003A10FE" w:rsidRPr="000D7D3D">
        <w:t>eobiology</w:t>
      </w:r>
      <w:r w:rsidRPr="000D7D3D">
        <w:t xml:space="preserve">. PCA </w:t>
      </w:r>
      <w:r w:rsidR="00350393">
        <w:t>of</w:t>
      </w:r>
      <w:r w:rsidRPr="000D7D3D">
        <w:t xml:space="preserve"> the identified metabolites confirmed that </w:t>
      </w:r>
      <w:r w:rsidR="00350393">
        <w:t xml:space="preserve">the </w:t>
      </w:r>
      <w:r w:rsidRPr="000D7D3D">
        <w:t xml:space="preserve">presence of </w:t>
      </w:r>
      <w:r w:rsidR="003A10FE">
        <w:t>HAP</w:t>
      </w:r>
      <w:r w:rsidR="003A10FE" w:rsidRPr="000D7D3D">
        <w:t xml:space="preserve"> </w:t>
      </w:r>
      <w:r w:rsidRPr="000D7D3D">
        <w:t xml:space="preserve">and EM symbiosis drive the largest differences in the fungal/plant secretome (Figure 5.10). Additionally, preliminary downstream analysis of differential metabolites confirmed the presence of different organic acids in the weathering system, including multiple LMWOA and their precursors (such as oxaloacetate, Figure 5.11 and 5.12). Some putative LMWOA, however, were identified even in </w:t>
      </w:r>
      <w:r w:rsidR="00350393">
        <w:t xml:space="preserve">the </w:t>
      </w:r>
      <w:r w:rsidRPr="000D7D3D">
        <w:t xml:space="preserve">absence of </w:t>
      </w:r>
      <w:r w:rsidR="00F17073">
        <w:t>HAP</w:t>
      </w:r>
      <w:r w:rsidRPr="000D7D3D">
        <w:t xml:space="preserve">, indicating that </w:t>
      </w:r>
      <w:r w:rsidRPr="000D7D3D">
        <w:rPr>
          <w:i/>
        </w:rPr>
        <w:t>P. involutus</w:t>
      </w:r>
      <w:r w:rsidRPr="000D7D3D">
        <w:t xml:space="preserve"> may constitutively secrete these compounds at low levels along </w:t>
      </w:r>
      <w:r w:rsidR="00350393">
        <w:t xml:space="preserve">its </w:t>
      </w:r>
      <w:r w:rsidRPr="000D7D3D">
        <w:t>exploratory mycelia in conditions of nutrient starvation.</w:t>
      </w:r>
    </w:p>
    <w:p w14:paraId="2ECD138A" w14:textId="77777777" w:rsidR="000D7D3D" w:rsidRPr="000D7D3D" w:rsidRDefault="000D7D3D" w:rsidP="00FB36B8"/>
    <w:p w14:paraId="0C736F46" w14:textId="6F7B4901" w:rsidR="000D7D3D" w:rsidRPr="000D7D3D" w:rsidRDefault="000D7D3D" w:rsidP="00635993">
      <w:pPr>
        <w:pStyle w:val="Heading2"/>
      </w:pPr>
      <w:bookmarkStart w:id="522" w:name="_Toc507604085"/>
      <w:bookmarkStart w:id="523" w:name="_Toc507604352"/>
      <w:bookmarkStart w:id="524" w:name="_Toc519017054"/>
      <w:bookmarkStart w:id="525" w:name="_Toc520837967"/>
      <w:r w:rsidRPr="000D7D3D">
        <w:t xml:space="preserve">5.4.2 </w:t>
      </w:r>
      <w:r w:rsidRPr="000D7D3D">
        <w:rPr>
          <w:i/>
        </w:rPr>
        <w:t>P. involutus</w:t>
      </w:r>
      <w:r w:rsidRPr="000D7D3D">
        <w:t xml:space="preserve"> </w:t>
      </w:r>
      <w:r w:rsidR="005A0474" w:rsidRPr="005A0474">
        <w:rPr>
          <w:i/>
        </w:rPr>
        <w:t>DJR1</w:t>
      </w:r>
      <w:r w:rsidR="005A0474">
        <w:t xml:space="preserve"> </w:t>
      </w:r>
      <w:r w:rsidRPr="000D7D3D">
        <w:t xml:space="preserve">gene transcriptional regulation of </w:t>
      </w:r>
      <w:r w:rsidR="00F17073">
        <w:t>HAP</w:t>
      </w:r>
      <w:r w:rsidR="00F17073" w:rsidRPr="000D7D3D">
        <w:t xml:space="preserve"> </w:t>
      </w:r>
      <w:r w:rsidRPr="000D7D3D">
        <w:t xml:space="preserve">weathering in </w:t>
      </w:r>
      <w:r w:rsidR="005A0474">
        <w:t>NS condition</w:t>
      </w:r>
      <w:bookmarkEnd w:id="522"/>
      <w:bookmarkEnd w:id="523"/>
      <w:bookmarkEnd w:id="524"/>
      <w:bookmarkEnd w:id="525"/>
    </w:p>
    <w:p w14:paraId="4380979D" w14:textId="70A825F1" w:rsidR="000D7D3D" w:rsidRPr="000D7D3D" w:rsidRDefault="000D7D3D" w:rsidP="003F7054">
      <w:r w:rsidRPr="000D7D3D">
        <w:t xml:space="preserve">A portion of transcripts identified to be strongly upregulated by HAP+ in </w:t>
      </w:r>
      <w:r w:rsidR="00BB1FE9">
        <w:t>N</w:t>
      </w:r>
      <w:r w:rsidRPr="000D7D3D">
        <w:t xml:space="preserve">S condition corresponds to genes </w:t>
      </w:r>
      <w:r w:rsidR="005A0474">
        <w:t xml:space="preserve">encoding for </w:t>
      </w:r>
      <w:r w:rsidR="005A0474" w:rsidRPr="000D7D3D">
        <w:t>putative</w:t>
      </w:r>
      <w:r w:rsidR="005A0474">
        <w:t xml:space="preserve"> proteins </w:t>
      </w:r>
      <w:r w:rsidRPr="000D7D3D">
        <w:t>involved in signalling, such as serine/threonine kinases and tyrosine phosphatase, which can ultimately play a ro</w:t>
      </w:r>
      <w:r w:rsidR="005A0474">
        <w:t>le in cell cycle, morphogenesis and</w:t>
      </w:r>
      <w:r w:rsidRPr="000D7D3D">
        <w:t xml:space="preserve"> stress protection </w:t>
      </w:r>
      <w:r w:rsidRPr="000D7D3D">
        <w:fldChar w:fldCharType="begin" w:fldLock="1"/>
      </w:r>
      <w:r w:rsidR="00EE33AB">
        <w:instrText>ADDIN CSL_CITATION {"citationItems":[{"id":"ITEM-1","itemData":{"DOI":"10.1006/fgbi.1999.1118","ISSN":"1087-1845","PMID":"10328981","abstract":"Protein phosphorylation and dephosphorylation are one of the central currencies by which living cells perceive and respond to environmental cues. A number of fundamental processes in fungi such as the cell cycle, transcription, and mating have been shown to require protein phosphorylation. The analysis of protein kinases and phosphatases in filamentous fungi is in its infancy; however, it has already become clear that kinases and phosphatases are likely to be important mediators of fungal proliferation and development as well as signal transduction and infection-related morphogenesis. In this review, we describe, summarize, and consider the rapidly expanding field of protein phosphorylation/dephosphorylation in various aspects of filamentous fungal growth and development.","author":[{"dropping-particle":"","family":"Dickman","given":"M B","non-dropping-particle":"","parse-names":false,"suffix":""},{"dropping-particle":"","family":"Yarden","given":"O","non-dropping-particle":"","parse-names":false,"suffix":""}],"container-title":"Fungal genetics and biology : FG &amp; B","id":"ITEM-1","issue":"2","issued":{"date-parts":[["1999"]]},"page":"99-117","title":"Serine/threonine protein kinases and phosphatases in filamentious fungi.","type":"article-journal","volume":"26"},"uris":["http://www.mendeley.com/documents/?uuid=d3b9396d-d48b-464e-a37c-80b5449da970"]},{"id":"ITEM-2","itemData":{"DOI":"10.1093/mmy/myv098","ISSN":"14602709","author":[{"dropping-particle":"","family":"Albataineh","given":"Mohammad T.","non-dropping-particle":"","parse-names":false,"suffix":""},{"dropping-particle":"","family":"Kadosh","given":"David","non-dropping-particle":"","parse-names":false,"suffix":""}],"container-title":"Medical Mycology","id":"ITEM-2","issue":"4","issued":{"date-parts":[["2016"]]},"page":"333-352","title":"Regulatory roles of phosphorylation in model and pathogenic fungi","type":"article-journal","volume":"54"},"uris":["http://www.mendeley.com/documents/?uuid=fce1c1df-f08a-484d-b477-3ab2b83c5024"]}],"mendeley":{"formattedCitation":"(Dickman and Yarden, 1999; Albataineh and Kadosh, 2016)","plainTextFormattedCitation":"(Dickman and Yarden, 1999; Albataineh and Kadosh, 2016)","previouslyFormattedCitation":"(Dickman and Yarden, 1999; Albataineh and Kadosh, 2016)"},"properties":{"noteIndex":0},"schema":"https://github.com/citation-style-language/schema/raw/master/csl-citation.json"}</w:instrText>
      </w:r>
      <w:r w:rsidRPr="000D7D3D">
        <w:fldChar w:fldCharType="separate"/>
      </w:r>
      <w:r w:rsidRPr="000D7D3D">
        <w:rPr>
          <w:noProof/>
        </w:rPr>
        <w:t>(Dickman and Yarden, 1999; Albataineh and Kadosh, 2016)</w:t>
      </w:r>
      <w:r w:rsidRPr="000D7D3D">
        <w:fldChar w:fldCharType="end"/>
      </w:r>
      <w:r w:rsidR="005A0474">
        <w:t>. Am</w:t>
      </w:r>
      <w:r w:rsidRPr="000D7D3D">
        <w:t xml:space="preserve">ong these, the putative transcriptional corepressor SSN6 and post-transcriptional regulator CIP2, have been found. Their presence indicates that gene transcription is actively regulated in response to </w:t>
      </w:r>
      <w:r w:rsidR="005A0474">
        <w:t xml:space="preserve">the </w:t>
      </w:r>
      <w:r w:rsidRPr="000D7D3D">
        <w:t xml:space="preserve">HAP presence, which in turn may indicate the cellular need for the synthesis of products involved in HAP weathering. The fact that nucleoporin genes are upregulated may further support this hypothesis, which was first formulated as the “gene-gating” hypothesis by Blobel in 1985 </w:t>
      </w:r>
      <w:r w:rsidRPr="000D7D3D">
        <w:fldChar w:fldCharType="begin" w:fldLock="1"/>
      </w:r>
      <w:r w:rsidR="00EE33AB">
        <w:instrText>ADDIN CSL_CITATION {"citationItems":[{"id":"ITEM-1","itemData":{"DOI":"10.1016/j.cell.2010.01.011","ISBN":"1097-4172 (Electronic)\\r0092-8674 (Linking)","ISSN":"00928674","PMID":"20144760","abstract":"Nuclear pore complexes (NPCs) mediate transport across the nuclear envelope. In yeast, they also interact with active genes, attracting or retaining them at the nuclear periphery. In higher eukaryotes, some NPC components (nucleoporins) are also found in the nucleoplasm, with a so far unknown function. We have functionally characterized nucleoporin-chromatin interactions specifically at the NPC or within the nucleoplasm in Drosophila. We analyzed genomic interactions of full-length nucleoporins Nup98, Nup50, and Nup62 and nucleoplasmic and NPC-tethered forms of Nup98. We found that nucleoporins predominantly interacted with transcriptionally active genes inside the nucleoplasm, in particular those involved in developmental regulation and the cell cycle. A smaller set of nonactive genes interacted with the NPC. Genes strongly interacting with nucleoplasmic Nup98 were downregulated upon Nup98 depletion and activated on nucleoplasmic Nup98 overexpression. Thus, nucleoporins stimulate developmental and cell-cycle gene expression away from the NPC by interacting with these genes inside the nucleoplasm. © 2010 Elsevier Inc. All rights reserved.","author":[{"dropping-particle":"","family":"Kalverda","given":"Bernike","non-dropping-particle":"","parse-names":false,"suffix":""},{"dropping-particle":"","family":"Pickersgill","given":"Helen","non-dropping-particle":"","parse-names":false,"suffix":""},{"dropping-particle":"V.","family":"Shloma","given":"Victor","non-dropping-particle":"","parse-names":false,"suffix":""},{"dropping-particle":"","family":"Fornerod","given":"Maarten","non-dropping-particle":"","parse-names":false,"suffix":""}],"container-title":"Cell","id":"ITEM-1","issue":"3","issued":{"date-parts":[["2010"]]},"page":"360-371","publisher":"Elsevier Ltd","title":"Nucleoporins Directly Stimulate Expression of Developmental and Cell-Cycle Genes Inside the Nucleoplasm","type":"article-journal","volume":"140"},"uris":["http://www.mendeley.com/documents/?uuid=d9dd0cd7-ae7c-419a-a2f7-06756d730314"]},{"id":"ITEM-2","itemData":{"DOI":"10.1073/pnas.82.24.8527","ISBN":"0027-8424 (Print)","ISSN":"0027-8424","PMID":"3866238","abstract":"It is assumed that the genome of a higher eukaryotic organism is organized into a number of distinct three-dimensional (3-D) structures, each characteristic for a given differentiated state. These discrete 3-D structures are envisioned to develop in a hierarchical and largely irreversible manner from an omnipotent 3-D structure of the zygotic genome. The information for these processes is assumed to reside in the genome. The nuclear pore complexes, the peripheral nuclear lamina, and components of the nuclear core are proposed to be among the topologically most proximal organelles that interpret this information and thereby serve in the maintenance and the alteration of the 3-D structure of the genome during development, differentiation, and the cell cycle. The nuclear pore complexes are envisioned to serve as gene-gating organelles capable on interacting specifically with expanded (transcribable) portions of the genome. Their nonrandom distribution on the nuclear surface would reflect the underlying periodic organization of the genome into expanded and compacted domains, alternating with each other. All transcripts of a given gated gene would leave the nucleus by way of that pore complex to which the gene is gated. Implications for cell asymmetry and polarity are discussed and evolutionary considerations are presented.","author":[{"dropping-particle":"","family":"Blobel","given":"G.","non-dropping-particle":"","parse-names":false,"suffix":""}],"container-title":"Proceedings of the National Academy of Sciences","id":"ITEM-2","issue":"24","issued":{"date-parts":[["1985"]]},"page":"8527-8529","title":"Gene gating: a hypothesis.","type":"article-journal","volume":"82"},"uris":["http://www.mendeley.com/documents/?uuid=6d682e1e-9288-4538-a5e4-ad7f1de7c859"]}],"mendeley":{"formattedCitation":"(Kalverda et al., 2010; Blobel, 1985)","plainTextFormattedCitation":"(Kalverda et al., 2010; Blobel, 1985)","previouslyFormattedCitation":"(Kalverda et al., 2010; Blobel, 1985)"},"properties":{"noteIndex":0},"schema":"https://github.com/citation-style-language/schema/raw/master/csl-citation.json"}</w:instrText>
      </w:r>
      <w:r w:rsidRPr="000D7D3D">
        <w:fldChar w:fldCharType="separate"/>
      </w:r>
      <w:r w:rsidRPr="000D7D3D">
        <w:rPr>
          <w:noProof/>
        </w:rPr>
        <w:t>(Kalverda et al., 2010; Blobel, 1985)</w:t>
      </w:r>
      <w:r w:rsidRPr="000D7D3D">
        <w:fldChar w:fldCharType="end"/>
      </w:r>
      <w:r w:rsidRPr="000D7D3D">
        <w:t xml:space="preserve">. Additionally, genes </w:t>
      </w:r>
      <w:r w:rsidR="005A0474">
        <w:t xml:space="preserve">encoding for putative proteins </w:t>
      </w:r>
      <w:r w:rsidRPr="000D7D3D">
        <w:t xml:space="preserve">involved in cellular maintenance such as DNA replication, DNA repair, cell division and cell morphogenesis were also found to be upregulated. For instance, </w:t>
      </w:r>
      <w:r w:rsidR="005A0474">
        <w:t xml:space="preserve">the </w:t>
      </w:r>
      <w:r w:rsidRPr="000D7D3D">
        <w:t xml:space="preserve">HMG-box transcription factor regulates DNA-dependent processes such as transcription, replication, recombination, and DNA repair </w:t>
      </w:r>
      <w:r w:rsidRPr="000D7D3D">
        <w:fldChar w:fldCharType="begin" w:fldLock="1"/>
      </w:r>
      <w:r w:rsidR="00EE33AB">
        <w:instrText>ADDIN CSL_CITATION {"citationItems":[{"id":"ITEM-1","itemData":{"DOI":"10.1007/s00018-007-7162-3","ISBN":"1420-682X (Print)\\r1420-682X (Linking)","ISSN":"1420682X","PMID":"17599239","abstract":"The HMG-box domain of approximately 75 amino acid residues was originally identified as the domain that mediates the DNA-binding of chromatin-associated high-mobility group (HMG) proteins of the HMGB type. In the last few years, HMG-box domains have been found in various DNA-binding proteins including transcription factors and subunits of chromatin-remodeling complexes. HMG-box domains mediate either non-sequence-specific (e.g., HMGB-type proteins) or sequence-specific (e.g., transcription factors) DNA binding. Both types of HMG-box domains bind non-B-type DNA structures (bent, kinked and unwound) with high affinity. In addition, HMG-box domains are involved in a variety of protein-protein interactions. Here, we have examined the human and plant genomes for genes encoding HMG-box domains. Compared to plants, human cells contain a larger variety of HMG-box proteins. Whereas in humans transcription factors are the most divergent group of HMG-box proteins, in plants the chromosomal HMGB-type proteins are most variable.","author":[{"dropping-particle":"","family":"Štros","given":"M.","non-dropping-particle":"","parse-names":false,"suffix":""},{"dropping-particle":"","family":"Launholt","given":"D.","non-dropping-particle":"","parse-names":false,"suffix":""},{"dropping-particle":"","family":"Grasser","given":"K. D.","non-dropping-particle":"","parse-names":false,"suffix":""}],"container-title":"Cellular and Molecular Life Sciences","id":"ITEM-1","issue":"19-20","issued":{"date-parts":[["2007"]]},"page":"2590-2606","title":"The HMG-box: A versatile protein domain occurring in a wide variety of DNA-binding proteins","type":"article-journal","volume":"64"},"uris":["http://www.mendeley.com/documents/?uuid=b5de106d-6258-4d01-9535-bc328feb7071"]}],"mendeley":{"formattedCitation":"(Štros et al., 2007)","plainTextFormattedCitation":"(Štros et al., 2007)","previouslyFormattedCitation":"(Štros et al., 2007)"},"properties":{"noteIndex":0},"schema":"https://github.com/citation-style-language/schema/raw/master/csl-citation.json"}</w:instrText>
      </w:r>
      <w:r w:rsidRPr="000D7D3D">
        <w:fldChar w:fldCharType="separate"/>
      </w:r>
      <w:r w:rsidRPr="000D7D3D">
        <w:rPr>
          <w:noProof/>
        </w:rPr>
        <w:t>(Štros et al., 2007)</w:t>
      </w:r>
      <w:r w:rsidRPr="000D7D3D">
        <w:fldChar w:fldCharType="end"/>
      </w:r>
      <w:r w:rsidRPr="000D7D3D">
        <w:t xml:space="preserve">. Besides, DNA ligase and DNA repair protein RAD50 have also </w:t>
      </w:r>
      <w:r w:rsidR="005A0474" w:rsidRPr="000D7D3D">
        <w:t>bee</w:t>
      </w:r>
      <w:r w:rsidR="005A0474">
        <w:t>n</w:t>
      </w:r>
      <w:r w:rsidR="005A0474" w:rsidRPr="000D7D3D">
        <w:t xml:space="preserve"> </w:t>
      </w:r>
      <w:r w:rsidRPr="000D7D3D">
        <w:t xml:space="preserve">identified and are known to be involved in DNA replication, DNA </w:t>
      </w:r>
      <w:r w:rsidRPr="000D7D3D">
        <w:lastRenderedPageBreak/>
        <w:t xml:space="preserve">recombination, and DNA repair </w:t>
      </w:r>
      <w:r w:rsidRPr="000D7D3D">
        <w:fldChar w:fldCharType="begin" w:fldLock="1"/>
      </w:r>
      <w:r w:rsidR="00EE33AB">
        <w:instrText>ADDIN CSL_CITATION {"citationItems":[{"id":"ITEM-1","itemData":{"DOI":"S0092-8674(00)80890-9 [pii]","ISBN":"0092-8674 (Print)\\r0092-8674 (Linking)","ISSN":"0092-8674","PMID":"10892749","abstract":"To clarify the key role of Rad50 in DNA double-strand break repair (DSBR), we biochemically and structurally characterized ATP-bound and ATP-free Rad50 catalytic domain (Rad50cd) from Pyrococcus furiosus. Rad50cd displays ATPase activity plus ATP-controlled dimerization and DNA binding activities. Rad50cd crystal structures identify probable protein and DNA interfaces and reveal an ABC-ATPase fold, linking Rad50 molecular mechanisms to ABC transporters, including P glycoprotein and cystic fibrosis transmembrane conductance regulator. Binding of ATP gamma-phosphates to conserved signature motifs in two opposing Rad50cd molecules promotes dimerization that likely couples ATP hydrolysis to dimer dissociation and DNA release. These results, validated by mutations, suggest unified molecular mechanisms for ATP-driven cooperativity and allosteric control of ABC-ATPases in DSBR, membrane transport, and chromosome condensation by SMC proteins.","author":[{"dropping-particle":"","family":"Hopfner","given":"K P","non-dropping-particle":"","parse-names":false,"suffix":""},{"dropping-particle":"","family":"Karcher","given":"Annette","non-dropping-particle":"","parse-names":false,"suffix":""},{"dropping-particle":"","family":"Shin","given":"David S","non-dropping-particle":"","parse-names":false,"suffix":""},{"dropping-particle":"","family":"Craig","given":"Lisa","non-dropping-particle":"","parse-names":false,"suffix":""},{"dropping-particle":"","family":"Arthur","given":"L Matthew","non-dropping-particle":"","parse-names":false,"suffix":""},{"dropping-particle":"","family":"Carney","given":"James P","non-dropping-particle":"","parse-names":false,"suffix":""},{"dropping-particle":"","family":"Tainer","given":"John A","non-dropping-particle":"","parse-names":false,"suffix":""}],"container-title":"Cell","id":"ITEM-1","issue":"7","issued":{"date-parts":[["2000"]]},"page":"789-800","title":"Structural biology of Rad50 ATPase: ATP-driven conformational control in DNA double-strand break repair and the ABC-ATPase superfamily.","type":"article-journal","volume":"101"},"uris":["http://www.mendeley.com/documents/?uuid=3e5a9410-0d3b-48fa-90cd-e836fab515fd"]},{"id":"ITEM-2","itemData":{"ISSN":"0021-9258","PMID":"9603940","abstract":"The joining of single-stranded breaks in double-stranded DNA is an essential step in many important processes such as DNA replication, DNA repair, and genetic recombination. Several data implicate a role for DNA ligase I in DNA replication, probably coordinated by the action of other enzymes and proteins. Since both DNA polymerases delta and epsilon show multiple functions in different DNA transactions, we investigated the effect of DNA ligase I on various DNA synthesis events catalyzed by these two essential DNA polymerases. DNA ligase I inhibited replication factor C-independent DNA synthesis by polymerase delta. Our results suggest that the inhibition may be due to DNA ligase I interaction with proliferating cell nuclear antigen (PCNA) and not to a direct interaction with the DNA polymerase delta itself. Strand displacement activity by DNA polymerase delta was also affected by DNA ligase I. The DNA polymerase delta holoenzyme (composed of DNA polymerase delta, PCNA, and replication factor C) was inhibited in the same way as the DNA polymerase delta core, strengthening the hypothesis of a PCNA interaction. Contrary to DNA polymerase delta, DNA synthesis by DNA polymerase epsilon was stimulated by DNA ligase I in a PCNA-dependent manner. We conclude that DNA ligase I displays different influences on the two multipotent DNA polymerases delta and epsilon through PCNA. This might be of importance in the selective involvement in DNA transactions such as DNA replication and various mechanisms of DNA repair.","author":[{"dropping-particle":"","family":"Mossi","given":"Romina","non-dropping-particle":"","parse-names":false,"suffix":""},{"dropping-particle":"","family":"Ferrari","given":"Elena","non-dropping-particle":"","parse-names":false,"suffix":""},{"dropping-particle":"","family":"Hübscher","given":"Ulrich","non-dropping-particle":"","parse-names":false,"suffix":""}],"container-title":"Journal of Biological Chemistry","id":"ITEM-2","issue":"23","issued":{"date-parts":[["1998"]]},"page":"14322-30","title":"DNA ligase I selectively affects DNA synthesis by DNA polymerases delta and epsilon suggesting differential functions in DNA replication and repair.","type":"article-journal","volume":"273"},"uris":["http://www.mendeley.com/documents/?uuid=4af510e6-4334-4508-aa80-0831b4e7e897"]}],"mendeley":{"formattedCitation":"(Hopfner et al., 2000; Mossi et al., 1998)","plainTextFormattedCitation":"(Hopfner et al., 2000; Mossi et al., 1998)","previouslyFormattedCitation":"(Hopfner et al., 2000; Mossi et al., 1998)"},"properties":{"noteIndex":0},"schema":"https://github.com/citation-style-language/schema/raw/master/csl-citation.json"}</w:instrText>
      </w:r>
      <w:r w:rsidRPr="000D7D3D">
        <w:fldChar w:fldCharType="separate"/>
      </w:r>
      <w:r w:rsidRPr="000D7D3D">
        <w:rPr>
          <w:noProof/>
        </w:rPr>
        <w:t>(Hopfner et al., 2000; Mossi et al., 1998)</w:t>
      </w:r>
      <w:r w:rsidRPr="000D7D3D">
        <w:fldChar w:fldCharType="end"/>
      </w:r>
      <w:r w:rsidRPr="000D7D3D">
        <w:t xml:space="preserve">. The spindle pole body-associated protein SAD1 and the cell morphogenesis protein PAG1 are known to be involved in cell division and morphogenesis </w:t>
      </w:r>
      <w:r w:rsidRPr="000D7D3D">
        <w:fldChar w:fldCharType="begin" w:fldLock="1"/>
      </w:r>
      <w:r w:rsidR="00EE33AB">
        <w:instrText>ADDIN CSL_CITATION {"citationItems":[{"id":"ITEM-1","itemData":{"author":[{"dropping-particle":"","family":"Hagan","given":"I","non-dropping-particle":"","parse-names":false,"suffix":""},{"dropping-particle":"","family":"Yanagida","given":"M","non-dropping-particle":"","parse-names":false,"suffix":""}],"container-title":"The Journal of Cell Biology","id":"ITEM-1","issue":"4","issued":{"date-parts":[["1995"]]},"page":"1033-1047","title":"The Product of the Spindle Formation Gene sadl + Associates with the Fission Yeast Spindle Pole Body and Is Essential for Viability","type":"article-journal","volume":"129"},"uris":["http://www.mendeley.com/documents/?uuid=8718e531-f0d7-4665-a827-0b433209eb7f"]},{"id":"ITEM-2","itemData":{"DOI":"10.1091/mbc.01","ISBN":"1059-1524 (Print)\\r1059-1524 (Linking)","ISSN":"1059-1524","PMID":"12058078","author":[{"dropping-particle":"","family":"Du","given":"L","non-dropping-particle":"","parse-names":false,"suffix":""},{"dropping-particle":"","family":"Novick","given":"P","non-dropping-particle":"","parse-names":false,"suffix":""}],"container-title":"Molecular biology of the cell","id":"ITEM-2","issue":"6","issued":{"date-parts":[["2002"]]},"page":"503-514","title":"Pag1p, a Novel Protein Associated with Protein Kinase Cbk1p, Is Required for Cell Morphogenesis and Proliferation in Saccharomyces cerevisiae","type":"article-journal","volume":"13"},"uris":["http://www.mendeley.com/documents/?uuid=5cc74e30-c907-467f-a59c-8a8ee437ad02"]},{"id":"ITEM-3","itemData":{"DOI":"10.1016/j.cub.2012.02.042","ISBN":"1879-0445 (Electronic)\\r0960-9822 (Linking)","ISSN":"09609822","PMID":"22425159","abstract":"Background: Vigorous chromosome movements driven by cytoskeletal assemblies are a widely conserved feature of sexual differentiation to facilitate meiotic recombination. In fission yeast, this process involves the dramatic conversion of arrays of cytoplasmic microtubules (MTs), generated from multiple MT organizing centers (MTOCs), into a single radial MT (rMT) array associated with the spindle pole body (SPB), the major MTOC during meiotic prophase. The rMT is then dissolved upon the onset of meiosis I when a bipolar spindle emerges to conduct chromosome segregation. Structural features and molecular mechanisms that govern these dynamic MT rearrangements are poorly understood. Results: Electron tomography of the SPBs showed that the rMT emanates from a newly recognized amorphous structure, which we term the rMTOC. The rMTOC, which resides at the cytoplasmic side of the SPB, is highly enriched in γ-tubulin reminiscent of the pericentriolar material of higher eukaryotic centrosomes. Formation of the rMTOC depends on Hrs1/Mcp6, a meiosis-specific SPB component that is located at the rMTOC. At the onset of meiosis I, Hrs1/Mcp6 is subject to strict downregulation by both proteasome-dependent degradation and phosphorylation leading to complete inactivation of the rMTOC. This ensures rMT dissolution and bipolar spindle formation. Conclusions: Our study reveals the molecular basis for the transient generation of a novel MTOC, which triggers a program of MT rearrangement that is required for meiotic differentiation. © 2012 Elsevier Ltd.","author":[{"dropping-particle":"","family":"Funaya","given":"Charlotta","non-dropping-particle":"","parse-names":false,"suffix":""},{"dropping-particle":"","family":"Samarasinghe","given":"Shivanthi","non-dropping-particle":"","parse-names":false,"suffix":""},{"dropping-particle":"","family":"Pruggnaller","given":"Sabine","non-dropping-particle":"","parse-names":false,"suffix":""},{"dropping-particle":"","family":"Ohta","given":"Midori","non-dropping-particle":"","parse-names":false,"suffix":""},{"dropping-particle":"","family":"Connolly","given":"Yvonne","non-dropping-particle":"","parse-names":false,"suffix":""},{"dropping-particle":"","family":"Müller","given":"Jan","non-dropping-particle":"","parse-names":false,"suffix":""},{"dropping-particle":"","family":"Murakami","given":"Hiroshi","non-dropping-particle":"","parse-names":false,"suffix":""},{"dropping-particle":"","family":"Grallert","given":"Agnes","non-dropping-particle":"","parse-names":false,"suffix":""},{"dropping-particle":"","family":"Yamamoto","given":"Masayuki","non-dropping-particle":"","parse-names":false,"suffix":""},{"dropping-particle":"","family":"Smith","given":"Duncan","non-dropping-particle":"","parse-names":false,"suffix":""},{"dropping-particle":"","family":"Antony","given":"Claude","non-dropping-particle":"","parse-names":false,"suffix":""},{"dropping-particle":"","family":"Tanaka","given":"Kayoko","non-dropping-particle":"","parse-names":false,"suffix":""}],"container-title":"Current Biology","id":"ITEM-3","issue":"7","issued":{"date-parts":[["2012"]]},"page":"562-574","title":"Transient structure associated with the spindle pole body directs meiotic microtubule reorganization in S. Pombe","type":"article-journal","volume":"22"},"uris":["http://www.mendeley.com/documents/?uuid=a2f415ed-8c79-4d81-85db-c23a0faf08a1"]}],"mendeley":{"formattedCitation":"(Hagan and Yanagida, 1995; Du and Novick, 2002; Funaya et al., 2012)","plainTextFormattedCitation":"(Hagan and Yanagida, 1995; Du and Novick, 2002; Funaya et al., 2012)","previouslyFormattedCitation":"(Hagan and Yanagida, 1995; Du and Novick, 2002; Funaya et al., 2012)"},"properties":{"noteIndex":0},"schema":"https://github.com/citation-style-language/schema/raw/master/csl-citation.json"}</w:instrText>
      </w:r>
      <w:r w:rsidRPr="000D7D3D">
        <w:fldChar w:fldCharType="separate"/>
      </w:r>
      <w:r w:rsidRPr="000D7D3D">
        <w:rPr>
          <w:noProof/>
        </w:rPr>
        <w:t>(Hagan and Yanagida, 1995; Du and Novick, 2002; Funaya et al., 2012)</w:t>
      </w:r>
      <w:r w:rsidRPr="000D7D3D">
        <w:fldChar w:fldCharType="end"/>
      </w:r>
      <w:r w:rsidR="005A0474">
        <w:t>.</w:t>
      </w:r>
    </w:p>
    <w:p w14:paraId="37452AF1" w14:textId="0370819C" w:rsidR="000D7D3D" w:rsidRPr="000D7D3D" w:rsidRDefault="000D7D3D" w:rsidP="003F7054">
      <w:pPr>
        <w:ind w:firstLine="720"/>
      </w:pPr>
      <w:r w:rsidRPr="000D7D3D">
        <w:t xml:space="preserve">Multiple genes </w:t>
      </w:r>
      <w:r w:rsidR="005A0474">
        <w:t xml:space="preserve">encoding for putative proteins </w:t>
      </w:r>
      <w:r w:rsidRPr="000D7D3D">
        <w:t xml:space="preserve">involved in gene transcriptional regulation were found to be strongly upregulated, such as a ZF transcription factor, or proteins containing WD40 domain, F-box domain, ARM repeats or YTH domain </w:t>
      </w:r>
      <w:r w:rsidRPr="000D7D3D">
        <w:fldChar w:fldCharType="begin" w:fldLock="1"/>
      </w:r>
      <w:r w:rsidR="00EE33AB">
        <w:instrText>ADDIN CSL_CITATION {"citationItems":[{"id":"ITEM-1","itemData":{"DOI":"10.1007/s13238-011-1018-1","ISBN":"1323801110181","ISSN":"16748018","PMID":"21468892","abstract":"The WD40 domain exhibits a β-propeller architecture, often comprising seven blades. The WD40 domain is one of the most abundant domains and also among the top interacting domains in eukaryotic genomes. In this review, we will discuss the identification, definition and architecture of the WD40 domains. WD40 domain proteins are involved in a large variety of cellular processes, in which WD40 domains function as a protein-protein or protein-DNA interaction platform. WD40 domain mediates molecular recognition events mainly through the smaller top surface, but also through the bottom surface and sides. So far, no WD40 domain has been found to display enzymatic activity. We will also discuss the different binding modes exhibited by the large versatile family of WD40 domain proteins. In the last part of this review, we will discuss how post-translational modifications are recognized by WD40 domain proteins.","author":[{"dropping-particle":"","family":"Xu","given":"Chao","non-dropping-particle":"","parse-names":false,"suffix":""},{"dropping-particle":"","family":"Min","given":"Jinrong","non-dropping-particle":"","parse-names":false,"suffix":""}],"container-title":"Protein and Cell","id":"ITEM-1","issue":"3","issued":{"date-parts":[["2011"]]},"page":"202-214","title":"Structure and function of WD40 domain proteins","type":"article-journal","volume":"2"},"uris":["http://www.mendeley.com/documents/?uuid=c79df724-05f9-4e34-8965-7169b6c0f1a6"]},{"id":"ITEM-2","itemData":{"DOI":"10.1128/EC.00386-08","ISBN":"1535-9778","ISSN":"15359778","PMID":"19286981","author":[{"dropping-particle":"","family":"Jonkers","given":"Wilfried","non-dropping-particle":"","parse-names":false,"suffix":""},{"dropping-particle":"","family":"Rep","given":"Martijn","non-dropping-particle":"","parse-names":false,"suffix":""}],"container-title":"Eukaryotic Cell","id":"ITEM-2","issue":"5","issued":{"date-parts":[["2009"]]},"page":"677-695","title":"Lessons from fungal F-Box proteins","type":"article-journal","volume":"8"},"uris":["http://www.mendeley.com/documents/?uuid=7e9079b7-8241-4bbe-ae94-8138b2812753"]},{"id":"ITEM-3","itemData":{"DOI":"10.1016/j.tcb.2010.05.003","ISBN":"1879-3088 (Electronic)\\n0962-8924 (Linking)","ISSN":"09628924","PMID":"20688255","abstract":"Armadillo (ARM)-repeat proteins form a large family with diverse and fundamental functions in many eukaryotes. ARM-repeat proteins have largely been characterised in multicellular organisms and much is known about how a subset of these proteins function. The structure of ARM-repeats allows proteins containing them to be functionally very versatile. Are the ARM-repeat proteins in 'little creatures' as multifunctional as their better-studied relatives? The time is now right to start analysing ARM-repeat proteins in these new systems to better understand their cell biology. Here, we review recent advances in understanding the many cellular roles of both well-known and novel ARM-repeat proteins. © 2010 Elsevier Ltd.","author":[{"dropping-particle":"","family":"Tewari","given":"Rita","non-dropping-particle":"","parse-names":false,"suffix":""},{"dropping-particle":"","family":"Bailes","given":"Elizabeth","non-dropping-particle":"","parse-names":false,"suffix":""},{"dropping-particle":"","family":"Bunting","given":"Karen A.","non-dropping-particle":"","parse-names":false,"suffix":""},{"dropping-particle":"","family":"Coates","given":"Juliet C.","non-dropping-particle":"","parse-names":false,"suffix":""}],"container-title":"Trends in Cell Biology","id":"ITEM-3","issue":"8","issued":{"date-parts":[["2010"]]},"page":"470-481","publisher":"Elsevier Ltd","title":"Armadillo-repeat protein functions: Questions for little creatures","type":"article-journal","volume":"20"},"uris":["http://www.mendeley.com/documents/?uuid=8a15c6d1-21e8-4457-8241-5ec8884de84e"]},{"id":"ITEM-4","itemData":{"DOI":"10.1074/jbc.M110.104711","ISBN":"1083-351X (Electronic)\\r0021-9258 (Linking)","ISSN":"00219258","PMID":"20167602","abstract":"The YTH (YT521-B homology) domain was identified by sequence comparison and is found in 174 different proteins expressed in eukaryotes. It is characterized by 14 invariant residues within an alpha-helix/beta-sheet structure. Here we show that the YTH domain is a novel RNA binding domain that binds to a short, degenerated, single-stranded RNA sequence motif. The presence of the binding motif in alternative exons is necessary for YT521-B to directly influence splice site selection in vivo. Array analyses demonstrate that YT521-B predominantly regulates vertebrate-specific exons. An NMR titration experiment identified the binding surface for single-stranded RNA on the YTH domain. Structural analyses indicate that the YTH domain is related to the pseudouridine synthase and archaeosine transglycosylase (PUA) domain. Our data show that the YTH domain conveys RNA binding ability to a new class of proteins that are found in all eukaryotic organisms.","author":[{"dropping-particle":"","family":"Zhang","given":"Zhaiyi","non-dropping-particle":"","parse-names":false,"suffix":""},{"dropping-particle":"","family":"Theler","given":"Dominik","non-dropping-particle":"","parse-names":false,"suffix":""},{"dropping-particle":"","family":"Kaminska","given":"Katarzyna H.","non-dropping-particle":"","parse-names":false,"suffix":""},{"dropping-particle":"","family":"Hiller","given":"Michael","non-dropping-particle":"","parse-names":false,"suffix":""},{"dropping-particle":"","family":"La Grange","given":"Pierre","non-dropping-particle":"De","parse-names":false,"suffix":""},{"dropping-particle":"","family":"Pudimat","given":"Rainer","non-dropping-particle":"","parse-names":false,"suffix":""},{"dropping-particle":"","family":"Rafalska","given":"Ilona","non-dropping-particle":"","parse-names":false,"suffix":""},{"dropping-particle":"","family":"Heinrich","given":"Bettina","non-dropping-particle":"","parse-names":false,"suffix":""},{"dropping-particle":"","family":"Bujnick","given":"Janusz M.","non-dropping-particle":"","parse-names":false,"suffix":""},{"dropping-particle":"","family":"Allain","given":"Frédéric H T","non-dropping-particle":"","parse-names":false,"suffix":""},{"dropping-particle":"","family":"Stamm","given":"Stefan","non-dropping-particle":"","parse-names":false,"suffix":""}],"container-title":"Journal of Biological Chemistry","id":"ITEM-4","issue":"19","issued":{"date-parts":[["2010"]]},"page":"14701-14710","title":"The YTH domain is a novel RNA binding domain","type":"article-journal","volume":"285"},"uris":["http://www.mendeley.com/documents/?uuid=ed4bdbf6-3fc2-4a57-9632-b21d0de6905a"]}],"mendeley":{"formattedCitation":"(Xu and Min, 2011; Jonkers and Rep, 2009; Tewari et al., 2010; Zhang et al., 2010)","plainTextFormattedCitation":"(Xu and Min, 2011; Jonkers and Rep, 2009; Tewari et al., 2010; Zhang et al., 2010)","previouslyFormattedCitation":"(Xu and Min, 2011; Jonkers and Rep, 2009; Tewari et al., 2010; Zhang et al., 2010)"},"properties":{"noteIndex":0},"schema":"https://github.com/citation-style-language/schema/raw/master/csl-citation.json"}</w:instrText>
      </w:r>
      <w:r w:rsidRPr="000D7D3D">
        <w:fldChar w:fldCharType="separate"/>
      </w:r>
      <w:r w:rsidRPr="000D7D3D">
        <w:rPr>
          <w:noProof/>
        </w:rPr>
        <w:t>(Xu and Min, 2011; Jonkers and Rep, 2009; Tewari et al., 2010; Zhang et al., 2010)</w:t>
      </w:r>
      <w:r w:rsidRPr="000D7D3D">
        <w:fldChar w:fldCharType="end"/>
      </w:r>
      <w:r w:rsidRPr="000D7D3D">
        <w:t xml:space="preserve">. None of these transcripts were found to be upregulated in S </w:t>
      </w:r>
      <w:r w:rsidR="005A0474">
        <w:t xml:space="preserve">the </w:t>
      </w:r>
      <w:r w:rsidRPr="000D7D3D">
        <w:t>condition (Figure 5.4A, magenta annotation), indicating that</w:t>
      </w:r>
      <w:r w:rsidR="005A0474">
        <w:t xml:space="preserve"> they may act as </w:t>
      </w:r>
      <w:r w:rsidR="00FC0AF4">
        <w:t xml:space="preserve">positive </w:t>
      </w:r>
      <w:r w:rsidR="005A0474">
        <w:t>transcription</w:t>
      </w:r>
      <w:r w:rsidR="00FC0AF4">
        <w:t>al</w:t>
      </w:r>
      <w:r w:rsidR="005A0474">
        <w:t xml:space="preserve"> regulators</w:t>
      </w:r>
      <w:r w:rsidRPr="000D7D3D">
        <w:t xml:space="preserve"> of the </w:t>
      </w:r>
      <w:r w:rsidR="00FC0AF4">
        <w:t xml:space="preserve">HAP </w:t>
      </w:r>
      <w:r w:rsidRPr="000D7D3D">
        <w:t>weathering</w:t>
      </w:r>
      <w:r w:rsidR="00FC0AF4">
        <w:t xml:space="preserve"> response in NS condition only.</w:t>
      </w:r>
    </w:p>
    <w:p w14:paraId="738D2F46" w14:textId="31E3BF22" w:rsidR="000D7D3D" w:rsidRPr="000D7D3D" w:rsidRDefault="000D7D3D" w:rsidP="007F746A">
      <w:pPr>
        <w:ind w:firstLine="720"/>
      </w:pPr>
      <w:r w:rsidRPr="000D7D3D">
        <w:t>Gene encoding enzymes which are ultimately involved in N metabolism were also found to be upregulated, such as urease and dipeptidyl aminopeptidase. Interestingly, it has been shown that urease-positive fungi play a central role in the process of CaCO</w:t>
      </w:r>
      <w:r w:rsidRPr="000D7D3D">
        <w:rPr>
          <w:vertAlign w:val="subscript"/>
        </w:rPr>
        <w:t xml:space="preserve">3 </w:t>
      </w:r>
      <w:r w:rsidRPr="000D7D3D">
        <w:t xml:space="preserve">biomineralisation, via excreted urease by the fungal hyphae </w:t>
      </w:r>
      <w:r w:rsidRPr="000D7D3D">
        <w:fldChar w:fldCharType="begin" w:fldLock="1"/>
      </w:r>
      <w:r w:rsidR="00EE33AB">
        <w:instrText>ADDIN CSL_CITATION {"citationItems":[{"id":"ITEM-1","itemData":{"DOI":"10.1021/es5042546","ISBN":"0013-936X","ISSN":"15205851","abstract":"In this research, the urease-positive fungus Neurospora crassa was investigated for the biomineralization of calcium carbonate and its potential application in metal biorecovery and/or bioremediation. After 12 d incubation at 25 °C in urea and calcium-containing medium, extensive biomineralization of fungal filaments was observed. Energy dispersive X-ray analysis of crystalline precipitates on the hyphae of N. crassa showed that the main elements present in the crystals were Ca, C, and O. X-ray diffraction (XRD) of the precipitates showed they were composed solely of calcite (CaCO3) and over 90% Ca could be removed from the media by the fungal biomass and associated calcite precipitation. To further investigate biologically induced metal carbonate biomineralization, CdCl2 was contacted with supernatants of N. crassa obtained after growth in urea-containing medium. XRD showed that the Cd2+ was precipitated as pure otavite (CdCO3) with a particle size range of 55 to 870 nm, and approximately 1.5% having nanoscale dimensions. These results provide direct experimental evidence for the precipitation of metal carbonates such as calcite and otavite based on biologically induced mineralization, and suggest that urease-positive fungi may play a potential role in the synthesis of novel biominerals and in metal bioremediation or biorecovery.","author":[{"dropping-particle":"","family":"Li","given":"Qianwei","non-dropping-particle":"","parse-names":false,"suffix":""},{"dropping-particle":"","family":"Csetenyi","given":"Laszlo","non-dropping-particle":"","parse-names":false,"suffix":""},{"dropping-particle":"","family":"Gadd","given":"Geoffrey Michael","non-dropping-particle":"","parse-names":false,"suffix":""}],"container-title":"Environmental Science and Technology","id":"ITEM-1","issue":"24","issued":{"date-parts":[["2014"]]},"page":"14409-14416","title":"Biomineralization of metal carbonates by Neurospora crassa","type":"article-journal","volume":"48"},"uris":["http://www.mendeley.com/documents/?uuid=cc5f86db-8b6b-4ffc-a258-88b368d2d6a2"]}],"mendeley":{"formattedCitation":"(Li et al., 2014)","plainTextFormattedCitation":"(Li et al., 2014)","previouslyFormattedCitation":"(Li et al., 2014)"},"properties":{"noteIndex":0},"schema":"https://github.com/citation-style-language/schema/raw/master/csl-citation.json"}</w:instrText>
      </w:r>
      <w:r w:rsidRPr="000D7D3D">
        <w:fldChar w:fldCharType="separate"/>
      </w:r>
      <w:r w:rsidRPr="000D7D3D">
        <w:rPr>
          <w:noProof/>
        </w:rPr>
        <w:t>(Li et al., 2014)</w:t>
      </w:r>
      <w:r w:rsidRPr="000D7D3D">
        <w:fldChar w:fldCharType="end"/>
      </w:r>
      <w:r w:rsidRPr="000D7D3D">
        <w:t xml:space="preserve">. Although there is not any direct evidence to connect </w:t>
      </w:r>
      <w:r w:rsidR="000D3914" w:rsidRPr="000D7D3D">
        <w:t xml:space="preserve">urease </w:t>
      </w:r>
      <w:r w:rsidRPr="000D7D3D">
        <w:t xml:space="preserve">activity with mineral weathering, it is well known that </w:t>
      </w:r>
      <w:r w:rsidRPr="000D7D3D">
        <w:rPr>
          <w:i/>
        </w:rPr>
        <w:t>P. involutus</w:t>
      </w:r>
      <w:r w:rsidRPr="000D7D3D">
        <w:t xml:space="preserve"> excretes extracellular peptidases which are involved in organic N utilisation </w:t>
      </w:r>
      <w:r w:rsidRPr="000D7D3D">
        <w:fldChar w:fldCharType="begin" w:fldLock="1"/>
      </w:r>
      <w:r w:rsidR="00EE33AB">
        <w:instrText>ADDIN CSL_CITATION {"citationItems":[{"id":"ITEM-1","itemData":{"DOI":"10.1111/nph.12425","ISSN":"1469-8137","PMID":"23902518","abstract":"Proteins contribute to a major part of the organic nitrogen (N) in forest soils. This N is mobilized and becomes available to trees as a result of the depolymerizing activities of symbiotic ectomycorrhizal fungi. The mechanisms by which these fungi depolymerize proteins and assimilate the released N are poorly characterized. Biochemical analysis and transcriptome profiling were performed to examine the proteolytic machinery and the uptake system of the ectomycorrhizal basidiomycete Paxillus involutus during the assimilation of organic N from various protein sources and extracts of organic matter. All substrates induced secretion of peptidase activity with an acidic pH optimum, mostly contributed by aspartic peptidases. The peptidase activity was transiently repressed by ammonium. Transcriptional analysis revealed a large number of extracellular endo- and exopeptidases. The expression levels of these peptidases were regulated in parallel with transporters and enzymes involved in the assimilation and metabolism of the released peptides and amino acids. For the first time the molecular components of the protein degradation pathways of an ectomycorrhizal fungus are described. The data suggest that the transcripts encoding these components are regulated in response to the chemical properties and the availability of the protein substrates.","author":[{"dropping-particle":"","family":"Shah","given":"Firoz","non-dropping-particle":"","parse-names":false,"suffix":""},{"dropping-particle":"","family":"Rineau","given":"Francois","non-dropping-particle":"","parse-names":false,"suffix":""},{"dropping-particle":"","family":"Canbäck","given":"Björn","non-dropping-particle":"","parse-names":false,"suffix":""},{"dropping-particle":"","family":"Johansson","given":"Tomas","non-dropping-particle":"","parse-names":false,"suffix":""},{"dropping-particle":"","family":"Tunlid","given":"Anders","non-dropping-particle":"","parse-names":false,"suffix":""}],"container-title":"The New phytologist","id":"ITEM-1","issue":"3","issued":{"date-parts":[["2013","11"]]},"page":"875-87","title":"The molecular components of the extracellular protein-degradation pathways of the ectomycorrhizal fungus Paxillus involutus.","type":"article-journal","volume":"200"},"uris":["http://www.mendeley.com/documents/?uuid=e1a44d9f-143c-4b2d-9a31-ac74518e671c"]}],"mendeley":{"formattedCitation":"(Shah et al., 2013)","plainTextFormattedCitation":"(Shah et al., 2013)","previouslyFormattedCitation":"(Shah et al., 2013)"},"properties":{"noteIndex":0},"schema":"https://github.com/citation-style-language/schema/raw/master/csl-citation.json"}</w:instrText>
      </w:r>
      <w:r w:rsidRPr="000D7D3D">
        <w:fldChar w:fldCharType="separate"/>
      </w:r>
      <w:r w:rsidRPr="000D7D3D">
        <w:rPr>
          <w:noProof/>
        </w:rPr>
        <w:t>(Shah et al., 2013)</w:t>
      </w:r>
      <w:r w:rsidRPr="000D7D3D">
        <w:fldChar w:fldCharType="end"/>
      </w:r>
      <w:r w:rsidR="003825B5">
        <w:t xml:space="preserve">. However, this gene </w:t>
      </w:r>
      <w:r w:rsidRPr="000D7D3D">
        <w:t>may encode for a protein which may be involved</w:t>
      </w:r>
      <w:r w:rsidR="000D3914">
        <w:t xml:space="preserve"> in HAP solubilisation instead.</w:t>
      </w:r>
    </w:p>
    <w:p w14:paraId="0A5B7476" w14:textId="253FD94F" w:rsidR="000D7D3D" w:rsidRPr="000D7D3D" w:rsidRDefault="000D7D3D" w:rsidP="00FB36B8">
      <w:pPr>
        <w:ind w:firstLine="720"/>
      </w:pPr>
      <w:r w:rsidRPr="000D7D3D">
        <w:t xml:space="preserve">Interestingly, genes </w:t>
      </w:r>
      <w:r w:rsidR="000D3914">
        <w:t xml:space="preserve">encoding for putative proteins </w:t>
      </w:r>
      <w:r w:rsidRPr="000D7D3D">
        <w:t xml:space="preserve">involved in Ca transport </w:t>
      </w:r>
      <w:r w:rsidR="000D3914">
        <w:t>have</w:t>
      </w:r>
      <w:r w:rsidRPr="000D7D3D">
        <w:t xml:space="preserve"> also </w:t>
      </w:r>
      <w:r w:rsidR="000D3914">
        <w:t xml:space="preserve">been </w:t>
      </w:r>
      <w:r w:rsidRPr="000D7D3D">
        <w:t xml:space="preserve">found to be upregulated, such as Ca-transporting ATPases and the Ca-permeable stress-gated channel 1 (CSC1), indicating the uptake of Ca </w:t>
      </w:r>
      <w:r w:rsidR="000D3914">
        <w:t xml:space="preserve">ions </w:t>
      </w:r>
      <w:r w:rsidRPr="000D7D3D">
        <w:t xml:space="preserve">by the fungal hyphae as a response to HAP solubilisation. Despite not a direct evidence, it has been shown that Ca uptake which derives after </w:t>
      </w:r>
      <w:r w:rsidR="000D3914" w:rsidRPr="000D7D3D">
        <w:t>CaCO</w:t>
      </w:r>
      <w:r w:rsidR="000D3914" w:rsidRPr="000D7D3D">
        <w:rPr>
          <w:vertAlign w:val="subscript"/>
        </w:rPr>
        <w:t>3</w:t>
      </w:r>
      <w:r w:rsidRPr="000D7D3D">
        <w:t xml:space="preserve"> weathering by endolithic cyanobacteria operates by Ca-transporting ATPases </w:t>
      </w:r>
      <w:r w:rsidRPr="000D7D3D">
        <w:fldChar w:fldCharType="begin" w:fldLock="1"/>
      </w:r>
      <w:r w:rsidR="00EE33AB">
        <w:instrText>ADDIN CSL_CITATION {"citationItems":[{"id":"ITEM-1","itemData":{"DOI":"10.1073/pnas.1011884108","ISBN":"0027-8424","ISSN":"0027-8424","PMID":"21115827","abstract":"Some microbes, among them a few species of cyanobacteria, are able to excavate carbonate minerals, from limestone to biogenic carbonates, including coral reefs, in a bioerosive activity that directly links biological and geological parts of the global carbon cycle. The physiological mechanisms that enable such endolithic cyanobacteria to bore, however, remain unknown. In fact, their boring constitutes a geochemical paradox, in that photoautotrophic metabolism will tend to precipitate carbonates, not dissolve them. We developed a stable microbe/mineral boring system based on a cyanobacterial isolate, strain BC008, with which to study the process of microbial excavation directly in the laboratory. Measurements of boring into calcite under different light regimes, and an analysis of photopigment content and photosynthetic rates along boring filaments, helped us reject mechanisms based on the spatial or temporal separation of alkali versus Acid-generating metabolism (i.e., photosynthesis and respiration). Instead, extracellular Ca(2+) imaging of boring cultures in vivo showed that BC008 was able to take up Ca(2+) at the excavation front, decreasing the local extracellular ion activity product of calcium carbonate enough to promote spontaneous dissolution there. Intracellular Ca(2+) was then transported away along the multicellular cyanobacterial trichomes and excreted at the distal borehole opening into the external medium. Inhibition assays and gene expression analyses indicate that the uptake and transport was driven by P-type Ca(2+)-ATPases. We believe such a chemically simple and biologically sophisticated mechanism for boring to be unparalleled among bacteria.","author":[{"dropping-particle":"","family":"Garcia-Pichel","given":"F.","non-dropping-particle":"","parse-names":false,"suffix":""},{"dropping-particle":"","family":"Ramirez-Reinat","given":"E.","non-dropping-particle":"","parse-names":false,"suffix":""},{"dropping-particle":"","family":"Gao","given":"Q.","non-dropping-particle":"","parse-names":false,"suffix":""}],"container-title":"Proceedings of the National Academy of Sciences","id":"ITEM-1","issue":"50","issued":{"date-parts":[["2010"]]},"page":"21749-21754","title":"Microbial excavation of solid carbonates powered by P-type ATPase-mediated transcellular Ca2+ transport","type":"article-journal","volume":"107"},"uris":["http://www.mendeley.com/documents/?uuid=e8a798e1-c20b-4e2c-a053-5c17a17a4794"]}],"mendeley":{"formattedCitation":"(Garcia-Pichel et al., 2010)","plainTextFormattedCitation":"(Garcia-Pichel et al., 2010)","previouslyFormattedCitation":"(Garcia-Pichel et al., 2010)"},"properties":{"noteIndex":0},"schema":"https://github.com/citation-style-language/schema/raw/master/csl-citation.json"}</w:instrText>
      </w:r>
      <w:r w:rsidRPr="000D7D3D">
        <w:fldChar w:fldCharType="separate"/>
      </w:r>
      <w:r w:rsidRPr="000D7D3D">
        <w:rPr>
          <w:noProof/>
        </w:rPr>
        <w:t>(Garcia-Pichel et al., 2010)</w:t>
      </w:r>
      <w:r w:rsidRPr="000D7D3D">
        <w:fldChar w:fldCharType="end"/>
      </w:r>
      <w:r w:rsidRPr="000D7D3D">
        <w:t>. In Arabidopsis, CSC1 is permeable to Ca</w:t>
      </w:r>
      <w:r w:rsidR="000D3914">
        <w:rPr>
          <w:vertAlign w:val="superscript"/>
        </w:rPr>
        <w:t xml:space="preserve"> </w:t>
      </w:r>
      <w:r w:rsidRPr="000D7D3D">
        <w:t xml:space="preserve">and </w:t>
      </w:r>
      <w:r w:rsidR="000D3914">
        <w:t xml:space="preserve">is </w:t>
      </w:r>
      <w:r w:rsidRPr="000D7D3D">
        <w:t>gated in response to various environmental signals, primarily hyperosmotic stress. This evidence is consistent with the idea that when excess Ca</w:t>
      </w:r>
      <w:r w:rsidR="000D3914">
        <w:rPr>
          <w:vertAlign w:val="superscript"/>
        </w:rPr>
        <w:t xml:space="preserve"> </w:t>
      </w:r>
      <w:r w:rsidR="000D3914">
        <w:t>ions</w:t>
      </w:r>
      <w:r w:rsidRPr="000D7D3D">
        <w:t xml:space="preserve"> </w:t>
      </w:r>
      <w:r w:rsidR="000D3914">
        <w:t>are</w:t>
      </w:r>
      <w:r w:rsidRPr="000D7D3D">
        <w:t xml:space="preserve"> accumulated within the cell then CSC1 operates as to maintain physiological Ca</w:t>
      </w:r>
      <w:r w:rsidR="000D3914">
        <w:rPr>
          <w:vertAlign w:val="superscript"/>
        </w:rPr>
        <w:t xml:space="preserve"> </w:t>
      </w:r>
      <w:r w:rsidRPr="000D7D3D">
        <w:t xml:space="preserve">levels </w:t>
      </w:r>
      <w:r w:rsidRPr="000D7D3D">
        <w:fldChar w:fldCharType="begin" w:fldLock="1"/>
      </w:r>
      <w:r w:rsidR="00EE33AB">
        <w:instrText>ADDIN CSL_CITATION {"citationItems":[{"id":"ITEM-1","itemData":{"DOI":"10.1038/cr.2014.14","ISBN":"1748-7838 (Electronic)\\r1001-0602 (Linking)","ISSN":"17487838","PMID":"24503647","abstract":"Supplementary information available for this article at http://www.nature.com/cr/journal/v24/n5/suppinfo/cr201414s1.html","author":[{"dropping-particle":"","family":"Hou","given":"Congcong","non-dropping-particle":"","parse-names":false,"suffix":""},{"dropping-particle":"","family":"Tian","given":"Wang","non-dropping-particle":"","parse-names":false,"suffix":""},{"dropping-particle":"","family":"Kleist","given":"Thomas","non-dropping-particle":"","parse-names":false,"suffix":""},{"dropping-particle":"","family":"He","given":"Kai","non-dropping-particle":"","parse-names":false,"suffix":""},{"dropping-particle":"","family":"Garcia","given":"Veder","non-dropping-particle":"","parse-names":false,"suffix":""},{"dropping-particle":"","family":"Bai","given":"Fenglin","non-dropping-particle":"","parse-names":false,"suffix":""},{"dropping-particle":"","family":"Hao","given":"Yanli","non-dropping-particle":"","parse-names":false,"suffix":""},{"dropping-particle":"","family":"Luan","given":"Sheng","non-dropping-particle":"","parse-names":false,"suffix":""},{"dropping-particle":"","family":"Li","given":"Legong","non-dropping-particle":"","parse-names":false,"suffix":""}],"container-title":"Cell Research","id":"ITEM-1","issue":"5","issued":{"date-parts":[["2014"]]},"page":"632-635","title":"DUF221 proteins are a family of osmosensitive calcium-permeable cation channels conserved across eukaryotes","type":"article-journal","volume":"24"},"uris":["http://www.mendeley.com/documents/?uuid=a3b00306-ef78-41dd-8241-431dc88fbc32"]}],"mendeley":{"formattedCitation":"(Hou et al., 2014)","plainTextFormattedCitation":"(Hou et al., 2014)","previouslyFormattedCitation":"(Hou et al., 2014)"},"properties":{"noteIndex":0},"schema":"https://github.com/citation-style-language/schema/raw/master/csl-citation.json"}</w:instrText>
      </w:r>
      <w:r w:rsidRPr="000D7D3D">
        <w:fldChar w:fldCharType="separate"/>
      </w:r>
      <w:r w:rsidRPr="000D7D3D">
        <w:rPr>
          <w:noProof/>
        </w:rPr>
        <w:t>(Hou et al., 2014)</w:t>
      </w:r>
      <w:r w:rsidRPr="000D7D3D">
        <w:fldChar w:fldCharType="end"/>
      </w:r>
      <w:r w:rsidRPr="000D7D3D">
        <w:t>.</w:t>
      </w:r>
    </w:p>
    <w:p w14:paraId="718F9939" w14:textId="267B8C91" w:rsidR="000D7D3D" w:rsidRPr="000D7D3D" w:rsidRDefault="000D7D3D" w:rsidP="00FB36B8">
      <w:pPr>
        <w:ind w:firstLine="720"/>
      </w:pPr>
      <w:r w:rsidRPr="000D7D3D">
        <w:lastRenderedPageBreak/>
        <w:t xml:space="preserve">Several genes encoding </w:t>
      </w:r>
      <w:r w:rsidR="00407DE1">
        <w:t xml:space="preserve">for </w:t>
      </w:r>
      <w:r w:rsidRPr="000D7D3D">
        <w:t xml:space="preserve">putative redox enzymes were upregulated in response to HAP+ in NS condition, such as </w:t>
      </w:r>
      <w:r w:rsidR="00407DE1">
        <w:t xml:space="preserve">a </w:t>
      </w:r>
      <w:r w:rsidRPr="000D7D3D">
        <w:t xml:space="preserve">NADPH oxidase and </w:t>
      </w:r>
      <w:r w:rsidR="00407DE1">
        <w:t xml:space="preserve">a </w:t>
      </w:r>
      <w:r w:rsidRPr="000D7D3D">
        <w:t xml:space="preserve">NADH-ubiquinone oxidoreductase. Interestingly, it has been previously shown that oxidoreductase activity-associated genes are upregulated in response to </w:t>
      </w:r>
      <w:r w:rsidR="00407DE1">
        <w:t>K</w:t>
      </w:r>
      <w:r w:rsidR="00853DF8" w:rsidRPr="000D7D3D">
        <w:t xml:space="preserve"> </w:t>
      </w:r>
      <w:r w:rsidRPr="000D7D3D">
        <w:t xml:space="preserve">feldspar’s weathering by </w:t>
      </w:r>
      <w:r w:rsidRPr="000D7D3D">
        <w:rPr>
          <w:i/>
        </w:rPr>
        <w:t xml:space="preserve">A. niger </w:t>
      </w:r>
      <w:r w:rsidRPr="000D7D3D">
        <w:rPr>
          <w:i/>
        </w:rPr>
        <w:fldChar w:fldCharType="begin" w:fldLock="1"/>
      </w:r>
      <w:r w:rsidR="00EE33AB">
        <w:rPr>
          <w:i/>
        </w:rPr>
        <w:instrText>ADDIN CSL_CITATION {"citationItems":[{"id":"ITEM-1","itemData":{"DOI":"10.1080/01490451.2014.991812","ISBN":"0149-0451","ISSN":"15210529","abstract":"Microbial transformation of potassium feldspar to produce organic composite potassium fertilizer is recognized to be an important method of effective use of the huge reserves of low grade K+-bearing rock in China. The mechanism underlying microbial weathering of silicate minerals is still unclear, and this is an obstacle to practical methods of application. To thoroughly understand the molecular mechanism responsible for the weathering of potassium feldspar by Aspergillus niger at a molecular level, high-throughput RNA-sequencing (RNA-seq) and treatment with different potassium sources (cultured in Czapek medium with soluble K+ or potassium feldspar) were used to investigate the differentially expressed genes of A. niger associated with potassium feldspar weathering and the related metabolic pathways. A series of differentially expressed genes related to the synthesis and transportation of organic acids, polysaccharides, and proteins (enzymes) were found to be closely associated with the K+ released from minerals through bioinformatic analysis. In addition, 12 genes that showed apparent expression differences by RNA-seq analysis and are relevant to organic acid synthesis, protein modification, maintenance of cellular homeostasis, and material transportation, were selected to be further verified using RT-qPCR. Compared to the fungal samples cultured with soluble K+, those with potassium feldspar have certain genes that are more up-regulated, such as the genes for Na+,K+-ATPase (447.6 multiples), cystathionine beta-synthase (5.6 multiples), cysteine synthase (9 multiples), and glutathione synthase (3.5 multiples). The analysis indicates that A. niger weathering of potassium feldspar is due to the synergistic effect of many factors including the up-regulation of certain genes and activation of related metabolite pathways. The research improves our understanding of the mechanisms of microbial weathering of silicate minerals.","author":[{"dropping-particle":"","family":"Wang","given":"Weiying","non-dropping-particle":"","parse-names":false,"suffix":""},{"dropping-particle":"","family":"Lian","given":"Bin","non-dropping-particle":"","parse-names":false,"suffix":""},{"dropping-particle":"","family":"Pan","given":"Ling","non-dropping-particle":"","parse-names":false,"suffix":""}],"container-title":"Geomicrobiology Journal","id":"ITEM-1","issue":"8","issued":{"date-parts":[["2015"]]},"page":"689-700","title":"An RNA-Sequencing Study of the Genes and Metabolic Pathways Involved in Aspergillus niger Weathering of Potassium Feldspar","type":"article-journal","volume":"32"},"uris":["http://www.mendeley.com/documents/?uuid=fe1aa69e-8355-41f5-b0bb-77f1c600160f"]}],"mendeley":{"formattedCitation":"(Wang et al., 2015)","plainTextFormattedCitation":"(Wang et al., 2015)","previouslyFormattedCitation":"(Wang et al., 2015)"},"properties":{"noteIndex":0},"schema":"https://github.com/citation-style-language/schema/raw/master/csl-citation.json"}</w:instrText>
      </w:r>
      <w:r w:rsidRPr="000D7D3D">
        <w:rPr>
          <w:i/>
        </w:rPr>
        <w:fldChar w:fldCharType="separate"/>
      </w:r>
      <w:r w:rsidRPr="000D7D3D">
        <w:rPr>
          <w:noProof/>
        </w:rPr>
        <w:t>(Wang et al., 2015)</w:t>
      </w:r>
      <w:r w:rsidRPr="000D7D3D">
        <w:rPr>
          <w:i/>
        </w:rPr>
        <w:fldChar w:fldCharType="end"/>
      </w:r>
      <w:r w:rsidRPr="000D7D3D">
        <w:t>. Besides, oxidoreductases are very likely to be involved in amino acids and organic acid metabolism reactions, where organic acids are further involved in the solubilisation of HAP.</w:t>
      </w:r>
    </w:p>
    <w:p w14:paraId="2CF60F0D" w14:textId="7213F058" w:rsidR="000D7D3D" w:rsidRPr="000D7D3D" w:rsidRDefault="000D7D3D" w:rsidP="007C3C15">
      <w:pPr>
        <w:ind w:firstLine="720"/>
      </w:pPr>
      <w:r w:rsidRPr="000D7D3D">
        <w:t xml:space="preserve">Many putative transporter encoding genes are also upregulated in response to HAP such as </w:t>
      </w:r>
      <w:r w:rsidR="00407DE1">
        <w:t xml:space="preserve">a </w:t>
      </w:r>
      <w:r w:rsidRPr="000D7D3D">
        <w:t xml:space="preserve">MATE efflux pump, </w:t>
      </w:r>
      <w:r w:rsidR="00407DE1">
        <w:t>a</w:t>
      </w:r>
      <w:r w:rsidR="00B05C54">
        <w:t>n</w:t>
      </w:r>
      <w:r w:rsidR="00407DE1">
        <w:t xml:space="preserve"> </w:t>
      </w:r>
      <w:r w:rsidRPr="000D7D3D">
        <w:t xml:space="preserve">MFS polyamine transporter and </w:t>
      </w:r>
      <w:r w:rsidR="00407DE1">
        <w:t xml:space="preserve">the </w:t>
      </w:r>
      <w:r w:rsidRPr="000D7D3D">
        <w:t>Mg transporter ALR1. The MATE efflux pump gene is the second most significantly upregulated gene and may</w:t>
      </w:r>
      <w:r w:rsidR="00B05C54">
        <w:t xml:space="preserve"> </w:t>
      </w:r>
      <w:r w:rsidRPr="000D7D3D">
        <w:t xml:space="preserve">be involved in the efflux of compounds actively involved in </w:t>
      </w:r>
      <w:r w:rsidR="00407DE1">
        <w:t xml:space="preserve">HAP </w:t>
      </w:r>
      <w:r w:rsidRPr="000D7D3D">
        <w:t xml:space="preserve">weathering, such as organic acids. MATE </w:t>
      </w:r>
      <w:r w:rsidR="00407DE1">
        <w:t xml:space="preserve">transporters </w:t>
      </w:r>
      <w:r w:rsidRPr="000D7D3D">
        <w:t xml:space="preserve">are secondary </w:t>
      </w:r>
      <w:r w:rsidR="00407DE1">
        <w:t>carriers</w:t>
      </w:r>
      <w:r w:rsidRPr="000D7D3D">
        <w:t xml:space="preserve"> which have been shown to mediate the extrusion of several potentially toxic compounds such as cationic drugs and organic compounds </w:t>
      </w:r>
      <w:r w:rsidRPr="000D7D3D">
        <w:fldChar w:fldCharType="begin" w:fldLock="1"/>
      </w:r>
      <w:r w:rsidR="00EE33AB">
        <w:instrText>ADDIN CSL_CITATION {"citationItems":[{"id":"ITEM-1","itemData":{"DOI":"10.1016/j.tips.2006.09.001","ISBN":"0165-6147","ISSN":"01656147","PMID":"16996621","abstract":"Multidrug and toxic compound extrusion (MATE) proteins, comprising the most recently designated family of multidrug transporter proteins, are widely distributed in all kingdoms of living organisms, although their function is far from understood. The bacterial MATE-type transporters that have been characterized function as exporters of cationic drugs, such as norfloxacin and ethidium, through H+ or Na+ exchange. Plant MATE-type transporters are involved in the detoxification of secondary metabolites, including alkaloids. Mammalian MATE-type transporters are responsible for the final step in the excretion of metabolic waste and xenobiotic organic cations in the kidney and liver through electroneutral exchange of H+. Thus, we propose that members of the MATE family are organic cation exporters that excrete metabolic or xenobiotic organic cations from the body. ?? 2006 Elsevier Ltd. All rights reserved.","author":[{"dropping-particle":"","family":"Omote","given":"Hiroshi","non-dropping-particle":"","parse-names":false,"suffix":""},{"dropping-particle":"","family":"Hiasa","given":"Miki","non-dropping-particle":"","parse-names":false,"suffix":""},{"dropping-particle":"","family":"Matsumoto","given":"Takuya","non-dropping-particle":"","parse-names":false,"suffix":""},{"dropping-particle":"","family":"Otsuka","given":"Masato","non-dropping-particle":"","parse-names":false,"suffix":""},{"dropping-particle":"","family":"Moriyama","given":"Yoshinori","non-dropping-particle":"","parse-names":false,"suffix":""}],"container-title":"Trends in Pharmacological Sciences","id":"ITEM-1","issue":"11","issued":{"date-parts":[["2006"]]},"page":"587-593","title":"The MATE proteins as fundamental transporters of metabolic and xenobiotic organic cations","type":"article-journal","volume":"27"},"uris":["http://www.mendeley.com/documents/?uuid=572a2673-0c99-4f53-a8ab-660bf1201a26"]}],"mendeley":{"formattedCitation":"(Omote et al., 2006)","plainTextFormattedCitation":"(Omote et al., 2006)","previouslyFormattedCitation":"(Omote et al., 2006)"},"properties":{"noteIndex":0},"schema":"https://github.com/citation-style-language/schema/raw/master/csl-citation.json"}</w:instrText>
      </w:r>
      <w:r w:rsidRPr="000D7D3D">
        <w:fldChar w:fldCharType="separate"/>
      </w:r>
      <w:r w:rsidRPr="000D7D3D">
        <w:rPr>
          <w:noProof/>
        </w:rPr>
        <w:t>(Omote et al., 2006)</w:t>
      </w:r>
      <w:r w:rsidRPr="000D7D3D">
        <w:fldChar w:fldCharType="end"/>
      </w:r>
      <w:r w:rsidRPr="000D7D3D">
        <w:t xml:space="preserve">. On the other hand, the synthesis and final transport out of the cell of organic acids, which are toxic for the cell </w:t>
      </w:r>
      <w:r w:rsidR="00544DD9">
        <w:t>due to their</w:t>
      </w:r>
      <w:r w:rsidRPr="000D7D3D">
        <w:t xml:space="preserve"> acidity and chelating activity</w:t>
      </w:r>
      <w:r w:rsidR="009F5DBC">
        <w:t xml:space="preserve"> </w:t>
      </w:r>
      <w:r w:rsidR="007C3C15">
        <w:fldChar w:fldCharType="begin" w:fldLock="1"/>
      </w:r>
      <w:r w:rsidR="00EE33AB">
        <w:instrText>ADDIN CSL_CITATION {"citationItems":[{"id":"ITEM-1","itemData":{"DOI":"https://doi.org/10.1016/j.fbr.2014.05.001","ISSN":"1749-4613","author":[{"dropping-particle":"","family":"Gadd","given":"Geoffrey Michael","non-dropping-particle":"","parse-names":false,"suffix":""},{"dropping-particle":"","family":"Bahri-Esfahani","given":"Jaleh","non-dropping-particle":"","parse-names":false,"suffix":""},{"dropping-particle":"","family":"Li","given":"Qianwei","non-dropping-particle":"","parse-names":false,"suffix":""},{"dropping-particle":"","family":"Rhee","given":"Young Joon","non-dropping-particle":"","parse-names":false,"suffix":""},{"dropping-particle":"","family":"Wei","given":"Zhan","non-dropping-particle":"","parse-names":false,"suffix":""},{"dropping-particle":"","family":"Fomina","given":"Marina","non-dropping-particle":"","parse-names":false,"suffix":""},{"dropping-particle":"","family":"Liang","given":"Xinjin","non-dropping-particle":"","parse-names":false,"suffix":""}],"container-title":"Fungal Biology Reviews","id":"ITEM-1","issue":"2","issued":{"date-parts":[["2014"]]},"page":"36-55","title":"Oxalate production by fungi: significance in geomycology, biodeterioration and bioremediation","type":"article-journal","volume":"28"},"uris":["http://www.mendeley.com/documents/?uuid=175ec618-f4cf-43f6-870e-31cd14149a5d"]}],"mendeley":{"formattedCitation":"(Gadd et al., 2014)","plainTextFormattedCitation":"(Gadd et al., 2014)","previouslyFormattedCitation":"(Gadd et al., 2014)"},"properties":{"noteIndex":0},"schema":"https://github.com/citation-style-language/schema/raw/master/csl-citation.json"}</w:instrText>
      </w:r>
      <w:r w:rsidR="007C3C15">
        <w:fldChar w:fldCharType="separate"/>
      </w:r>
      <w:r w:rsidR="007C3C15" w:rsidRPr="007C3C15">
        <w:rPr>
          <w:noProof/>
        </w:rPr>
        <w:t>(Gadd et al., 2014)</w:t>
      </w:r>
      <w:r w:rsidR="007C3C15">
        <w:fldChar w:fldCharType="end"/>
      </w:r>
      <w:r w:rsidR="00B05C54">
        <w:t>, may operate in a vesicle-</w:t>
      </w:r>
      <w:r w:rsidRPr="000D7D3D">
        <w:t xml:space="preserve">mediated manner. The upregulation of </w:t>
      </w:r>
      <w:r w:rsidR="00544DD9">
        <w:t xml:space="preserve">genes encoding for a putative </w:t>
      </w:r>
      <w:r w:rsidRPr="000D7D3D">
        <w:t>AAA</w:t>
      </w:r>
      <w:r w:rsidRPr="000D7D3D">
        <w:rPr>
          <w:vertAlign w:val="superscript"/>
        </w:rPr>
        <w:t>+</w:t>
      </w:r>
      <w:r w:rsidRPr="000D7D3D">
        <w:t xml:space="preserve">-type ATPase and </w:t>
      </w:r>
      <w:r w:rsidR="00544DD9">
        <w:t xml:space="preserve">a </w:t>
      </w:r>
      <w:r w:rsidRPr="000D7D3D">
        <w:t>RGP1 domain-con</w:t>
      </w:r>
      <w:r w:rsidR="00544DD9">
        <w:t xml:space="preserve">taining protein may support an </w:t>
      </w:r>
      <w:r w:rsidRPr="000D7D3D">
        <w:t>intracellular transport mechanism of organic acids, since AAA</w:t>
      </w:r>
      <w:r w:rsidRPr="000D7D3D">
        <w:rPr>
          <w:vertAlign w:val="superscript"/>
        </w:rPr>
        <w:t>+</w:t>
      </w:r>
      <w:r w:rsidRPr="000D7D3D">
        <w:t xml:space="preserve">-type ATPase and RGP1 domain-containing proteins are involved in vesicular mediated transport in fungi </w:t>
      </w:r>
      <w:r w:rsidRPr="000D7D3D">
        <w:fldChar w:fldCharType="begin" w:fldLock="1"/>
      </w:r>
      <w:r w:rsidR="00EE33AB">
        <w:instrText>ADDIN CSL_CITATION {"citationItems":[{"id":"ITEM-1","itemData":{"DOI":"10.1111/j.1600-0854.2007.00642.x","ISBN":"1398-9219 (Print)\\r1398-9219 (Linking)","ISSN":"13989219","PMID":"17897320","abstract":"AAA+ adenosine triphosphatases (ATPases) are molecular machines that perform a wide variety of cellular functions. For instance, they can act in vesicle transport, organelle assembly, membrane dynamics and protein unfolding. In most cases, the ATPase domains of these proteins assemble into active ring-shaped hexamers. As AAA+ proteins have a common structure, a central issue is determining how they use conserved mechanistic principles to accomplish specific biological actions. Here, we review the features and motifs that partially define AAA+ domains, describe the cellular activities mediated by selected AAA+ proteins and discuss the recent work, suggesting that various AAA+ machines with very different activities employ a common core mechanism. The importance of this mechanism to human health is demonstrated by the number of genetic diseases caused by mutant AAA+ proteins.","author":[{"dropping-particle":"","family":"White","given":"Susan Roehl","non-dropping-particle":"","parse-names":false,"suffix":""},{"dropping-particle":"","family":"Lauring","given":"Brett","non-dropping-particle":"","parse-names":false,"suffix":""}],"container-title":"Traffic","id":"ITEM-1","issue":"12","issued":{"date-parts":[["2007"]]},"page":"1657-1667","title":"AAA+ ATPases: Achieving diversity of function with conserved machinery","type":"article-journal","volume":"8"},"uris":["http://www.mendeley.com/documents/?uuid=9edbc70e-c042-46e1-8780-c8a28e650f59"]},{"id":"ITEM-2","itemData":{"DOI":"10.1074/jbc.M112.414565","ISBN":"1083-351X (Electronic)\\r0021-9258 (Linking)","ISSN":"00219258","PMID":"23091056","abstract":"Rab GTPases are master regulators of membrane trafficking events and template the directionality of protein transport through the secretory and endocytic pathways. Certain Rabs recruit the guanine nucleotide exchange factor (GEF) that activates a subsequent acting Rab protein in a given pathway; this process has been termed a Rab cascade. We show here that the medial Golgi-localized Rab33B GTPase has the potential to link functionally to the late Golgi, Rab6 GTPase, by its capacity for association with Ric1 and Rgp1 proteins. In yeast, Ric1p and Rgp1p form a complex that catalyzes guanine nucleotide exchange by Ypt6p, the Rab6 homolog. Human Ric1 and Rgp1 both bind Rab6A with preference for the GDP-bound conformation, characteristic of a GEF. Nevertheless, both Ric1 and Rgp1 proteins are needed to catalyze nucleotide exchange on Rab6A protein. Ric1 and Rgp1 form a complex, but unlike their yeast counterparts, most of the subunits are not associated, and most of the proteins are cytosolic. Loss of Ric1 or Rgp1 leads to destabilization of Rab6, concomitant with a block in Rab6-dependent retrograde transport of mannose 6-phosphate receptors to the Golgi. The C terminus of Ric1 protein contains a distinct binding site for Rab33B-GTP, supporting the existence of a Rab cascade between the medial and trans Golgi. This study thus identifies a GEF for Rab6A in human cells.","author":[{"dropping-particle":"V.","family":"Pusapati","given":"Ganesh","non-dropping-particle":"","parse-names":false,"suffix":""},{"dropping-particle":"","family":"Luchetti","given":"Giovanni","non-dropping-particle":"","parse-names":false,"suffix":""},{"dropping-particle":"","family":"Pfeffer","given":"Suzanne R.","non-dropping-particle":"","parse-names":false,"suffix":""}],"container-title":"Journal of Biological Chemistry","id":"ITEM-2","issue":"50","issued":{"date-parts":[["2012"]]},"page":"42129-42137","title":"Ric1-Rgp1 complex is a guanine nucleotide exchange factor for the late Golgi Rab6A GTPase and an effector of the medial Golgi Rab33B GTPase","type":"article-journal","volume":"287"},"uris":["http://www.mendeley.com/documents/?uuid=c61ed5a7-48a7-4d28-829b-a5f70a27b8d2"]}],"mendeley":{"formattedCitation":"(White and Lauring, 2007; Pusapati et al., 2012)","plainTextFormattedCitation":"(White and Lauring, 2007; Pusapati et al., 2012)","previouslyFormattedCitation":"(White and Lauring, 2007; Pusapati et al., 2012)"},"properties":{"noteIndex":0},"schema":"https://github.com/citation-style-language/schema/raw/master/csl-citation.json"}</w:instrText>
      </w:r>
      <w:r w:rsidRPr="000D7D3D">
        <w:fldChar w:fldCharType="separate"/>
      </w:r>
      <w:r w:rsidRPr="000D7D3D">
        <w:rPr>
          <w:noProof/>
        </w:rPr>
        <w:t>(White and Lauring, 2007; Pusapati et al., 2012)</w:t>
      </w:r>
      <w:r w:rsidRPr="000D7D3D">
        <w:fldChar w:fldCharType="end"/>
      </w:r>
      <w:r w:rsidRPr="000D7D3D">
        <w:t>.</w:t>
      </w:r>
    </w:p>
    <w:p w14:paraId="76AC3C90" w14:textId="06203AEC" w:rsidR="000D7D3D" w:rsidRPr="000D7D3D" w:rsidRDefault="000D7D3D" w:rsidP="007C3C15">
      <w:pPr>
        <w:ind w:firstLine="720"/>
      </w:pPr>
      <w:r w:rsidRPr="000D7D3D">
        <w:t xml:space="preserve">Downregulated genes in </w:t>
      </w:r>
      <w:r w:rsidR="00B05C54">
        <w:t xml:space="preserve">the </w:t>
      </w:r>
      <w:r w:rsidRPr="000D7D3D">
        <w:t xml:space="preserve">presence of </w:t>
      </w:r>
      <w:r w:rsidR="00F17073">
        <w:t xml:space="preserve">HAP </w:t>
      </w:r>
      <w:r w:rsidR="00B05C54">
        <w:t>in NS condition</w:t>
      </w:r>
      <w:r w:rsidRPr="000D7D3D">
        <w:t xml:space="preserve">, include </w:t>
      </w:r>
      <w:r w:rsidR="00544DD9">
        <w:t>genes encoding for putative components of primary metabolism, such as a</w:t>
      </w:r>
      <w:r w:rsidRPr="000D7D3D">
        <w:t xml:space="preserve"> </w:t>
      </w:r>
      <w:r w:rsidR="00F17073">
        <w:t>c</w:t>
      </w:r>
      <w:r w:rsidRPr="000D7D3D">
        <w:t xml:space="preserve">ytochrome-c oxidase (complex IV) and two </w:t>
      </w:r>
      <w:r w:rsidR="00F17073">
        <w:t>c</w:t>
      </w:r>
      <w:r w:rsidR="00F17073" w:rsidRPr="000D7D3D">
        <w:t>ytochrome</w:t>
      </w:r>
      <w:r w:rsidRPr="000D7D3D">
        <w:t>-c reductase</w:t>
      </w:r>
      <w:r w:rsidR="00544DD9">
        <w:t>s</w:t>
      </w:r>
      <w:r w:rsidRPr="000D7D3D">
        <w:t xml:space="preserve"> (Complex III), indicating reduced respiration, or subunits E and H of </w:t>
      </w:r>
      <w:r w:rsidR="00544DD9">
        <w:t xml:space="preserve">the </w:t>
      </w:r>
      <w:r w:rsidRPr="000D7D3D">
        <w:t xml:space="preserve">ATP synthase (Figure 5.4B). As complex III is responsible for reactive oxygen species (ROS) production in eukaryotic cells </w:t>
      </w:r>
      <w:r w:rsidRPr="000D7D3D">
        <w:fldChar w:fldCharType="begin" w:fldLock="1"/>
      </w:r>
      <w:r w:rsidR="00EE33AB">
        <w:instrText>ADDIN CSL_CITATION {"citationItems":[{"id":"ITEM-1","itemData":{"DOI":"10.1074/jbc.M803236200","ISSN":"00219258","PMID":"18522938","abstract":"Production of reactive oxygen species (ROS) by the mitochondrial respiratory chain is considered to be one of the major causes of degenerative processes associated with oxidative stress. Mitochondrial ROS has also been shown to be involved in cellular signaling. It is generally assumed that ubisemiquinone formed at the ubiquinol oxidation center of the cytochrome bc(1) complex is one of two sources of electrons for superoxide formation in mitochondria. Here we show that superoxide formation at the ubiquinol oxidation center of the membrane-bound or purified cytochrome bc(1) complex is stimulated by the presence of oxidized ubiquinone indicating that in a reverse reaction the electron is transferred onto oxygen from reduced cytochrome b(L) via ubiquinone rather than during the forward ubiquinone cycle reaction. In fact, from mechanistic studies it seems unlikely that during normal catalysis the ubisemiquinone intermediate reaches significant occupancies at the ubiquinol oxidation site. We conclude that cytochrome bc(1) complex-linked ROS production is primarily promoted by a partially oxidized rather than by a fully reduced ubiquinone pool. The resulting mechanism of ROS production offers a straightforward explanation of how the redox state of the ubiquinone pool could play a central role in mitochondrial redox signaling.","author":[{"dropping-particle":"","family":"Dröse","given":"Stefan","non-dropping-particle":"","parse-names":false,"suffix":""},{"dropping-particle":"","family":"Brandt","given":"Ulrich","non-dropping-particle":"","parse-names":false,"suffix":""}],"container-title":"Journal of Biological Chemistry","id":"ITEM-1","issue":"31","issued":{"date-parts":[["2008"]]},"page":"21649-21654","title":"The mechanism of mitochondrial superoxide production by the cytochrome bc1 Complex","type":"article-journal","volume":"283"},"uris":["http://www.mendeley.com/documents/?uuid=6a7f2d1b-d6d7-4615-b08e-7537ded3276f"]}],"mendeley":{"formattedCitation":"(Dröse and Brandt, 2008)","plainTextFormattedCitation":"(Dröse and Brandt, 2008)","previouslyFormattedCitation":"(Dröse and Brandt, 2008)"},"properties":{"noteIndex":0},"schema":"https://github.com/citation-style-language/schema/raw/master/csl-citation.json"}</w:instrText>
      </w:r>
      <w:r w:rsidRPr="000D7D3D">
        <w:fldChar w:fldCharType="separate"/>
      </w:r>
      <w:r w:rsidRPr="000D7D3D">
        <w:rPr>
          <w:noProof/>
        </w:rPr>
        <w:t>(Dröse and Brandt, 2008)</w:t>
      </w:r>
      <w:r w:rsidRPr="000D7D3D">
        <w:fldChar w:fldCharType="end"/>
      </w:r>
      <w:r w:rsidRPr="000D7D3D">
        <w:t xml:space="preserve">, downregulation of </w:t>
      </w:r>
      <w:r w:rsidR="00544DD9">
        <w:t>c</w:t>
      </w:r>
      <w:r w:rsidR="00544DD9" w:rsidRPr="000D7D3D">
        <w:t>ytochrome-c reductase</w:t>
      </w:r>
      <w:r w:rsidR="00544DD9">
        <w:t>s</w:t>
      </w:r>
      <w:r w:rsidRPr="000D7D3D">
        <w:t xml:space="preserve"> in </w:t>
      </w:r>
      <w:r w:rsidR="00B05C54">
        <w:t xml:space="preserve">the </w:t>
      </w:r>
      <w:r w:rsidRPr="000D7D3D">
        <w:t xml:space="preserve">presence of </w:t>
      </w:r>
      <w:r w:rsidR="00F17073">
        <w:t>HAP</w:t>
      </w:r>
      <w:r w:rsidR="00F17073" w:rsidRPr="000D7D3D">
        <w:t xml:space="preserve"> </w:t>
      </w:r>
      <w:r w:rsidRPr="000D7D3D">
        <w:t xml:space="preserve">may result in lower accumulation of radical species during weathering. Indeed, one putative glutathione peroxidase (GPX2) involved in hydrogen peroxide scavenging was also found to be downregulated in HAP+ in NS condition, as well as a putative ROS-dependant thioredoxin, potentially involved in redox signalling (Figure 5.4B). Additionally, genes </w:t>
      </w:r>
      <w:r w:rsidRPr="000D7D3D">
        <w:lastRenderedPageBreak/>
        <w:t xml:space="preserve">encoding three putative glutathione S-transferases were downregulated (Figure 5.4B), providing indirect evidence of a potential change in the cytosolic redox state of </w:t>
      </w:r>
      <w:r w:rsidRPr="000D7D3D">
        <w:rPr>
          <w:i/>
        </w:rPr>
        <w:t xml:space="preserve">P. involutus </w:t>
      </w:r>
      <w:r w:rsidRPr="000D7D3D">
        <w:t xml:space="preserve">during </w:t>
      </w:r>
      <w:r w:rsidR="00F17073">
        <w:t>HAP</w:t>
      </w:r>
      <w:r w:rsidR="00F17073" w:rsidRPr="000D7D3D">
        <w:t xml:space="preserve"> </w:t>
      </w:r>
      <w:r w:rsidRPr="000D7D3D">
        <w:t>weathering in NS condition.</w:t>
      </w:r>
    </w:p>
    <w:p w14:paraId="489C4E28" w14:textId="56FE980F" w:rsidR="000D7D3D" w:rsidRPr="000D7D3D" w:rsidRDefault="000D7D3D" w:rsidP="007C3C15">
      <w:pPr>
        <w:ind w:firstLine="720"/>
      </w:pPr>
      <w:r w:rsidRPr="000D7D3D">
        <w:t xml:space="preserve">Multiple components of carbohydrate and fatty acid biosynthesis were </w:t>
      </w:r>
      <w:r w:rsidR="00544DD9">
        <w:t xml:space="preserve">also </w:t>
      </w:r>
      <w:r w:rsidRPr="000D7D3D">
        <w:t xml:space="preserve">downregulated during </w:t>
      </w:r>
      <w:r w:rsidR="00F17073">
        <w:t>HAP</w:t>
      </w:r>
      <w:r w:rsidR="00F17073" w:rsidRPr="000D7D3D">
        <w:t xml:space="preserve"> </w:t>
      </w:r>
      <w:r w:rsidRPr="000D7D3D">
        <w:t xml:space="preserve">weathering by </w:t>
      </w:r>
      <w:r w:rsidRPr="000D7D3D">
        <w:rPr>
          <w:i/>
        </w:rPr>
        <w:t>P. involutus</w:t>
      </w:r>
      <w:r w:rsidR="00544DD9">
        <w:t xml:space="preserve"> in NS conditions (</w:t>
      </w:r>
      <w:r w:rsidRPr="000D7D3D">
        <w:t xml:space="preserve">Figure 5.4B). Interestingly, both carbohydrate metabolism components and the cytochrome-c oxidase gene were upregulated in a previous study on feldspar mineral weathering by </w:t>
      </w:r>
      <w:r w:rsidRPr="000D7D3D">
        <w:rPr>
          <w:i/>
        </w:rPr>
        <w:t>A. fumigatus</w:t>
      </w:r>
      <w:r w:rsidRPr="000D7D3D">
        <w:t xml:space="preserve"> </w:t>
      </w:r>
      <w:r w:rsidRPr="000D7D3D">
        <w:fldChar w:fldCharType="begin" w:fldLock="1"/>
      </w:r>
      <w:r w:rsidR="00EE33AB">
        <w:instrText>ADDIN CSL_CITATION {"citationItems":[{"id":"ITEM-1","itemData":{"DOI":"10.1016/j.chemgeo.2012.02.014","ISBN":"0009-2541","ISSN":"00092541","abstract":"In order to determine the mechanisms by which fungi weather potassium-bearing minerals on a molecular level, we prepared differential expression cDNA libraries of Aspergillus fumigatus using suppression subtractive hybridization (SSH) technology. The specimens were cultured with and without potassium-bearing minerals. Among genes that were upregulated by the presence of these minerals, 24% were found to be involved in carbon source consumption. Of downregulated genes, 54% were found to code for membrane proteins. This study showed that the factors that could accelerate weathering of K-bearing minerals involved organic acids, carbonic acid, and redox participant molecules. K-bearing minerals were found to upregulate the expression of carbonic anhydrase (CA), implying that A. fumigatus was capable of converting CO 2 into carbonate to accelerate the weathering of potassium-bearing minerals, which fixed CO 2. During mineral weathering, the fungus changed its metabolism, produced more metal-binding proteins, and reduced membrane metal transporter expression, which can modulate ion absorption and disposal and promote acid production. The results of this study may improve our understanding of the mechanisms by which microorganisms weather silicate minerals. Because silicate weathering consumes CO 2, the current study provides molecular evidence for the participation of microorganisms in silicate weathering and carbonate formation. © 2012 Elsevier B.V.","author":[{"dropping-particle":"","family":"Xiao","given":"Bo","non-dropping-particle":"","parse-names":false,"suffix":""},{"dropping-particle":"","family":"Lian","given":"Bin","non-dropping-particle":"","parse-names":false,"suffix":""},{"dropping-particle":"","family":"Sun","given":"Leilei","non-dropping-particle":"","parse-names":false,"suffix":""},{"dropping-particle":"","family":"Shao","given":"Weilan","non-dropping-particle":"","parse-names":false,"suffix":""}],"container-title":"Chemical Geology","id":"ITEM-1","issued":{"date-parts":[["2012"]]},"page":"1-9","publisher":"Elsevier B.V.","title":"Gene transcription response to weathering of K-bearing minerals by Aspergillus fumigatus","type":"article-journal","volume":"306-307"},"uris":["http://www.mendeley.com/documents/?uuid=dfd0d7fb-57a5-4c5b-8318-68d054ab1459"]}],"mendeley":{"formattedCitation":"(Xiao et al., 2012)","plainTextFormattedCitation":"(Xiao et al., 2012)","previouslyFormattedCitation":"(Xiao et al., 2012)"},"properties":{"noteIndex":0},"schema":"https://github.com/citation-style-language/schema/raw/master/csl-citation.json"}</w:instrText>
      </w:r>
      <w:r w:rsidRPr="000D7D3D">
        <w:fldChar w:fldCharType="separate"/>
      </w:r>
      <w:r w:rsidRPr="000D7D3D">
        <w:rPr>
          <w:noProof/>
        </w:rPr>
        <w:t>(Xiao et al., 2012)</w:t>
      </w:r>
      <w:r w:rsidRPr="000D7D3D">
        <w:fldChar w:fldCharType="end"/>
      </w:r>
      <w:r w:rsidRPr="000D7D3D">
        <w:t xml:space="preserve">, suggesting that different fungal species may employ different weathering mechanisms. Together, the downregulation of genes encoding respiration components, ATP synthesis subunits, redox regulators, carbohydrate metabolism and fatty acid biosynthesis indicate that, in </w:t>
      </w:r>
      <w:r w:rsidR="00F17073">
        <w:t>NS</w:t>
      </w:r>
      <w:r w:rsidR="00992966">
        <w:t xml:space="preserve"> condition</w:t>
      </w:r>
      <w:r w:rsidRPr="000D7D3D">
        <w:t xml:space="preserve">, </w:t>
      </w:r>
      <w:r w:rsidRPr="000D7D3D">
        <w:rPr>
          <w:i/>
        </w:rPr>
        <w:t>P. involutus</w:t>
      </w:r>
      <w:r w:rsidRPr="000D7D3D">
        <w:t xml:space="preserve"> profoundly alters its primary metabolism during </w:t>
      </w:r>
      <w:r w:rsidR="00F17073">
        <w:t>HAP</w:t>
      </w:r>
      <w:r w:rsidR="00F17073" w:rsidRPr="000D7D3D">
        <w:t xml:space="preserve"> </w:t>
      </w:r>
      <w:r w:rsidRPr="000D7D3D">
        <w:t>weathering.</w:t>
      </w:r>
    </w:p>
    <w:p w14:paraId="2F6F3976" w14:textId="3BC62EE4" w:rsidR="000D7D3D" w:rsidRPr="000D7D3D" w:rsidRDefault="00A470A8" w:rsidP="007C3C15">
      <w:pPr>
        <w:ind w:firstLine="720"/>
      </w:pPr>
      <w:r>
        <w:t>Notably, the high-</w:t>
      </w:r>
      <w:r w:rsidR="000D7D3D" w:rsidRPr="000D7D3D">
        <w:t>affinity transporter</w:t>
      </w:r>
      <w:r w:rsidR="00F17073">
        <w:t xml:space="preserve"> gene</w:t>
      </w:r>
      <w:r w:rsidR="000D7D3D" w:rsidRPr="000D7D3D">
        <w:t xml:space="preserve"> </w:t>
      </w:r>
      <w:r w:rsidR="000D7D3D" w:rsidRPr="00635993">
        <w:rPr>
          <w:i/>
        </w:rPr>
        <w:t>PiPT1</w:t>
      </w:r>
      <w:r w:rsidR="000D7D3D" w:rsidRPr="000D7D3D">
        <w:t xml:space="preserve"> was strongly downregulated in </w:t>
      </w:r>
      <w:r w:rsidR="00B05C54">
        <w:t xml:space="preserve">the </w:t>
      </w:r>
      <w:r w:rsidR="000D7D3D" w:rsidRPr="000D7D3D">
        <w:t xml:space="preserve">presence of </w:t>
      </w:r>
      <w:r w:rsidR="00F17073">
        <w:t>HAP</w:t>
      </w:r>
      <w:r w:rsidR="00F17073" w:rsidRPr="000D7D3D">
        <w:t xml:space="preserve"> </w:t>
      </w:r>
      <w:r w:rsidR="000D7D3D" w:rsidRPr="000D7D3D">
        <w:t xml:space="preserve">in NS conditions (Figure 5.4B), confirming previous </w:t>
      </w:r>
      <w:r w:rsidR="00416B56">
        <w:t>q</w:t>
      </w:r>
      <w:r w:rsidR="000D7D3D" w:rsidRPr="000D7D3D">
        <w:t>RT-PCR results (Chapter 4, Figure 4.8</w:t>
      </w:r>
      <w:r w:rsidR="00992966">
        <w:t>D</w:t>
      </w:r>
      <w:r w:rsidR="000D7D3D" w:rsidRPr="000D7D3D">
        <w:t xml:space="preserve">). As shown in previous chapters (Chapter 2 and Chapter 3), the </w:t>
      </w:r>
      <w:r w:rsidR="00992966">
        <w:t xml:space="preserve">gene </w:t>
      </w:r>
      <w:r w:rsidR="000D7D3D" w:rsidRPr="000D7D3D">
        <w:t xml:space="preserve">expression levels of this transporter are inversely proportional to the availability of Pi. The finding of downregulation of </w:t>
      </w:r>
      <w:r w:rsidR="000D7D3D" w:rsidRPr="00992966">
        <w:rPr>
          <w:i/>
        </w:rPr>
        <w:t>PiPT1</w:t>
      </w:r>
      <w:r w:rsidR="000D7D3D" w:rsidRPr="000D7D3D">
        <w:t xml:space="preserve"> in </w:t>
      </w:r>
      <w:r w:rsidR="00B05C54">
        <w:t xml:space="preserve">the </w:t>
      </w:r>
      <w:r w:rsidR="000D7D3D" w:rsidRPr="000D7D3D">
        <w:t xml:space="preserve">presence of </w:t>
      </w:r>
      <w:r w:rsidR="00416B56">
        <w:t>HAP</w:t>
      </w:r>
      <w:r w:rsidR="00416B56" w:rsidRPr="000D7D3D">
        <w:t xml:space="preserve"> </w:t>
      </w:r>
      <w:r w:rsidR="000D7D3D" w:rsidRPr="000D7D3D">
        <w:t xml:space="preserve">may be an indication of increased Pi </w:t>
      </w:r>
      <w:r w:rsidR="00992966">
        <w:t>that</w:t>
      </w:r>
      <w:r w:rsidR="000D7D3D" w:rsidRPr="000D7D3D">
        <w:t xml:space="preserve"> </w:t>
      </w:r>
      <w:r w:rsidR="00992966">
        <w:t xml:space="preserve">becomes available </w:t>
      </w:r>
      <w:r w:rsidR="00EF271B" w:rsidRPr="000D7D3D">
        <w:t xml:space="preserve">to </w:t>
      </w:r>
      <w:r w:rsidR="00EF271B">
        <w:t xml:space="preserve">the </w:t>
      </w:r>
      <w:r w:rsidR="00EF271B" w:rsidRPr="000D7D3D">
        <w:t>fungal hyphae</w:t>
      </w:r>
      <w:r w:rsidR="00EF271B">
        <w:t xml:space="preserve"> </w:t>
      </w:r>
      <w:r w:rsidR="00992966">
        <w:t>via</w:t>
      </w:r>
      <w:r w:rsidR="000D7D3D" w:rsidRPr="000D7D3D">
        <w:t xml:space="preserve"> </w:t>
      </w:r>
      <w:r w:rsidR="00992966">
        <w:t>HAP</w:t>
      </w:r>
      <w:r w:rsidR="00992966" w:rsidRPr="000D7D3D">
        <w:t xml:space="preserve"> </w:t>
      </w:r>
      <w:r w:rsidR="00992966">
        <w:t>weathering</w:t>
      </w:r>
      <w:r w:rsidR="000D7D3D" w:rsidRPr="000D7D3D">
        <w:t xml:space="preserve">. Similarly, a </w:t>
      </w:r>
      <w:r w:rsidR="00992966">
        <w:t xml:space="preserve">gene encoding for a </w:t>
      </w:r>
      <w:r w:rsidR="000D7D3D" w:rsidRPr="000D7D3D">
        <w:t xml:space="preserve">putative hydrolase protein from the haloacid dehydrogenase (HAD) superfamily was also found to be downregulated (Figure 5.4B). Proteins from this family have been shown to have phosphatase activities in Arabidopsis over a different range of substrates </w:t>
      </w:r>
      <w:r w:rsidR="000D7D3D" w:rsidRPr="000D7D3D">
        <w:fldChar w:fldCharType="begin" w:fldLock="1"/>
      </w:r>
      <w:r w:rsidR="00EE33AB">
        <w:instrText>ADDIN CSL_CITATION {"citationItems":[{"id":"ITEM-1","itemData":{"DOI":"10.1007/s00425-012-1809-5","ISSN":"00320935","PMID":"23179445","abstract":"This work presents the isolation and the biochemical characterization of the Arabidopsis thaliana gene AtSgpp. This gene shows homology with the Arabidopsis low molecular weight phosphatases AtGpp1 and AtGpp2 and the yeast counterpart GPP1 and GPP2, which have a high specificity for DL-glycerol-3-phosphate. In addition, it exhibits homology with DOG1 and DOG2 that dephosphorylate 2-deoxy-D-glucose-6-phosphate. Using a comparative genomic approach, we identified the AtSgpp gene as a conceptual translated haloacid dehalogenase-like hydrolase HAD protein. AtSgpp (locus tag At2g38740), encodes a protein with a predicted Mw of 26.7 kDa and a pI of 4.6. Its sequence motifs and expected structure revealed that AtSgpp belongs to the HAD hydrolases subfamily I, with the C1-type cap domain. In the presence of Mg(2+) ions, the enzyme has a phosphatase activity over a wide range of phosphosugars substrates (pH optima at 7.0 and K m in the range of 3.6-7.7 mM). AtSgpp promiscuity is preferentially detectable on D-ribose-5-phosphate, 2-deoxy-D-ribose-5-phosphate, 2-deoxy-D-glucose-6-phosphate, D-mannose-6-phosphate, D-fructose-1-phosphate, D-glucose-6-phosphate, DL-glycerol-3-phosphate, and D-fructose-6-phosphate, as substrates. AtSgpp is ubiquitously expressed throughout development in most plant organs, mainly in sepal and guard cell. Interestingly, expression is affected by abiotic and biotic stresses, being the greatest under Pi starvation and cyclopentenone oxylipins induction. Based on both, substrate lax specificity and gene expression, the physiological function of AtSgpp in housekeeping detoxification, modulation of sugar-phosphate balance and Pi homeostasis, is provisionally assigned.","author":[{"dropping-particle":"","family":"Caparrós-Martín","given":"José A.","non-dropping-particle":"","parse-names":false,"suffix":""},{"dropping-particle":"","family":"McCarthy-Suárez","given":"Iva","non-dropping-particle":"","parse-names":false,"suffix":""},{"dropping-particle":"","family":"Culiáñez-Macià","given":"Francisco A.","non-dropping-particle":"","parse-names":false,"suffix":""}],"container-title":"Planta","id":"ITEM-1","issue":"4","issued":{"date-parts":[["2013"]]},"page":"943-954","title":"HAD hydrolase function unveiled by substrate screening: Enzymatic characterization of Arabidopsis thaliana subclass I phosphosugar phosphatase AtSgpp","type":"article-journal","volume":"237"},"uris":["http://www.mendeley.com/documents/?uuid=0c838e13-b3d0-4935-9b84-a8e8e27a0b34"]}],"mendeley":{"formattedCitation":"(Caparrós-Martín et al., 2013)","plainTextFormattedCitation":"(Caparrós-Martín et al., 2013)","previouslyFormattedCitation":"(Caparrós-Martín et al., 2013)"},"properties":{"noteIndex":0},"schema":"https://github.com/citation-style-language/schema/raw/master/csl-citation.json"}</w:instrText>
      </w:r>
      <w:r w:rsidR="000D7D3D" w:rsidRPr="000D7D3D">
        <w:fldChar w:fldCharType="separate"/>
      </w:r>
      <w:r w:rsidR="000D7D3D" w:rsidRPr="000D7D3D">
        <w:rPr>
          <w:noProof/>
        </w:rPr>
        <w:t>(Caparrós-Martín et al., 2013)</w:t>
      </w:r>
      <w:r w:rsidR="000D7D3D" w:rsidRPr="000D7D3D">
        <w:fldChar w:fldCharType="end"/>
      </w:r>
      <w:r w:rsidR="000D7D3D" w:rsidRPr="000D7D3D">
        <w:t xml:space="preserve"> and, like </w:t>
      </w:r>
      <w:r w:rsidR="000D7D3D" w:rsidRPr="00992966">
        <w:rPr>
          <w:i/>
        </w:rPr>
        <w:t>PiPT1</w:t>
      </w:r>
      <w:r w:rsidR="000D7D3D" w:rsidRPr="000D7D3D">
        <w:t xml:space="preserve">, </w:t>
      </w:r>
      <w:r w:rsidR="00EF271B">
        <w:t xml:space="preserve">this gene </w:t>
      </w:r>
      <w:r w:rsidR="000D7D3D" w:rsidRPr="000D7D3D">
        <w:t xml:space="preserve">could be downregulated </w:t>
      </w:r>
      <w:r w:rsidR="00992966">
        <w:t xml:space="preserve">due to </w:t>
      </w:r>
      <w:r w:rsidR="00EF271B">
        <w:t xml:space="preserve">the </w:t>
      </w:r>
      <w:r w:rsidR="000D7D3D" w:rsidRPr="000D7D3D">
        <w:t>increase</w:t>
      </w:r>
      <w:r w:rsidR="00992966">
        <w:t xml:space="preserve">d </w:t>
      </w:r>
      <w:r w:rsidR="00992966" w:rsidRPr="000D7D3D">
        <w:t xml:space="preserve">Pi </w:t>
      </w:r>
      <w:r w:rsidR="00992966">
        <w:t>availability after</w:t>
      </w:r>
      <w:r w:rsidR="000D7D3D" w:rsidRPr="000D7D3D">
        <w:t xml:space="preserve"> fungal</w:t>
      </w:r>
      <w:r w:rsidR="00EF271B">
        <w:t>-driven</w:t>
      </w:r>
      <w:r w:rsidR="000D7D3D" w:rsidRPr="000D7D3D">
        <w:t xml:space="preserve"> </w:t>
      </w:r>
      <w:r w:rsidR="00EF271B">
        <w:t>HAP</w:t>
      </w:r>
      <w:r w:rsidR="00EF271B" w:rsidRPr="000D7D3D">
        <w:t xml:space="preserve"> </w:t>
      </w:r>
      <w:r w:rsidR="00EF271B">
        <w:t>weathering</w:t>
      </w:r>
      <w:r w:rsidR="000D7D3D" w:rsidRPr="000D7D3D">
        <w:t>.</w:t>
      </w:r>
    </w:p>
    <w:p w14:paraId="1F40BD1F" w14:textId="054E629A" w:rsidR="00B05C54" w:rsidRPr="000D7D3D" w:rsidRDefault="000D7D3D" w:rsidP="00634533">
      <w:pPr>
        <w:ind w:firstLine="720"/>
      </w:pPr>
      <w:r w:rsidRPr="000D7D3D">
        <w:t xml:space="preserve">Several genes encoding signalling proteins were also found to be downregulated, including one zinc-finger (ZF) transcription factor, one serine/threonine kinase and one small GTPase from the Ras superfamily. These proteins may act as negative regulators of the </w:t>
      </w:r>
      <w:r w:rsidR="00FC0AF4">
        <w:t xml:space="preserve">HAP </w:t>
      </w:r>
      <w:r w:rsidRPr="000D7D3D">
        <w:t>weathering process.</w:t>
      </w:r>
      <w:r w:rsidR="00634533">
        <w:br w:type="page"/>
      </w:r>
    </w:p>
    <w:p w14:paraId="33FEB977" w14:textId="0D5CD1C6" w:rsidR="000D7D3D" w:rsidRPr="000D7D3D" w:rsidRDefault="000D7D3D" w:rsidP="00635993">
      <w:pPr>
        <w:pStyle w:val="Heading2"/>
      </w:pPr>
      <w:bookmarkStart w:id="526" w:name="_Toc507604086"/>
      <w:bookmarkStart w:id="527" w:name="_Toc507604353"/>
      <w:bookmarkStart w:id="528" w:name="_Toc519017055"/>
      <w:bookmarkStart w:id="529" w:name="_Toc520837968"/>
      <w:r w:rsidRPr="000D7D3D">
        <w:lastRenderedPageBreak/>
        <w:t xml:space="preserve">5.4.3 </w:t>
      </w:r>
      <w:r w:rsidRPr="000D7D3D">
        <w:rPr>
          <w:i/>
        </w:rPr>
        <w:t>P. involutus</w:t>
      </w:r>
      <w:r w:rsidR="001C313B">
        <w:rPr>
          <w:i/>
        </w:rPr>
        <w:t xml:space="preserve"> DJR1</w:t>
      </w:r>
      <w:r w:rsidRPr="000D7D3D">
        <w:t xml:space="preserve"> gene transcriptional regulation of </w:t>
      </w:r>
      <w:r w:rsidR="00412326">
        <w:t>HAP</w:t>
      </w:r>
      <w:r w:rsidR="00412326" w:rsidRPr="000D7D3D">
        <w:t xml:space="preserve"> </w:t>
      </w:r>
      <w:r w:rsidRPr="000D7D3D">
        <w:t xml:space="preserve">weathering in </w:t>
      </w:r>
      <w:r w:rsidR="001C313B">
        <w:t>S condition</w:t>
      </w:r>
      <w:bookmarkEnd w:id="526"/>
      <w:bookmarkEnd w:id="527"/>
      <w:bookmarkEnd w:id="528"/>
      <w:bookmarkEnd w:id="529"/>
    </w:p>
    <w:p w14:paraId="40707EBB" w14:textId="62615070" w:rsidR="00740A62" w:rsidRDefault="00660D43" w:rsidP="003F7054">
      <w:r w:rsidRPr="000D7D3D">
        <w:t>M</w:t>
      </w:r>
      <w:r w:rsidR="000D7D3D" w:rsidRPr="000D7D3D">
        <w:t xml:space="preserve">any genes </w:t>
      </w:r>
      <w:r>
        <w:t xml:space="preserve">encoding for proteins </w:t>
      </w:r>
      <w:r w:rsidR="000D7D3D" w:rsidRPr="000D7D3D">
        <w:t xml:space="preserve">putatively involved in N and carbohydrate metabolism </w:t>
      </w:r>
      <w:r>
        <w:t>were</w:t>
      </w:r>
      <w:r w:rsidR="000D7D3D" w:rsidRPr="000D7D3D">
        <w:t xml:space="preserve"> upregulated </w:t>
      </w:r>
      <w:r>
        <w:t>i</w:t>
      </w:r>
      <w:r w:rsidRPr="000D7D3D">
        <w:t>n response to HAP</w:t>
      </w:r>
      <w:r>
        <w:t xml:space="preserve"> in S condition</w:t>
      </w:r>
      <w:r w:rsidRPr="000D7D3D">
        <w:t xml:space="preserve"> </w:t>
      </w:r>
      <w:r w:rsidR="000D7D3D" w:rsidRPr="000D7D3D">
        <w:t xml:space="preserve">(Figure 5.5A). This finding could be </w:t>
      </w:r>
      <w:r w:rsidR="00ED4501">
        <w:t>relevant</w:t>
      </w:r>
      <w:r w:rsidR="000D7D3D" w:rsidRPr="000D7D3D">
        <w:t xml:space="preserve"> to the nutrient exchange role of mycorrhizal symbiosis, since the fungal partner provides nutrients to the plant such N and P in exchange for photosynthetic sugars </w:t>
      </w:r>
      <w:r w:rsidR="000D7D3D" w:rsidRPr="000D7D3D">
        <w:fldChar w:fldCharType="begin" w:fldLock="1"/>
      </w:r>
      <w:r w:rsidR="00EE33AB">
        <w:instrText>ADDIN CSL_CITATION {"citationItems":[{"id":"ITEM-1","itemData":{"author":[{"dropping-particle":"","family":"Bücking","given":"Heike","non-dropping-particle":"","parse-names":false,"suffix":""},{"dropping-particle":"","family":"Liepold","given":"Elliot","non-dropping-particle":"","parse-names":false,"suffix":""},{"dropping-particle":"","family":"Ambilwade","given":"Prashant","non-dropping-particle":"","parse-names":false,"suffix":""}],"container-title":"Plant science","id":"ITEM-1","issued":{"date-parts":[["2012"]]},"title":"The Role of the Mycorrhizal Symbiosis in Nutrient Uptake of Plants and the Regulatory Mechanisms Underlying These Transport Processes","type":"chapter"},"uris":["http://www.mendeley.com/documents/?uuid=0c6aa680-4e0e-4c04-b6f1-660b5c7ca163"]}],"mendeley":{"formattedCitation":"(Bücking et al., 2012)","plainTextFormattedCitation":"(Bücking et al., 2012)","previouslyFormattedCitation":"(Bücking et al., 2012)"},"properties":{"noteIndex":0},"schema":"https://github.com/citation-style-language/schema/raw/master/csl-citation.json"}</w:instrText>
      </w:r>
      <w:r w:rsidR="000D7D3D" w:rsidRPr="000D7D3D">
        <w:fldChar w:fldCharType="separate"/>
      </w:r>
      <w:r w:rsidR="00FB4AFE" w:rsidRPr="00FB4AFE">
        <w:rPr>
          <w:noProof/>
        </w:rPr>
        <w:t>(Bücking et al., 2012)</w:t>
      </w:r>
      <w:r w:rsidR="000D7D3D" w:rsidRPr="000D7D3D">
        <w:fldChar w:fldCharType="end"/>
      </w:r>
      <w:r w:rsidR="000D7D3D" w:rsidRPr="000D7D3D">
        <w:t xml:space="preserve">. Upregulation of these genes in </w:t>
      </w:r>
      <w:r w:rsidR="009428AA">
        <w:t xml:space="preserve">the </w:t>
      </w:r>
      <w:r w:rsidR="000D7D3D" w:rsidRPr="000D7D3D">
        <w:t xml:space="preserve">presence of </w:t>
      </w:r>
      <w:r w:rsidR="00412326">
        <w:t>HAP</w:t>
      </w:r>
      <w:r w:rsidR="00412326" w:rsidRPr="000D7D3D">
        <w:t xml:space="preserve"> </w:t>
      </w:r>
      <w:r w:rsidR="000D7D3D" w:rsidRPr="000D7D3D">
        <w:t>could be explained by enhan</w:t>
      </w:r>
      <w:r w:rsidR="009428AA">
        <w:t xml:space="preserve">ced metabolism in the plant </w:t>
      </w:r>
      <w:r w:rsidR="000D7D3D" w:rsidRPr="000D7D3D">
        <w:t>or the fungus</w:t>
      </w:r>
      <w:r w:rsidR="00ED4501">
        <w:t>,</w:t>
      </w:r>
      <w:r w:rsidR="000D7D3D" w:rsidRPr="000D7D3D">
        <w:t xml:space="preserve"> deriving</w:t>
      </w:r>
      <w:r w:rsidR="00ED4501">
        <w:t xml:space="preserve"> from higher availability of Pi</w:t>
      </w:r>
      <w:r w:rsidR="000D7D3D" w:rsidRPr="000D7D3D">
        <w:t xml:space="preserve"> </w:t>
      </w:r>
      <w:r w:rsidR="00ED4501">
        <w:t>after</w:t>
      </w:r>
      <w:r w:rsidR="000D7D3D" w:rsidRPr="000D7D3D">
        <w:t xml:space="preserve"> </w:t>
      </w:r>
      <w:r w:rsidR="00ED4501">
        <w:t>HAP</w:t>
      </w:r>
      <w:r w:rsidR="00ED4501" w:rsidRPr="000D7D3D">
        <w:t xml:space="preserve"> </w:t>
      </w:r>
      <w:r w:rsidR="000D7D3D" w:rsidRPr="000D7D3D">
        <w:t>weathe</w:t>
      </w:r>
      <w:r w:rsidR="00ED4501">
        <w:t>ring</w:t>
      </w:r>
      <w:r w:rsidR="000D7D3D" w:rsidRPr="000D7D3D">
        <w:t xml:space="preserve">. </w:t>
      </w:r>
      <w:r w:rsidR="00ED4501">
        <w:t>Putative proteins</w:t>
      </w:r>
      <w:r w:rsidR="000D7D3D" w:rsidRPr="000D7D3D">
        <w:t xml:space="preserve"> involved in amino acids metabolism include </w:t>
      </w:r>
      <w:r w:rsidR="00ED4501">
        <w:t xml:space="preserve">a </w:t>
      </w:r>
      <w:r w:rsidR="000D7D3D" w:rsidRPr="000D7D3D">
        <w:t xml:space="preserve">beta-Ala-His dipeptidase, </w:t>
      </w:r>
      <w:r w:rsidR="00ED4501">
        <w:t xml:space="preserve">an alanine aminotransferase and two </w:t>
      </w:r>
      <w:r w:rsidR="000D7D3D" w:rsidRPr="000D7D3D">
        <w:t xml:space="preserve">aminoadipate reductases </w:t>
      </w:r>
      <w:r w:rsidR="000D7D3D" w:rsidRPr="000D7D3D">
        <w:fldChar w:fldCharType="begin" w:fldLock="1"/>
      </w:r>
      <w:r w:rsidR="00EE33AB">
        <w:instrText>ADDIN CSL_CITATION {"citationItems":[{"id":"ITEM-1","itemData":{"DOI":"10.1534/genetics.111.133306","ISBN":"0016-6731","ISSN":"00166731","PMID":"22419079","abstract":"Ever since the beginning of biochemical analysis, yeast has been a pioneering model for studying the regulation of eukaryotic metabolism. During the last three decades, the combination of powerful yeast genetics and genome-wide approaches has led to a more integrated view of metabolic regulation. Multiple layers of regulation, from suprapathway control to individual gene responses, have been discovered. Constitutive and dedicated systems that are critical in sensing of the intra- and extracellular environment have been identified, and there is a growing awareness of their involvement in the highly regulated intracellular compartmentalization of proteins and metabolites. This review focuses on recent developments in the field of amino acid, nucleotide, and phosphate metabolism and provides illustrative examples of how yeast cells combine a variety of mechanisms to achieve coordinated regulation of multiple metabolic pathways. Importantly, common schemes have emerged, which reveal mechanisms conserved among various pathways, such as those involved in metabolite sensing and transcriptional regulation by noncoding RNAs or by metabolic intermediates. Thanks to the remarkable sophistication offered by the yeast experimental system, a picture of the intimate connections between the metabolomic and the transcriptome is becoming clear.","author":[{"dropping-particle":"","family":"Ljungdahl","given":"Per O.","non-dropping-particle":"","parse-names":false,"suffix":""},{"dropping-particle":"","family":"Daignan-Fornier","given":"Bertrand","non-dropping-particle":"","parse-names":false,"suffix":""}],"container-title":"Genetics","id":"ITEM-1","issue":"3","issued":{"date-parts":[["2012"]]},"page":"885-929","title":"Regulation of amino acid, nucleotide, and phosphate metabolism in Saccharomyces cerevisiae","type":"article-journal","volume":"190"},"uris":["http://www.mendeley.com/documents/?uuid=867db953-a3a2-4aca-befd-577867e0f322"]},{"id":"ITEM-2","itemData":{"author":[{"dropping-particle":"","family":"Chalot","given":"M","non-dropping-particle":"","parse-names":false,"suffix":""},{"dropping-particle":"","family":"Finlay","given":"R D.","non-dropping-particle":"","parse-names":false,"suffix":""},{"dropping-particle":"","family":"Ek","given":"H","non-dropping-particle":"","parse-names":false,"suffix":""},{"dropping-particle":"","family":"Soderstrom","given":"B","non-dropping-particle":"","parse-names":false,"suffix":""}],"container-title":"Experimental Mycology","id":"ITEM-2","issued":{"date-parts":[["1995"]]},"page":"297-304","title":"Metabolism of [15N]Alanine in the Ectomycorrhizal Fungus Paxillus involutus","type":"article-journal","volume":"19"},"uris":["http://www.mendeley.com/documents/?uuid=d80864bc-1f64-410c-9d72-7db2251aaa9a"]},{"id":"ITEM-3","itemData":{"DOI":"10.1385/CBB:46:1:43","ISBN":"1085-9195","ISSN":"1085-9195","PMID":"16943623","abstract":"This review provides a description of the biochemistry and enzymology of the alpha-aminoadipate pathway for lysine biosynthesis in fungi. The alpha-aminoadipate pathway is unique to fungi and is thus a potential target for the rational design of antifungal drugs. The present state of knowledge of the mechanisms of the seven enzymes in the pathway is presented, as well as detailed information with respect to structures and mechanisms of homocitrate synthase, saccharopine reductase, and saccharopine dehydrogenase.","author":[{"dropping-particle":"","family":"Xu","given":"Hengyu","non-dropping-particle":"","parse-names":false,"suffix":""},{"dropping-particle":"","family":"Andi","given":"Babak","non-dropping-particle":"","parse-names":false,"suffix":""},{"dropping-particle":"","family":"Qian","given":"Jinghua","non-dropping-particle":"","parse-names":false,"suffix":""},{"dropping-particle":"","family":"West","given":"Ann H","non-dropping-particle":"","parse-names":false,"suffix":""},{"dropping-particle":"","family":"Cook","given":"Paul F","non-dropping-particle":"","parse-names":false,"suffix":""}],"container-title":"Cell Biochemistry and Biophysics","id":"ITEM-3","issue":"1","issued":{"date-parts":[["2006"]]},"page":"43-64","title":"The α-Aminoadipate Pathway for Lysine Biosynthesis in Fungi","type":"article-journal","volume":"46"},"uris":["http://www.mendeley.com/documents/?uuid=9310e63f-186c-43d0-9e63-1b53b27a1d33"]}],"mendeley":{"formattedCitation":"(Ljungdahl and Daignan-Fornier, 2012; Chalot et al., 1995; Xu et al., 2006)","plainTextFormattedCitation":"(Ljungdahl and Daignan-Fornier, 2012; Chalot et al., 1995; Xu et al., 2006)","previouslyFormattedCitation":"(Ljungdahl and Daignan-Fornier, 2012; Chalot et al., 1995; Xu et al., 2006)"},"properties":{"noteIndex":0},"schema":"https://github.com/citation-style-language/schema/raw/master/csl-citation.json"}</w:instrText>
      </w:r>
      <w:r w:rsidR="000D7D3D" w:rsidRPr="000D7D3D">
        <w:fldChar w:fldCharType="separate"/>
      </w:r>
      <w:r w:rsidR="000D7D3D" w:rsidRPr="000D7D3D">
        <w:rPr>
          <w:noProof/>
        </w:rPr>
        <w:t>(Ljungdahl and Daignan-Fornier, 2012; Chalot et al., 1995; Xu et al., 2006)</w:t>
      </w:r>
      <w:r w:rsidR="000D7D3D" w:rsidRPr="000D7D3D">
        <w:fldChar w:fldCharType="end"/>
      </w:r>
      <w:r w:rsidR="000D7D3D" w:rsidRPr="000D7D3D">
        <w:t xml:space="preserve">. </w:t>
      </w:r>
      <w:r w:rsidR="00ED4501">
        <w:t>In addition, u</w:t>
      </w:r>
      <w:r w:rsidR="000D7D3D" w:rsidRPr="000D7D3D">
        <w:t xml:space="preserve">pregulation of two putative aspartyl protease </w:t>
      </w:r>
      <w:r w:rsidR="00ED4501">
        <w:t xml:space="preserve">encoding genes </w:t>
      </w:r>
      <w:r w:rsidR="000D7D3D" w:rsidRPr="000D7D3D">
        <w:t xml:space="preserve">may be involved in N acquisition, through protein degradation </w:t>
      </w:r>
      <w:r w:rsidR="000D7D3D" w:rsidRPr="000D7D3D">
        <w:fldChar w:fldCharType="begin" w:fldLock="1"/>
      </w:r>
      <w:r w:rsidR="00EE33AB">
        <w:instrText>ADDIN CSL_CITATION {"citationItems":[{"id":"ITEM-1","itemData":{"DOI":"https://doi.org/10.1016/j.riam.2015.10.003","ISSN":"1130-1406","author":[{"dropping-particle":"","family":"Mandujano-González","given":"Virginia","non-dropping-particle":"","parse-names":false,"suffix":""},{"dropping-particle":"","family":"Villa-Tanaca","given":"Lourdes","non-dropping-particle":"","parse-names":false,"suffix":""},{"dropping-particle":"","family":"Anducho-Reyes","given":"Miguel Angel","non-dropping-particle":"","parse-names":false,"suffix":""},{"dropping-particle":"","family":"Mercado-Flores","given":"Yuridia","non-dropping-particle":"","parse-names":false,"suffix":""}],"container-title":"Revista Iberoamericana de Micología","id":"ITEM-1","issue":"2","issued":{"date-parts":[["2016"]]},"page":"76-82","title":"Secreted fungal aspartic proteases: A review","type":"article-journal","volume":"33"},"uris":["http://www.mendeley.com/documents/?uuid=3a8e385a-1600-4397-8cb6-a504fe54f30b"]}],"mendeley":{"formattedCitation":"(Mandujano-González et al., 2016)","plainTextFormattedCitation":"(Mandujano-González et al., 2016)","previouslyFormattedCitation":"(Mandujano-González et al., 2016)"},"properties":{"noteIndex":0},"schema":"https://github.com/citation-style-language/schema/raw/master/csl-citation.json"}</w:instrText>
      </w:r>
      <w:r w:rsidR="000D7D3D" w:rsidRPr="000D7D3D">
        <w:fldChar w:fldCharType="separate"/>
      </w:r>
      <w:r w:rsidR="000D7D3D" w:rsidRPr="000D7D3D">
        <w:rPr>
          <w:noProof/>
        </w:rPr>
        <w:t>(Mandujano-González et al., 2016)</w:t>
      </w:r>
      <w:r w:rsidR="000D7D3D" w:rsidRPr="000D7D3D">
        <w:fldChar w:fldCharType="end"/>
      </w:r>
      <w:r w:rsidR="000D7D3D" w:rsidRPr="000D7D3D">
        <w:t xml:space="preserve">. Also, upregulation of a putative amino acid transporter </w:t>
      </w:r>
      <w:r w:rsidR="00ED4501">
        <w:t xml:space="preserve">encoding </w:t>
      </w:r>
      <w:r w:rsidR="000D7D3D" w:rsidRPr="000D7D3D">
        <w:t>gene could mediate the release of am</w:t>
      </w:r>
      <w:r w:rsidR="00241398">
        <w:t>ino acids to the plant partner.</w:t>
      </w:r>
    </w:p>
    <w:p w14:paraId="6C08551B" w14:textId="5264F5D3" w:rsidR="000D7D3D" w:rsidRPr="000D7D3D" w:rsidRDefault="000D7D3D" w:rsidP="003F7054">
      <w:pPr>
        <w:ind w:firstLine="720"/>
      </w:pPr>
      <w:r w:rsidRPr="000D7D3D">
        <w:t xml:space="preserve">Upregulated carbohydrate-related genes, which could regulate the exchange of plant-derived or fungal carbohydrates, are genes </w:t>
      </w:r>
      <w:r w:rsidR="00740A62">
        <w:t xml:space="preserve">encoding for putative proteins </w:t>
      </w:r>
      <w:r w:rsidRPr="000D7D3D">
        <w:t xml:space="preserve">involved in both carbohydrate metabolism and transport. For instance, phosphoenolpyruvate carboxykinase, </w:t>
      </w:r>
      <w:r w:rsidR="00740A62">
        <w:t xml:space="preserve">glycoside hydrolase and </w:t>
      </w:r>
      <w:r w:rsidRPr="000D7D3D">
        <w:t xml:space="preserve">UDP-glucose pyrophosphorylase are enzymes known to be involved in carbohydrate metabolism </w:t>
      </w:r>
      <w:r w:rsidRPr="000D7D3D">
        <w:fldChar w:fldCharType="begin" w:fldLock="1"/>
      </w:r>
      <w:r w:rsidR="00EE33AB">
        <w:instrText>ADDIN CSL_CITATION {"citationItems":[{"id":"ITEM-1","itemData":{"DOI":"10.1111/j.1469-8137.2010.03520.x","ISBN":"1469-8137 (Electronic)\\n0028-646X (Linking)","ISSN":"1469-8137","PMID":"21039570","abstract":"• Primary carbohydrate metabolism plays a special role related to carbon/nitrogen exchange, as well as metabolic support of fruiting body development, in ectomycorrhizal macrofungi. In this study, we used information retrieved from the recently sequenced Tuber melanosporum genome, together with transcriptome analysis data and targeted validation experiments, to construct the first genome-wide catalogue of the proteins supporting carbohydrate metabolism in a plant-symbiotic ascomycete. • More than 100 genes coding for enzymes of the glycolysis, pentose phosphate, tricarboxylic acid, glyoxylate and methylcitrate pathways, glycogen, trehalose and mannitol metabolism and cell wall precursor were annotated. Transcriptional regulation of these pathways in different stages of the T. melanosporum lifecycle was investigated using whole-genome oligoarray expression data together with real-time reverse transcription-polymerase chain reaction analysis of selected genes. • The most significant results were the identification of methylcitrate cycle genes and of an acid invertase, the first enzyme of this kind to be described in a plant-symbiotic filamentous fungus. • A subset of transcripts coding for trehalose, glyoxylate and methylcitrate enzymes was up-regulated in fruiting bodies, whereas genes involved in mannitol and glycogen metabolism were preferentially expressed in mycelia and ectomycorrhizas, respectively. These data indicate a high degree of lifecycle stage specialization for particular branches of carbohydrate metabolism in T. melanosporum.","author":[{"dropping-particle":"","family":"Ceccaroli","given":"P","non-dropping-particle":"","parse-names":false,"suffix":""},{"dropping-particle":"","family":"Buffalini","given":"M","non-dropping-particle":"","parse-names":false,"suffix":""},{"dropping-particle":"","family":"Saltarelli","given":"R","non-dropping-particle":"","parse-names":false,"suffix":""},{"dropping-particle":"","family":"Barbieri","given":"E","non-dropping-particle":"","parse-names":false,"suffix":""},{"dropping-particle":"","family":"Polidori","given":"E","non-dropping-particle":"","parse-names":false,"suffix":""},{"dropping-particle":"","family":"Ottonello","given":"S","non-dropping-particle":"","parse-names":false,"suffix":""},{"dropping-particle":"","family":"Kohler","given":"A","non-dropping-particle":"","parse-names":false,"suffix":""},{"dropping-particle":"","family":"Tisserant","given":"E","non-dropping-particle":"","parse-names":false,"suffix":""},{"dropping-particle":"","family":"Martin","given":"F","non-dropping-particle":"","parse-names":false,"suffix":""},{"dropping-particle":"","family":"Stocchi","given":"V","non-dropping-particle":"","parse-names":false,"suffix":""}],"container-title":"The New phytologist","id":"ITEM-1","issue":"3","issued":{"date-parts":[["2011"]]},"page":"751-64","title":"Genomic profiling of carbohydrate metabolism in the ectomycorrhizal fungus Tuber melanosporum.","type":"article-journal","volume":"189"},"uris":["http://www.mendeley.com/documents/?uuid=54d3f796-4522-4fc9-872a-807945cf48f4"]}],"mendeley":{"formattedCitation":"(Ceccaroli et al., 2011)","plainTextFormattedCitation":"(Ceccaroli et al., 2011)","previouslyFormattedCitation":"(Ceccaroli et al., 2011)"},"properties":{"noteIndex":0},"schema":"https://github.com/citation-style-language/schema/raw/master/csl-citation.json"}</w:instrText>
      </w:r>
      <w:r w:rsidRPr="000D7D3D">
        <w:fldChar w:fldCharType="separate"/>
      </w:r>
      <w:r w:rsidRPr="000D7D3D">
        <w:rPr>
          <w:noProof/>
        </w:rPr>
        <w:t>(Ceccaroli et al., 2011)</w:t>
      </w:r>
      <w:r w:rsidRPr="000D7D3D">
        <w:fldChar w:fldCharType="end"/>
      </w:r>
      <w:r w:rsidRPr="000D7D3D">
        <w:t xml:space="preserve">. </w:t>
      </w:r>
      <w:r w:rsidR="002A0CB5">
        <w:t>A</w:t>
      </w:r>
      <w:r w:rsidRPr="000D7D3D">
        <w:t xml:space="preserve"> putative MFS transporter </w:t>
      </w:r>
      <w:r w:rsidR="002A0CB5">
        <w:t xml:space="preserve">encoding </w:t>
      </w:r>
      <w:r w:rsidR="00740A62">
        <w:t xml:space="preserve">gene </w:t>
      </w:r>
      <w:r w:rsidRPr="000D7D3D">
        <w:t xml:space="preserve">has been found to be upregulated, </w:t>
      </w:r>
      <w:r w:rsidR="002A0CB5">
        <w:t>where</w:t>
      </w:r>
      <w:r w:rsidRPr="000D7D3D">
        <w:t xml:space="preserve"> members of </w:t>
      </w:r>
      <w:r w:rsidR="002A0CB5">
        <w:t>the MFS</w:t>
      </w:r>
      <w:r w:rsidRPr="000D7D3D">
        <w:t xml:space="preserve"> </w:t>
      </w:r>
      <w:r w:rsidR="002A0CB5" w:rsidRPr="000D7D3D">
        <w:t xml:space="preserve">family </w:t>
      </w:r>
      <w:r w:rsidR="002A0CB5">
        <w:t xml:space="preserve">of </w:t>
      </w:r>
      <w:r w:rsidRPr="000D7D3D">
        <w:t xml:space="preserve">transporters </w:t>
      </w:r>
      <w:r w:rsidR="002A0CB5">
        <w:t>are known</w:t>
      </w:r>
      <w:r w:rsidRPr="000D7D3D">
        <w:t xml:space="preserve"> to mediate carbohydrate transport </w:t>
      </w:r>
      <w:r w:rsidRPr="000D7D3D">
        <w:fldChar w:fldCharType="begin" w:fldLock="1"/>
      </w:r>
      <w:r w:rsidR="00EE33AB">
        <w:instrText>ADDIN CSL_CITATION {"citationItems":[{"id":"ITEM-1","itemData":{"DOI":"10.1038/nrm.2015.25","ISBN":"1471-0080 (Electronic)\\r1471-0072 (Linking)","ISSN":"14710080","PMID":"26758938","abstract":"Members of the major facilitator superfamily (MFS) of transport proteins are essential for the movement of a wide range of substrates across biomembranes. As this transport requires a series of conformational changes, structures of MFS transporters captured in different conformational states are needed to decipher the transport mechanism. Recently, a large number of MFS transporter structures have been determined, which has provided us with an unprecedented opportunity to understand general aspects of the transport mechanism. We propose an updated model for the conformational cycle of MFS transporters, the 'clamp-and-switch model', and discuss the role of so-called 'gating residues' and the substrate in modulating these conformational changes.","author":[{"dropping-particle":"","family":"Quistgaard","given":"Esben M.","non-dropping-particle":"","parse-names":false,"suffix":""},{"dropping-particle":"","family":"Löw","given":"Christian","non-dropping-particle":"","parse-names":false,"suffix":""},{"dropping-particle":"","family":"Guettou","given":"Fatma","non-dropping-particle":"","parse-names":false,"suffix":""},{"dropping-particle":"","family":"Nordlund","given":"Pär","non-dropping-particle":"","parse-names":false,"suffix":""}],"container-title":"Nature Reviews Molecular Cell Biology","id":"ITEM-1","issue":"2","issued":{"date-parts":[["2016"]]},"page":"123-132","publisher":"Nature Publishing Group","title":"Understanding transport by the major facilitator superfamily (MFS): Structures pave the way","type":"article-journal","volume":"17"},"uris":["http://www.mendeley.com/documents/?uuid=818a03d0-db48-442c-a71b-07abef0e537b"]}],"mendeley":{"formattedCitation":"(Quistgaard et al., 2016)","plainTextFormattedCitation":"(Quistgaard et al., 2016)","previouslyFormattedCitation":"(Quistgaard et al., 2016)"},"properties":{"noteIndex":0},"schema":"https://github.com/citation-style-language/schema/raw/master/csl-citation.json"}</w:instrText>
      </w:r>
      <w:r w:rsidRPr="000D7D3D">
        <w:fldChar w:fldCharType="separate"/>
      </w:r>
      <w:r w:rsidRPr="000D7D3D">
        <w:rPr>
          <w:noProof/>
        </w:rPr>
        <w:t>(Quistgaard et al., 2016)</w:t>
      </w:r>
      <w:r w:rsidRPr="000D7D3D">
        <w:fldChar w:fldCharType="end"/>
      </w:r>
      <w:r w:rsidRPr="000D7D3D">
        <w:t>.</w:t>
      </w:r>
    </w:p>
    <w:p w14:paraId="16B5D663" w14:textId="48FBD5CC" w:rsidR="000D7D3D" w:rsidRDefault="000D7D3D" w:rsidP="007F746A">
      <w:pPr>
        <w:ind w:firstLine="720"/>
      </w:pPr>
      <w:r w:rsidRPr="000D7D3D">
        <w:t xml:space="preserve">Interestingly, among the genes upregulated in </w:t>
      </w:r>
      <w:r w:rsidR="002A0CB5">
        <w:t xml:space="preserve">the </w:t>
      </w:r>
      <w:r w:rsidRPr="000D7D3D">
        <w:t xml:space="preserve">presence of HAP in S condition, </w:t>
      </w:r>
      <w:r w:rsidR="002A0CB5">
        <w:t>two encode for a putative</w:t>
      </w:r>
      <w:r w:rsidRPr="000D7D3D">
        <w:t xml:space="preserve"> MATE efflux transporter and a</w:t>
      </w:r>
      <w:r w:rsidR="00915592">
        <w:t>n</w:t>
      </w:r>
      <w:r w:rsidRPr="000D7D3D">
        <w:t xml:space="preserve"> MSF transporter, both localised in </w:t>
      </w:r>
      <w:r w:rsidR="00915592">
        <w:t xml:space="preserve">plasma </w:t>
      </w:r>
      <w:r w:rsidR="002A0CB5">
        <w:t>membrane</w:t>
      </w:r>
      <w:r w:rsidRPr="000D7D3D">
        <w:t>. Transporters of the MATE family are known to actively extrude out of the cell a diverse array of organic compounds, including organic acids</w:t>
      </w:r>
      <w:r w:rsidR="002A0CB5">
        <w:t xml:space="preserve"> </w:t>
      </w:r>
      <w:r w:rsidRPr="000D7D3D">
        <w:fldChar w:fldCharType="begin" w:fldLock="1"/>
      </w:r>
      <w:r w:rsidR="00EE33AB">
        <w:instrText>ADDIN CSL_CITATION {"citationItems":[{"id":"ITEM-1","itemData":{"DOI":"https://doi.org/10.1016/j.bbapap.2008.11.012","ISSN":"1570-9639","author":[{"dropping-particle":"","family":"Kuroda","given":"Teruo","non-dropping-particle":"","parse-names":false,"suffix":""},{"dropping-particle":"","family":"Tsuchiya","given":"Tomofusa","non-dropping-particle":"","parse-names":false,"suffix":""}],"container-title":"Biochimica et Biophysica Acta (BBA) - Proteins and Proteomics","id":"ITEM-1","issue":"5","issued":{"date-parts":[["2009"]]},"page":"763-768","title":"Multidrug efflux transporters in the MATE family","type":"article-journal","volume":"1794"},"uris":["http://www.mendeley.com/documents/?uuid=00e682dd-4c07-4041-be27-9645c82d26cb"]}],"mendeley":{"formattedCitation":"(Kuroda and Tsuchiya, 2009)","plainTextFormattedCitation":"(Kuroda and Tsuchiya, 2009)","previouslyFormattedCitation":"(Kuroda and Tsuchiya, 2009)"},"properties":{"noteIndex":0},"schema":"https://github.com/citation-style-language/schema/raw/master/csl-citation.json"}</w:instrText>
      </w:r>
      <w:r w:rsidRPr="000D7D3D">
        <w:fldChar w:fldCharType="separate"/>
      </w:r>
      <w:r w:rsidRPr="000D7D3D">
        <w:rPr>
          <w:noProof/>
        </w:rPr>
        <w:t>(Kuroda and Tsuchiya, 2009)</w:t>
      </w:r>
      <w:r w:rsidRPr="000D7D3D">
        <w:fldChar w:fldCharType="end"/>
      </w:r>
      <w:r w:rsidRPr="000D7D3D">
        <w:t xml:space="preserve">. In particular, in Arabidopsis and poplar MATE transporters were characterized to efflux both citric and malic acid </w:t>
      </w:r>
      <w:r w:rsidR="002A0CB5">
        <w:t xml:space="preserve">out of the cell </w:t>
      </w:r>
      <w:r w:rsidRPr="000D7D3D">
        <w:fldChar w:fldCharType="begin" w:fldLock="1"/>
      </w:r>
      <w:r w:rsidR="00EE33AB">
        <w:instrText>ADDIN CSL_CITATION {"citationItems":[{"id":"ITEM-1","itemData":{"DOI":"10.1111/j.1365-313X.2008.03696.x","ISBN":"1365-313X (Electronic)\\r0960-7412 (Linking)","ISSN":"09607412","PMID":"18826429","abstract":"Aluminum-activated root malate and citrate exudation play an important role in plant Al tolerance. This paper characterizes AtMATE, a homolog of the recently discovered sorghum and barley Al-tolerance genes, shown here to encode an Al-activated citrate transporter in Arabidopsis. Together with the previously characterized Al-activated malate transporter, AtALMT1, this discovery allowed us to examine the relationship in the same species between members of the two gene families for which Al-tolerance genes have been identified. AtMATE is expressed primarily in roots and is induced by Al. An AtMATE T-DNA knockdown line exhibited very low AtMATE expression and Al-activated root citrate exudation was abolished. The AtALMT1 AtMATE double mutant lacked both Al-activated root malate and citrate exudation and showed greater Al sensitivity than the AtALMT1 mutant. Therefore, although AtALMT1 is a major contributor to Arabidopsis Al tolerance, AtMATE also makes a significant but smaller contribution. The expression patterns of AtALMT1 and AtMATE and the profiles of Al-activated root citrate and malate exudation are not affected by the presence or absence of the other gene. These results suggest that AtALMT1-mediated malate exudation and AtMATE-mediated citrate exudation evolved independently to confer Al tolerance in Arabidopsis. However, a link between regulation of expression of the two transporters in response to Al was identified through work on STOP1, a transcription factor that was previously shown to be necessary for AtALMT1 expression. Here we show that STOP1 is also required for AtMATE expression and Al-activated citrate exudation.","author":[{"dropping-particle":"","family":"Liu","given":"Jiping","non-dropping-particle":"","parse-names":false,"suffix":""},{"dropping-particle":"V.","family":"Magalhaes","given":"Jurandir","non-dropping-particle":"","parse-names":false,"suffix":""},{"dropping-particle":"","family":"Shaff","given":"Jon","non-dropping-particle":"","parse-names":false,"suffix":""},{"dropping-particle":"V.","family":"Kochian","given":"Leon","non-dropping-particle":"","parse-names":false,"suffix":""}],"container-title":"Plant Journal","id":"ITEM-1","issue":"3","issued":{"date-parts":[["2009"]]},"page":"389-399","title":"Aluminum-activated citrate and malate transporters from the MATE and ALMT families function independently to confer Arabidopsis aluminum tolerance","type":"article-journal","volume":"57"},"uris":["http://www.mendeley.com/documents/?uuid=6b359046-41c9-4b47-8a7b-c4437e825559"]},{"id":"ITEM-2","itemData":{"DOI":"10.1093/jxb/erx370","ISSN":"0022-0957","author":[{"dropping-particle":"","family":"Li","given":"Nannan","non-dropping-particle":"","parse-names":false,"suffix":""},{"dropping-particle":"","family":"Meng","given":"Hongjun","non-dropping-particle":"","parse-names":false,"suffix":""},{"dropping-particle":"","family":"Xing","given":"Haitao","non-dropping-particle":"","parse-names":false,"suffix":""},{"dropping-particle":"","family":"Liang","given":"Lan","non-dropping-particle":"","parse-names":false,"suffix":""},{"dropping-particle":"","family":"Zhao","given":"Xin","non-dropping-particle":"","parse-names":false,"suffix":""},{"dropping-particle":"","family":"Luo","given":"Keming","non-dropping-particle":"","parse-names":false,"suffix":""}],"container-title":"Journal of Experimental Botany","id":"ITEM-2","issue":"20","issued":{"date-parts":[["2017"]]},"page":"5669-5683","title":"Genome-wide analysis of MATE transporters and molecular characterization of aluminum resistance in Populus","type":"article-journal","volume":"68"},"uris":["http://www.mendeley.com/documents/?uuid=ad30a966-b397-4f96-be08-820ecd4ce2a9"]}],"mendeley":{"formattedCitation":"(Liu et al., 2009; Li et al., 2017)","plainTextFormattedCitation":"(Liu et al., 2009; Li et al., 2017)","previouslyFormattedCitation":"(Liu et al., 2009; Li et al., 2017)"},"properties":{"noteIndex":0},"schema":"https://github.com/citation-style-language/schema/raw/master/csl-citation.json"}</w:instrText>
      </w:r>
      <w:r w:rsidRPr="000D7D3D">
        <w:fldChar w:fldCharType="separate"/>
      </w:r>
      <w:r w:rsidRPr="000D7D3D">
        <w:rPr>
          <w:noProof/>
        </w:rPr>
        <w:t>(Liu et al., 2009; Li et al., 2017)</w:t>
      </w:r>
      <w:r w:rsidRPr="000D7D3D">
        <w:fldChar w:fldCharType="end"/>
      </w:r>
      <w:r w:rsidRPr="000D7D3D">
        <w:t>. On the other hand, MFS transporters can facilitate influx or efflux of mono- or di-</w:t>
      </w:r>
      <w:r w:rsidRPr="000D7D3D">
        <w:lastRenderedPageBreak/>
        <w:t xml:space="preserve">carboxylic acids in different fungal species </w:t>
      </w:r>
      <w:r w:rsidRPr="000D7D3D">
        <w:fldChar w:fldCharType="begin" w:fldLock="1"/>
      </w:r>
      <w:r w:rsidR="00EE33AB">
        <w:instrText>ADDIN CSL_CITATION {"citationItems":[{"id":"ITEM-1","itemData":{"DOI":"10.1111/j.1574-6976.2008.00128.x","ISBN":"0168-6445","ISSN":"01686445","PMID":"18759742","abstract":"Carboxylic acid transporters form a heterogeneous group of proteins, presenting diverse mechanisms of action and regulation, and belonging to several different families. Multiple physiological and genetic studies in several organisms, from yeast to mammals, have allowed the identification of various genes coding for carboxylate transporters. Detailed understanding of the metabolism and transport of these nutrients has become more important than ever, both from a fundamental and from an applied point of view. Under a biotechnological perspective, the increasing economic value of these compounds has boosted this field of research considerably. Here we review the current knowledge on yeast carboxylate transporters, at the biochemical and molecular level, focusing also on recent biotechnological developments.","author":[{"dropping-particle":"","family":"Casal","given":"Margarida","non-dropping-particle":"","parse-names":false,"suffix":""},{"dropping-particle":"","family":"Paiva","given":"Sandra","non-dropping-particle":"","parse-names":false,"suffix":""},{"dropping-particle":"","family":"Queirós","given":"Odília","non-dropping-particle":"","parse-names":false,"suffix":""},{"dropping-particle":"","family":"Soares-Silva","given":"Isabel","non-dropping-particle":"","parse-names":false,"suffix":""}],"container-title":"FEMS Microbiology Reviews","id":"ITEM-1","issue":"6","issued":{"date-parts":[["2008"]]},"page":"974-994","title":"Transport of carboxylic acids in yeasts","type":"article-journal","volume":"32"},"uris":["http://www.mendeley.com/documents/?uuid=0ba5f749-5ca4-4adf-944a-83d3efe69a4a"]}],"mendeley":{"formattedCitation":"(Casal et al., 2008)","plainTextFormattedCitation":"(Casal et al., 2008)","previouslyFormattedCitation":"(Casal et al., 2008)"},"properties":{"noteIndex":0},"schema":"https://github.com/citation-style-language/schema/raw/master/csl-citation.json"}</w:instrText>
      </w:r>
      <w:r w:rsidRPr="000D7D3D">
        <w:fldChar w:fldCharType="separate"/>
      </w:r>
      <w:r w:rsidRPr="000D7D3D">
        <w:rPr>
          <w:noProof/>
        </w:rPr>
        <w:t>(Casal et al., 2008)</w:t>
      </w:r>
      <w:r w:rsidRPr="000D7D3D">
        <w:fldChar w:fldCharType="end"/>
      </w:r>
      <w:r w:rsidRPr="000D7D3D">
        <w:t>. In this stage of analysis</w:t>
      </w:r>
      <w:r w:rsidR="00725138">
        <w:t>,</w:t>
      </w:r>
      <w:r w:rsidRPr="000D7D3D">
        <w:t xml:space="preserve"> however, is not possible to accurately determine the substrate of the MATE and MFS transporter. Among other transporters, a </w:t>
      </w:r>
      <w:r w:rsidR="00424A86" w:rsidRPr="000D7D3D">
        <w:t>Ca</w:t>
      </w:r>
      <w:r w:rsidRPr="000D7D3D">
        <w:t xml:space="preserve">-dependent ATPase </w:t>
      </w:r>
      <w:r w:rsidR="002A0CB5">
        <w:t xml:space="preserve">encoding gene </w:t>
      </w:r>
      <w:r w:rsidRPr="000D7D3D">
        <w:t xml:space="preserve">was also found to be upregulated. </w:t>
      </w:r>
      <w:r w:rsidR="00A72088">
        <w:t>Ca-</w:t>
      </w:r>
      <w:r w:rsidRPr="000D7D3D">
        <w:t>ATPases extrude Ca</w:t>
      </w:r>
      <w:r w:rsidR="00A72088">
        <w:t xml:space="preserve"> ions out</w:t>
      </w:r>
      <w:r w:rsidRPr="000D7D3D">
        <w:t xml:space="preserve"> </w:t>
      </w:r>
      <w:r w:rsidR="00A72088">
        <w:t xml:space="preserve">of </w:t>
      </w:r>
      <w:r w:rsidRPr="000D7D3D">
        <w:t xml:space="preserve">the cell or into intracellular compartments </w:t>
      </w:r>
      <w:r w:rsidRPr="000D7D3D">
        <w:fldChar w:fldCharType="begin" w:fldLock="1"/>
      </w:r>
      <w:r w:rsidR="00EE33AB">
        <w:instrText>ADDIN CSL_CITATION {"citationItems":[{"id":"ITEM-1","itemData":{"ISSN":"0027-8424","abstract":"Cytosolic free calcium ([Ca2+]c) has been measured in the mycelial fungus Neurospora crassa with Ca2(+)-selective microelectrodes. The mean value of [Ca2+]c is 92 +/- 15 nM and it is insensitive to external pH values between 5.8 and 8.4. Simultaneous measurement of membrane potential enables the electrochemical potential difference for Ca2+ across the plasma membrane to be estimated as about -60 kJ.mol-1-a value that cannot be sustained either by a simple Ca2(+)-ATPase, or, in alkaline conditions, by straightforward H+/Ca2+ exchange with a stoichiometric ratio of less than 5 H+/Ca2+. We propose that the most likely alternative mechanism of Ca2+ efflux is ATP-driven H+/Ca2+. In accord with this proposal, depletion of the ATP level from 2.5 to 0.5 mM by CN- elicits an increase in [Ca2+]c, but only in alkaline conditions in which the putative H+/Ca2(+)-ATPase would be selectively stalled. The insensitivity of Ca2+ homeostasis to CN- in more acid conditions implies that the Km (ATP) of the transport system is 100 microM or less. The increase in [Ca2+]c in the presence of CN- at pH 8.4 (50 nM.min-1) is compared with 45Ca2+ influx (0.62 mM.min-1) under the same conditions. The proportion of entering Ca2+ remaining free in the cytosol is only 8 x 10(-5), and since the concentration of available chelation sites on Ca2(+)-binding proteins is unlikely to exceed 100 microM, a major role for the fungal vacuole in short-term Ca2+ homeostasis is indicated. This notion is supported by the observation that cytosolic Ca2+ homeostasis is disrupted by a protonophore, which rapidly abolishes the driving force (a transmembrane pH difference) for Ca2+ uptake into fungal vacuoles. ","author":[{"dropping-particle":"","family":"Miller","given":"A J","non-dropping-particle":"","parse-names":false,"suffix":""},{"dropping-particle":"","family":"Vogg","given":"G","non-dropping-particle":"","parse-names":false,"suffix":""},{"dropping-particle":"","family":"Sanders","given":"D","non-dropping-particle":"","parse-names":false,"suffix":""}],"container-title":"Proceedings of the National Academy of Sciences of the United States of America","id":"ITEM-1","issue":"23","issued":{"date-parts":[["1990","12"]]},"page":"9348-9352","title":"Cytosolic calcium homeostasis in fungi: roles of plasma membrane transport and intracellular sequestration of calcium.","type":"article-journal","volume":"87"},"uris":["http://www.mendeley.com/documents/?uuid=e5e74b99-f2a7-4015-a565-008868f9b734"]}],"mendeley":{"formattedCitation":"(Miller et al., 1990)","plainTextFormattedCitation":"(Miller et al., 1990)","previouslyFormattedCitation":"(Miller et al., 1990)"},"properties":{"noteIndex":0},"schema":"https://github.com/citation-style-language/schema/raw/master/csl-citation.json"}</w:instrText>
      </w:r>
      <w:r w:rsidRPr="000D7D3D">
        <w:fldChar w:fldCharType="separate"/>
      </w:r>
      <w:r w:rsidRPr="000D7D3D">
        <w:rPr>
          <w:noProof/>
        </w:rPr>
        <w:t>(Miller et al., 1990)</w:t>
      </w:r>
      <w:r w:rsidRPr="000D7D3D">
        <w:fldChar w:fldCharType="end"/>
      </w:r>
      <w:r w:rsidR="00A72088">
        <w:t xml:space="preserve">. For this reason, the identified </w:t>
      </w:r>
      <w:r w:rsidR="00A72088" w:rsidRPr="000D7D3D">
        <w:t xml:space="preserve">Ca-dependent ATPase </w:t>
      </w:r>
      <w:r w:rsidRPr="000D7D3D">
        <w:t xml:space="preserve">may be involved in </w:t>
      </w:r>
      <w:r w:rsidR="00A72088">
        <w:t xml:space="preserve">maintaining </w:t>
      </w:r>
      <w:r w:rsidR="00A72088" w:rsidRPr="000D7D3D">
        <w:t>Ca</w:t>
      </w:r>
      <w:r w:rsidR="00A72088">
        <w:rPr>
          <w:vertAlign w:val="superscript"/>
        </w:rPr>
        <w:t xml:space="preserve"> </w:t>
      </w:r>
      <w:r w:rsidRPr="000D7D3D">
        <w:t xml:space="preserve">homeostasis </w:t>
      </w:r>
      <w:r w:rsidR="00A72088">
        <w:t xml:space="preserve">within the cell, where Ca ions accumulate </w:t>
      </w:r>
      <w:r w:rsidRPr="000D7D3D">
        <w:t xml:space="preserve">as by-products of </w:t>
      </w:r>
      <w:r w:rsidR="00412326">
        <w:t>HAP</w:t>
      </w:r>
      <w:r w:rsidR="00412326" w:rsidRPr="000D7D3D">
        <w:t xml:space="preserve"> </w:t>
      </w:r>
      <w:r w:rsidRPr="000D7D3D">
        <w:t xml:space="preserve">weathering. Interestingly, </w:t>
      </w:r>
      <w:r w:rsidR="00424A86" w:rsidRPr="000D7D3D">
        <w:t>Ca</w:t>
      </w:r>
      <w:r w:rsidR="00424A86" w:rsidRPr="00635993">
        <w:t>-</w:t>
      </w:r>
      <w:r w:rsidRPr="000D7D3D">
        <w:t>ATPase</w:t>
      </w:r>
      <w:r w:rsidR="00A72088">
        <w:t>s</w:t>
      </w:r>
      <w:r w:rsidRPr="000D7D3D">
        <w:t xml:space="preserve"> were found to be upregulated during </w:t>
      </w:r>
      <w:r w:rsidR="00412326">
        <w:t>AM</w:t>
      </w:r>
      <w:r w:rsidRPr="000D7D3D">
        <w:t xml:space="preserve"> symbiosis between </w:t>
      </w:r>
      <w:r w:rsidR="00A72088">
        <w:rPr>
          <w:i/>
        </w:rPr>
        <w:t>Glomus</w:t>
      </w:r>
      <w:r w:rsidRPr="000D7D3D">
        <w:rPr>
          <w:i/>
        </w:rPr>
        <w:t xml:space="preserve"> intraradices</w:t>
      </w:r>
      <w:r w:rsidRPr="000D7D3D">
        <w:t xml:space="preserve"> and </w:t>
      </w:r>
      <w:r w:rsidR="00A72088">
        <w:rPr>
          <w:i/>
        </w:rPr>
        <w:t>Medicago</w:t>
      </w:r>
      <w:r w:rsidRPr="000D7D3D">
        <w:rPr>
          <w:i/>
        </w:rPr>
        <w:t xml:space="preserve"> truncatula</w:t>
      </w:r>
      <w:r w:rsidRPr="000D7D3D">
        <w:t xml:space="preserve"> </w:t>
      </w:r>
      <w:r w:rsidRPr="000D7D3D">
        <w:fldChar w:fldCharType="begin" w:fldLock="1"/>
      </w:r>
      <w:r w:rsidR="00EE33AB">
        <w:instrText>ADDIN CSL_CITATION {"citationItems":[{"id":"ITEM-1","itemData":{"DOI":"10.1016/j.funbio.2012.11.002","ISBN":"1878-6146 (Print)","ISSN":"18786146","PMID":"23332830","abstract":"Fluctuations in intracellular calcium levels generate signalling events and regulate different cellular processes. Whilst the implication of Ca2+ in plant responses during arbuscular mycorrhiza (AM) interactions is well documented, nothing is known about the regulation or role of this secondary messenger in the fungal symbiont. The spatio-temporal expression pattern of putatively Ca2+-related genes of Glomus intraradices BEG141 encoding five proteins involved in membrane transport and one nuclear protein kinase, was investigated during the AM symbiosis. Expression profiles related to successful colonization of host roots were observed in interactions of G. intraradices with roots of wild-type Medicago truncatula (line J5) compared to the mycorrhiza-defective mutant dmi3/Mtsym13. Symbiotic fungal activity was monitored using stearoyl-CoA desaturase and phosphate transporter genes. Laser microdissection based-mapping of fungal gene expression in mycorrhizal root tissues indicated that the Ca2+-related genes were differentially upregulated in arbuscules and/or in intercellular hyphae. The spatio-temporal variations in gene expression suggest that the encoded proteins may have different functions in fungal development or function during symbiosis development. Full-length cDNA obtained for two genes with interesting expression profiles confirmed a close similarity with an endoplasmic reticulum P-type ATPase and a Vcx1-like vacuolar Ca2+ ion transporter functionally characterized in other fungi and involved in the regulation of cell calcium pools. Possible mechanisms are discussed in which Ca2+-related proteins G. intraradices BEG141 may play a role in mobilization and perception of the intracellular messenger by the AM fungus during symbiotic interactions with host roots. © 2012 The British Mycological Society.","author":[{"dropping-particle":"","family":"Liu","given":"Yi","non-dropping-particle":"","parse-names":false,"suffix":""},{"dropping-particle":"","family":"Gianinazzi-Pearson","given":"Vivienne","non-dropping-particle":"","parse-names":false,"suffix":""},{"dropping-particle":"","family":"Arnould","given":"Christine","non-dropping-particle":"","parse-names":false,"suffix":""},{"dropping-particle":"","family":"Wipf","given":"Daniel","non-dropping-particle":"","parse-names":false,"suffix":""},{"dropping-particle":"","family":"Zhao","given":"Bin","non-dropping-particle":"","parse-names":false,"suffix":""},{"dropping-particle":"van","family":"Tuinen","given":"Diederik","non-dropping-particle":"","parse-names":false,"suffix":""}],"container-title":"Fungal Biology","id":"ITEM-1","issue":"1","issued":{"date-parts":[["2013"]]},"page":"22-31","publisher":"Elsevier Ltd","title":"Fungal genes related to calcium homeostasis and signalling are upregulated in symbiotic arbuscular mycorrhiza interactions","type":"article-journal","volume":"117"},"uris":["http://www.mendeley.com/documents/?uuid=81eba850-0f1e-4ab7-9e5e-e182a74ff1f3"]}],"mendeley":{"formattedCitation":"(Liu et al., 2013a)","plainTextFormattedCitation":"(Liu et al., 2013a)","previouslyFormattedCitation":"(Liu et al., 2013a)"},"properties":{"noteIndex":0},"schema":"https://github.com/citation-style-language/schema/raw/master/csl-citation.json"}</w:instrText>
      </w:r>
      <w:r w:rsidRPr="000D7D3D">
        <w:fldChar w:fldCharType="separate"/>
      </w:r>
      <w:r w:rsidRPr="000D7D3D">
        <w:rPr>
          <w:noProof/>
        </w:rPr>
        <w:t>(Liu et al., 2013a)</w:t>
      </w:r>
      <w:r w:rsidRPr="000D7D3D">
        <w:fldChar w:fldCharType="end"/>
      </w:r>
      <w:r w:rsidRPr="000D7D3D">
        <w:t xml:space="preserve">, suggesting that </w:t>
      </w:r>
      <w:r w:rsidR="00A72088" w:rsidRPr="000D7D3D">
        <w:t>Ca</w:t>
      </w:r>
      <w:r w:rsidR="00A72088" w:rsidRPr="00635993">
        <w:t>-</w:t>
      </w:r>
      <w:r w:rsidR="00A72088" w:rsidRPr="000D7D3D">
        <w:t>ATPase</w:t>
      </w:r>
      <w:r w:rsidR="00A72088">
        <w:t>s</w:t>
      </w:r>
      <w:r w:rsidRPr="000D7D3D">
        <w:t xml:space="preserve"> may also play a role in plant-fungus interaction and signalling. </w:t>
      </w:r>
    </w:p>
    <w:p w14:paraId="58EE44E4" w14:textId="6375B624" w:rsidR="000D7D3D" w:rsidRPr="000D7D3D" w:rsidRDefault="000D7D3D" w:rsidP="00FB36B8">
      <w:pPr>
        <w:ind w:firstLine="720"/>
      </w:pPr>
      <w:r w:rsidRPr="000D7D3D">
        <w:t xml:space="preserve">Multiple genes coding for putative signalling proteins were identified to be upregulated in </w:t>
      </w:r>
      <w:r w:rsidR="00C659C9">
        <w:t>the presence of HAP</w:t>
      </w:r>
      <w:r w:rsidRPr="000D7D3D">
        <w:t xml:space="preserve"> in S condition, such as a tyrosine phosphatase, a </w:t>
      </w:r>
      <w:r w:rsidR="00725138">
        <w:t>ZF transcription factor, a WD40 repeat-</w:t>
      </w:r>
      <w:r w:rsidRPr="000D7D3D">
        <w:t xml:space="preserve">containing protein and a diacylglycerol kinase (Figure 5.5A). Tyrosine phosphatases act by removing phosphorylation of tyrosine residues, and have been shown to be primary regulators of development in the fungal model </w:t>
      </w:r>
      <w:r w:rsidRPr="000D7D3D">
        <w:rPr>
          <w:i/>
        </w:rPr>
        <w:t xml:space="preserve">S. cerevisiae </w:t>
      </w:r>
      <w:r w:rsidRPr="000D7D3D">
        <w:rPr>
          <w:i/>
        </w:rPr>
        <w:fldChar w:fldCharType="begin" w:fldLock="1"/>
      </w:r>
      <w:r w:rsidR="00EE33AB">
        <w:rPr>
          <w:i/>
        </w:rPr>
        <w:instrText>ADDIN CSL_CITATION {"citationItems":[{"id":"ITEM-1","itemData":{"DOI":"10.1091/mbc.11.2.663","ISBN":"1059-1524 (Print)\\r1059-1524 (Linking)","ISSN":"1059-1524","PMID":"10679022","abstract":"Tyrosine phosphorylation plays a central role in eukaryotic signal transduction. In yeast, MAP kinase pathways are regulated by tyrosine phosphorylation, and it has been speculated that other biochemical processes may also be regulated by tyrosine phosphorylation. Previous genetic and biochemical studies demonstrate that protein tyrosine phosphatases (PTPases) negatively regulate yeast MAP kinases. Here we report that deletion of PTP2 and PTP3 results in a sporulation defect, suggesting that tyrosine phosphorylation is involved in regulation of meiosis and sporulation. Deletion of PTP2 and PTP3 blocks cells at an early stage of sporulation before premeiotic DNA synthesis and induction of meiotic-specific genes. We observed that tyrosine phosphorylation of several proteins, including 52-, 43-, and 42-kDa proteins, was changed in ptp2Deltaptp3Delta homozygous deletion cells under sporulation conditions. The 42-kDa tyrosine-phosphorylated protein was identified as Mck1, which is a member of the GSK3 family of protein kinases and previously known to be phosphorylated on tyrosine. Mutation of MCK1 decreases sporulation efficiency, whereas mutation of RIM11, another GSK3 member, specifically abolishes sporulation; therefore, we investigated regulation of Rim11 by Tyr phosphorylation during sporulation. We demonstrated that Rim11 is phosphorylated on Tyr-199, and the Tyr phosphorylation is essential for its in vivo function, although Rim11 appears not to be directly regulated by Ptp2 and Ptp3. Biochemical characterizations indicate that tyrosine phosphorylation of Rim11 is essential for the activity of Rim11 to phosphorylate substrates. Our data demonstrate important roles of protein tyrosine phosphorylation in meiosis and sporulation","author":[{"dropping-particle":"","family":"Zhan","given":"X. L.","non-dropping-particle":"","parse-names":false,"suffix":""},{"dropping-particle":"","family":"Hong","given":"Y.","non-dropping-particle":"","parse-names":false,"suffix":""},{"dropping-particle":"","family":"Zhu","given":"T.","non-dropping-particle":"","parse-names":false,"suffix":""},{"dropping-particle":"","family":"Mitchell","given":"A. P.","non-dropping-particle":"","parse-names":false,"suffix":""},{"dropping-particle":"","family":"Deschenes","given":"R. J.","non-dropping-particle":"","parse-names":false,"suffix":""},{"dropping-particle":"","family":"Guan","given":"K. L.","non-dropping-particle":"","parse-names":false,"suffix":""}],"container-title":"Molecular Biology of the Cell","id":"ITEM-1","issue":"2","issued":{"date-parts":[["2000"]]},"page":"663–76","title":"Essential functions of protein tyrosine phosphatases PTP2 and PTP3 and RIM11 tyrosine phosphorylation in Saccharomyces cerevisiae meiosis and sporulation.","type":"article-journal","volume":"11"},"uris":["http://www.mendeley.com/documents/?uuid=58d73945-13c7-4c8d-bf62-2c76c12e9b6f"]}],"mendeley":{"formattedCitation":"(Zhan et al., 2000)","plainTextFormattedCitation":"(Zhan et al., 2000)","previouslyFormattedCitation":"(Zhan et al., 2000)"},"properties":{"noteIndex":0},"schema":"https://github.com/citation-style-language/schema/raw/master/csl-citation.json"}</w:instrText>
      </w:r>
      <w:r w:rsidRPr="000D7D3D">
        <w:rPr>
          <w:i/>
        </w:rPr>
        <w:fldChar w:fldCharType="separate"/>
      </w:r>
      <w:r w:rsidRPr="000D7D3D">
        <w:rPr>
          <w:noProof/>
        </w:rPr>
        <w:t>(Zhan et al., 2000)</w:t>
      </w:r>
      <w:r w:rsidRPr="000D7D3D">
        <w:rPr>
          <w:i/>
        </w:rPr>
        <w:fldChar w:fldCharType="end"/>
      </w:r>
      <w:r w:rsidRPr="000D7D3D">
        <w:t xml:space="preserve">. On the other hand, diacylglycerol kinases, which convert diacylglycerol into phosphatidic acid, has been shown to be key regulators of lipid signalling in diverse fungal species </w:t>
      </w:r>
      <w:r w:rsidRPr="000D7D3D">
        <w:fldChar w:fldCharType="begin" w:fldLock="1"/>
      </w:r>
      <w:r w:rsidR="00EE33AB">
        <w:instrText>ADDIN CSL_CITATION {"citationItems":[{"id":"ITEM-1","itemData":{"DOI":"https://doi.org/10.1016/j.mib.2006.06.003","ISSN":"1369-5274","author":[{"dropping-particle":"","family":"Shea","given":"John M","non-dropping-particle":"","parse-names":false,"suffix":""},{"dropping-particle":"","family":"Poeta","given":"Maurizio","non-dropping-particle":"Del","parse-names":false,"suffix":""}],"container-title":"Current Opinion in Microbiology","id":"ITEM-1","issue":"4","issued":{"date-parts":[["2006"]]},"page":"352-358","title":"Lipid signaling in pathogenic fungi","type":"article-journal","volume":"9"},"uris":["http://www.mendeley.com/documents/?uuid=2917d5e0-cd2d-47ba-ab91-056e5d070408"]}],"mendeley":{"formattedCitation":"(Shea and Del Poeta, 2006)","plainTextFormattedCitation":"(Shea and Del Poeta, 2006)","previouslyFormattedCitation":"(Shea and Del Poeta, 2006)"},"properties":{"noteIndex":0},"schema":"https://github.com/citation-style-language/schema/raw/master/csl-citation.json"}</w:instrText>
      </w:r>
      <w:r w:rsidRPr="000D7D3D">
        <w:fldChar w:fldCharType="separate"/>
      </w:r>
      <w:r w:rsidRPr="000D7D3D">
        <w:rPr>
          <w:noProof/>
        </w:rPr>
        <w:t>(Shea and Del Poeta, 2006)</w:t>
      </w:r>
      <w:r w:rsidRPr="000D7D3D">
        <w:fldChar w:fldCharType="end"/>
      </w:r>
      <w:r w:rsidRPr="000D7D3D">
        <w:t>.</w:t>
      </w:r>
    </w:p>
    <w:p w14:paraId="47D5D01F" w14:textId="7120C252" w:rsidR="000D7D3D" w:rsidRPr="000D7D3D" w:rsidRDefault="000D7D3D" w:rsidP="00FB36B8">
      <w:pPr>
        <w:ind w:firstLine="720"/>
      </w:pPr>
      <w:r w:rsidRPr="000D7D3D">
        <w:t xml:space="preserve">Other prominent classes of genes upregulated in </w:t>
      </w:r>
      <w:r w:rsidR="00725138">
        <w:t xml:space="preserve">the </w:t>
      </w:r>
      <w:r w:rsidRPr="000D7D3D">
        <w:t xml:space="preserve">presence of </w:t>
      </w:r>
      <w:r w:rsidR="00412326">
        <w:t>HAP</w:t>
      </w:r>
      <w:r w:rsidR="00412326" w:rsidRPr="000D7D3D">
        <w:t xml:space="preserve"> </w:t>
      </w:r>
      <w:r w:rsidRPr="000D7D3D">
        <w:t xml:space="preserve">in S conditions include putative redox proteins, such as multiple </w:t>
      </w:r>
      <w:r w:rsidR="00412326">
        <w:t>c</w:t>
      </w:r>
      <w:r w:rsidRPr="000D7D3D">
        <w:t>ytochromes P450 (Figure 5.5A). These heme-thiolate monooxygenase</w:t>
      </w:r>
      <w:r w:rsidR="00C659C9">
        <w:t>s show great diversity between B</w:t>
      </w:r>
      <w:r w:rsidRPr="000D7D3D">
        <w:t xml:space="preserve">asidiomycota species and catalytic versatility </w:t>
      </w:r>
      <w:r w:rsidRPr="000D7D3D">
        <w:fldChar w:fldCharType="begin" w:fldLock="1"/>
      </w:r>
      <w:r w:rsidR="00EE33AB">
        <w:instrText>ADDIN CSL_CITATION {"citationItems":[{"id":"ITEM-1","itemData":{"DOI":"10.1371/journal.pone.0142100","ISBN":"1932-6203 (Electronic)\\r1932-6203 (Linking)","ISSN":"19326203","PMID":"26536121","abstract":"Fungi are an exceptional source of diverse and novel cytochrome P450 monooxygenases (P450s), heme-thiolate proteins, with catalytic versatility. Agaricomycotina saprophytes have yielded most of the available information on basidiomycete P450s. This resulted in observing similar P450 family types in basidiomycetes with few differences in P450 families among Agaricomycotina saprophytes. The present study demonstrated the presence of unique P450 family patterns in basidiomycete biotrophic plant pathogens that could possibly have originated from the adaptation of these species to different ecological niches (host influence). Systematic analysis of P450s in basidiomycete biotrophic plant pathogens belonging to three different orders, Agaricomycotina (Armillaria mellea), Pucciniomycotina (Melampsora laricis-populina, M. lini, Mixia osmundae and Puccinia graminis) and Ustilaginomycotina (Ustilago maydis, Sporisorium reilianum and Tilletiaria anomala), revealed the presence of numerous putative P450s ranging from 267 (A. mellea) to 14 (M. osmundae). Analysis of P450 families revealed the presence of 41 new P450 families and 27 new P450 subfamilies in these biotrophic plant pathogens. Order-level comparison of P450 families between biotrophic plant pathogens revealed the presence of unique P450 family patterns in these organisms, possibly reflecting the characteristics of their order. Further comparison of P450 families with basidiomycete non-pathogens confirmed that biotrophic plant pathogens harbour the unique P450 families in their genomes. The CYP63, CYP5037, CYP5136, CYP5137 and CYP5341 P450 families were expanded in A. mellea when compared to other Agaricomycotina saprophytes and the CYP5221 and CYP5233 P450 families in P. graminis and M. laricis-populina. The present study revealed that expansion of these P450 families is due to paralogous evolution of member P450s. The presence of unique P450 families in these organisms serves as evidence of how a host/ecological niche can influence shaping the P450 content of an organism. The present study initiates our understanding of P450 family patterns in basidiomycete biotrophic plant pathogens.","author":[{"dropping-particle":"","family":"Qhanya","given":"Lehlohonolo Benedict","non-dropping-particle":"","parse-names":false,"suffix":""},{"dropping-particle":"","family":"Matowane","given":"Godfrey","non-dropping-particle":"","parse-names":false,"suffix":""},{"dropping-particle":"","family":"Chen","given":"Wanping","non-dropping-particle":"","parse-names":false,"suffix":""},{"dropping-particle":"","family":"Sun","given":"Yuxin","non-dropping-particle":"","parse-names":false,"suffix":""},{"dropping-particle":"","family":"Letsimo","given":"Elizabeth Mpholoseng","non-dropping-particle":"","parse-names":false,"suffix":""},{"dropping-particle":"","family":"Parvez","given":"Mohammad","non-dropping-particle":"","parse-names":false,"suffix":""},{"dropping-particle":"","family":"Yu","given":"Jae Hyuk","non-dropping-particle":"","parse-names":false,"suffix":""},{"dropping-particle":"","family":"Mashele","given":"Samson Sitheni","non-dropping-particle":"","parse-names":false,"suffix":""},{"dropping-particle":"","family":"Syed","given":"Khajamohiddin","non-dropping-particle":"","parse-names":false,"suffix":""}],"container-title":"PLoS ONE","id":"ITEM-1","issue":"11","issued":{"date-parts":[["2015"]]},"page":"1-17","title":"Genome-wide annotation and comparative analysis of cytochrome P450 monooxygenases in basidiomycete biotrophic plant pathogens","type":"article-journal","volume":"10"},"uris":["http://www.mendeley.com/documents/?uuid=4311026f-383e-4393-8abf-2fb130a8234b"]}],"mendeley":{"formattedCitation":"(Qhanya et al., 2015)","plainTextFormattedCitation":"(Qhanya et al., 2015)","previouslyFormattedCitation":"(Qhanya et al., 2015)"},"properties":{"noteIndex":0},"schema":"https://github.com/citation-style-language/schema/raw/master/csl-citation.json"}</w:instrText>
      </w:r>
      <w:r w:rsidRPr="000D7D3D">
        <w:fldChar w:fldCharType="separate"/>
      </w:r>
      <w:r w:rsidRPr="000D7D3D">
        <w:rPr>
          <w:noProof/>
        </w:rPr>
        <w:t>(Qhanya et al., 2015)</w:t>
      </w:r>
      <w:r w:rsidRPr="000D7D3D">
        <w:fldChar w:fldCharType="end"/>
      </w:r>
      <w:r w:rsidR="00C659C9">
        <w:t>, and have</w:t>
      </w:r>
      <w:r w:rsidRPr="000D7D3D">
        <w:t xml:space="preserve"> been found to be upregulated in a previous transcriptional analysis of </w:t>
      </w:r>
      <w:r w:rsidR="00C659C9">
        <w:t>K</w:t>
      </w:r>
      <w:r w:rsidRPr="000D7D3D">
        <w:t xml:space="preserve"> feldspar weathering by </w:t>
      </w:r>
      <w:r w:rsidRPr="000D7D3D">
        <w:rPr>
          <w:i/>
        </w:rPr>
        <w:t xml:space="preserve">A. fumigatus </w:t>
      </w:r>
      <w:r w:rsidRPr="000D7D3D">
        <w:rPr>
          <w:i/>
        </w:rPr>
        <w:fldChar w:fldCharType="begin" w:fldLock="1"/>
      </w:r>
      <w:r w:rsidR="00EE33AB">
        <w:rPr>
          <w:i/>
        </w:rPr>
        <w:instrText>ADDIN CSL_CITATION {"citationItems":[{"id":"ITEM-1","itemData":{"DOI":"10.1016/j.chemgeo.2012.02.014","ISBN":"0009-2541","ISSN":"00092541","abstract":"In order to determine the mechanisms by which fungi weather potassium-bearing minerals on a molecular level, we prepared differential expression cDNA libraries of Aspergillus fumigatus using suppression subtractive hybridization (SSH) technology. The specimens were cultured with and without potassium-bearing minerals. Among genes that were upregulated by the presence of these minerals, 24% were found to be involved in carbon source consumption. Of downregulated genes, 54% were found to code for membrane proteins. This study showed that the factors that could accelerate weathering of K-bearing minerals involved organic acids, carbonic acid, and redox participant molecules. K-bearing minerals were found to upregulate the expression of carbonic anhydrase (CA), implying that A. fumigatus was capable of converting CO 2 into carbonate to accelerate the weathering of potassium-bearing minerals, which fixed CO 2. During mineral weathering, the fungus changed its metabolism, produced more metal-binding proteins, and reduced membrane metal transporter expression, which can modulate ion absorption and disposal and promote acid production. The results of this study may improve our understanding of the mechanisms by which microorganisms weather silicate minerals. Because silicate weathering consumes CO 2, the current study provides molecular evidence for the participation of microorganisms in silicate weathering and carbonate formation. © 2012 Elsevier B.V.","author":[{"dropping-particle":"","family":"Xiao","given":"Bo","non-dropping-particle":"","parse-names":false,"suffix":""},{"dropping-particle":"","family":"Lian","given":"Bin","non-dropping-particle":"","parse-names":false,"suffix":""},{"dropping-particle":"","family":"Sun","given":"Leilei","non-dropping-particle":"","parse-names":false,"suffix":""},{"dropping-particle":"","family":"Shao","given":"Weilan","non-dropping-particle":"","parse-names":false,"suffix":""}],"container-title":"Chemical Geology","id":"ITEM-1","issued":{"date-parts":[["2012"]]},"page":"1-9","publisher":"Elsevier B.V.","title":"Gene transcription response to weathering of K-bearing minerals by Aspergillus fumigatus","type":"article-journal","volume":"306-307"},"uris":["http://www.mendeley.com/documents/?uuid=dfd0d7fb-57a5-4c5b-8318-68d054ab1459"]}],"mendeley":{"formattedCitation":"(Xiao et al., 2012)","plainTextFormattedCitation":"(Xiao et al., 2012)","previouslyFormattedCitation":"(Xiao et al., 2012)"},"properties":{"noteIndex":0},"schema":"https://github.com/citation-style-language/schema/raw/master/csl-citation.json"}</w:instrText>
      </w:r>
      <w:r w:rsidRPr="000D7D3D">
        <w:rPr>
          <w:i/>
        </w:rPr>
        <w:fldChar w:fldCharType="separate"/>
      </w:r>
      <w:r w:rsidRPr="000D7D3D">
        <w:rPr>
          <w:noProof/>
        </w:rPr>
        <w:t>(Xiao et al., 2012)</w:t>
      </w:r>
      <w:r w:rsidRPr="000D7D3D">
        <w:rPr>
          <w:i/>
        </w:rPr>
        <w:fldChar w:fldCharType="end"/>
      </w:r>
      <w:r w:rsidRPr="000D7D3D">
        <w:t xml:space="preserve">. Interestingly, bacterial cytochromes with multiple heme-groups have been investigated for their ability to transfer electrons directly on the surface of </w:t>
      </w:r>
      <w:r w:rsidR="00C659C9">
        <w:t>iron (</w:t>
      </w:r>
      <w:r w:rsidRPr="000D7D3D">
        <w:t>Fe</w:t>
      </w:r>
      <w:r w:rsidR="00C659C9">
        <w:t>)</w:t>
      </w:r>
      <w:r w:rsidRPr="000D7D3D">
        <w:t xml:space="preserve">- or </w:t>
      </w:r>
      <w:r w:rsidR="00C659C9">
        <w:t>magnesium (</w:t>
      </w:r>
      <w:r w:rsidRPr="000D7D3D">
        <w:t>Mn</w:t>
      </w:r>
      <w:r w:rsidR="00C659C9">
        <w:t>)</w:t>
      </w:r>
      <w:r w:rsidRPr="000D7D3D">
        <w:t xml:space="preserve">-based minerals, resulting to altered mineral structure </w:t>
      </w:r>
      <w:r w:rsidRPr="000D7D3D">
        <w:fldChar w:fldCharType="begin" w:fldLock="1"/>
      </w:r>
      <w:r w:rsidR="00EE33AB">
        <w:instrText>ADDIN CSL_CITATION {"citationItems":[{"id":"ITEM-1","itemData":{"DOI":"10.1111/j.1472-4669.2008.00146.x","ISBN":"1472-4669 (Electronic)\\r1472-4669 (Linking)","ISSN":"14724677","PMID":"18498527","abstract":"The interplay between microorganisms and minerals is a complex and dynamic process that has sculpted the geosphere for nearly the entire history of the Earth. The work of Dr Terry Beveridge and colleagues provided some of the first insights into metal-microbe and mineral-microbe interactions and established a foundation for subsequent detailed investigations of interactions between microorganisms and minerals. Beveridge also envisioned that interdisciplinary approaches and teams would be required to explain how individual microbial cells interact with their immediate environment at nano- or microscopic scales and that through such approaches and using emerging technologies that the details of such interactions would be revealed at the molecular level. With this vision as incentive and inspiration, a multidisciplinary, collaborative team-based investigation was initiated to probe the process of electron transfer (ET) at the microbe-mineral interface. The grand challenge to this team was to address the hypothesis that multiheme c-type cytochromes of dissimilatory metal-reducing bacteria localized to the cell exterior function as the terminal reductases in ET to Fe(III) and Mn(IV) oxides. This question has been the subject of extensive investigation for years, yet the answer has remained elusive. The team involves an integrated group of experimental and computational capabilities at US Department of Energy's Environmental Molecular Sciences Laboratory, a national scientific user facility, as the collaborative focal point. The approach involves a combination of in vitro and in vivo biologic and biogeochemical experiments and computational analyses that, when integrated, provide a conceptual model of the ET process. The resulting conceptual model will be evaluated by integrating and comparing various experimental, i.e. in vitro and in vivo ET kinetics, and theoretical results. Collectively, the grand challenge will provide a detailed view of how organisms engage with mineral surfaces to exchange energy and electron density as required for life function.","author":[{"dropping-particle":"","family":"Fredrickson","given":"J. K.","non-dropping-particle":"","parse-names":false,"suffix":""},{"dropping-particle":"","family":"Zachara","given":"J. M.","non-dropping-particle":"","parse-names":false,"suffix":""}],"container-title":"Geobiology","id":"ITEM-1","issue":"3","issued":{"date-parts":[["2008"]]},"page":"245-253","title":"Electron transfer at the microbe-mineral interface: A grand challenge in biogeochemistry","type":"article-journal","volume":"6"},"uris":["http://www.mendeley.com/documents/?uuid=d2682488-a472-48b6-b56d-e1586b40f525"]},{"id":"ITEM-2","itemData":{"DOI":"10.1073/pnas.1305244110","ISBN":"1091-6490 (Electronic)\\n0027-8424 (Linking)","ISSN":"0027-8424","PMID":"23630260","abstract":"Remarkably, many bacteria live and thrive in the earth’s subsurface by respiring extracellular insoluble minerals. Okamato et al. (1) in PNAS report how this process may be accelerated by the presence of flavins that bind as cofactors to electron transport proteins on the cell surface that are key to extracellular mineral respiration.  Humans obtain the energy needed for life by respiring oxygen. This process involves using electrons extracted from food to reduce oxygen into water in our mitochondria. Free energy is released in this process, and we use this to make ATP, which is the universal energy currency of life. Our dependency on oxygen makes us obligate aerobes—take away the oxygen and we die. Thus, humans are confined to living on the surface of planet Earth where oxygen is freely available. However, the vast proportion of the earth’s habitable environments is not exploited by humans, but by a diversity of microorganisms, including bacteria, that can live in the absence of oxygen through a process called anaerobic respiration.  Some of the best studied anaerobic respiratory electron acceptors are water soluble, such as nitrate or sulfate, and these anions can be transported relatively easily into bacterial cells where their respiratory reduction occurs. However, insoluble minerals, particularly minerals of iron and manganese, represent some of the most abundant respiratory substrates in the earth's subsurface environments. In fact “mineral iron respiration” is among the most widespread respiratory processes in anoxic zones and so has wide environmental significance (2–4). For example, it directly impacts on the balance of several biogeochemical cycles such as the nitrogen, sulfur, and carbon cycles, and in turn influence the release of potent greenhouse gases, such as nitrous oxide.  In some aspects, the way bacteria respire mineral iron (or manganese) is similar to the way in which our …","author":[{"dropping-particle":"","family":"Richardson","given":"D. J.","non-dropping-particle":"","parse-names":false,"suffix":""},{"dropping-particle":"","family":"Butt","given":"J. N.","non-dropping-particle":"","parse-names":false,"suffix":""},{"dropping-particle":"","family":"Clarke","given":"T. A.","non-dropping-particle":"","parse-names":false,"suffix":""}],"container-title":"Proceedings of the National Academy of Sciences","id":"ITEM-2","issue":"19","issued":{"date-parts":[["2013"]]},"page":"7537-7538","title":"Controlling electron transfer at the microbe-mineral interface","type":"article-journal","volume":"110"},"uris":["http://www.mendeley.com/documents/?uuid=8fe31865-ae98-425b-8bee-dc2c8cef7e2d"]}],"mendeley":{"formattedCitation":"(Fredrickson and Zachara, 2008; Richardson et al., 2013)","plainTextFormattedCitation":"(Fredrickson and Zachara, 2008; Richardson et al., 2013)","previouslyFormattedCitation":"(Fredrickson and Zachara, 2008; Richardson et al., 2013)"},"properties":{"noteIndex":0},"schema":"https://github.com/citation-style-language/schema/raw/master/csl-citation.json"}</w:instrText>
      </w:r>
      <w:r w:rsidRPr="000D7D3D">
        <w:fldChar w:fldCharType="separate"/>
      </w:r>
      <w:r w:rsidRPr="000D7D3D">
        <w:rPr>
          <w:noProof/>
        </w:rPr>
        <w:t>(Fredrickson and Zachara, 2008; Richardson et al., 2013)</w:t>
      </w:r>
      <w:r w:rsidRPr="000D7D3D">
        <w:fldChar w:fldCharType="end"/>
      </w:r>
      <w:r w:rsidRPr="000D7D3D">
        <w:t>. This process has been shown to be enhanced by extracellular secretion of redox compounds like flavins o</w:t>
      </w:r>
      <w:r w:rsidR="00412326">
        <w:t>r</w:t>
      </w:r>
      <w:r w:rsidRPr="000D7D3D">
        <w:t xml:space="preserve"> quinones </w:t>
      </w:r>
      <w:r w:rsidRPr="000D7D3D">
        <w:fldChar w:fldCharType="begin" w:fldLock="1"/>
      </w:r>
      <w:r w:rsidR="00EE33AB">
        <w:instrText>ADDIN CSL_CITATION {"citationItems":[{"id":"ITEM-1","itemData":{"DOI":"10.1073/pnas.1220823110","ISBN":"0027-8424","ISSN":"0027-8424","PMID":"23576738","abstract":"Extracellular redox-active compounds, flavins and other quinones, have been hypothesized to play a major role in the delivery of electrons from cellular metabolic systems to extracellular insoluble substrates by a diffusion-based shuttling two-electron-transfer mechanism. Here we show that flavin molecules secreted by Shewanella oneidensis MR-1 enhance the ability of its outer-membrane c-type cytochromes (OM c-Cyts) to transport electrons as redox cofactors, but not free-form flavins. Whole-cell differential pulse voltammetry revealed that the redox potential of flavin was reversibly shifted more than 100 mV in a positive direction, in good agreement with increasing microbial current generation. Importantly, this flavin/OM c-Cyts interaction was found to facilitate a one-electron redox reaction via a semiquinone, resulting in a 10(3)- to 10(5)-fold faster reaction rate than that of free flavin. These results are not consistent with previously proposed redox-shuttling mechanisms but suggest that the flavin/OM c-Cyts interaction regulates the extent of extracellular electron transport coupled with intracellular metabolic activity.","author":[{"dropping-particle":"","family":"Okamoto","given":"A.","non-dropping-particle":"","parse-names":false,"suffix":""},{"dropping-particle":"","family":"Hashimoto","given":"K.","non-dropping-particle":"","parse-names":false,"suffix":""},{"dropping-particle":"","family":"Nealson","given":"K. H.","non-dropping-particle":"","parse-names":false,"suffix":""},{"dropping-particle":"","family":"Nakamura","given":"R.","non-dropping-particle":"","parse-names":false,"suffix":""}],"container-title":"Proceedings of the National Academy of Sciences","id":"ITEM-1","issue":"19","issued":{"date-parts":[["2013"]]},"page":"7856-7861","title":"Rate enhancement of bacterial extracellular electron transport involves bound flavin semiquinones","type":"article-journal","volume":"110"},"uris":["http://www.mendeley.com/documents/?uuid=6bafd423-89ed-48b3-b4c4-81cc0c88e4ac"]}],"mendeley":{"formattedCitation":"(Okamoto et al., 2013)","plainTextFormattedCitation":"(Okamoto et al., 2013)","previouslyFormattedCitation":"(Okamoto et al., 2013)"},"properties":{"noteIndex":0},"schema":"https://github.com/citation-style-language/schema/raw/master/csl-citation.json"}</w:instrText>
      </w:r>
      <w:r w:rsidRPr="000D7D3D">
        <w:fldChar w:fldCharType="separate"/>
      </w:r>
      <w:r w:rsidRPr="000D7D3D">
        <w:rPr>
          <w:noProof/>
        </w:rPr>
        <w:t>(Okamoto et al., 2013)</w:t>
      </w:r>
      <w:r w:rsidRPr="000D7D3D">
        <w:fldChar w:fldCharType="end"/>
      </w:r>
      <w:r w:rsidRPr="000D7D3D">
        <w:t xml:space="preserve">. Analysis of putative cellular localization of the three upregulated </w:t>
      </w:r>
      <w:r w:rsidR="00412326">
        <w:t>c</w:t>
      </w:r>
      <w:r w:rsidR="00412326" w:rsidRPr="000D7D3D">
        <w:t xml:space="preserve">ytochrome </w:t>
      </w:r>
      <w:r w:rsidRPr="000D7D3D">
        <w:t>P450</w:t>
      </w:r>
      <w:r w:rsidR="00156ECD">
        <w:t xml:space="preserve"> enzymes</w:t>
      </w:r>
      <w:r w:rsidRPr="000D7D3D">
        <w:t xml:space="preserve"> of </w:t>
      </w:r>
      <w:r w:rsidRPr="000D7D3D">
        <w:rPr>
          <w:i/>
        </w:rPr>
        <w:t>P. involutus</w:t>
      </w:r>
      <w:r w:rsidRPr="000D7D3D">
        <w:t xml:space="preserve"> revealed that one of them (protein ID 82157, </w:t>
      </w:r>
      <w:r w:rsidRPr="000D7D3D">
        <w:lastRenderedPageBreak/>
        <w:t xml:space="preserve">JGI database) </w:t>
      </w:r>
      <w:r w:rsidR="00156ECD">
        <w:t>is</w:t>
      </w:r>
      <w:r w:rsidRPr="000D7D3D">
        <w:t xml:space="preserve"> localize</w:t>
      </w:r>
      <w:r w:rsidR="00156ECD">
        <w:t>d in</w:t>
      </w:r>
      <w:r w:rsidRPr="000D7D3D">
        <w:t xml:space="preserve"> the plasma membrane, according to WoLF PSORT protein localization tool </w:t>
      </w:r>
      <w:r w:rsidRPr="000D7D3D">
        <w:fldChar w:fldCharType="begin" w:fldLock="1"/>
      </w:r>
      <w:r w:rsidR="00EE33AB">
        <w:instrText>ADDIN CSL_CITATION {"citationItems":[{"id":"ITEM-1","itemData":{"DOI":"10.1093/nar/gkm259","ISBN":"1362-4962 (Electronic) 0305-1048 (Linking)","ISSN":"03051048","PMID":"17517783","abstract":"WoLF PSORT is an extension of the PSORT II program for protein subcellular location prediction. WoLF PSORT converts protein amino acid sequences into numerical localization features; based on sorting signals, amino acid composition and functional motifs such as DNA-binding motifs. After conversion, a simple k-nearest neighbor classifier is used for prediction. Using html, the evidence for each prediction is shown in two ways: (i) a list of proteins of known localization with the most similar localization features to the query, and (ii) tables with detailed information about individual localization features. For convenience, sequence alignments of the query to similar proteins and links to UniProt and Gene Ontology are provided. Taken together, this information allows a user to understand the evidence (or lack thereof) behind the predictions made for particular proteins. WoLF PSORT is available at wolfpsort.org.","author":[{"dropping-particle":"","family":"Horton","given":"Paul","non-dropping-particle":"","parse-names":false,"suffix":""},{"dropping-particle":"","family":"Park","given":"Keun Joon","non-dropping-particle":"","parse-names":false,"suffix":""},{"dropping-particle":"","family":"Obayashi","given":"Takeshi","non-dropping-particle":"","parse-names":false,"suffix":""},{"dropping-particle":"","family":"Fujita","given":"Naoya","non-dropping-particle":"","parse-names":false,"suffix":""},{"dropping-particle":"","family":"Harada","given":"Hajime","non-dropping-particle":"","parse-names":false,"suffix":""},{"dropping-particle":"","family":"Adams-Collier","given":"C. J.","non-dropping-particle":"","parse-names":false,"suffix":""},{"dropping-particle":"","family":"Nakai","given":"Kenta","non-dropping-particle":"","parse-names":false,"suffix":""}],"container-title":"Nucleic Acids Research","id":"ITEM-1","issue":"17","issued":{"date-parts":[["2007"]]},"page":"585-587","title":"WoLF PSORT: Protein localization predictor","type":"article-journal","volume":"35"},"uris":["http://www.mendeley.com/documents/?uuid=8ba0a70f-d34c-4fbd-8a03-cd2f3cdce813"]}],"mendeley":{"formattedCitation":"(Horton et al., 2007)","plainTextFormattedCitation":"(Horton et al., 2007)","previouslyFormattedCitation":"(Horton et al., 2007)"},"properties":{"noteIndex":0},"schema":"https://github.com/citation-style-language/schema/raw/master/csl-citation.json"}</w:instrText>
      </w:r>
      <w:r w:rsidRPr="000D7D3D">
        <w:fldChar w:fldCharType="separate"/>
      </w:r>
      <w:r w:rsidRPr="000D7D3D">
        <w:rPr>
          <w:noProof/>
        </w:rPr>
        <w:t>(Horton et al., 2007)</w:t>
      </w:r>
      <w:r w:rsidRPr="000D7D3D">
        <w:fldChar w:fldCharType="end"/>
      </w:r>
      <w:r w:rsidRPr="000D7D3D">
        <w:t xml:space="preserve">. It is tempting to speculate that </w:t>
      </w:r>
      <w:r w:rsidR="00156ECD">
        <w:t>the identified</w:t>
      </w:r>
      <w:r w:rsidRPr="000D7D3D">
        <w:t xml:space="preserve"> </w:t>
      </w:r>
      <w:r w:rsidR="00424A86">
        <w:t>c</w:t>
      </w:r>
      <w:r w:rsidR="00424A86" w:rsidRPr="000D7D3D">
        <w:t xml:space="preserve">ytochrome </w:t>
      </w:r>
      <w:r w:rsidRPr="000D7D3D">
        <w:t xml:space="preserve">P450 </w:t>
      </w:r>
      <w:r w:rsidR="00D86615">
        <w:t>of</w:t>
      </w:r>
      <w:r w:rsidR="00D86615" w:rsidRPr="000D7D3D">
        <w:t xml:space="preserve"> </w:t>
      </w:r>
      <w:r w:rsidR="00D86615" w:rsidRPr="000D7D3D">
        <w:rPr>
          <w:i/>
        </w:rPr>
        <w:t>P. involutus</w:t>
      </w:r>
      <w:r w:rsidR="00D86615">
        <w:t xml:space="preserve"> </w:t>
      </w:r>
      <w:r w:rsidRPr="000D7D3D">
        <w:t xml:space="preserve">may also act directly on </w:t>
      </w:r>
      <w:r w:rsidR="00725138">
        <w:t xml:space="preserve">the </w:t>
      </w:r>
      <w:r w:rsidRPr="000D7D3D">
        <w:t>mineral surface as its substrate, potentially affecting mineral structure.</w:t>
      </w:r>
    </w:p>
    <w:p w14:paraId="709E0150" w14:textId="61479B03" w:rsidR="000D7D3D" w:rsidRDefault="000D7D3D" w:rsidP="007C3C15">
      <w:pPr>
        <w:ind w:firstLine="720"/>
      </w:pPr>
      <w:r w:rsidRPr="000D7D3D">
        <w:t xml:space="preserve">The gene showing the most significant upregulation in </w:t>
      </w:r>
      <w:r w:rsidRPr="000D7D3D">
        <w:rPr>
          <w:i/>
        </w:rPr>
        <w:t>P. involutus</w:t>
      </w:r>
      <w:r w:rsidRPr="000D7D3D">
        <w:t xml:space="preserve"> hyphae in </w:t>
      </w:r>
      <w:r w:rsidR="00D86615">
        <w:t xml:space="preserve">the </w:t>
      </w:r>
      <w:r w:rsidRPr="000D7D3D">
        <w:t xml:space="preserve">presence of </w:t>
      </w:r>
      <w:r w:rsidR="00B85661">
        <w:t>HAP</w:t>
      </w:r>
      <w:r w:rsidR="00B85661" w:rsidRPr="000D7D3D">
        <w:t xml:space="preserve"> </w:t>
      </w:r>
      <w:r w:rsidRPr="000D7D3D">
        <w:t>in S conditions encodes for a putative formate dehydrogenase (Figure 5.5A). Interestingly, in fungi, upregulation of g</w:t>
      </w:r>
      <w:r w:rsidR="00725138">
        <w:t>enes coding for this enzyme has</w:t>
      </w:r>
      <w:r w:rsidRPr="000D7D3D">
        <w:t xml:space="preserve"> been linked with catabolism of formic and oxalic acid, when present in high concentrations, triggering the release of CO</w:t>
      </w:r>
      <w:r w:rsidRPr="000D7D3D">
        <w:rPr>
          <w:vertAlign w:val="subscript"/>
        </w:rPr>
        <w:t xml:space="preserve">2 </w:t>
      </w:r>
      <w:r w:rsidRPr="000D7D3D">
        <w:rPr>
          <w:vertAlign w:val="subscript"/>
        </w:rPr>
        <w:fldChar w:fldCharType="begin" w:fldLock="1"/>
      </w:r>
      <w:r w:rsidR="00EE33AB">
        <w:rPr>
          <w:vertAlign w:val="subscript"/>
        </w:rPr>
        <w:instrText>ADDIN CSL_CITATION {"citationItems":[{"id":"ITEM-1","itemData":{"DOI":"10.1111/j.1574-6968.2007.01022.x","ISBN":"0378-1097 (Print)\\r0378-1097 (Linking)","ISSN":"03781097","PMID":"18177307","abstract":"The authors have proposed previously that intracellular degradation of oxalic acid via formate to CO(2) occurs in the white-rot fungus Ceriporiopsis subvermispora. The formate degradation is catalyzed by NAD-dependent formate dehydrogenase (CsFDH). In this study, two cDNAs named CsFDH1 and CsFDH2 encoding CsFDH were cloned. Each cDNA consisting of 1077 bp encodes a mature protein composed of 358 amino acid residues. The amino acid sequences of the deduced CsFDH1 and CsFDH2 showed 99% identity to each other. The predicted molecular mass for each was 39.3 kDa, which was similar to that of CsFDH purified from the vegetative mycelia of Ceriporiopsis subvermispora (purified-CsFDH). The recombinant CsFDH1 and CsFDH2 expressed by Escherichia coli showed FDH activity with similar characteristics to the purified CsFDH. However, the amount of CsFDH1 transcript from the vegetative mycelia was 236-691 times greater than that of CsFDH2. Therefore, the results strongly suggest that CsFDH1, as compared with CsFDH2, predominantly contributes to the production of the purified CsFDH.","author":[{"dropping-particle":"","family":"Watanabe","given":"Tomoki","non-dropping-particle":"","parse-names":false,"suffix":""},{"dropping-particle":"","family":"Fujiwara","given":"Tadashi","non-dropping-particle":"","parse-names":false,"suffix":""},{"dropping-particle":"","family":"Umezawa","given":"Toshiaki","non-dropping-particle":"","parse-names":false,"suffix":""},{"dropping-particle":"","family":"Shimada","given":"Mikio","non-dropping-particle":"","parse-names":false,"suffix":""},{"dropping-particle":"","family":"Hattori","given":"Takefumi","non-dropping-particle":"","parse-names":false,"suffix":""}],"container-title":"FEMS Microbiology Letters","id":"ITEM-1","issue":"1","issued":{"date-parts":[["2008"]]},"page":"64-70","title":"Cloning of a cDNA encoding a NAD-dependent formate dehydrogenase involved in oxalic acid metabolism from the white-rot fungus Ceriporiopsis subvermispora and its gene expression analysis","type":"article-journal","volume":"279"},"uris":["http://www.mendeley.com/documents/?uuid=9c62d336-aec5-4113-bd75-b819490fe05e"]},{"id":"ITEM-2","itemData":{"DOI":"10.1016/j.micres.2017.03.002","ISSN":"09445013","abstract":"In this study, the transcriptomic-based response of the white rot fungus Abortiporus biennis to oxalic acid induction was reported. The whole transcriptome of A. biennis was analysed using the RNA-based sequencing technology and Solid 5500 platform. De novo assembly of reads generated 37,719 contigs. A molecular function for 26,280 unique transcripts was assigned. The analysis of the A. biennis transcriptome predicted 635 hypothetical open reading frames encoding carbohydrate active enzymes distributed in 122 families. 82 genes were identified, whose expression level was significantly changed after oxalic acid addition. Among them, 18 genes were up-regulated and 64 genes were down-regulated. Genes coding for putative cellulose and hemicellulose degrading enzymes were predominantly up-regulated in the mycelium induced with oxalic acid; it was in the case of cellulases and xylanases (hemicellulases), in particular, β-glucosidase and endo-1,4-β-xylanases. On the contrary, several genes coding for lignolytic enzymes were down-regulated, with the significant repression level in the case of versatile peroxidase. Finally, we identified putative genes involved in oxalate metabolism. Among the transcripts detected in the A. biennis transcriptome, one was annotated as coding for putative oxalate decarboxylase (ODC) and nine transcripts were annotated as formate dehydrogenases (FDH). The addition of oxalic acid to the culture caused upregulation of the gene coding for ODC and three genes for FDH. Amongst the transcripts of putative FDH genes, one designated as NODE_36057, demonstrated the highest induction level recorded in this study after the oxalic acid addition.","author":[{"dropping-particle":"","family":"Grąz","given":"Marcin","non-dropping-particle":"","parse-names":false,"suffix":""},{"dropping-particle":"","family":"Jarosz-Wilkołazka","given":"Anna","non-dropping-particle":"","parse-names":false,"suffix":""},{"dropping-particle":"","family":"Janusz","given":"Grzegorz","non-dropping-particle":"","parse-names":false,"suffix":""},{"dropping-particle":"","family":"Mazur","given":"Andrzej","non-dropping-particle":"","parse-names":false,"suffix":""},{"dropping-particle":"","family":"Wielbo","given":"Jerzy","non-dropping-particle":"","parse-names":false,"suffix":""},{"dropping-particle":"","family":"Koper","given":"Piotr","non-dropping-particle":"","parse-names":false,"suffix":""},{"dropping-particle":"","family":"Żebracki","given":"Kamil","non-dropping-particle":"","parse-names":false,"suffix":""},{"dropping-particle":"","family":"Kubik-Komar","given":"Agnieszka","non-dropping-particle":"","parse-names":false,"suffix":""}],"container-title":"Microbiological Research","id":"ITEM-2","issued":{"date-parts":[["2017"]]},"page":"79-88","title":"Transcriptome-based analysis of the saprophytic fungus Abortiporus biennis – response to oxalic acid","type":"article-journal","volume":"199"},"uris":["http://www.mendeley.com/documents/?uuid=0d35f426-df70-4b27-85f7-63351c26945a"]}],"mendeley":{"formattedCitation":"(Watanabe et al., 2008; Grąz et al., 2017)","plainTextFormattedCitation":"(Watanabe et al., 2008; Grąz et al., 2017)","previouslyFormattedCitation":"(Watanabe et al., 2008; Grąz et al., 2017)"},"properties":{"noteIndex":0},"schema":"https://github.com/citation-style-language/schema/raw/master/csl-citation.json"}</w:instrText>
      </w:r>
      <w:r w:rsidRPr="000D7D3D">
        <w:rPr>
          <w:vertAlign w:val="subscript"/>
        </w:rPr>
        <w:fldChar w:fldCharType="separate"/>
      </w:r>
      <w:r w:rsidRPr="000D7D3D">
        <w:rPr>
          <w:noProof/>
        </w:rPr>
        <w:t>(Watanabe et al., 2008; Grąz et al., 2017)</w:t>
      </w:r>
      <w:r w:rsidRPr="000D7D3D">
        <w:rPr>
          <w:vertAlign w:val="subscript"/>
        </w:rPr>
        <w:fldChar w:fldCharType="end"/>
      </w:r>
      <w:r w:rsidRPr="000D7D3D">
        <w:t xml:space="preserve">. The strong </w:t>
      </w:r>
      <w:r w:rsidR="00D86615">
        <w:t>induction</w:t>
      </w:r>
      <w:r w:rsidRPr="000D7D3D">
        <w:t xml:space="preserve"> of this gene in </w:t>
      </w:r>
      <w:r w:rsidRPr="000D7D3D">
        <w:rPr>
          <w:i/>
        </w:rPr>
        <w:t>P. involutus</w:t>
      </w:r>
      <w:r w:rsidRPr="000D7D3D">
        <w:t xml:space="preserve"> hyphae in </w:t>
      </w:r>
      <w:r w:rsidR="00725138">
        <w:t xml:space="preserve">the </w:t>
      </w:r>
      <w:r w:rsidRPr="000D7D3D">
        <w:t xml:space="preserve">presence of </w:t>
      </w:r>
      <w:r w:rsidR="00B85661">
        <w:t>HAP</w:t>
      </w:r>
      <w:r w:rsidR="00B85661" w:rsidRPr="000D7D3D">
        <w:t xml:space="preserve"> </w:t>
      </w:r>
      <w:r w:rsidRPr="000D7D3D">
        <w:t xml:space="preserve">in S conditions may be an indirect indication of </w:t>
      </w:r>
      <w:r w:rsidR="00D86615">
        <w:t>the presence</w:t>
      </w:r>
      <w:r w:rsidRPr="000D7D3D">
        <w:t xml:space="preserve"> of formic and oxalic acid </w:t>
      </w:r>
      <w:r w:rsidR="00D86615">
        <w:t>with</w:t>
      </w:r>
      <w:r w:rsidRPr="000D7D3D">
        <w:t xml:space="preserve">in the </w:t>
      </w:r>
      <w:r w:rsidR="00D86615">
        <w:t>HAP weathering system</w:t>
      </w:r>
      <w:r w:rsidRPr="000D7D3D">
        <w:t>. Additionally, the CO</w:t>
      </w:r>
      <w:r w:rsidRPr="00635993">
        <w:rPr>
          <w:vertAlign w:val="subscript"/>
        </w:rPr>
        <w:t>2</w:t>
      </w:r>
      <w:r w:rsidRPr="000D7D3D">
        <w:t xml:space="preserve"> released by the formate dehydrogenase reaction may contribute to increased acidification and drive additional mineral weathering </w:t>
      </w:r>
      <w:r w:rsidRPr="000D7D3D">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0D7D3D">
        <w:fldChar w:fldCharType="separate"/>
      </w:r>
      <w:r w:rsidRPr="000D7D3D">
        <w:rPr>
          <w:noProof/>
        </w:rPr>
        <w:t>(Hoffland et al., 2004)</w:t>
      </w:r>
      <w:r w:rsidRPr="000D7D3D">
        <w:fldChar w:fldCharType="end"/>
      </w:r>
      <w:r w:rsidRPr="000D7D3D">
        <w:t>.</w:t>
      </w:r>
    </w:p>
    <w:p w14:paraId="4F89F5E2" w14:textId="500B1C0F" w:rsidR="00C659C9" w:rsidRDefault="00C659C9" w:rsidP="00C659C9">
      <w:pPr>
        <w:ind w:firstLine="720"/>
      </w:pPr>
      <w:r w:rsidRPr="000D7D3D">
        <w:t>Additionally, a gene encoding a protei</w:t>
      </w:r>
      <w:r>
        <w:t>n containing an ANTH</w:t>
      </w:r>
      <w:r w:rsidRPr="000D7D3D">
        <w:t xml:space="preserve"> domain has been identified as upregulated. These proteins are involved in clathrin-coated vesicles formation in eukaryotes </w:t>
      </w:r>
      <w:r w:rsidRPr="000D7D3D">
        <w:fldChar w:fldCharType="begin" w:fldLock="1"/>
      </w:r>
      <w:r w:rsidR="00EE33AB">
        <w:instrText>ADDIN CSL_CITATION {"citationItems":[{"id":"ITEM-1","itemData":{"DOI":"10.1105/tpc.114.131680","ISBN":"1040-4651","ISSN":"1040-4651","PMID":"25415979","abstract":"Coated vesicles provide a major mechanism for the transport of proteins through the endomembrane system of plants. Transport between the endoplasmic reticulum and the Golgi involves vesicles with COPI and COPII coats, whereas clathrin is the predominant coat in endocytosis and post-Golgi trafficking. Sorting of cargo, coat assembly, budding, and fission are all complex and tightly regulated processes that involve many proteins. The mechanisms and responsible factors are largely conserved in eukaryotes, and increasing organismal complexity tends to be associated with a greater numbers of individual family members. Among the key factors is the class of ENTH/ANTH/VHS domain-containing proteins, which link membrane subdomains, clathrin, and other adapter proteins involved in early steps of clathrin coated vesicle formation. More than 30 Arabidopsis thaliana proteins contain this domain, but their generally low sequence conservation has made functional classification difficult. Reports from the last two years have greatly expanded our knowledge of these proteins and suggest that ENTH/ANTH/VHS domain proteins are involved in various instances of clathrin-related endomembrane trafficking in plants. This review aims to summarize these new findings and discuss the broader context of clathrin-dependent plant vesicular transport.","author":[{"dropping-particle":"","family":"Zouhar","given":"Jan","non-dropping-particle":"","parse-names":false,"suffix":""},{"dropping-particle":"","family":"Sauer","given":"Michael","non-dropping-particle":"","parse-names":false,"suffix":""}],"container-title":"The Plant Cell Online","id":"ITEM-1","issue":"11","issued":{"date-parts":[["2014"]]},"page":"4232-4244","title":"Helping Hands for Budding Prospects: ENTH/ANTH/VHS Accessory Proteins in Endocytosis, Vacuolar Transport, and Secretion","type":"article-journal","volume":"26"},"uris":["http://www.mendeley.com/documents/?uuid=bf80037a-1936-48b3-a6b0-b04e82566884"]}],"mendeley":{"formattedCitation":"(Zouhar and Sauer, 2014)","plainTextFormattedCitation":"(Zouhar and Sauer, 2014)","previouslyFormattedCitation":"(Zouhar and Sauer, 2014)"},"properties":{"noteIndex":0},"schema":"https://github.com/citation-style-language/schema/raw/master/csl-citation.json"}</w:instrText>
      </w:r>
      <w:r w:rsidRPr="000D7D3D">
        <w:fldChar w:fldCharType="separate"/>
      </w:r>
      <w:r w:rsidRPr="000D7D3D">
        <w:rPr>
          <w:noProof/>
        </w:rPr>
        <w:t>(Zouhar and Sauer, 2014)</w:t>
      </w:r>
      <w:r w:rsidRPr="000D7D3D">
        <w:fldChar w:fldCharType="end"/>
      </w:r>
      <w:r w:rsidRPr="000D7D3D">
        <w:t>, supporting the idea that transport of weathering compounds, potentially toxic for the fungal</w:t>
      </w:r>
      <w:r w:rsidR="00725138">
        <w:t xml:space="preserve"> cell, may operate in a vesicle-</w:t>
      </w:r>
      <w:r w:rsidRPr="000D7D3D">
        <w:t>mediated manner.</w:t>
      </w:r>
    </w:p>
    <w:p w14:paraId="78A541E9" w14:textId="1D08410F" w:rsidR="000D7D3D" w:rsidRPr="000D7D3D" w:rsidRDefault="000D7D3D" w:rsidP="00C659C9">
      <w:pPr>
        <w:ind w:firstLine="720"/>
      </w:pPr>
      <w:r w:rsidRPr="000D7D3D">
        <w:t xml:space="preserve">Multiple genes upregulated in </w:t>
      </w:r>
      <w:r w:rsidR="00725138">
        <w:t xml:space="preserve">the </w:t>
      </w:r>
      <w:r w:rsidRPr="000D7D3D">
        <w:t xml:space="preserve">presence of </w:t>
      </w:r>
      <w:r w:rsidR="00B85661">
        <w:t>HAP</w:t>
      </w:r>
      <w:r w:rsidR="00B85661" w:rsidRPr="000D7D3D">
        <w:t xml:space="preserve"> </w:t>
      </w:r>
      <w:r w:rsidRPr="000D7D3D">
        <w:t>in S conditions encode putative secondary metabolites biosynthetic enzymes, such as a ketopantoate hydroxymethyltransferase, a 2-oxoglutarate-Fe</w:t>
      </w:r>
      <w:r w:rsidR="00C659C9">
        <w:t>(II)</w:t>
      </w:r>
      <w:r w:rsidRPr="000D7D3D">
        <w:t xml:space="preserve">oxidoreductase, and </w:t>
      </w:r>
      <w:r w:rsidR="00B85661">
        <w:t>a</w:t>
      </w:r>
      <w:r w:rsidR="00B85661" w:rsidRPr="000D7D3D">
        <w:t>cyl</w:t>
      </w:r>
      <w:r w:rsidRPr="000D7D3D">
        <w:t xml:space="preserve">-CoA synthetase and thioesterase (Figure 5.5A). In </w:t>
      </w:r>
      <w:r w:rsidRPr="000D7D3D">
        <w:rPr>
          <w:i/>
        </w:rPr>
        <w:t>A</w:t>
      </w:r>
      <w:r w:rsidR="00725138">
        <w:rPr>
          <w:i/>
        </w:rPr>
        <w:t>.</w:t>
      </w:r>
      <w:r w:rsidRPr="000D7D3D">
        <w:rPr>
          <w:i/>
        </w:rPr>
        <w:t xml:space="preserve"> nidulans</w:t>
      </w:r>
      <w:r w:rsidRPr="000D7D3D">
        <w:t xml:space="preserve">, a ketopantoate hydroxymethyltransferase gene was shown to be required for biosynthesis of panthotenate and </w:t>
      </w:r>
      <w:r w:rsidR="00B85661">
        <w:t>c</w:t>
      </w:r>
      <w:r w:rsidRPr="000D7D3D">
        <w:t xml:space="preserve">oenzyme A </w:t>
      </w:r>
      <w:r w:rsidRPr="000D7D3D">
        <w:fldChar w:fldCharType="begin" w:fldLock="1"/>
      </w:r>
      <w:r w:rsidR="00EE33AB">
        <w:instrText>ADDIN CSL_CITATION {"citationItems":[{"id":"ITEM-1","itemData":{"DOI":"10.1007/s004380051065","ISBN":"0026-8925","ISSN":"00268925","PMID":"10503542","abstract":"Ketopantoate hydroxymethyltransferase, which is encoded by the panB gene in the lower eukaryote Aspergillus nidulans, is essential for the biosynthesis of coenzyme A, while the pathway intermediate 4'-phosphopantetheine is required for penicillin production. Ketopantoate hydroxymethyltransferase could also serve as a target for anti-fungal drugs, since it is not present in mammals. Clones of panB were identified by complementation of the corresponding mutant, and the DNA sequence of the gene was determined. The fungal panB gene encodes a predicted protein of molecular mass 37.7 kDa, containing two short sequence motifs; LeuValGlyAspSer and GlyIleGlyAlaGly, that are completely conserved between prokaryotic and eukaryotic homologues. The mutation panB100 was found to result in deletion of Gly-168, the last glycine within the latter conserved motif. Analysis by gel filtration suggests that the fungal PanB protein can be expressed in Escherichia coli as an active octameric enzyme. The panB transcript is present in low abundance and, most probably, a small increase in transcript levels occurs in the absence of exogenous pantothenate.","author":[{"dropping-particle":"","family":"Kurtov","given":"D.","non-dropping-particle":"","parse-names":false,"suffix":""},{"dropping-particle":"","family":"Kinghorn","given":"J. R.","non-dropping-particle":"","parse-names":false,"suffix":""},{"dropping-particle":"","family":"Unkles","given":"S. E.","non-dropping-particle":"","parse-names":false,"suffix":""}],"container-title":"Molecular and General Genetics","id":"ITEM-1","issue":"1","issued":{"date-parts":[["1999"]]},"page":"115-120","title":"The Aspergillus nidulans panB gene encodes ketopantoate hydroxymethyltransferase, required for biosynthesis of pantothenate and Coenzyme A","type":"article-journal","volume":"262"},"uris":["http://www.mendeley.com/documents/?uuid=8cb6b408-d50c-4285-8250-3258a68ea2f5"]}],"mendeley":{"formattedCitation":"(Kurtov et al., 1999)","plainTextFormattedCitation":"(Kurtov et al., 1999)","previouslyFormattedCitation":"(Kurtov et al., 1999)"},"properties":{"noteIndex":0},"schema":"https://github.com/citation-style-language/schema/raw/master/csl-citation.json"}</w:instrText>
      </w:r>
      <w:r w:rsidRPr="000D7D3D">
        <w:fldChar w:fldCharType="separate"/>
      </w:r>
      <w:r w:rsidRPr="000D7D3D">
        <w:rPr>
          <w:noProof/>
        </w:rPr>
        <w:t>(Kurtov et al., 1999)</w:t>
      </w:r>
      <w:r w:rsidRPr="000D7D3D">
        <w:fldChar w:fldCharType="end"/>
      </w:r>
      <w:r w:rsidR="00C659C9">
        <w:t>. Both 2-oxoglutarate-Fe(II)</w:t>
      </w:r>
      <w:r w:rsidRPr="000D7D3D">
        <w:t xml:space="preserve">oxidoreductase and polyketide synthase are involved in the biosynthesis of polyketides, secondary metabolites with diverse function </w:t>
      </w:r>
      <w:r w:rsidRPr="000D7D3D">
        <w:fldChar w:fldCharType="begin" w:fldLock="1"/>
      </w:r>
      <w:r w:rsidR="00EE33AB">
        <w:instrText>ADDIN CSL_CITATION {"citationItems":[{"id":"ITEM-1","itemData":{"DOI":"10.1016/S0076-6879(09)04603-5","ISBN":"9780123745910","ISSN":"00766879","PMID":"19362635","abstract":"Fungi produce a wide variety of biologically active compounds, a large proportion of which are produced by the polyketide biosynthetic pathway. Fungal polyketides comprise a very large and structurally very diverse group, and many display important biological activities, including lovastatin, aflatoxins, and strobilurins. These are produced by very large multifunctional iterative enzymes, the iterative type I polyketide synthases (PKSs) whose closest structural and functional analogues are the mammalian fatty acid synthases. Although fungal polyketides were one of the first classes of secondary metabolites to be subject to extensive biosynthetic studies, they remain the least studied and understood at the enzyme level. This chapter presents an overview of methodologies that have been applied to in vivo and in vitro genetic and biochemical studies on the PKSs responsible for both aromatic and highly reduced polyketide metabolites, and which are providing an improved insight into how these highly complex enzymes function. © 2009 Elsevier Inc. All rights reserved.","author":[{"dropping-particle":"","family":"Cox","given":"Russell J.","non-dropping-particle":"","parse-names":false,"suffix":""},{"dropping-particle":"","family":"Simpson","given":"Thomas J.","non-dropping-particle":"","parse-names":false,"suffix":""}],"container-title":"Methods in Enzymology","edition":"1","id":"ITEM-1","issue":"B","issued":{"date-parts":[["2009"]]},"number-of-pages":"49-78","publisher":"Elsevier Inc.","title":"Chapter 3 Fungal Type I Polyketide Synthases","type":"book","volume":"459"},"uris":["http://www.mendeley.com/documents/?uuid=e41360ca-b5b1-453b-96c8-e68b278f5322"]},{"id":"ITEM-2","itemData":{"DOI":"10.1128/AEM.07710-11","ISBN":"1098-5336 (Electronic)\\r0099-2240 (Linking)","ISSN":"00992240","PMID":"22492455","abstract":"Endocrocin is a simple anthraquinone frequently identified in extracts of numerous fungi. Several biosynthetic schemes for endocrocin synthesis have been hypothesized, but to date, no dedicated secondary metabolite gene cluster that produces this polyketide as its major metabolite has been identified. Here we describe our biosynthetic and regulatory characterization of the endocrocin gene cluster in Aspergillus fumigatus. This is the first report of this anthraquinone in this species. The biosynthetic genes required for endocrocin production are regulated by the global regulator of secondary metabolism, LaeA, and encode an iterative nonreducing polyketide synthase (encA), a physically discrete metallo-β-lactamase type thioesterase (encB), and a monooxygenase (encC). Interestingly, the deletion of a gene immediately adjacent to encC, termed encD and encoding a putative 2-oxoglutarate-Fe(II) type oxidoreductase, resulted in higher levels of endocrocin production than in the wild-type strain, whereas overexpression of encD eliminated endocrocin accumulation. We found that overexpression of the encA transcript resulted in higher transcript levels of encA-D and higher production of endocrocin. We discuss a model of the enc cluster as one evolutionary origin of fungal anthraquinones derived from a nonreducing polyketide synthase and a discrete metallo-β-lactamase-type thioesterase.","author":[{"dropping-particle":"","family":"Lim","given":"Fang Yun","non-dropping-particle":"","parse-names":false,"suffix":""},{"dropping-particle":"","family":"Hou","given":"Yanpeng","non-dropping-particle":"","parse-names":false,"suffix":""},{"dropping-particle":"","family":"Chen","given":"Yiming","non-dropping-particle":"","parse-names":false,"suffix":""},{"dropping-particle":"","family":"Oh","given":"Jee Hwan","non-dropping-particle":"","parse-names":false,"suffix":""},{"dropping-particle":"","family":"Lee","given":"Inhyung","non-dropping-particle":"","parse-names":false,"suffix":""},{"dropping-particle":"","family":"Bugni","given":"Tim S.","non-dropping-particle":"","parse-names":false,"suffix":""},{"dropping-particle":"","family":"Keller","given":"Nancy P.","non-dropping-particle":"","parse-names":false,"suffix":""}],"container-title":"Applied and Environmental Microbiology","id":"ITEM-2","issue":"12","issued":{"date-parts":[["2012"]]},"page":"4117-4125","title":"Genome-based cluster deletion reveals an endocrocin biosynthetic pathway in Aspergillus fumigatus","type":"article-journal","volume":"78"},"uris":["http://www.mendeley.com/documents/?uuid=149fc0b9-471d-473b-ad00-a43091a3402f"]}],"mendeley":{"formattedCitation":"(Cox and Simpson, 2009; Lim et al., 2012)","plainTextFormattedCitation":"(Cox and Simpson, 2009; Lim et al., 2012)","previouslyFormattedCitation":"(Cox and Simpson, 2009; Lim et al., 2012)"},"properties":{"noteIndex":0},"schema":"https://github.com/citation-style-language/schema/raw/master/csl-citation.json"}</w:instrText>
      </w:r>
      <w:r w:rsidRPr="000D7D3D">
        <w:fldChar w:fldCharType="separate"/>
      </w:r>
      <w:r w:rsidRPr="000D7D3D">
        <w:rPr>
          <w:noProof/>
        </w:rPr>
        <w:t>(Cox and Simpson, 2009; Lim et al., 2012)</w:t>
      </w:r>
      <w:r w:rsidRPr="000D7D3D">
        <w:fldChar w:fldCharType="end"/>
      </w:r>
      <w:r w:rsidRPr="000D7D3D">
        <w:t xml:space="preserve">. These secondary metabolites may play a role in </w:t>
      </w:r>
      <w:r w:rsidR="00D86615">
        <w:t>HAP</w:t>
      </w:r>
      <w:r w:rsidRPr="000D7D3D">
        <w:t xml:space="preserve"> weathering by </w:t>
      </w:r>
      <w:r w:rsidRPr="000D7D3D">
        <w:rPr>
          <w:i/>
        </w:rPr>
        <w:t>P. involutus</w:t>
      </w:r>
      <w:r w:rsidRPr="000D7D3D">
        <w:t xml:space="preserve">. Identification of specific compounds through metabolomics analysis may help </w:t>
      </w:r>
      <w:r w:rsidR="00D86615">
        <w:t xml:space="preserve">to </w:t>
      </w:r>
      <w:r w:rsidRPr="000D7D3D">
        <w:t xml:space="preserve">elucidate the type of secondary metabolites produced, and potentially their function in </w:t>
      </w:r>
      <w:r w:rsidR="00D86615">
        <w:t xml:space="preserve">fungal </w:t>
      </w:r>
      <w:r w:rsidRPr="000D7D3D">
        <w:t>mineral weathering.</w:t>
      </w:r>
    </w:p>
    <w:p w14:paraId="76DE7E8D" w14:textId="537CDAB6" w:rsidR="000D7D3D" w:rsidRPr="000D7D3D" w:rsidRDefault="000D7D3D" w:rsidP="007C3C15">
      <w:pPr>
        <w:ind w:firstLine="720"/>
      </w:pPr>
      <w:r w:rsidRPr="000D7D3D">
        <w:lastRenderedPageBreak/>
        <w:t xml:space="preserve">One gene coding for a putative hydrophobin protein has also found to be upregulated in </w:t>
      </w:r>
      <w:r w:rsidR="00725138">
        <w:t xml:space="preserve">the </w:t>
      </w:r>
      <w:r w:rsidRPr="000D7D3D">
        <w:t xml:space="preserve">presence of </w:t>
      </w:r>
      <w:r w:rsidR="00B85661">
        <w:t>HAP</w:t>
      </w:r>
      <w:r w:rsidR="00B85661" w:rsidRPr="000D7D3D">
        <w:t xml:space="preserve"> </w:t>
      </w:r>
      <w:r w:rsidRPr="000D7D3D">
        <w:t xml:space="preserve">in S condition (Figure 5.5A). These </w:t>
      </w:r>
      <w:r w:rsidR="00D86615">
        <w:t>B</w:t>
      </w:r>
      <w:r w:rsidRPr="000D7D3D">
        <w:t>asidiomycete-specific</w:t>
      </w:r>
      <w:r w:rsidR="00D86615">
        <w:t xml:space="preserve"> proteins are able to create an</w:t>
      </w:r>
      <w:r w:rsidRPr="000D7D3D">
        <w:t xml:space="preserve"> </w:t>
      </w:r>
      <w:r w:rsidR="00725138">
        <w:t>extracellular hydrophobic layer</w:t>
      </w:r>
      <w:r w:rsidRPr="000D7D3D">
        <w:t xml:space="preserve"> </w:t>
      </w:r>
      <w:r w:rsidR="00D86615">
        <w:t>and were</w:t>
      </w:r>
      <w:r w:rsidRPr="000D7D3D">
        <w:t xml:space="preserve"> shown to be essential for fungal attachment and growth on mineral surfaces </w:t>
      </w:r>
      <w:r w:rsidRPr="000D7D3D">
        <w:fldChar w:fldCharType="begin" w:fldLock="1"/>
      </w:r>
      <w:r w:rsidR="00EE33AB">
        <w:instrText>ADDIN CSL_CITATION {"citationItems":[{"id":"ITEM-1","itemData":{"DOI":"10.1130/G25699A.1","ISBN":"0091-7613","ISSN":"00917613","abstract":"Plant-driven fungal weathering is a major pathway of soil formation, yet the precise mechanism by which mycorrhiza alter minerals is poorly understood. Here we report the fi rst direct in situ observations of the effects of a soil fungus on the surface of a min- eral over which it grew in a controlled experiment. An ectomycor- rhizal fungus was grown in symbiosis with a tree seedling so that individual hyphae expanded across the surface of a biotite fl ake over a period of three months. Ultramicroscopic and spectroscopic analysis of the fungus-biotite interfaces revealed intimate fungal- mineral attachment, biomechanical forcing, altered interlayer spac- ings, substantial depletion of potassium (~50 nm depth), oxidation of the biotite Fe(II), and the formation of vermiculite and clusters of Fe(III) oxides. Our study demonstrates the biomechanical-chemical alteration interplay at the fungus-biotite interface at the nanometer scale. Specifi cally, the weathering process is initiated by physical dis- tortion of the lattice structure of biotite within 1 µm of the attached fungal hypha. Only subsequently does the distorted volume become chemically altered through dissolution and oxidation reactions that lead to mineral neoformation.","author":[{"dropping-particle":"","family":"Bonneville","given":"Steeve","non-dropping-particle":"","parse-names":false,"suffix":""},{"dropping-particle":"","family":"Smits","given":"Mark M.","non-dropping-particle":"","parse-names":false,"suffix":""},{"dropping-particle":"","family":"Brown","given":"Andrew","non-dropping-particle":"","parse-names":false,"suffix":""},{"dropping-particle":"","family":"Harrington","given":"John","non-dropping-particle":"","parse-names":false,"suffix":""},{"dropping-particle":"","family":"Leake","given":"Jonathan R.","non-dropping-particle":"","parse-names":false,"suffix":""},{"dropping-particle":"","family":"Brydson","given":"Rik","non-dropping-particle":"","parse-names":false,"suffix":""},{"dropping-particle":"","family":"Benning","given":"Liane G.","non-dropping-particle":"","parse-names":false,"suffix":""}],"container-title":"Geology","id":"ITEM-1","issue":"7","issued":{"date-parts":[["2009"]]},"page":"615-618","title":"Plant-driven fungal weathering: Early stages of mineral alteration at the nanometer scale","type":"article-journal","volume":"37"},"uris":["http://www.mendeley.com/documents/?uuid=c38c068c-8322-459e-ae64-17f1bedd30a2"]}],"mendeley":{"formattedCitation":"(Bonneville et al., 2009)","plainTextFormattedCitation":"(Bonneville et al., 2009)","previouslyFormattedCitation":"(Bonneville et al., 2009)"},"properties":{"noteIndex":0},"schema":"https://github.com/citation-style-language/schema/raw/master/csl-citation.json"}</w:instrText>
      </w:r>
      <w:r w:rsidRPr="000D7D3D">
        <w:fldChar w:fldCharType="separate"/>
      </w:r>
      <w:r w:rsidR="00B870DF" w:rsidRPr="00B870DF">
        <w:rPr>
          <w:noProof/>
        </w:rPr>
        <w:t>(Bonneville et al., 2009)</w:t>
      </w:r>
      <w:r w:rsidRPr="000D7D3D">
        <w:fldChar w:fldCharType="end"/>
      </w:r>
      <w:r w:rsidRPr="000D7D3D">
        <w:t>.</w:t>
      </w:r>
    </w:p>
    <w:p w14:paraId="50A9F19D" w14:textId="6D5B5800" w:rsidR="000D7D3D" w:rsidRPr="000D7D3D" w:rsidRDefault="000D7D3D" w:rsidP="007C3C15">
      <w:pPr>
        <w:ind w:firstLine="720"/>
      </w:pPr>
      <w:r w:rsidRPr="000D7D3D">
        <w:t xml:space="preserve">Interestingly, a putative extracellular-secreted acid phosphatase has been found to be upregulated. While acid phosphatases from the soil biota have been mostly characterized for their role in organic phosphate release </w:t>
      </w:r>
      <w:r w:rsidRPr="000D7D3D">
        <w:fldChar w:fldCharType="begin" w:fldLock="1"/>
      </w:r>
      <w:r w:rsidR="00EE33AB">
        <w:instrText>ADDIN CSL_CITATION {"citationItems":[{"id":"ITEM-1","itemData":{"DOI":"10.1016/j.geoderma.2016.08.018","ISBN":"0016-7061","ISSN":"00167061","abstract":"Soil organic phosphorus contributes to the nutrition of tropical trees, but is not accounted for in standard soil phosphorus tests. Plants and microbes can release organic anions to solubilize organic phosphorus from soil surfaces, and synthesize phosphatases to release inorganic phosphate from the solubilized compounds. We developed a procedure to estimate bioavailable organic phosphorus in tropical forest soils by simulating the secretion processes of organic acids and phosphatases. Five lowland tropical forest soils with contrasting properties (pH 4.4–6.1, total P 86–429 mg P kg− 1) were extracted with 2 mM citric acid (i.e., 10 μmol g− 1, approximating rhizosphere concentrations) adjusted to soil pH in a 4:1 solution to soil ratio for 1 h. Three phosphatase enzymes were then added to the soil extract to determine the forms of hydrolysable organic phosphorus. Total phosphorus extracted by the procedure ranged between 3.22 and 8.06 mg P kg− 1 (mean 5.55 ± 0.42 mg P kg− 1), of which on average three quarters was unreactive phosphorus (i.e., organic phosphorus plus inorganic polyphosphate). Of the enzyme-hydrolysable unreactive phosphorus, 28% was simple phosphomonoesters hydrolyzed by phosphomonoesterase from bovine intestinal mucosa, a further 18% was phosphodiesters hydrolyzed by a combination of nuclease from Penicillium citrinum and phosphomonoesterase, and the remaining 51% was hydrolyzed by a broad-spectrum phytase from wheat. We conclude that soil organic phosphorus can be solubilized and hydrolyzed by a combination of organic acids and phosphatase enzymes in lowland tropical forest soils, indicating that this pathway could make a significant contribution to biological phosphorus acquisition in tropical forests. Furthermore, we have developed a method that can be used to assess the bioavailability of this soil organic phosphorus.","author":[{"dropping-particle":"","family":"Darch","given":"Tegan","non-dropping-particle":"","parse-names":false,"suffix":""},{"dropping-particle":"","family":"Blackwell","given":"Martin S.A.","non-dropping-particle":"","parse-names":false,"suffix":""},{"dropping-particle":"","family":"Chadwick","given":"David","non-dropping-particle":"","parse-names":false,"suffix":""},{"dropping-particle":"","family":"Haygarth","given":"Philip M.","non-dropping-particle":"","parse-names":false,"suffix":""},{"dropping-particle":"","family":"Hawkins","given":"Jane M.B.","non-dropping-particle":"","parse-names":false,"suffix":""},{"dropping-particle":"","family":"Turner","given":"Benjamin L.","non-dropping-particle":"","parse-names":false,"suffix":""}],"container-title":"Geoderma","id":"ITEM-1","issued":{"date-parts":[["2016"]]},"page":"93-102","publisher":"The Authors","title":"Assessment of bioavailable organic phosphorus in tropical forest soils by organic acid extraction and phosphatase hydrolysis","type":"article-journal","volume":"284"},"uris":["http://www.mendeley.com/documents/?uuid=a64580ed-2e37-4972-8a25-fc075f1d29a5"]},{"id":"ITEM-2","itemData":{"DOI":"10.1038/s41598-017-01418-8","ISBN":"2045-2322","ISSN":"20452322","PMID":"28465504","abstract":"Soil phosphatase levels strongly control the biotic pathways of phosphorus (P), an essential element for life, which is often limiting in terrestrial ecosystems. We investigated the influence of climatic and soil traits on phosphatase activity in terrestrial systems using metadata analysis from published studies. This is the first analysis of global measurements of phosphatase in natural soils. Our results suggest that organic P (Porg), rather than available P, is the most important P fraction in predicting phosphatase activity. Structural equation modeling using soil total nitrogen (TN), mean annual precipitation, mean annual temperature, thermal amplitude and total soil carbon as most available predictor variables explained up to 50% of the spatial variance in phosphatase activity. In this analysis, Porg could not be tested and among the rest of available variables, TN was the most important factor explaining the observed spatial gradients in phosphatase activity. On the other hand, phosphatase activity was also found to be associated with climatic conditions and soil type across different biomes worldwide. The close association among different predictors like Porg, TN and precipitation suggest that P recycling is driven by a broad scale pattern of ecosystem productivity capacity.","author":[{"dropping-particle":"","family":"Margalef","given":"O.","non-dropping-particle":"","parse-names":false,"suffix":""},{"dropping-particle":"","family":"Sardans","given":"J.","non-dropping-particle":"","parse-names":false,"suffix":""},{"dropping-particle":"","family":"Fernández-Martínez","given":"M.","non-dropping-particle":"","parse-names":false,"suffix":""},{"dropping-particle":"","family":"Molowny-Horas","given":"R.","non-dropping-particle":"","parse-names":false,"suffix":""},{"dropping-particle":"","family":"Janssens","given":"I. A.","non-dropping-particle":"","parse-names":false,"suffix":""},{"dropping-particle":"","family":"Ciais","given":"P.","non-dropping-particle":"","parse-names":false,"suffix":""},{"dropping-particle":"","family":"Goll","given":"D.","non-dropping-particle":"","parse-names":false,"suffix":""},{"dropping-particle":"","family":"Richter","given":"A.","non-dropping-particle":"","parse-names":false,"suffix":""},{"dropping-particle":"","family":"Obersteiner","given":"M.","non-dropping-particle":"","parse-names":false,"suffix":""},{"dropping-particle":"","family":"Asensio","given":"D.","non-dropping-particle":"","parse-names":false,"suffix":""},{"dropping-particle":"","family":"Peñuelas","given":"J.","non-dropping-particle":"","parse-names":false,"suffix":""}],"container-title":"Scientific Reports","id":"ITEM-2","issue":"1","issued":{"date-parts":[["2017"]]},"page":"1-13","title":"Global patterns of phosphatase activity in natural soils","type":"article-journal","volume":"7"},"uris":["http://www.mendeley.com/documents/?uuid=8eafd447-aa55-4fef-94fc-872e85677c3c"]}],"mendeley":{"formattedCitation":"(Darch et al., 2016; Margalef et al., 2017)","plainTextFormattedCitation":"(Darch et al., 2016; Margalef et al., 2017)","previouslyFormattedCitation":"(Darch et al., 2016; Margalef et al., 2017)"},"properties":{"noteIndex":0},"schema":"https://github.com/citation-style-language/schema/raw/master/csl-citation.json"}</w:instrText>
      </w:r>
      <w:r w:rsidRPr="000D7D3D">
        <w:fldChar w:fldCharType="separate"/>
      </w:r>
      <w:r w:rsidRPr="000D7D3D">
        <w:rPr>
          <w:noProof/>
        </w:rPr>
        <w:t>(Darch et al., 2016; Margalef et al., 2017)</w:t>
      </w:r>
      <w:r w:rsidRPr="000D7D3D">
        <w:fldChar w:fldCharType="end"/>
      </w:r>
      <w:r w:rsidRPr="000D7D3D">
        <w:t xml:space="preserve">, is tempting to speculate that specific ones may directly contribute to </w:t>
      </w:r>
      <w:r w:rsidR="00B85661">
        <w:t>HAP</w:t>
      </w:r>
      <w:r w:rsidR="00B85661" w:rsidRPr="000D7D3D">
        <w:t xml:space="preserve"> </w:t>
      </w:r>
      <w:r w:rsidRPr="000D7D3D">
        <w:t xml:space="preserve">mineral weathering. For instance, fungal acid phosphatases can be stabilized by adsorption to mineral surfaces, enhancing their catalytic activity </w:t>
      </w:r>
      <w:r w:rsidRPr="000D7D3D">
        <w:fldChar w:fldCharType="begin" w:fldLock="1"/>
      </w:r>
      <w:r w:rsidR="00EE33AB">
        <w:instrText>ADDIN CSL_CITATION {"citationItems":[{"id":"ITEM-1","itemData":{"DOI":"10.1016/j.soilbio.2012.02.006","ISBN":"00380717 (ISSN)","ISSN":"00380717","abstract":"Extracellular phosphatases from ectomycorrhizal fungi may contribute to plant nutrition, particularly in highly weathered tropical soils where available phosphorus is limited. However, the expression of their catalytic activity may be influenced by many factors including adsorption on organo-mineral surfaces of soils. We have investigated the pH-dependent adsorption and the resulting change in catalytic activity of trace amounts of extracellular fungal acid phosphatases in contact with various tropical soils. Different size fractions and the effect of chemical extraction of soil organo-mineral coatings were studied for acid phosphatases secreted by two Hebeloma cylindrosporum and one Suillus collinitus strains. The three enzymes differed in their average affinity for soil and the pH dependence. However the difference between enzymes was often greater than that between soils for a given enzyme. Only Suillus phosphatase had markedly different affinities for vertisol and ferralsol. In general, activity was largely conserved in the adsorbed state. Activity of Suillus phosphatases varied more than Hebeloma phosphatases between soils and soil physical and chemical fractionation. There was no relationship between the affinity of an enzyme for a surface and the resulting change in activity after adsorption. Suillus phosphatases showed more pH dependence of both affinity for soil and loss of activity after adsorption than the Hebeloma enzymes. These results highlight the variability of the interaction of fungal phosphatases with soil. © 2012 Elsevier Ltd.","author":[{"dropping-particle":"","family":"Kedi","given":"Brice","non-dropping-particle":"","parse-names":false,"suffix":""},{"dropping-particle":"","family":"Abadie","given":"Josiane","non-dropping-particle":"","parse-names":false,"suffix":""},{"dropping-particle":"","family":"Sei","given":"Joseph","non-dropping-particle":"","parse-names":false,"suffix":""},{"dropping-particle":"","family":"Quiquampoix","given":"Hervé","non-dropping-particle":"","parse-names":false,"suffix":""},{"dropping-particle":"","family":"Staunton","given":"Siobhán","non-dropping-particle":"","parse-names":false,"suffix":""}],"container-title":"Soil Biology and Biochemistry","id":"ITEM-1","issued":{"date-parts":[["2013"]]},"page":"13-20","publisher":"Elsevier Ltd","title":"Diversity of adsorption affinity and catalytic activity of fungal phosphatases adsorbed on some tropical soils","type":"article-journal","volume":"56"},"uris":["http://www.mendeley.com/documents/?uuid=db2c9007-be0f-46d8-9b3e-bc36ed0b6775"]}],"mendeley":{"formattedCitation":"(Kedi et al., 2013)","plainTextFormattedCitation":"(Kedi et al., 2013)","previouslyFormattedCitation":"(Kedi et al., 2013)"},"properties":{"noteIndex":0},"schema":"https://github.com/citation-style-language/schema/raw/master/csl-citation.json"}</w:instrText>
      </w:r>
      <w:r w:rsidRPr="000D7D3D">
        <w:fldChar w:fldCharType="separate"/>
      </w:r>
      <w:r w:rsidRPr="000D7D3D">
        <w:rPr>
          <w:noProof/>
        </w:rPr>
        <w:t>(Kedi et al., 2013)</w:t>
      </w:r>
      <w:r w:rsidRPr="000D7D3D">
        <w:fldChar w:fldCharType="end"/>
      </w:r>
      <w:r w:rsidRPr="000D7D3D">
        <w:t>. Additionally, in mammals, acid phosphatase</w:t>
      </w:r>
      <w:r w:rsidR="00D86615">
        <w:t>s</w:t>
      </w:r>
      <w:r w:rsidRPr="000D7D3D">
        <w:t xml:space="preserve"> are produced by osteoclast cells for resorption of the </w:t>
      </w:r>
      <w:r w:rsidR="00B85661">
        <w:t>HAP</w:t>
      </w:r>
      <w:r w:rsidR="00B85661" w:rsidRPr="000D7D3D">
        <w:t xml:space="preserve"> </w:t>
      </w:r>
      <w:r w:rsidRPr="000D7D3D">
        <w:t xml:space="preserve">matrix of bone tissue </w:t>
      </w:r>
      <w:r w:rsidRPr="000D7D3D">
        <w:fldChar w:fldCharType="begin" w:fldLock="1"/>
      </w:r>
      <w:r w:rsidR="00EE33AB">
        <w:instrText>ADDIN CSL_CITATION {"citationItems":[{"id":"ITEM-1","itemData":{"DOI":"10.1136/mp.55.2.65","ISSN":"13668714","abstract":"Acid phosphatases (APs) are a family of enzymes that are widespread in nature, and can be found in many animal and plant species. Mystery surrounds the precise functional role of these molecular facilitators, despite much research. Yet, paradoxically, human APs have had considerable impact as tools of clinical investigation and intervention. One particular example is tartrate resistant acid phosphatase, which is detected in the serum in raised amounts accompanying pathological bone resorption. This article seeks to explore the identity and diversity of APs, and to demonstrate the relation between APs, human disease, and clinical diagnosis.","author":[{"dropping-particle":"","family":"Bull","given":"H","non-dropping-particle":"","parse-names":false,"suffix":""}],"container-title":"Molecular Pathology","id":"ITEM-1","issue":"2","issued":{"date-parts":[["2002"]]},"page":"65-72","title":"Acid phosphatases","type":"article-journal","volume":"55"},"uris":["http://www.mendeley.com/documents/?uuid=c2a1bd3e-2528-4bf7-8297-5b2a0d1d65c9"]}],"mendeley":{"formattedCitation":"(Bull, 2002)","plainTextFormattedCitation":"(Bull, 2002)","previouslyFormattedCitation":"(Bull, 2002)"},"properties":{"noteIndex":0},"schema":"https://github.com/citation-style-language/schema/raw/master/csl-citation.json"}</w:instrText>
      </w:r>
      <w:r w:rsidRPr="000D7D3D">
        <w:fldChar w:fldCharType="separate"/>
      </w:r>
      <w:r w:rsidRPr="000D7D3D">
        <w:rPr>
          <w:noProof/>
        </w:rPr>
        <w:t>(Bull, 2002)</w:t>
      </w:r>
      <w:r w:rsidRPr="000D7D3D">
        <w:fldChar w:fldCharType="end"/>
      </w:r>
      <w:r w:rsidRPr="000D7D3D">
        <w:t>.</w:t>
      </w:r>
    </w:p>
    <w:p w14:paraId="22A700C2" w14:textId="6049A44D" w:rsidR="000D7D3D" w:rsidRPr="000D7D3D" w:rsidRDefault="000D7D3D" w:rsidP="00D9161C">
      <w:pPr>
        <w:ind w:firstLine="720"/>
      </w:pPr>
      <w:r w:rsidRPr="000D7D3D">
        <w:t>Sim</w:t>
      </w:r>
      <w:r w:rsidR="00A470A8">
        <w:t>ilar to NS conditions, the high-</w:t>
      </w:r>
      <w:r w:rsidRPr="000D7D3D">
        <w:t xml:space="preserve">affinity Pi transporter </w:t>
      </w:r>
      <w:r w:rsidR="00B85661">
        <w:t xml:space="preserve">gene </w:t>
      </w:r>
      <w:r w:rsidRPr="00635993">
        <w:rPr>
          <w:i/>
        </w:rPr>
        <w:t>PiPT1</w:t>
      </w:r>
      <w:r w:rsidRPr="000D7D3D">
        <w:t xml:space="preserve"> </w:t>
      </w:r>
      <w:r w:rsidR="00D86615">
        <w:t>was</w:t>
      </w:r>
      <w:r w:rsidRPr="000D7D3D">
        <w:t xml:space="preserve"> found to be strongly downregulated in </w:t>
      </w:r>
      <w:r w:rsidR="00725138">
        <w:t xml:space="preserve">the </w:t>
      </w:r>
      <w:r w:rsidRPr="000D7D3D">
        <w:t xml:space="preserve">presence of </w:t>
      </w:r>
      <w:r w:rsidR="00B85661">
        <w:t>HAP</w:t>
      </w:r>
      <w:r w:rsidR="00B85661" w:rsidRPr="000D7D3D">
        <w:t xml:space="preserve"> </w:t>
      </w:r>
      <w:r w:rsidR="00D86615">
        <w:t xml:space="preserve">in S condition </w:t>
      </w:r>
      <w:r w:rsidRPr="000D7D3D">
        <w:t xml:space="preserve">(Figure 5.5B). Notably, specific </w:t>
      </w:r>
      <w:r w:rsidRPr="000D7D3D">
        <w:rPr>
          <w:i/>
        </w:rPr>
        <w:t>P. involutus</w:t>
      </w:r>
      <w:r w:rsidRPr="000D7D3D">
        <w:t xml:space="preserve"> genes which w</w:t>
      </w:r>
      <w:r w:rsidR="00300329">
        <w:t>ere found to be upregulated in l</w:t>
      </w:r>
      <w:r w:rsidRPr="000D7D3D">
        <w:t xml:space="preserve">ow Pi conditions in P-varying RNA-seq experiment in both NS and S (Chapter 3, Figures 3.4 and 3.5), are found instead to be downregulated in </w:t>
      </w:r>
      <w:r w:rsidR="00725138">
        <w:t xml:space="preserve">the </w:t>
      </w:r>
      <w:r w:rsidRPr="000D7D3D">
        <w:t xml:space="preserve">presence of </w:t>
      </w:r>
      <w:r w:rsidR="00B85661">
        <w:t>HAP</w:t>
      </w:r>
      <w:r w:rsidR="00B85661" w:rsidRPr="000D7D3D">
        <w:t xml:space="preserve"> </w:t>
      </w:r>
      <w:r w:rsidRPr="000D7D3D">
        <w:t xml:space="preserve">in S conditions (Figure 5.5B). These genes </w:t>
      </w:r>
      <w:r w:rsidR="00D74CC5">
        <w:t xml:space="preserve">encode for putative </w:t>
      </w:r>
      <w:r w:rsidR="00B85661">
        <w:t>P</w:t>
      </w:r>
      <w:r w:rsidR="00B85661" w:rsidRPr="000D7D3D">
        <w:t xml:space="preserve"> </w:t>
      </w:r>
      <w:r w:rsidR="00D74CC5">
        <w:t>metabolism-related proteins</w:t>
      </w:r>
      <w:r w:rsidRPr="000D7D3D">
        <w:t xml:space="preserve">, such as </w:t>
      </w:r>
      <w:r w:rsidR="00D74CC5">
        <w:t>a</w:t>
      </w:r>
      <w:r w:rsidRPr="000D7D3D">
        <w:t xml:space="preserve"> purple acid phosphatase and </w:t>
      </w:r>
      <w:r w:rsidR="00725138">
        <w:t>a</w:t>
      </w:r>
      <w:r w:rsidRPr="000D7D3D">
        <w:t xml:space="preserve"> putative acid phosphatase, </w:t>
      </w:r>
      <w:r w:rsidR="00D74CC5">
        <w:t xml:space="preserve">and </w:t>
      </w:r>
      <w:r w:rsidRPr="000D7D3D">
        <w:t xml:space="preserve">which are commonly upregulated during Pi starvation </w:t>
      </w:r>
      <w:r w:rsidRPr="000D7D3D">
        <w:fldChar w:fldCharType="begin" w:fldLock="1"/>
      </w:r>
      <w:r w:rsidR="00EE33AB">
        <w:instrText>ADDIN CSL_CITATION {"citationItems":[{"id":"ITEM-1","itemData":{"DOI":"10.1128/MCB.10.11.5839.Updated","PMID":"1000284950","author":[{"dropping-particle":"","family":"Kang","given":"S","non-dropping-particle":"","parse-names":false,"suffix":""},{"dropping-particle":"","family":"Metzenberg","given":"R L","non-dropping-particle":"","parse-names":false,"suffix":""}],"id":"ITEM-1","issue":"11","issued":{"date-parts":[["1990"]]},"page":"5839-5848","title":"controlling phosphorus acquisition in Molecular Analysis of nuc-l , a Gene Controlling Phosphorus Acquisition in Neurospora crassa","type":"article-journal","volume":"10"},"uris":["http://www.mendeley.com/documents/?uuid=a4ffc61b-f730-4c99-b578-a4a81ab81865"]}],"mendeley":{"formattedCitation":"(Kang and Metzenberg, 1990)","plainTextFormattedCitation":"(Kang and Metzenberg, 1990)","previouslyFormattedCitation":"(Kang and Metzenberg, 1990)"},"properties":{"noteIndex":0},"schema":"https://github.com/citation-style-language/schema/raw/master/csl-citation.json"}</w:instrText>
      </w:r>
      <w:r w:rsidRPr="000D7D3D">
        <w:fldChar w:fldCharType="separate"/>
      </w:r>
      <w:r w:rsidRPr="000D7D3D">
        <w:rPr>
          <w:noProof/>
        </w:rPr>
        <w:t>(Kang and Metzenberg, 1990)</w:t>
      </w:r>
      <w:r w:rsidRPr="000D7D3D">
        <w:fldChar w:fldCharType="end"/>
      </w:r>
      <w:r w:rsidRPr="000D7D3D">
        <w:t xml:space="preserve">, or </w:t>
      </w:r>
      <w:r w:rsidR="00D74CC5">
        <w:t>a</w:t>
      </w:r>
      <w:r w:rsidRPr="000D7D3D">
        <w:t xml:space="preserve"> diphosphoinositol-polyphosphate diphosphatase, involved in </w:t>
      </w:r>
      <w:r w:rsidR="00725138">
        <w:t xml:space="preserve">the </w:t>
      </w:r>
      <w:r w:rsidRPr="000D7D3D">
        <w:t xml:space="preserve">removal of </w:t>
      </w:r>
      <w:r w:rsidR="00B85661">
        <w:t>Pi</w:t>
      </w:r>
      <w:r w:rsidR="00B85661" w:rsidRPr="000D7D3D">
        <w:t xml:space="preserve"> </w:t>
      </w:r>
      <w:r w:rsidRPr="000D7D3D">
        <w:t xml:space="preserve">groups from diphospho-myo-inositol polyphosphate </w:t>
      </w:r>
      <w:r w:rsidRPr="000D7D3D">
        <w:fldChar w:fldCharType="begin" w:fldLock="1"/>
      </w:r>
      <w:r w:rsidR="00EE33AB">
        <w:instrText>ADDIN CSL_CITATION {"citationItems":[{"id":"ITEM-1","itemData":{"author":[{"dropping-particle":"","family":"Safrany","given":"ST","non-dropping-particle":"","parse-names":false,"suffix":""},{"dropping-particle":"","family":"Ingram","given":"SW","non-dropping-particle":"","parse-names":false,"suffix":""},{"dropping-particle":"","family":"Cartwright","given":"JL","non-dropping-particle":"","parse-names":false,"suffix":""},{"dropping-particle":"","family":"Falck","given":"J R","non-dropping-particle":"","parse-names":false,"suffix":""},{"dropping-particle":"","family":"Mclennan","given":"Alexander G","non-dropping-particle":"","parse-names":false,"suffix":""},{"dropping-particle":"","family":"Barnes","given":"LD","non-dropping-particle":"","parse-names":false,"suffix":""},{"dropping-particle":"","family":"Shears","given":"Stephen B","non-dropping-particle":"","parse-names":false,"suffix":""}],"container-title":"Journal of biological …","id":"ITEM-1","issue":"31","issued":{"date-parts":[["1999"]]},"page":"21735-21740","title":"Hydrolases fromSchizosaccharomyces pombe andSaccharomyces cerevisiae Are Homologues of the Human Diphosphoinositol Polyphosphate Phosphohydrolase","type":"article-journal","volume":"274"},"uris":["http://www.mendeley.com/documents/?uuid=f50be8b9-335e-4c4e-aeb3-9a6baa6f3f58"]}],"mendeley":{"formattedCitation":"(Safrany et al., 1999)","plainTextFormattedCitation":"(Safrany et al., 1999)","previouslyFormattedCitation":"(Safrany et al., 1999)"},"properties":{"noteIndex":0},"schema":"https://github.com/citation-style-language/schema/raw/master/csl-citation.json"}</w:instrText>
      </w:r>
      <w:r w:rsidRPr="000D7D3D">
        <w:fldChar w:fldCharType="separate"/>
      </w:r>
      <w:r w:rsidRPr="000D7D3D">
        <w:rPr>
          <w:noProof/>
        </w:rPr>
        <w:t>(Safrany et al., 1999)</w:t>
      </w:r>
      <w:r w:rsidRPr="000D7D3D">
        <w:fldChar w:fldCharType="end"/>
      </w:r>
      <w:r w:rsidRPr="000D7D3D">
        <w:t xml:space="preserve">. Additional genes previously found </w:t>
      </w:r>
      <w:r w:rsidR="00D74CC5">
        <w:t xml:space="preserve">to be </w:t>
      </w:r>
      <w:r w:rsidRPr="000D7D3D">
        <w:t xml:space="preserve">upregulated in low Pi condition </w:t>
      </w:r>
      <w:r w:rsidR="00D74CC5">
        <w:t>encode for proteins putatively involved</w:t>
      </w:r>
      <w:r w:rsidRPr="000D7D3D">
        <w:t xml:space="preserve"> in phospholipid metabolism, such as a glycerol-3-phosphate acyltransferase, which catalyses the first step in </w:t>
      </w:r>
      <w:r w:rsidR="00725138">
        <w:t xml:space="preserve">the </w:t>
      </w:r>
      <w:r w:rsidRPr="000D7D3D">
        <w:t xml:space="preserve">biosynthesis of triacylglycerol </w:t>
      </w:r>
      <w:r w:rsidRPr="000D7D3D">
        <w:fldChar w:fldCharType="begin" w:fldLock="1"/>
      </w:r>
      <w:r w:rsidR="00EE33AB">
        <w:instrText>ADDIN CSL_CITATION {"citationItems":[{"id":"ITEM-1","itemData":{"DOI":"10.1128/AEM.02905-13","ISSN":"00992240","PMID":"24077712","abstract":"Enzymes involved in the triacylglycerol (TAG) biosynthesis have been well studied in the model organisms of yeasts and animals. Among these, the isoforms of glycerol-3-phosphate acyltransferase (GPAT) redundantly catalyze the first and rate-limiting step in glycerolipid synthesis. Here, we report the functions of mrGAT, a GPAT ortholog, in an insect pathogenic fungus Metarhizium robertsii. Unlike yeasts and animals, a single copy of the mrGAT gene is present in the fungal genome and the gene deletion mutant is viable. Compared to the wild type and gene-rescued mutant, ΔmrGAT demonstrated reduced abilities to produce conidia and synthesize TAG, glycerol and total lipids. More importantly, we found that mrGAT is localized to the endoplasmic reticulum and directly linked to the formation of lipid droplets (LDs) in fungal cells. Insect bioassay results showed that mrGAT is required for full fungal virulence by aiding fungal penetration of host cuticles. Data from this study not only advance our understanding of GPAT functions in fungi, but also suggest that filamentous fungi such as M. robertsii can serve as a good model to elucidate the role of glycerol phosphate pathway in fungal physiology, particularly to determine the mechanistic connection of GPAT with LD formation.","author":[{"dropping-particle":"","family":"Gao","given":"Qiang","non-dropping-particle":"","parse-names":false,"suffix":""},{"dropping-particle":"","family":"Shang","given":"Yanfang","non-dropping-particle":"","parse-names":false,"suffix":""},{"dropping-particle":"","family":"Huang","given":"Wei","non-dropping-particle":"","parse-names":false,"suffix":""},{"dropping-particle":"","family":"Wang","given":"Chengshu","non-dropping-particle":"","parse-names":false,"suffix":""}],"container-title":"Applied and Environmental Microbiology","id":"ITEM-1","issue":"24","issued":{"date-parts":[["2013"]]},"page":"7646-7653","title":"Glycerol-3-phosphate acyltransferase contributes to triacylglycerol biosynthesis, lipid droplet formation, and host invasion in Metarhizium robertsii","type":"article-journal","volume":"79"},"uris":["http://www.mendeley.com/documents/?uuid=1b0cbe84-2770-4837-8631-1629ca49dae8"]}],"mendeley":{"formattedCitation":"(Gao et al., 2013)","plainTextFormattedCitation":"(Gao et al., 2013)","previouslyFormattedCitation":"(Gao et al., 2013)"},"properties":{"noteIndex":0},"schema":"https://github.com/citation-style-language/schema/raw/master/csl-citation.json"}</w:instrText>
      </w:r>
      <w:r w:rsidRPr="000D7D3D">
        <w:fldChar w:fldCharType="separate"/>
      </w:r>
      <w:r w:rsidRPr="000D7D3D">
        <w:rPr>
          <w:noProof/>
        </w:rPr>
        <w:t>(Gao et al., 2013)</w:t>
      </w:r>
      <w:r w:rsidRPr="000D7D3D">
        <w:fldChar w:fldCharType="end"/>
      </w:r>
      <w:r w:rsidRPr="000D7D3D">
        <w:t xml:space="preserve">, and a glycerophosphoryl diester phosphodiesterase. Ultimately, two putative geranylgeranyl pyrophosphate synthases, required for the biosynthesis of terpenoid precursors </w:t>
      </w:r>
      <w:r w:rsidRPr="000D7D3D">
        <w:fldChar w:fldCharType="begin" w:fldLock="1"/>
      </w:r>
      <w:r w:rsidR="00EE33AB">
        <w:instrText>ADDIN CSL_CITATION {"citationItems":[{"id":"ITEM-1","itemData":{"DOI":"10.1371/journal.pone.0096626","ISSN":"19326203","PMID":"24796858","abstract":"The yeast Xanthophyllomyces dendrorhous synthesizes the carotenoid astaxanthin, which has applications in biotechnology because of its antioxidant and pigmentation properties. However, wild-type strains produce too low amounts of carotenoids to be industrially competitive. Considering this background, it is indispensable to understand how the synthesis of astaxanthin is controlled and regulated in this yeast. In this work, the steps leading to the synthesis of the carotenoid precursor geranylgeranyl pyrophosphate (GGPP, C20) in X. dendrorhous from isopentenyl pyrophosphate (IPP, C5) and dimethylallyl pyrophosphate (DMAPP, C5) was characterized. Two prenyl transferase encoding genes, FPS and crtE, were expressed in E. coli. The enzymatic assays using recombinant E. coli protein extracts demonstrated that FPS and crtE encode a farnesyl pyrophosphate (FPP, C15) synthase and a GGPP-synthase, respectively. X. dendrorhous FPP-synthase produces geranyl pyrophosphate (GPP, C10) from IPP and DMAPP and FPP from IPP and GPP, while the X. dendrorhous GGPP-synthase utilizes only FPP and IPP as substrates to produce GGPP. Additionally, the FPS and crtE genes were over-expressed in X. dendrorhous, resulting in an increase of the total carotenoid production. Because the parental strain is diploid, the deletion of one of the alleles of these genes did not affect the total carotenoid production, but the composition was significantly altered. These results suggest that the over-expression of these genes might provoke a higher carbon flux towards carotenogenesis, most likely involving an earlier formation of a carotenogenic enzyme complex. Conversely, the lower carbon flux towards carotenogenesis in the deletion mutants might delay or lead to a partial formation of a carotenogenic enzyme complex, which could explain the accumulation of astaxanthin carotenoid precursors in these mutants. In conclusion, the FPS and the crtE genes represent good candidates to manipulate to favor carotenoid biosynthesis in X. dendrorhous.","author":[{"dropping-particle":"","family":"Alcaíno","given":"Jennifer","non-dropping-particle":"","parse-names":false,"suffix":""},{"dropping-particle":"","family":"Romero","given":"Ignacio","non-dropping-particle":"","parse-names":false,"suffix":""},{"dropping-particle":"","family":"Niklitschek","given":"Mauricio","non-dropping-particle":"","parse-names":false,"suffix":""},{"dropping-particle":"","family":"Sepúlveda","given":"Dionisia","non-dropping-particle":"","parse-names":false,"suffix":""},{"dropping-particle":"","family":"Rojas","given":"María Cecilia","non-dropping-particle":"","parse-names":false,"suffix":""},{"dropping-particle":"","family":"Baeza","given":"Marcelo","non-dropping-particle":"","parse-names":false,"suffix":""},{"dropping-particle":"","family":"Cifuentes","given":"Víctor","non-dropping-particle":"","parse-names":false,"suffix":""}],"container-title":"PLoS ONE","id":"ITEM-1","issue":"5","issued":{"date-parts":[["2014"]]},"page":"1-12","title":"Functional characterization of the Xanthophyllomyces dendrorhous farnesyl pyrophosphate synthase and geranylgeranyl pyrophosphate synthase encoding genes that are involved in the synthesis of isoprenoid precursors","type":"article-journal","volume":"9"},"uris":["http://www.mendeley.com/documents/?uuid=5ee4b6a0-e0e7-4665-8ea2-5b2bf12aa184"]}],"mendeley":{"formattedCitation":"(Alcaíno et al., 2014)","plainTextFormattedCitation":"(Alcaíno et al., 2014)","previouslyFormattedCitation":"(Alcaíno et al., 2014)"},"properties":{"noteIndex":0},"schema":"https://github.com/citation-style-language/schema/raw/master/csl-citation.json"}</w:instrText>
      </w:r>
      <w:r w:rsidRPr="000D7D3D">
        <w:fldChar w:fldCharType="separate"/>
      </w:r>
      <w:r w:rsidRPr="000D7D3D">
        <w:rPr>
          <w:noProof/>
        </w:rPr>
        <w:t>(Alcaíno et al., 2014)</w:t>
      </w:r>
      <w:r w:rsidRPr="000D7D3D">
        <w:fldChar w:fldCharType="end"/>
      </w:r>
      <w:r w:rsidRPr="000D7D3D">
        <w:t xml:space="preserve">. The identification of multiple downregulated genes which were previously characterised to be induced </w:t>
      </w:r>
      <w:r w:rsidR="00577879">
        <w:t>in low Pi availability</w:t>
      </w:r>
      <w:r w:rsidRPr="000D7D3D">
        <w:t xml:space="preserve"> (Low Pi in the RNA-seq experiment of Chapter 3, HAP- in </w:t>
      </w:r>
      <w:r w:rsidRPr="000D7D3D">
        <w:lastRenderedPageBreak/>
        <w:t xml:space="preserve">the RNA-seq experiment presented in this chapter), clearly indicates that </w:t>
      </w:r>
      <w:r w:rsidRPr="000D7D3D">
        <w:rPr>
          <w:i/>
        </w:rPr>
        <w:t>P. involutus</w:t>
      </w:r>
      <w:r w:rsidRPr="000D7D3D">
        <w:t xml:space="preserve"> experiences increased levels of Pi in </w:t>
      </w:r>
      <w:r w:rsidR="00300329">
        <w:t xml:space="preserve">the </w:t>
      </w:r>
      <w:r w:rsidRPr="000D7D3D">
        <w:t xml:space="preserve">presence of </w:t>
      </w:r>
      <w:r w:rsidR="00B85661">
        <w:t>HAP</w:t>
      </w:r>
      <w:r w:rsidRPr="000D7D3D">
        <w:t xml:space="preserve">. As no other available sources of Pi are present </w:t>
      </w:r>
      <w:r w:rsidR="00577879">
        <w:t>with</w:t>
      </w:r>
      <w:r w:rsidRPr="000D7D3D">
        <w:t xml:space="preserve">in the </w:t>
      </w:r>
      <w:r w:rsidR="00577879">
        <w:t xml:space="preserve">HAP </w:t>
      </w:r>
      <w:r w:rsidRPr="000D7D3D">
        <w:t xml:space="preserve">weathering system, </w:t>
      </w:r>
      <w:r w:rsidR="00577879">
        <w:t xml:space="preserve">then </w:t>
      </w:r>
      <w:r w:rsidRPr="000D7D3D">
        <w:t xml:space="preserve">the additional Pi </w:t>
      </w:r>
      <w:r w:rsidR="00577879">
        <w:t>is released after HAP</w:t>
      </w:r>
      <w:r w:rsidR="00577879" w:rsidRPr="000D7D3D">
        <w:t xml:space="preserve"> </w:t>
      </w:r>
      <w:r w:rsidR="00577879">
        <w:t>solubilisation driven by the fungal hyphae</w:t>
      </w:r>
      <w:r w:rsidR="00A470A8">
        <w:t>. Notably, the high-</w:t>
      </w:r>
      <w:r w:rsidRPr="000D7D3D">
        <w:t xml:space="preserve">affinity </w:t>
      </w:r>
      <w:r w:rsidR="005F47E9">
        <w:t xml:space="preserve">Pi </w:t>
      </w:r>
      <w:r w:rsidRPr="000D7D3D">
        <w:t xml:space="preserve">transporter </w:t>
      </w:r>
      <w:r w:rsidR="005F47E9">
        <w:t xml:space="preserve">gene </w:t>
      </w:r>
      <w:r w:rsidRPr="005F47E9">
        <w:rPr>
          <w:i/>
        </w:rPr>
        <w:t>PiPT1</w:t>
      </w:r>
      <w:r w:rsidRPr="000D7D3D">
        <w:t xml:space="preserve"> is found to be strongly downregulated in </w:t>
      </w:r>
      <w:r w:rsidR="00300329">
        <w:t xml:space="preserve">the </w:t>
      </w:r>
      <w:r w:rsidRPr="000D7D3D">
        <w:t xml:space="preserve">presence of </w:t>
      </w:r>
      <w:r w:rsidR="00B85661">
        <w:t>HAP</w:t>
      </w:r>
      <w:r w:rsidR="00B85661" w:rsidRPr="000D7D3D">
        <w:t xml:space="preserve"> </w:t>
      </w:r>
      <w:r w:rsidRPr="000D7D3D">
        <w:t xml:space="preserve">in both NS and S condition. These findings, together with the identification of a higher </w:t>
      </w:r>
      <w:r w:rsidR="00B85661">
        <w:t>Pi</w:t>
      </w:r>
      <w:r w:rsidR="00B85661" w:rsidRPr="000D7D3D">
        <w:t xml:space="preserve"> </w:t>
      </w:r>
      <w:r w:rsidRPr="000D7D3D">
        <w:t>content in fungal hyphae in S HAP+ condition (Figure 5</w:t>
      </w:r>
      <w:r w:rsidR="00300329">
        <w:t>.1D), provide indirect evidence</w:t>
      </w:r>
      <w:r w:rsidRPr="000D7D3D">
        <w:t xml:space="preserve"> that </w:t>
      </w:r>
      <w:r w:rsidR="00B85661">
        <w:t>HAP</w:t>
      </w:r>
      <w:r w:rsidR="00B85661" w:rsidRPr="000D7D3D">
        <w:t xml:space="preserve"> </w:t>
      </w:r>
      <w:r w:rsidRPr="000D7D3D">
        <w:t xml:space="preserve">weathering is enhanced by EM symbiosis, as reported previously for </w:t>
      </w:r>
      <w:r w:rsidRPr="000D7D3D">
        <w:rPr>
          <w:i/>
        </w:rPr>
        <w:t>P. involutus</w:t>
      </w:r>
      <w:r w:rsidRPr="000D7D3D">
        <w:t xml:space="preserve"> </w:t>
      </w:r>
      <w:r w:rsidRPr="000D7D3D">
        <w:fldChar w:fldCharType="begin" w:fldLock="1"/>
      </w:r>
      <w:r w:rsidR="00EE33AB">
        <w:instrText>ADDIN CSL_CITATION {"citationItems":[{"id":"ITEM-1","itemData":{"DOI":"10.1111/j.1472-4669.2012.00331.x","ISSN":"1472-4669","PMID":"22624799","abstract":"Ectomycorrhizal (EcM) fungi are increasingly recognized as important agents of mineral weathering and soil development, with far-reaching impacts on biogeochemical cycles. Because EcM fungi live in a symbiotic relationship with trees and in close contact with bacteria and archaea, it is difficult to distinguish between the weathering effects of the fungus, host tree and other micro-organisms. Here, we quantified mineral weathering by the fungus Paxillus involutus, growing in symbiosis with Pinus sylvestris under sterile conditions. The mycorrhizal trees were grown in specially designed sterile microcosms in which the supply of soluble phosphorus (P) in the bulk media was varied and grains of the calcium phosphate mineral apatite mixed with quartz, or quartz alone, were provided in plastic wells that were only accessed by their fungal partner. Under P limitation, pulse labelling of plants with (14)CO(2) revealed plant-to-fungus allocation of photosynthates, with 17 times more (14)C transferred into the apatite wells compared with wells with only quartz. Fungal colonization increased the release of P from apatite by almost a factor of three, from 7.5 (±1.1) × 10(-10) mol m(-2) s(-1) to 2.2 (±0.52) × 10(-9) mol m(-2) s(-1). On increasing the P supply in the microcosms from no added P, through apatite alone, to both apatite and orthophosphate, the proportion of biomass in roots progressively increased at the expense of the fungus. These three observations, (i) proportionately more plant energy investment in the fungal partner under P limitation, (ii) preferential fungal transport of photosynthate-derived carbon towards patches of apatite grains and (iii) fungal enhancement of weathering rate, reveal the tightly coupled plant-fungal interactions underpinning enhanced EcM weathering of apatite and its utilization as P source.","author":[{"dropping-particle":"","family":"Smits","given":"M M","non-dropping-particle":"","parse-names":false,"suffix":""},{"dropping-particle":"","family":"Bonneville","given":"S","non-dropping-particle":"","parse-names":false,"suffix":""},{"dropping-particle":"","family":"Benning","given":"L G","non-dropping-particle":"","parse-names":false,"suffix":""},{"dropping-particle":"","family":"Banwart","given":"S a","non-dropping-particle":"","parse-names":false,"suffix":""},{"dropping-particle":"","family":"Leake","given":"J R","non-dropping-particle":"","parse-names":false,"suffix":""}],"container-title":"Geobiology","id":"ITEM-1","issue":"5","issued":{"date-parts":[["2012","9"]]},"page":"445-56","title":"Plant-driven weathering of apatite--the role of an ectomycorrhizal fungus.","type":"article-journal","volume":"10"},"uris":["http://www.mendeley.com/documents/?uuid=93facf83-0170-4a2e-bf59-d0cc3badf46e"]}],"mendeley":{"formattedCitation":"(Smits et al., 2012)","plainTextFormattedCitation":"(Smits et al., 2012)","previouslyFormattedCitation":"(Smits et al., 2012)"},"properties":{"noteIndex":0},"schema":"https://github.com/citation-style-language/schema/raw/master/csl-citation.json"}</w:instrText>
      </w:r>
      <w:r w:rsidRPr="000D7D3D">
        <w:fldChar w:fldCharType="separate"/>
      </w:r>
      <w:r w:rsidRPr="000D7D3D">
        <w:rPr>
          <w:noProof/>
        </w:rPr>
        <w:t>(Smits et al., 2012)</w:t>
      </w:r>
      <w:r w:rsidRPr="000D7D3D">
        <w:fldChar w:fldCharType="end"/>
      </w:r>
      <w:r w:rsidRPr="000D7D3D">
        <w:t>.</w:t>
      </w:r>
    </w:p>
    <w:p w14:paraId="7BD4DB74" w14:textId="247C5348" w:rsidR="000D7D3D" w:rsidRPr="000D7D3D" w:rsidRDefault="000D7D3D" w:rsidP="00D9161C">
      <w:pPr>
        <w:ind w:firstLine="720"/>
      </w:pPr>
      <w:r w:rsidRPr="000D7D3D">
        <w:t xml:space="preserve">Among transcripts most </w:t>
      </w:r>
      <w:r w:rsidR="00121A53">
        <w:t xml:space="preserve">significantly </w:t>
      </w:r>
      <w:r w:rsidRPr="000D7D3D">
        <w:t xml:space="preserve">downregulated in </w:t>
      </w:r>
      <w:r w:rsidR="00121A53">
        <w:t>the presence of HAP</w:t>
      </w:r>
      <w:r w:rsidRPr="000D7D3D">
        <w:t xml:space="preserve"> in S condition, many encode for proteins putatively involved in plant-fungus interaction during EM symbiosis (Figure 5.5B). One example include</w:t>
      </w:r>
      <w:r w:rsidR="00121A53">
        <w:t>s</w:t>
      </w:r>
      <w:r w:rsidRPr="000D7D3D">
        <w:t xml:space="preserve"> a putative polysaccharide lyase </w:t>
      </w:r>
      <w:r w:rsidR="00121A53">
        <w:t>(</w:t>
      </w:r>
      <w:r w:rsidRPr="000D7D3D">
        <w:t>family 14</w:t>
      </w:r>
      <w:r w:rsidR="00121A53">
        <w:t>)</w:t>
      </w:r>
      <w:r w:rsidRPr="000D7D3D">
        <w:t xml:space="preserve">, which degrades plant cell wall polysaccharides. In </w:t>
      </w:r>
      <w:r w:rsidRPr="000D7D3D">
        <w:rPr>
          <w:i/>
        </w:rPr>
        <w:t>P. involutus</w:t>
      </w:r>
      <w:r w:rsidRPr="000D7D3D">
        <w:t xml:space="preserve"> polysaccharide lyases are mostly downregulated during EM symbiosis, as these genes are active in saprophytic lifestyle </w:t>
      </w:r>
      <w:r w:rsidRPr="000D7D3D">
        <w:fldChar w:fldCharType="begin" w:fldLock="1"/>
      </w:r>
      <w:r w:rsidR="00EE33AB">
        <w:instrText>ADDIN CSL_CITATION {"citationItems":[{"id":"ITEM-1","itemData":{"DOI":"10.1128/MMBR.00035-14","ISBN":"1098-5557 (Electronic)\\r1092-2172 (Linking)","ISSN":"1092-2172","PMID":"25428937","abstract":"SUMMARY Basidiomycete fungi subsist on various types of plant material in diverse environments, from living and dead trees and forest litter to crops and grasses and to decaying plant matter in soils. Due to the variation in their natural carbon sources, basidiomycetes have highly varied plant-polysaccharide-degrading capabilities. This topic is not as well studied for basidiomycetes as for ascomycete fungi, which are the main sources of knowledge on fungal plant polysaccharide degradation. Research on plant-biomass-decaying fungi has focused on isolating enzymes for current and future applications, such as for the production of fuels, the food industry, and waste treatment. More recently, genomic studies of basidiomycete fungi have provided a profound view of the plant-biomass-degrading potential of wood-rotting, litter-decomposing, plant-pathogenic, and ectomycorrhizal (ECM) basidiomycetes. This review summarizes the current knowledge on plant polysaccharide depolymerization by basidiomycete species from diverse habitats. In addition, these data are compared to those for the most broadly studied ascomycete genus, Aspergillus, to provide insight into specific features of basidiomycetes with respect to plant polysaccharide degradation.","author":[{"dropping-particle":"","family":"Rytioja","given":"Johanna","non-dropping-particle":"","parse-names":false,"suffix":""},{"dropping-particle":"","family":"Hildén","given":"Kristiina","non-dropping-particle":"","parse-names":false,"suffix":""},{"dropping-particle":"","family":"Yuzon","given":"Jennifer","non-dropping-particle":"","parse-names":false,"suffix":""},{"dropping-particle":"","family":"Hatakka","given":"Annele","non-dropping-particle":"","parse-names":false,"suffix":""},{"dropping-particle":"","family":"Vries","given":"Ronald P.","non-dropping-particle":"de","parse-names":false,"suffix":""},{"dropping-particle":"","family":"Mäkelä","given":"Miia R.","non-dropping-particle":"","parse-names":false,"suffix":""}],"container-title":"Microbiology and Molecular Biology Reviews","id":"ITEM-1","issue":"4","issued":{"date-parts":[["2014"]]},"page":"614-649","title":"Plant-Polysaccharide-Degrading Enzymes from Basidiomycetes","type":"article-journal","volume":"78"},"uris":["http://www.mendeley.com/documents/?uuid=931a8f61-bb0e-4489-9c15-8b3532ea114e"]}],"mendeley":{"formattedCitation":"(Rytioja et al., 2014)","plainTextFormattedCitation":"(Rytioja et al., 2014)","previouslyFormattedCitation":"(Rytioja et al., 2014)"},"properties":{"noteIndex":0},"schema":"https://github.com/citation-style-language/schema/raw/master/csl-citation.json"}</w:instrText>
      </w:r>
      <w:r w:rsidRPr="000D7D3D">
        <w:fldChar w:fldCharType="separate"/>
      </w:r>
      <w:r w:rsidRPr="000D7D3D">
        <w:rPr>
          <w:noProof/>
        </w:rPr>
        <w:t>(Rytioja et al., 2014)</w:t>
      </w:r>
      <w:r w:rsidRPr="000D7D3D">
        <w:fldChar w:fldCharType="end"/>
      </w:r>
      <w:r w:rsidRPr="000D7D3D">
        <w:t>. Another example include</w:t>
      </w:r>
      <w:r w:rsidR="00300329">
        <w:t>s</w:t>
      </w:r>
      <w:r w:rsidRPr="000D7D3D">
        <w:t xml:space="preserve"> a putative glycosyltransferase </w:t>
      </w:r>
      <w:r w:rsidR="00121A53">
        <w:t>(family 59),</w:t>
      </w:r>
      <w:r w:rsidRPr="000D7D3D">
        <w:t xml:space="preserve"> involved in </w:t>
      </w:r>
      <w:r w:rsidR="00300329">
        <w:t xml:space="preserve">the </w:t>
      </w:r>
      <w:r w:rsidRPr="000D7D3D">
        <w:t xml:space="preserve">biosynthesis of glycosides </w:t>
      </w:r>
      <w:r w:rsidRPr="000D7D3D">
        <w:fldChar w:fldCharType="begin" w:fldLock="1"/>
      </w:r>
      <w:r w:rsidR="00EE33AB">
        <w:instrText>ADDIN CSL_CITATION {"citationItems":[{"id":"ITEM-1","itemData":{"author":[{"dropping-particle":"","family":"Xie","given":"Kebo","non-dropping-particle":"","parse-names":false,"suffix":""},{"dropping-particle":"","family":"Dou","given":"Xiaoxiang","non-dropping-particle":"","parse-names":false,"suffix":""},{"dropping-particle":"","family":"Chen","given":"Ridao","non-dropping-particle":"","parse-names":false,"suffix":""},{"dropping-particle":"","family":"Chen","given":"Dawei","non-dropping-particle":"","parse-names":false,"suffix":""},{"dropping-particle":"","family":"Fang","given":"Cheng","non-dropping-particle":"","parse-names":false,"suffix":""},{"dropping-particle":"","family":"Xiao","given":"Zhiyan","non-dropping-particle":"","parse-names":false,"suffix":""},{"dropping-particle":"","family":"Dai","given":"Jungui","non-dropping-particle":"","parse-names":false,"suffix":""}],"id":"ITEM-1","issue":"8","issued":{"date-parts":[["2017"]]},"page":"1-14","title":"Two Novel Fungal Phenolic UDP Glycosyltransferases from Absidia coerulea and Rhizopus japonicus","type":"article-journal","volume":"83"},"uris":["http://www.mendeley.com/documents/?uuid=7167b389-5634-47f4-899e-c74f1f9e9d44"]}],"mendeley":{"formattedCitation":"(Xie et al., 2017)","plainTextFormattedCitation":"(Xie et al., 2017)","previouslyFormattedCitation":"(Xie et al., 2017)"},"properties":{"noteIndex":0},"schema":"https://github.com/citation-style-language/schema/raw/master/csl-citation.json"}</w:instrText>
      </w:r>
      <w:r w:rsidRPr="000D7D3D">
        <w:fldChar w:fldCharType="separate"/>
      </w:r>
      <w:r w:rsidRPr="000D7D3D">
        <w:rPr>
          <w:noProof/>
        </w:rPr>
        <w:t>(Xie et al., 2017)</w:t>
      </w:r>
      <w:r w:rsidRPr="000D7D3D">
        <w:fldChar w:fldCharType="end"/>
      </w:r>
      <w:r w:rsidRPr="000D7D3D">
        <w:t xml:space="preserve">. A recent study on </w:t>
      </w:r>
      <w:r w:rsidR="0094375E">
        <w:t>C</w:t>
      </w:r>
      <w:r w:rsidR="0094375E" w:rsidRPr="000D7D3D">
        <w:t xml:space="preserve"> </w:t>
      </w:r>
      <w:r w:rsidRPr="000D7D3D">
        <w:t>allocation in roots of Aspen plants (</w:t>
      </w:r>
      <w:r w:rsidRPr="000D7D3D">
        <w:rPr>
          <w:i/>
        </w:rPr>
        <w:t>Populus tremuloides</w:t>
      </w:r>
      <w:r w:rsidRPr="000D7D3D">
        <w:t xml:space="preserve">) forming EM symbiosis with </w:t>
      </w:r>
      <w:r w:rsidR="00121A53">
        <w:rPr>
          <w:i/>
        </w:rPr>
        <w:t>Laccaria</w:t>
      </w:r>
      <w:r w:rsidRPr="000D7D3D">
        <w:rPr>
          <w:i/>
        </w:rPr>
        <w:t xml:space="preserve"> bicolor</w:t>
      </w:r>
      <w:r w:rsidRPr="000D7D3D">
        <w:t xml:space="preserve"> or </w:t>
      </w:r>
      <w:r w:rsidRPr="000D7D3D">
        <w:rPr>
          <w:i/>
        </w:rPr>
        <w:t>P. involutus</w:t>
      </w:r>
      <w:r w:rsidRPr="000D7D3D">
        <w:t xml:space="preserve"> showed that, in limiting Pi conditions, production of non-structural carbohydrates from </w:t>
      </w:r>
      <w:r w:rsidR="0094375E">
        <w:t>photosynthetic sugars</w:t>
      </w:r>
      <w:r w:rsidRPr="000D7D3D">
        <w:t xml:space="preserve"> is reduced in favour of glycosides and tannins </w:t>
      </w:r>
      <w:r w:rsidRPr="000D7D3D">
        <w:fldChar w:fldCharType="begin" w:fldLock="1"/>
      </w:r>
      <w:r w:rsidR="00EE33AB">
        <w:instrText>ADDIN CSL_CITATION {"citationItems":[{"id":"ITEM-1","itemData":{"ISSN":"0829-318X","abstract":"The fate of carbon (C) captured by forest trees during photosynthesis is influenced by the supply of other resources. Fixed C may be partitioned among biomolecules within the leaf and/or allocated throughout the tree to growth, storage and maintenance activities. Phosphorus (P) availability often limits tree productivity due to its high biological demand and strong interactions with soil minerals. As ectomycorrhizal (ECM) fungi play critical roles in enhancing phosphate (Pi) acquisition by their hosts, these symbioses will influence the fate of C within trees and forested ecosystems. Using Populus tremuloides Michx. (trembling aspen) in symbiosis with Laccaria bicolor (Marie) P.D. Orton or Paxillus involutus (Batsch) Fr., we assessed C acquisition, allocation and partitioning under Pi limitation, specifically focusing on primary and secondary C compounds. Both ECM fungi moderated the effects of low P on photosynthesis and C partitioning among carbohydrates and secondary metabolites by sustaining Pi uptake and translocation in P. tremuloides under Pi limitation. As leaf P declined, reductions in photosynthesis were accompanied by significant shifts in C partitioning from nonstructural carbohydrates (NSCs) to phenolic glycosides and tannins. Carbon partitioning in roots exhibited more complex patterns, with distinct increases in NSCs in nonmycorrhizal (NM) plants under Pi limitation that were not evident in plants colonized by either ECM symbiont. In general, aspen colonized by L. bicolor exhibited C partitioning patterns intermediate between those of NM and P. involutus aspen. The C cost of symbiosis was pronounced for plants supporting P. involutus, where ECM plants exhibited maintenance of photosynthesis yet reduced biomass in comparison with NM and L. bicolor aspen under Pi replete conditions. Our results indicate that the ECM symbiosis affects the disposition of C in forest trees in part by altering the acquisition of other limiting resources from soils, but also through ECM species-specific influences on host physiology. This modulation of C partitioning will have broad implications for forest ecosystem C capture, storage and cycling where nutrient resources may be limited.","author":[{"dropping-particle":"","family":"Shinde","given":"Shalaka","non-dropping-particle":"","parse-names":false,"suffix":""},{"dropping-particle":"","family":"Naik","given":"Dhiraj","non-dropping-particle":"","parse-names":false,"suffix":""},{"dropping-particle":"","family":"Cumming","given":"Jonathan R","non-dropping-particle":"","parse-names":false,"suffix":""}],"container-title":"Tree Physiology","id":"ITEM-1","issued":{"date-parts":[["2017","10","3"]]},"note":"10.1093/treephys/tpx117","page":"1-14","title":"Carbon allocation and partitioning in Populus tremuloides are modulated by ectomycorrhizal fungi under phosphorus limitation","type":"article-journal"},"uris":["http://www.mendeley.com/documents/?uuid=177b136b-a68d-4320-82d7-49459c8ef089"]}],"mendeley":{"formattedCitation":"(Shinde et al., 2017)","plainTextFormattedCitation":"(Shinde et al., 2017)","previouslyFormattedCitation":"(Shinde et al., 2017)"},"properties":{"noteIndex":0},"schema":"https://github.com/citation-style-language/schema/raw/master/csl-citation.json"}</w:instrText>
      </w:r>
      <w:r w:rsidRPr="000D7D3D">
        <w:fldChar w:fldCharType="separate"/>
      </w:r>
      <w:r w:rsidRPr="000D7D3D">
        <w:rPr>
          <w:noProof/>
        </w:rPr>
        <w:t>(Shinde et al., 2017)</w:t>
      </w:r>
      <w:r w:rsidRPr="000D7D3D">
        <w:fldChar w:fldCharType="end"/>
      </w:r>
      <w:r w:rsidRPr="000D7D3D">
        <w:t xml:space="preserve">. As </w:t>
      </w:r>
      <w:r w:rsidRPr="000D7D3D">
        <w:rPr>
          <w:i/>
        </w:rPr>
        <w:t>P. involutus</w:t>
      </w:r>
      <w:r w:rsidRPr="000D7D3D">
        <w:t xml:space="preserve"> receives primary photosynthates from </w:t>
      </w:r>
      <w:r w:rsidR="00121A53" w:rsidRPr="00121A53">
        <w:rPr>
          <w:i/>
        </w:rPr>
        <w:t>P. sylvestris</w:t>
      </w:r>
      <w:r w:rsidRPr="000D7D3D">
        <w:t xml:space="preserve"> seedlings, it is possible that limiting Pi conditions may cause a similar switch in C allocation. The finding of downregulation of this putative </w:t>
      </w:r>
      <w:r w:rsidR="00121A53" w:rsidRPr="000D7D3D">
        <w:t xml:space="preserve">glycosyltransferase </w:t>
      </w:r>
      <w:r w:rsidRPr="000D7D3D">
        <w:t xml:space="preserve">encoding gene may be an indication that, in </w:t>
      </w:r>
      <w:r w:rsidR="00300329">
        <w:t xml:space="preserve">the </w:t>
      </w:r>
      <w:r w:rsidRPr="000D7D3D">
        <w:t xml:space="preserve">presence of </w:t>
      </w:r>
      <w:r w:rsidR="0094375E">
        <w:t>HAP</w:t>
      </w:r>
      <w:r w:rsidRPr="000D7D3D">
        <w:t xml:space="preserve">, </w:t>
      </w:r>
      <w:r w:rsidRPr="000D7D3D">
        <w:rPr>
          <w:i/>
        </w:rPr>
        <w:t>P. involutus</w:t>
      </w:r>
      <w:r w:rsidRPr="000D7D3D">
        <w:t xml:space="preserve"> does not experience Pi </w:t>
      </w:r>
      <w:r w:rsidR="00121A53">
        <w:t>starvation</w:t>
      </w:r>
      <w:r w:rsidR="00241398">
        <w:t>.</w:t>
      </w:r>
    </w:p>
    <w:p w14:paraId="2FF3EE32" w14:textId="01BE2E23" w:rsidR="000D7D3D" w:rsidRPr="000D7D3D" w:rsidRDefault="00300329" w:rsidP="00D9161C">
      <w:pPr>
        <w:ind w:firstLine="720"/>
      </w:pPr>
      <w:r>
        <w:t>Interestingly, a gene enco</w:t>
      </w:r>
      <w:r w:rsidR="000D7D3D" w:rsidRPr="000D7D3D">
        <w:t>ding a putative paxillin protein and a gene encoding a GTPase of the</w:t>
      </w:r>
      <w:r w:rsidR="00371190">
        <w:t xml:space="preserve"> Ras super</w:t>
      </w:r>
      <w:r w:rsidR="000D7D3D" w:rsidRPr="000D7D3D">
        <w:t xml:space="preserve">family were found to be downregulated in </w:t>
      </w:r>
      <w:r w:rsidR="00371190">
        <w:t xml:space="preserve">the </w:t>
      </w:r>
      <w:r w:rsidR="000D7D3D" w:rsidRPr="000D7D3D">
        <w:t xml:space="preserve">presence of </w:t>
      </w:r>
      <w:r w:rsidR="001D1D66">
        <w:t>HAP</w:t>
      </w:r>
      <w:r w:rsidR="001D1D66" w:rsidRPr="000D7D3D">
        <w:t xml:space="preserve"> </w:t>
      </w:r>
      <w:r w:rsidR="000D7D3D" w:rsidRPr="000D7D3D">
        <w:t xml:space="preserve">(Figure 5.5B). In the filamentous fungus </w:t>
      </w:r>
      <w:r w:rsidR="00371190" w:rsidRPr="00371190">
        <w:rPr>
          <w:i/>
        </w:rPr>
        <w:t>Ashbya</w:t>
      </w:r>
      <w:r w:rsidR="000D7D3D" w:rsidRPr="000D7D3D">
        <w:rPr>
          <w:i/>
        </w:rPr>
        <w:t xml:space="preserve"> gossypii</w:t>
      </w:r>
      <w:r w:rsidR="000D7D3D" w:rsidRPr="000D7D3D">
        <w:t xml:space="preserve">, both a paxillin-like protein and a Ras-GTPase were found to be necessary for hyphal growth and branching </w:t>
      </w:r>
      <w:r w:rsidR="000D7D3D" w:rsidRPr="000D7D3D">
        <w:fldChar w:fldCharType="begin" w:fldLock="1"/>
      </w:r>
      <w:r w:rsidR="00EE33AB">
        <w:instrText>ADDIN CSL_CITATION {"citationItems":[{"id":"ITEM-1","itemData":{"author":[{"dropping-particle":"","family":"Bauer","given":"Y","non-dropping-particle":"","parse-names":false,"suffix":""},{"dropping-particle":"","family":"Knechtle","given":"P","non-dropping-particle":"","parse-names":false,"suffix":""},{"dropping-particle":"","family":"Wendland","given":"J","non-dropping-particle":"","parse-names":false,"suffix":""},{"dropping-particle":"","family":"Helfer","given":"H","non-dropping-particle":"","parse-names":false,"suffix":""},{"dropping-particle":"","family":"Philippsen","given":"P","non-dropping-particle":"","parse-names":false,"suffix":""}],"container-title":"Molecular biology of the cell","id":"ITEM-1","issue":"1","issued":{"date-parts":[["2005"]]},"page":"4622–4632","title":"A Ras-like GTPase Is Involved in Hyphal Growth Guidance in the Filamentous Fungus Ashbya gossypii","type":"article-journal","volume":"15"},"uris":["http://www.mendeley.com/documents/?uuid=41b44b78-ef67-4fd5-9538-d5f64c63fe53"]},{"id":"ITEM-2","itemData":{"DOI":"10.1016/j.fgb.2008.03.010","ISBN":"1096-0937 (Electronic)","ISSN":"10871845","PMID":"18448364","abstract":"The development from young, slowly growing hyphae to fast growing hyphae in filamentous fungi is referred to as hyphal maturation. We have identified the Paxillin-like protein AgPxl1 in Ashbya gossypii as a developmental protein that is specifically required for hyphal maturation. The early development of A. gossypii strains lacking AgPxl1 is indistinguishable from wild-type. However, at later developmental stages the maximal hyphal extension rate is less than half compared to wild-type and apical branching is affected. Apical branching is characterised as the symmetric division of fast growing hyphal tips resulting in two sister hyphae. In Agpxl1Δ strains two thirds of the apical branching events lead to asymmetric sister hyphae where growth of one branch is either completely aborted or slowed down while extension of the other branch is not affected. This suggests that AgPxl1 plays a role in the organisation of growth and efficient division of growth upon apical branching in mature mycelia. The conserved C-terminal LIM domains are necessary for AgPxl1 function and also contribute to tip localisation. AgCLA4, a PAK-like kinase, is epistatic to AgPXL1 and robust localisation of AgPxl1 depends on AgCla4. This suggests that AgCla4 acts upstream of AgPxl1. © 2008 Elsevier Inc. All rights reserved.","author":[{"dropping-particle":"","family":"Knechtle","given":"Philipp","non-dropping-particle":"","parse-names":false,"suffix":""},{"dropping-particle":"","family":"Kaufmann","given":"Andreas","non-dropping-particle":"","parse-names":false,"suffix":""},{"dropping-particle":"","family":"Cavicchioli","given":"Daniele","non-dropping-particle":"","parse-names":false,"suffix":""},{"dropping-particle":"","family":"Philippsen","given":"Peter","non-dropping-particle":"","parse-names":false,"suffix":""}],"container-title":"Fungal Genetics and Biology","id":"ITEM-2","issue":"6","issued":{"date-parts":[["2008"]]},"page":"829-838","title":"The Paxillin-like protein AgPxl1 is required for apical branching and maximal hyphal growth in A. gossypii","type":"article-journal","volume":"45"},"uris":["http://www.mendeley.com/documents/?uuid=1aac4887-7d9d-4f07-8659-a2af5ff8e48a"]}],"mendeley":{"formattedCitation":"(Bauer et al., 2005; Knechtle et al., 2008)","plainTextFormattedCitation":"(Bauer et al., 2005; Knechtle et al., 2008)","previouslyFormattedCitation":"(Bauer et al., 2005; Knechtle et al., 2008)"},"properties":{"noteIndex":0},"schema":"https://github.com/citation-style-language/schema/raw/master/csl-citation.json"}</w:instrText>
      </w:r>
      <w:r w:rsidR="000D7D3D" w:rsidRPr="000D7D3D">
        <w:fldChar w:fldCharType="separate"/>
      </w:r>
      <w:r w:rsidR="000D7D3D" w:rsidRPr="000D7D3D">
        <w:rPr>
          <w:noProof/>
        </w:rPr>
        <w:t>(Bauer et al., 2005; Knechtle et al., 2008)</w:t>
      </w:r>
      <w:r w:rsidR="000D7D3D" w:rsidRPr="000D7D3D">
        <w:fldChar w:fldCharType="end"/>
      </w:r>
      <w:r w:rsidR="000D7D3D" w:rsidRPr="000D7D3D">
        <w:t xml:space="preserve">. Additionally, a gene encoding a putative auxin efflux transporter was also downregulated in </w:t>
      </w:r>
      <w:r>
        <w:t xml:space="preserve">the </w:t>
      </w:r>
      <w:r w:rsidR="000D7D3D" w:rsidRPr="000D7D3D">
        <w:t xml:space="preserve">presence of </w:t>
      </w:r>
      <w:r w:rsidR="001D1D66">
        <w:t>HAP</w:t>
      </w:r>
      <w:r w:rsidR="001D1D66" w:rsidRPr="000D7D3D">
        <w:t xml:space="preserve"> </w:t>
      </w:r>
      <w:r w:rsidR="000D7D3D" w:rsidRPr="000D7D3D">
        <w:t xml:space="preserve">(Figure 5.5B). Production </w:t>
      </w:r>
      <w:r w:rsidR="000D7D3D" w:rsidRPr="000D7D3D">
        <w:lastRenderedPageBreak/>
        <w:t xml:space="preserve">and secretion of endogenous indole-3-acetic acid (IAA) in the </w:t>
      </w:r>
      <w:r w:rsidR="001D1D66">
        <w:t>EM</w:t>
      </w:r>
      <w:r w:rsidR="001D1D66" w:rsidRPr="000D7D3D">
        <w:t xml:space="preserve"> </w:t>
      </w:r>
      <w:r w:rsidR="00F3111F">
        <w:t xml:space="preserve">fungus </w:t>
      </w:r>
      <w:r w:rsidR="00371190" w:rsidRPr="00371190">
        <w:rPr>
          <w:i/>
        </w:rPr>
        <w:t>Tricholoma</w:t>
      </w:r>
      <w:r w:rsidR="00371190">
        <w:rPr>
          <w:i/>
        </w:rPr>
        <w:t xml:space="preserve"> </w:t>
      </w:r>
      <w:r w:rsidR="000D7D3D" w:rsidRPr="000D7D3D">
        <w:rPr>
          <w:i/>
        </w:rPr>
        <w:t>vaccinum</w:t>
      </w:r>
      <w:r w:rsidR="000D7D3D" w:rsidRPr="000D7D3D">
        <w:t xml:space="preserve"> resulted in positive regulation of both hyphal length and hyphal branching </w:t>
      </w:r>
      <w:r w:rsidR="000D7D3D" w:rsidRPr="000D7D3D">
        <w:fldChar w:fldCharType="begin" w:fldLock="1"/>
      </w:r>
      <w:r w:rsidR="00EE33AB">
        <w:instrText>ADDIN CSL_CITATION {"citationItems":[{"id":"ITEM-1","itemData":{"DOI":"10.1128/AEM.01991-15","ISSN":"10985336","PMID":"26231639","abstract":"&lt;p&gt; Fungus-derived indole-3-acetic acid (IAA), which is involved in development of ectomycorrhiza, affects both partners, i.e., the tree and the fungus. The biosynthesis pathway, excretion from fungal hyphae, the induction of branching in fungal cultures, and enhanced Hartig net formation in mycorrhiza were shown. Gene expression studies, incorporation of labeled compounds into IAA, heterologous expression of a transporter, and bioinformatics were applied to study the effect of IAA on fungal morphogenesis and on ectomycorrhiza. &lt;named-content content-type=\"genus-species\"&gt;Tricholoma vaccinum&lt;/named-content&gt; produces IAA from tryptophan via indole-3-pyruvate, with the last step of this biosynthetic pathway being catalyzed by an aldehyde dehydrogenase. The gene &lt;italic&gt;ald1&lt;/italic&gt; was found to be highly expressed in ectomycorrhiza and induced by indole-3-acetaldehyde. The export of IAA from fungal cells is supported by the multidrug and toxic extrusion (MATE) transporter Mte1 found in &lt;named-content content-type=\"genus-species\"&gt;T. vaccinum&lt;/named-content&gt; . The addition of IAA and its precursors induced elongated cells and hyphal ramification of mycorrhizal fungi; in contrast, in saprobic fungi such as &lt;named-content content-type=\"genus-species\"&gt;Schizophyllum commune&lt;/named-content&gt; , IAA did not induce morphogenetic changes. Mycorrhiza responded by increasing its Hartig net formation. The IAA of fungal origin acts as a diffusible signal, influencing root colonization and increasing Hartig net formation in ectomycorrhiza. &lt;/p&gt;","author":[{"dropping-particle":"","family":"Krause","given":"Katrin","non-dropping-particle":"","parse-names":false,"suffix":""},{"dropping-particle":"","family":"Henke","given":"Catarina","non-dropping-particle":"","parse-names":false,"suffix":""},{"dropping-particle":"","family":"Asiimwe","given":"Theodore","non-dropping-particle":"","parse-names":false,"suffix":""},{"dropping-particle":"","family":"Ulbricht","given":"Andrea","non-dropping-particle":"","parse-names":false,"suffix":""},{"dropping-particle":"","family":"Klemmer","given":"Sandra","non-dropping-particle":"","parse-names":false,"suffix":""},{"dropping-particle":"","family":"Schachtschabel","given":"Doreen","non-dropping-particle":"","parse-names":false,"suffix":""},{"dropping-particle":"","family":"Boland","given":"Wilhelm","non-dropping-particle":"","parse-names":false,"suffix":""},{"dropping-particle":"","family":"Kothe","given":"Erika","non-dropping-particle":"","parse-names":false,"suffix":""}],"container-title":"Applied and Environmental Microbiology","id":"ITEM-1","issue":"20","issued":{"date-parts":[["2015"]]},"page":"7003-7011","title":"Biosynthesis and secretion of indole-3-acetic acid and its morphological effects on Tricholoma vaccinum-spruce ectomycorrhiza","type":"article-journal","volume":"81"},"uris":["http://www.mendeley.com/documents/?uuid=15ed871d-dca8-475a-a201-ddd40127cbbb"]}],"mendeley":{"formattedCitation":"(Krause et al., 2015)","plainTextFormattedCitation":"(Krause et al., 2015)","previouslyFormattedCitation":"(Krause et al., 2015)"},"properties":{"noteIndex":0},"schema":"https://github.com/citation-style-language/schema/raw/master/csl-citation.json"}</w:instrText>
      </w:r>
      <w:r w:rsidR="000D7D3D" w:rsidRPr="000D7D3D">
        <w:fldChar w:fldCharType="separate"/>
      </w:r>
      <w:r w:rsidR="000D7D3D" w:rsidRPr="000D7D3D">
        <w:rPr>
          <w:noProof/>
        </w:rPr>
        <w:t>(Krause et al., 2015)</w:t>
      </w:r>
      <w:r w:rsidR="000D7D3D" w:rsidRPr="000D7D3D">
        <w:fldChar w:fldCharType="end"/>
      </w:r>
      <w:r w:rsidR="000D7D3D" w:rsidRPr="000D7D3D">
        <w:t xml:space="preserve">. Downregulation of these putative regulators of hyphal growth in </w:t>
      </w:r>
      <w:r>
        <w:t xml:space="preserve">the </w:t>
      </w:r>
      <w:r w:rsidR="000D7D3D" w:rsidRPr="000D7D3D">
        <w:t xml:space="preserve">presence of </w:t>
      </w:r>
      <w:r w:rsidR="001D1D66">
        <w:t>HAP</w:t>
      </w:r>
      <w:r w:rsidR="001D1D66" w:rsidRPr="000D7D3D">
        <w:t xml:space="preserve"> </w:t>
      </w:r>
      <w:r w:rsidR="000D7D3D" w:rsidRPr="000D7D3D">
        <w:t xml:space="preserve">in S conditions may indicate that </w:t>
      </w:r>
      <w:r w:rsidR="000D7D3D" w:rsidRPr="000D7D3D">
        <w:rPr>
          <w:i/>
        </w:rPr>
        <w:t>P. involutus</w:t>
      </w:r>
      <w:r w:rsidR="000D7D3D" w:rsidRPr="000D7D3D">
        <w:t xml:space="preserve"> reduces </w:t>
      </w:r>
      <w:r>
        <w:t xml:space="preserve">the </w:t>
      </w:r>
      <w:r w:rsidR="000D7D3D" w:rsidRPr="000D7D3D">
        <w:t>growth of exploratory mycelia once a P-bearing mine</w:t>
      </w:r>
      <w:r w:rsidR="00F3111F">
        <w:t>ral source is identified and its</w:t>
      </w:r>
      <w:r w:rsidR="000D7D3D" w:rsidRPr="000D7D3D">
        <w:t xml:space="preserve"> weathering process is initiated.</w:t>
      </w:r>
    </w:p>
    <w:p w14:paraId="3C05D426" w14:textId="668EE2DB" w:rsidR="000D7D3D" w:rsidRPr="000D7D3D" w:rsidRDefault="000D7D3D" w:rsidP="00D9161C">
      <w:pPr>
        <w:ind w:firstLine="720"/>
      </w:pPr>
      <w:r w:rsidRPr="000D7D3D">
        <w:t xml:space="preserve">Additional </w:t>
      </w:r>
      <w:r w:rsidR="009541AE" w:rsidRPr="000D7D3D">
        <w:t>transporter</w:t>
      </w:r>
      <w:r w:rsidR="009541AE">
        <w:t xml:space="preserve"> encoding gene</w:t>
      </w:r>
      <w:r w:rsidRPr="000D7D3D">
        <w:t xml:space="preserve">s </w:t>
      </w:r>
      <w:r w:rsidR="009541AE">
        <w:t xml:space="preserve">were </w:t>
      </w:r>
      <w:r w:rsidRPr="000D7D3D">
        <w:t xml:space="preserve">found to be downregulated in </w:t>
      </w:r>
      <w:r w:rsidR="00300329">
        <w:t xml:space="preserve">the </w:t>
      </w:r>
      <w:r w:rsidRPr="000D7D3D">
        <w:t xml:space="preserve">presence of </w:t>
      </w:r>
      <w:r w:rsidR="001D1D66">
        <w:t>HAP</w:t>
      </w:r>
      <w:r w:rsidR="001D1D66" w:rsidRPr="000D7D3D">
        <w:t xml:space="preserve"> </w:t>
      </w:r>
      <w:r w:rsidR="009541AE">
        <w:t>in S condition including</w:t>
      </w:r>
      <w:r w:rsidRPr="000D7D3D">
        <w:t xml:space="preserve"> a MATE efflux transporter and a plasma membrane Ca/H</w:t>
      </w:r>
      <w:r w:rsidRPr="000D7D3D">
        <w:rPr>
          <w:vertAlign w:val="superscript"/>
        </w:rPr>
        <w:t>+</w:t>
      </w:r>
      <w:r w:rsidRPr="000D7D3D">
        <w:t xml:space="preserve"> antiporter. Interestingly, </w:t>
      </w:r>
      <w:r w:rsidR="001D1D66" w:rsidRPr="000D7D3D">
        <w:t>Ca</w:t>
      </w:r>
      <w:r w:rsidRPr="000D7D3D">
        <w:t xml:space="preserve">-dependent ATPases were found to be upregulated in </w:t>
      </w:r>
      <w:r w:rsidR="00300329">
        <w:t xml:space="preserve">the </w:t>
      </w:r>
      <w:r w:rsidRPr="000D7D3D">
        <w:t xml:space="preserve">presence of </w:t>
      </w:r>
      <w:r w:rsidR="001D1D66">
        <w:t>HAP</w:t>
      </w:r>
      <w:r w:rsidR="001D1D66" w:rsidRPr="000D7D3D">
        <w:t xml:space="preserve"> </w:t>
      </w:r>
      <w:r w:rsidRPr="000D7D3D">
        <w:t>in both NS and S con</w:t>
      </w:r>
      <w:r w:rsidR="00300329">
        <w:t xml:space="preserve">ditions (Figures 5.4A and 5.5A), which may </w:t>
      </w:r>
      <w:r w:rsidRPr="000D7D3D">
        <w:t xml:space="preserve">indicate that </w:t>
      </w:r>
      <w:r w:rsidRPr="000D7D3D">
        <w:rPr>
          <w:i/>
        </w:rPr>
        <w:t>P. involutus</w:t>
      </w:r>
      <w:r w:rsidRPr="000D7D3D">
        <w:t xml:space="preserve"> preferentially utilises ATP-dependant </w:t>
      </w:r>
      <w:r w:rsidR="005D49C9">
        <w:rPr>
          <w:rFonts w:cs="Arial"/>
        </w:rPr>
        <w:t>H</w:t>
      </w:r>
      <w:r w:rsidR="005D49C9" w:rsidRPr="00720F46">
        <w:rPr>
          <w:rFonts w:cs="Arial"/>
          <w:vertAlign w:val="superscript"/>
        </w:rPr>
        <w:t>+</w:t>
      </w:r>
      <w:r w:rsidRPr="000D7D3D">
        <w:t xml:space="preserve"> pumps for the maintenance of Ca homeostasis during </w:t>
      </w:r>
      <w:r w:rsidR="001D1D66">
        <w:t>HAP</w:t>
      </w:r>
      <w:r w:rsidR="001D1D66" w:rsidRPr="000D7D3D">
        <w:t xml:space="preserve"> </w:t>
      </w:r>
      <w:r w:rsidRPr="000D7D3D">
        <w:t>weathering.</w:t>
      </w:r>
    </w:p>
    <w:p w14:paraId="46A8836E" w14:textId="2BF76D97" w:rsidR="000D7D3D" w:rsidRPr="000D7D3D" w:rsidRDefault="000D7D3D" w:rsidP="00D9161C">
      <w:pPr>
        <w:ind w:firstLine="720"/>
      </w:pPr>
      <w:r w:rsidRPr="000D7D3D">
        <w:t>Analysis of the genes showing the most significant upregulation in HAP+ in S condition c</w:t>
      </w:r>
      <w:r w:rsidR="00E34EE4">
        <w:t>ompared to HAP+ in NS condition</w:t>
      </w:r>
      <w:r w:rsidRPr="000D7D3D">
        <w:t xml:space="preserve"> (Figure 5.6A) gives a selection of genes which are not induced in </w:t>
      </w:r>
      <w:r w:rsidR="00A96236">
        <w:t xml:space="preserve">the </w:t>
      </w:r>
      <w:r w:rsidRPr="000D7D3D">
        <w:t xml:space="preserve">presence of </w:t>
      </w:r>
      <w:r w:rsidR="001D1D66">
        <w:t>HAP</w:t>
      </w:r>
      <w:r w:rsidR="001D1D66" w:rsidRPr="000D7D3D">
        <w:t xml:space="preserve"> </w:t>
      </w:r>
      <w:r w:rsidRPr="000D7D3D">
        <w:t xml:space="preserve">in NS condition, but strongly induced in </w:t>
      </w:r>
      <w:r w:rsidR="00A96236">
        <w:t xml:space="preserve">the </w:t>
      </w:r>
      <w:r w:rsidRPr="000D7D3D">
        <w:t xml:space="preserve">presence of </w:t>
      </w:r>
      <w:r w:rsidR="001D1D66">
        <w:t>HAP</w:t>
      </w:r>
      <w:r w:rsidR="001D1D66" w:rsidRPr="000D7D3D">
        <w:t xml:space="preserve"> </w:t>
      </w:r>
      <w:r w:rsidR="009541AE">
        <w:t>in S condition.</w:t>
      </w:r>
    </w:p>
    <w:p w14:paraId="49C6F3B1" w14:textId="66C7F4B1" w:rsidR="000D7D3D" w:rsidRPr="000D7D3D" w:rsidRDefault="000D7D3D" w:rsidP="00D9161C">
      <w:pPr>
        <w:ind w:firstLine="720"/>
      </w:pPr>
      <w:r w:rsidRPr="000D7D3D">
        <w:t xml:space="preserve">Most notably, multiple genes encoding putative enzymes involved in carboxylic acid metabolism are found to be upregulated in this selection. LMWOA organic acids secreted on mineral surfaces are widely accepted as one of the main agents of mineral weathering by fungi, and in particular by mycorrhizal ones </w:t>
      </w:r>
      <w:r w:rsidR="00A96236">
        <w:t>that</w:t>
      </w:r>
      <w:r w:rsidRPr="000D7D3D">
        <w:t xml:space="preserve"> have access to </w:t>
      </w:r>
      <w:r w:rsidR="002F17C1">
        <w:t>C</w:t>
      </w:r>
      <w:r w:rsidRPr="000D7D3D">
        <w:t xml:space="preserve"> sources from the symbiotic plant </w:t>
      </w:r>
      <w:r w:rsidRPr="000D7D3D">
        <w:fldChar w:fldCharType="begin" w:fldLock="1"/>
      </w:r>
      <w:r w:rsidR="00EE33AB">
        <w:instrText>ADDIN CSL_CITATION {"citationItems":[{"id":"ITEM-1","itemData":{"DOI":"10.2113/gselements.13.3.171","ISSN":"18115217","abstract":"Fungi are ubiquitous inhabitants of rock and mineral surfaces and are significant geoactive agents. Capable of numerous transformations of metals and minerals, fungi can prosper in the most adverse of environments, their activities underpinned by growth form and metabolism. Free-living filamentous species, microcolonial fungi and lichens can significantly change a rock's surficial structure and appearance, ranging from discolouration and staining to biodeterioration and the formation of new biogenic minerals and rock coatings. The presence and activity of fungi should be considered in any study of rock and mineral transformations that seeks to understand the biotic and abiotic processes that underpin geochemical change in the biosphere.","author":[{"dropping-particle":"","family":"Gadd","given":"Geoffrey M.","non-dropping-particle":"","parse-names":false,"suffix":""}],"container-title":"Elements","id":"ITEM-1","issue":"3","issued":{"date-parts":[["2017"]]},"page":"171-176","title":"Fungi, rocks, and minerals","type":"article-journal","volume":"13"},"uris":["http://www.mendeley.com/documents/?uuid=67f40e93-d721-411b-9d5d-67fc8c9a0b59"]}],"mendeley":{"formattedCitation":"(Gadd, 2017)","plainTextFormattedCitation":"(Gadd, 2017)","previouslyFormattedCitation":"(Gadd, 2017)"},"properties":{"noteIndex":0},"schema":"https://github.com/citation-style-language/schema/raw/master/csl-citation.json"}</w:instrText>
      </w:r>
      <w:r w:rsidRPr="000D7D3D">
        <w:fldChar w:fldCharType="separate"/>
      </w:r>
      <w:r w:rsidRPr="000D7D3D">
        <w:rPr>
          <w:noProof/>
        </w:rPr>
        <w:t>(Gadd, 2017)</w:t>
      </w:r>
      <w:r w:rsidRPr="000D7D3D">
        <w:fldChar w:fldCharType="end"/>
      </w:r>
      <w:r w:rsidRPr="000D7D3D">
        <w:t xml:space="preserve">. The identification of putative upregulated organic acid metabolic genes in </w:t>
      </w:r>
      <w:r w:rsidR="00A96236">
        <w:t xml:space="preserve">the </w:t>
      </w:r>
      <w:r w:rsidRPr="000D7D3D">
        <w:t xml:space="preserve">presence of </w:t>
      </w:r>
      <w:r w:rsidR="001D1D66">
        <w:t>HAP</w:t>
      </w:r>
      <w:r w:rsidR="001D1D66" w:rsidRPr="000D7D3D">
        <w:t xml:space="preserve"> </w:t>
      </w:r>
      <w:r w:rsidRPr="000D7D3D">
        <w:t>in S condition represents</w:t>
      </w:r>
      <w:r w:rsidR="002F17C1">
        <w:t xml:space="preserve"> the first molecular evidence on the role of organic acids as drivers of EM mineral weathering</w:t>
      </w:r>
      <w:r w:rsidRPr="000D7D3D">
        <w:t>. In particular, two putative oxalate decarboxylases, involved in degradation of oxalic acid into formate and CO</w:t>
      </w:r>
      <w:r w:rsidRPr="00635993">
        <w:rPr>
          <w:vertAlign w:val="subscript"/>
        </w:rPr>
        <w:t>2</w:t>
      </w:r>
      <w:r w:rsidRPr="000D7D3D">
        <w:t>, and one formate dehydrogenase, involved in the degradation of formate into CO</w:t>
      </w:r>
      <w:r w:rsidRPr="00635993">
        <w:rPr>
          <w:vertAlign w:val="subscript"/>
        </w:rPr>
        <w:t>2</w:t>
      </w:r>
      <w:r w:rsidRPr="000D7D3D">
        <w:t xml:space="preserve">, were found to be strongly upregulated in </w:t>
      </w:r>
      <w:r w:rsidR="00A96236">
        <w:t xml:space="preserve">the </w:t>
      </w:r>
      <w:r w:rsidRPr="000D7D3D">
        <w:t xml:space="preserve">presence of </w:t>
      </w:r>
      <w:r w:rsidR="001D1D66">
        <w:t>HAP</w:t>
      </w:r>
      <w:r w:rsidR="001D1D66" w:rsidRPr="000D7D3D">
        <w:t xml:space="preserve"> </w:t>
      </w:r>
      <w:r w:rsidRPr="000D7D3D">
        <w:t xml:space="preserve">compared to NS condition (Figure 5.6A). In fungi, upregulation of genes </w:t>
      </w:r>
      <w:r w:rsidR="002F17C1">
        <w:t>en</w:t>
      </w:r>
      <w:r w:rsidRPr="000D7D3D">
        <w:t xml:space="preserve">coding for both </w:t>
      </w:r>
      <w:r w:rsidR="002F17C1">
        <w:t xml:space="preserve">of </w:t>
      </w:r>
      <w:r w:rsidRPr="000D7D3D">
        <w:t xml:space="preserve">these enzymes have been linked with catabolism of oxalic acid, when present in high concentrations </w:t>
      </w:r>
      <w:r w:rsidRPr="000D7D3D">
        <w:fldChar w:fldCharType="begin" w:fldLock="1"/>
      </w:r>
      <w:r w:rsidR="00EE33AB">
        <w:instrText>ADDIN CSL_CITATION {"citationItems":[{"id":"ITEM-1","itemData":{"DOI":"10.1111/j.1574-6968.2007.01022.x","ISBN":"0378-1097 (Print)\\r0378-1097 (Linking)","ISSN":"03781097","PMID":"18177307","abstract":"The authors have proposed previously that intracellular degradation of oxalic acid via formate to CO(2) occurs in the white-rot fungus Ceriporiopsis subvermispora. The formate degradation is catalyzed by NAD-dependent formate dehydrogenase (CsFDH). In this study, two cDNAs named CsFDH1 and CsFDH2 encoding CsFDH were cloned. Each cDNA consisting of 1077 bp encodes a mature protein composed of 358 amino acid residues. The amino acid sequences of the deduced CsFDH1 and CsFDH2 showed 99% identity to each other. The predicted molecular mass for each was 39.3 kDa, which was similar to that of CsFDH purified from the vegetative mycelia of Ceriporiopsis subvermispora (purified-CsFDH). The recombinant CsFDH1 and CsFDH2 expressed by Escherichia coli showed FDH activity with similar characteristics to the purified CsFDH. However, the amount of CsFDH1 transcript from the vegetative mycelia was 236-691 times greater than that of CsFDH2. Therefore, the results strongly suggest that CsFDH1, as compared with CsFDH2, predominantly contributes to the production of the purified CsFDH.","author":[{"dropping-particle":"","family":"Watanabe","given":"Tomoki","non-dropping-particle":"","parse-names":false,"suffix":""},{"dropping-particle":"","family":"Fujiwara","given":"Tadashi","non-dropping-particle":"","parse-names":false,"suffix":""},{"dropping-particle":"","family":"Umezawa","given":"Toshiaki","non-dropping-particle":"","parse-names":false,"suffix":""},{"dropping-particle":"","family":"Shimada","given":"Mikio","non-dropping-particle":"","parse-names":false,"suffix":""},{"dropping-particle":"","family":"Hattori","given":"Takefumi","non-dropping-particle":"","parse-names":false,"suffix":""}],"container-title":"FEMS Microbiology Letters","id":"ITEM-1","issue":"1","issued":{"date-parts":[["2008"]]},"page":"64-70","title":"Cloning of a cDNA encoding a NAD-dependent formate dehydrogenase involved in oxalic acid metabolism from the white-rot fungus Ceriporiopsis subvermispora and its gene expression analysis","type":"article-journal","volume":"279"},"uris":["http://www.mendeley.com/documents/?uuid=9c62d336-aec5-4113-bd75-b819490fe05e"]},{"id":"ITEM-2","itemData":{"DOI":"10.1016/j.micres.2017.03.002","ISSN":"09445013","abstract":"In this study, the transcriptomic-based response of the white rot fungus Abortiporus biennis to oxalic acid induction was reported. The whole transcriptome of A. biennis was analysed using the RNA-based sequencing technology and Solid 5500 platform. De novo assembly of reads generated 37,719 contigs. A molecular function for 26,280 unique transcripts was assigned. The analysis of the A. biennis transcriptome predicted 635 hypothetical open reading frames encoding carbohydrate active enzymes distributed in 122 families. 82 genes were identified, whose expression level was significantly changed after oxalic acid addition. Among them, 18 genes were up-regulated and 64 genes were down-regulated. Genes coding for putative cellulose and hemicellulose degrading enzymes were predominantly up-regulated in the mycelium induced with oxalic acid; it was in the case of cellulases and xylanases (hemicellulases), in particular, β-glucosidase and endo-1,4-β-xylanases. On the contrary, several genes coding for lignolytic enzymes were down-regulated, with the significant repression level in the case of versatile peroxidase. Finally, we identified putative genes involved in oxalate metabolism. Among the transcripts detected in the A. biennis transcriptome, one was annotated as coding for putative oxalate decarboxylase (ODC) and nine transcripts were annotated as formate dehydrogenases (FDH). The addition of oxalic acid to the culture caused upregulation of the gene coding for ODC and three genes for FDH. Amongst the transcripts of putative FDH genes, one designated as NODE_36057, demonstrated the highest induction level recorded in this study after the oxalic acid addition.","author":[{"dropping-particle":"","family":"Grąz","given":"Marcin","non-dropping-particle":"","parse-names":false,"suffix":""},{"dropping-particle":"","family":"Jarosz-Wilkołazka","given":"Anna","non-dropping-particle":"","parse-names":false,"suffix":""},{"dropping-particle":"","family":"Janusz","given":"Grzegorz","non-dropping-particle":"","parse-names":false,"suffix":""},{"dropping-particle":"","family":"Mazur","given":"Andrzej","non-dropping-particle":"","parse-names":false,"suffix":""},{"dropping-particle":"","family":"Wielbo","given":"Jerzy","non-dropping-particle":"","parse-names":false,"suffix":""},{"dropping-particle":"","family":"Koper","given":"Piotr","non-dropping-particle":"","parse-names":false,"suffix":""},{"dropping-particle":"","family":"Żebracki","given":"Kamil","non-dropping-particle":"","parse-names":false,"suffix":""},{"dropping-particle":"","family":"Kubik-Komar","given":"Agnieszka","non-dropping-particle":"","parse-names":false,"suffix":""}],"container-title":"Microbiological Research","id":"ITEM-2","issued":{"date-parts":[["2017"]]},"page":"79-88","title":"Transcriptome-based analysis of the saprophytic fungus Abortiporus biennis – response to oxalic acid","type":"article-journal","volume":"199"},"uris":["http://www.mendeley.com/documents/?uuid=0d35f426-df70-4b27-85f7-63351c26945a"]}],"mendeley":{"formattedCitation":"(Watanabe et al., 2008; Grąz et al., 2017)","plainTextFormattedCitation":"(Watanabe et al., 2008; Grąz et al., 2017)","previouslyFormattedCitation":"(Watanabe et al., 2008; Grąz et al., 2017)"},"properties":{"noteIndex":0},"schema":"https://github.com/citation-style-language/schema/raw/master/csl-citation.json"}</w:instrText>
      </w:r>
      <w:r w:rsidRPr="000D7D3D">
        <w:fldChar w:fldCharType="separate"/>
      </w:r>
      <w:r w:rsidRPr="000D7D3D">
        <w:rPr>
          <w:noProof/>
        </w:rPr>
        <w:t>(Watanabe et al., 2008; Grąz et al., 2017)</w:t>
      </w:r>
      <w:r w:rsidRPr="000D7D3D">
        <w:fldChar w:fldCharType="end"/>
      </w:r>
      <w:r w:rsidRPr="000D7D3D">
        <w:t>. Oxalic acid is a key metabolite for fungal mineral weathering, both for its strong acid</w:t>
      </w:r>
      <w:r w:rsidR="00370860">
        <w:t>ifying</w:t>
      </w:r>
      <w:r w:rsidRPr="000D7D3D">
        <w:t xml:space="preserve"> and chelating properties and </w:t>
      </w:r>
      <w:r w:rsidRPr="000D7D3D">
        <w:lastRenderedPageBreak/>
        <w:t>for its ability to form mineral oxalates, which precipitate potentially toxic ions</w:t>
      </w:r>
      <w:r w:rsidR="00370860">
        <w:t>,</w:t>
      </w:r>
      <w:r w:rsidRPr="000D7D3D">
        <w:t xml:space="preserve"> </w:t>
      </w:r>
      <w:r w:rsidR="00370860" w:rsidRPr="000D7D3D">
        <w:t>such as Ca</w:t>
      </w:r>
      <w:r w:rsidR="00370860">
        <w:t>,</w:t>
      </w:r>
      <w:r w:rsidR="00370860" w:rsidRPr="000D7D3D">
        <w:t xml:space="preserve"> </w:t>
      </w:r>
      <w:r w:rsidRPr="000D7D3D">
        <w:t xml:space="preserve">deriving from the </w:t>
      </w:r>
      <w:r w:rsidR="00370860" w:rsidRPr="000D7D3D">
        <w:t xml:space="preserve">process </w:t>
      </w:r>
      <w:r w:rsidR="00370860">
        <w:t xml:space="preserve">of </w:t>
      </w:r>
      <w:r w:rsidRPr="000D7D3D">
        <w:t xml:space="preserve">mineral weathering </w:t>
      </w:r>
      <w:r w:rsidRPr="000D7D3D">
        <w:fldChar w:fldCharType="begin" w:fldLock="1"/>
      </w:r>
      <w:r w:rsidR="00EE33AB">
        <w:instrText>ADDIN CSL_CITATION {"citationItems":[{"id":"ITEM-1","itemData":{"DOI":"https://doi.org/10.1016/j.fbr.2014.05.001","ISSN":"1749-4613","author":[{"dropping-particle":"","family":"Gadd","given":"Geoffrey Michael","non-dropping-particle":"","parse-names":false,"suffix":""},{"dropping-particle":"","family":"Bahri-Esfahani","given":"Jaleh","non-dropping-particle":"","parse-names":false,"suffix":""},{"dropping-particle":"","family":"Li","given":"Qianwei","non-dropping-particle":"","parse-names":false,"suffix":""},{"dropping-particle":"","family":"Rhee","given":"Young Joon","non-dropping-particle":"","parse-names":false,"suffix":""},{"dropping-particle":"","family":"Wei","given":"Zhan","non-dropping-particle":"","parse-names":false,"suffix":""},{"dropping-particle":"","family":"Fomina","given":"Marina","non-dropping-particle":"","parse-names":false,"suffix":""},{"dropping-particle":"","family":"Liang","given":"Xinjin","non-dropping-particle":"","parse-names":false,"suffix":""}],"container-title":"Fungal Biology Reviews","id":"ITEM-1","issue":"2","issued":{"date-parts":[["2014"]]},"page":"36-55","title":"Oxalate production by fungi: significance in geomycology, biodeterioration and bioremediation","type":"article-journal","volume":"28"},"uris":["http://www.mendeley.com/documents/?uuid=175ec618-f4cf-43f6-870e-31cd14149a5d"]},{"id":"ITEM-2","itemData":{"DOI":"10.1038/srep12187","ISSN":"2045-2322","PMID":"26197714","abstract":"Trees and their associated rhizosphere organisms play a major role in mineral weathering driving calcium fluxes from the continents to the oceans that ultimately control long-term atmospheric CO2 and climate through the geochemical carbon cycle. Photosynthate allocation to tree roots and their mycorrhizal fungi is hypothesized to fuel the active secretion of protons and organic chelators that enhance calcium dissolution at fungal-mineral interfaces. This was tested using (14)CO2 supplied to shoots of Pinus sylvestris ectomycorrhizal with the widespread fungus Paxillus involutus in monoxenic microcosms, revealing preferential allocation by the fungus of plant photoassimilate to weather grains of limestone and silicates each with a combined calcium and magnesium content of over 10 wt.%. Hyphae had acidic surfaces and linear accumulation of weathered calcium with secreted oxalate, increasing significantly in sequence: quartz, granite &lt; basalt, olivine, limestone &lt; gabbro. These findings confirmed the role of mineral-specific oxalate exudation in ectomycorrhizal weathering to dissolve calcium bearing minerals, thus contributing to the geochemical carbon cycle.","author":[{"dropping-particle":"","family":"Schmalenberger","given":"A","non-dropping-particle":"","parse-names":false,"suffix":""},{"dropping-particle":"","family":"Duran","given":"A L","non-dropping-particle":"","parse-names":false,"suffix":""},{"dropping-particle":"","family":"Bray","given":"A W","non-dropping-particle":"","parse-names":false,"suffix":""},{"dropping-particle":"","family":"Bridge","given":"J","non-dropping-particle":"","parse-names":false,"suffix":""},{"dropping-particle":"","family":"Bonneville","given":"S","non-dropping-particle":"","parse-names":false,"suffix":""},{"dropping-particle":"","family":"Benning","given":"L G","non-dropping-particle":"","parse-names":false,"suffix":""},{"dropping-particle":"","family":"Romero-Gonzalez","given":"M E","non-dropping-particle":"","parse-names":false,"suffix":""},{"dropping-particle":"","family":"Leake","given":"J R","non-dropping-particle":"","parse-names":false,"suffix":""},{"dropping-particle":"","family":"Banwart","given":"S A","non-dropping-particle":"","parse-names":false,"suffix":""}],"container-title":"Scientific reports","id":"ITEM-2","issue":"January","issued":{"date-parts":[["2015"]]},"page":"12187","publisher":"Nature Publishing Group","title":"Oxalate secretion by ectomycorrhizal Paxillus involutus is mineral-specific and controls calcium weathering from minerals.","type":"article-journal","volume":"5"},"uris":["http://www.mendeley.com/documents/?uuid=9c31a0e1-dc7a-43a9-8089-3386c14f9039"]}],"mendeley":{"formattedCitation":"(Gadd et al., 2014; Schmalenberger et al., 2015)","plainTextFormattedCitation":"(Gadd et al., 2014; Schmalenberger et al., 2015)","previouslyFormattedCitation":"(Gadd et al., 2014; Schmalenberger et al., 2015)"},"properties":{"noteIndex":0},"schema":"https://github.com/citation-style-language/schema/raw/master/csl-citation.json"}</w:instrText>
      </w:r>
      <w:r w:rsidRPr="000D7D3D">
        <w:fldChar w:fldCharType="separate"/>
      </w:r>
      <w:r w:rsidRPr="000D7D3D">
        <w:rPr>
          <w:noProof/>
        </w:rPr>
        <w:t>(Gadd et al., 2014; Schmalenberger et al., 2015)</w:t>
      </w:r>
      <w:r w:rsidRPr="000D7D3D">
        <w:fldChar w:fldCharType="end"/>
      </w:r>
      <w:r w:rsidRPr="000D7D3D">
        <w:t>. Excess oxalic acid</w:t>
      </w:r>
      <w:r w:rsidR="00A96236">
        <w:t>,</w:t>
      </w:r>
      <w:r w:rsidRPr="000D7D3D">
        <w:t xml:space="preserve"> however</w:t>
      </w:r>
      <w:r w:rsidR="00A96236">
        <w:t>, is toxic for the cell</w:t>
      </w:r>
      <w:r w:rsidRPr="000D7D3D">
        <w:t xml:space="preserve"> and needs to be degraded </w:t>
      </w:r>
      <w:r w:rsidRPr="000D7D3D">
        <w:fldChar w:fldCharType="begin" w:fldLock="1"/>
      </w:r>
      <w:r w:rsidR="00EE33AB">
        <w:instrText>ADDIN CSL_CITATION {"citationItems":[{"id":"ITEM-1","itemData":{"DOI":"10.1139/m96-114","ISBN":"0008-4166","ISSN":"0008-4166","abstract":"Oxalate secretion by fungi provides many advantages for their growth and colonization of substrates. The role of oxalic acid in pathogenesis is through acidification of host tissues and sequestration of calcium from host cell walls. The formation of calcium oxalate crystals weakens the cell walls, thereby allowing polygalacturonase to effect degradation more rapidly in a synergistic response. There is good correlation between pathogenesis, virulence, and oxalic acid secretion. Solubility of soil nutrients is achieved by soil-living species, when cations freed by oxalate diffusing in clay layers increases the effective solubility of Al and Fe. Oxalate retained in hyphal mats of mycorrhizal species increases phosphate and sulphate availability. The formation of calcium oxalate crystals provides a reservoir of calcium in the ecosystem. The ability of oxalate to bind divalent cations permits detoxification of copper, particularly evident in wood preserved with copper salts. Oxalate plays a unique role in lign...","author":[{"dropping-particle":"V.","family":"Dutton","given":"Martin","non-dropping-particle":"","parse-names":false,"suffix":""},{"dropping-particle":"","family":"Evans","given":"Christine S.","non-dropping-particle":"","parse-names":false,"suffix":""}],"container-title":"Canadian Journal of Microbiology","id":"ITEM-1","issue":"9","issued":{"date-parts":[["1996"]]},"page":"881-895","title":"Oxalate production by fungi: its role in pathogenicity and ecology in the soil environment","type":"article-journal","volume":"42"},"uris":["http://www.mendeley.com/documents/?uuid=911f4917-a740-4ffd-a8c0-30c25f6c66dc"]},{"id":"ITEM-2","itemData":{"DOI":"https://doi.org/10.1016/j.fbr.2014.05.001","ISSN":"1749-4613","author":[{"dropping-particle":"","family":"Gadd","given":"Geoffrey Michael","non-dropping-particle":"","parse-names":false,"suffix":""},{"dropping-particle":"","family":"Bahri-Esfahani","given":"Jaleh","non-dropping-particle":"","parse-names":false,"suffix":""},{"dropping-particle":"","family":"Li","given":"Qianwei","non-dropping-particle":"","parse-names":false,"suffix":""},{"dropping-particle":"","family":"Rhee","given":"Young Joon","non-dropping-particle":"","parse-names":false,"suffix":""},{"dropping-particle":"","family":"Wei","given":"Zhan","non-dropping-particle":"","parse-names":false,"suffix":""},{"dropping-particle":"","family":"Fomina","given":"Marina","non-dropping-particle":"","parse-names":false,"suffix":""},{"dropping-particle":"","family":"Liang","given":"Xinjin","non-dropping-particle":"","parse-names":false,"suffix":""}],"container-title":"Fungal Biology Reviews","id":"ITEM-2","issue":"2","issued":{"date-parts":[["2014"]]},"page":"36-55","title":"Oxalate production by fungi: significance in geomycology, biodeterioration and bioremediation","type":"article-journal","volume":"28"},"uris":["http://www.mendeley.com/documents/?uuid=175ec618-f4cf-43f6-870e-31cd14149a5d"]}],"mendeley":{"formattedCitation":"(Dutton and Evans, 1996; Gadd et al., 2014)","plainTextFormattedCitation":"(Dutton and Evans, 1996; Gadd et al., 2014)","previouslyFormattedCitation":"(Dutton and Evans, 1996; Gadd et al., 2014)"},"properties":{"noteIndex":0},"schema":"https://github.com/citation-style-language/schema/raw/master/csl-citation.json"}</w:instrText>
      </w:r>
      <w:r w:rsidRPr="000D7D3D">
        <w:fldChar w:fldCharType="separate"/>
      </w:r>
      <w:r w:rsidRPr="000D7D3D">
        <w:rPr>
          <w:noProof/>
        </w:rPr>
        <w:t>(Dutton and Evans, 1996; Gadd et al., 2014)</w:t>
      </w:r>
      <w:r w:rsidRPr="000D7D3D">
        <w:fldChar w:fldCharType="end"/>
      </w:r>
      <w:r w:rsidRPr="000D7D3D">
        <w:t xml:space="preserve">. The strong upregulation of these genes in </w:t>
      </w:r>
      <w:r w:rsidRPr="000D7D3D">
        <w:rPr>
          <w:i/>
        </w:rPr>
        <w:t>P. involutus</w:t>
      </w:r>
      <w:r w:rsidRPr="000D7D3D">
        <w:t xml:space="preserve"> hyphae in </w:t>
      </w:r>
      <w:r w:rsidR="00A96236">
        <w:t xml:space="preserve">the </w:t>
      </w:r>
      <w:r w:rsidRPr="000D7D3D">
        <w:t xml:space="preserve">presence of </w:t>
      </w:r>
      <w:r w:rsidR="001D1D66">
        <w:t>HAP</w:t>
      </w:r>
      <w:r w:rsidR="001D1D66" w:rsidRPr="000D7D3D">
        <w:t xml:space="preserve"> </w:t>
      </w:r>
      <w:r w:rsidRPr="000D7D3D">
        <w:t xml:space="preserve">in S conditions may be an indirect indication of </w:t>
      </w:r>
      <w:r w:rsidR="00370860">
        <w:t xml:space="preserve">the </w:t>
      </w:r>
      <w:r w:rsidRPr="000D7D3D">
        <w:t xml:space="preserve">abundance of oxalic acid </w:t>
      </w:r>
      <w:r w:rsidR="00370860">
        <w:t>with</w:t>
      </w:r>
      <w:r w:rsidRPr="000D7D3D">
        <w:t xml:space="preserve">in the weathering system. Another </w:t>
      </w:r>
      <w:r w:rsidR="00370860" w:rsidRPr="000D7D3D">
        <w:t xml:space="preserve">upregulated </w:t>
      </w:r>
      <w:r w:rsidR="00370860">
        <w:t xml:space="preserve">gene encoding for a </w:t>
      </w:r>
      <w:r w:rsidRPr="000D7D3D">
        <w:t xml:space="preserve">putative organic acid metabolic enzyme is </w:t>
      </w:r>
      <w:r w:rsidR="00370860">
        <w:t xml:space="preserve">an </w:t>
      </w:r>
      <w:r w:rsidRPr="000D7D3D">
        <w:t xml:space="preserve">isocitrate lyase. In fungi, this enzyme catalyses </w:t>
      </w:r>
      <w:r w:rsidR="00370860">
        <w:t xml:space="preserve">the </w:t>
      </w:r>
      <w:r w:rsidRPr="000D7D3D">
        <w:t xml:space="preserve">cleavage of isocitrate, producing succinate and glyoxylate bypassing two oxidative steps of the </w:t>
      </w:r>
      <w:r w:rsidR="00370860">
        <w:t>tricarboxylic acid (TCA)</w:t>
      </w:r>
      <w:r w:rsidRPr="000D7D3D">
        <w:t xml:space="preserve"> cycle </w:t>
      </w:r>
      <w:r w:rsidRPr="000D7D3D">
        <w:fldChar w:fldCharType="begin" w:fldLock="1"/>
      </w:r>
      <w:r w:rsidR="00EE33AB">
        <w:instrText>ADDIN CSL_CITATION {"citationItems":[{"id":"ITEM-1","itemData":{"DOI":"10.1016/S0969-2126(00)00117-9","ISBN":"0969-2126","ISSN":"0969-2126","PMID":"10801489","abstract":"BACKGROUND: Isocitrate lyase catalyses the first committed step of the carbon-conserving glyoxylate bypass, the Mg(2+)-dependent reversible cleavage of isocitrate into succinate and glyoxylate. This metabolic pathway is an inviting target for the control of a number of diseases, because the enzymes involved in this cycle have been identified in many pathogens including Mycobacterium leprae and Leishmania. RESULTS: As part of a programme of rational drug design the structure of the tetrameric Aspergillus nidulans isocitrate lyase and its complex with glyoxylate and a divalent cation have been solved to 2.8 A resolution using X-ray diffraction. Each subunit comprises two domains, one of which adopts a folding pattern highly reminiscent of the triose phosphate isomerase (TIM) barrel. A 'knot' between subunits observed in the three-dimensional structure, involving residues towards the C terminus, implies that tetramer assembly involves considerable flexibility in this part of the protein. CONCLUSIONS: Difference Fourier analysis together with the pattern of sequence conservation has led to the identification of both the glyoxylate and metal binding sites and implicates the C-terminal end of the TIM barrel as the active site, which is consistent with studies of other enzymes with this fold. Two disordered regions of the polypeptide chain lie close to the active site, one of which includes a critical cysteine residue suggesting that conformational rearrangements are essential for catalysis. Structural similarities between isocitrate lyase and both PEP mutase and enzymes belonging to the enolase superfamily suggest possible relationships in aspects of the mechanism.","author":[{"dropping-particle":"","family":"Britton","given":"K","non-dropping-particle":"","parse-names":false,"suffix":""},{"dropping-particle":"","family":"Langridge","given":"S","non-dropping-particle":"","parse-names":false,"suffix":""},{"dropping-particle":"","family":"Baker","given":"P J","non-dropping-particle":"","parse-names":false,"suffix":""},{"dropping-particle":"","family":"Weeradechapon","given":"K","non-dropping-particle":"","parse-names":false,"suffix":""},{"dropping-particle":"","family":"Sedelnikova","given":"S E","non-dropping-particle":"","parse-names":false,"suffix":""},{"dropping-particle":"","family":"Lucas","given":"J R","non-dropping-particle":"De","parse-names":false,"suffix":""},{"dropping-particle":"","family":"Rice","given":"D W","non-dropping-particle":"","parse-names":false,"suffix":""},{"dropping-particle":"","family":"Turner","given":"G","non-dropping-particle":"","parse-names":false,"suffix":""}],"container-title":"Structure (London, England : 1993)","id":"ITEM-1","issue":"4","issued":{"date-parts":[["2000"]]},"page":"349-362","title":"The crystal structure and active site location of isocitrate lyase from the fungus Aspergillus nidulans.","type":"article-journal","volume":"8"},"uris":["http://www.mendeley.com/documents/?uuid=e809b4f5-b1ea-4f52-809a-ac408d8bc166"]},{"id":"ITEM-2","itemData":{"DOI":"10.1111/j.1469-8137.2010.03520.x","ISBN":"1469-8137 (Electronic)\\n0028-646X (Linking)","ISSN":"1469-8137","PMID":"21039570","abstract":"• Primary carbohydrate metabolism plays a special role related to carbon/nitrogen exchange, as well as metabolic support of fruiting body development, in ectomycorrhizal macrofungi. In this study, we used information retrieved from the recently sequenced Tuber melanosporum genome, together with transcriptome analysis data and targeted validation experiments, to construct the first genome-wide catalogue of the proteins supporting carbohydrate metabolism in a plant-symbiotic ascomycete. • More than 100 genes coding for enzymes of the glycolysis, pentose phosphate, tricarboxylic acid, glyoxylate and methylcitrate pathways, glycogen, trehalose and mannitol metabolism and cell wall precursor were annotated. Transcriptional regulation of these pathways in different stages of the T. melanosporum lifecycle was investigated using whole-genome oligoarray expression data together with real-time reverse transcription-polymerase chain reaction analysis of selected genes. • The most significant results were the identification of methylcitrate cycle genes and of an acid invertase, the first enzyme of this kind to be described in a plant-symbiotic filamentous fungus. • A subset of transcripts coding for trehalose, glyoxylate and methylcitrate enzymes was up-regulated in fruiting bodies, whereas genes involved in mannitol and glycogen metabolism were preferentially expressed in mycelia and ectomycorrhizas, respectively. These data indicate a high degree of lifecycle stage specialization for particular branches of carbohydrate metabolism in T. melanosporum.","author":[{"dropping-particle":"","family":"Ceccaroli","given":"P","non-dropping-particle":"","parse-names":false,"suffix":""},{"dropping-particle":"","family":"Buffalini","given":"M","non-dropping-particle":"","parse-names":false,"suffix":""},{"dropping-particle":"","family":"Saltarelli","given":"R","non-dropping-particle":"","parse-names":false,"suffix":""},{"dropping-particle":"","family":"Barbieri","given":"E","non-dropping-particle":"","parse-names":false,"suffix":""},{"dropping-particle":"","family":"Polidori","given":"E","non-dropping-particle":"","parse-names":false,"suffix":""},{"dropping-particle":"","family":"Ottonello","given":"S","non-dropping-particle":"","parse-names":false,"suffix":""},{"dropping-particle":"","family":"Kohler","given":"A","non-dropping-particle":"","parse-names":false,"suffix":""},{"dropping-particle":"","family":"Tisserant","given":"E","non-dropping-particle":"","parse-names":false,"suffix":""},{"dropping-particle":"","family":"Martin","given":"F","non-dropping-particle":"","parse-names":false,"suffix":""},{"dropping-particle":"","family":"Stocchi","given":"V","non-dropping-particle":"","parse-names":false,"suffix":""}],"container-title":"The New phytologist","id":"ITEM-2","issue":"3","issued":{"date-parts":[["2011"]]},"page":"751-64","title":"Genomic profiling of carbohydrate metabolism in the ectomycorrhizal fungus Tuber melanosporum.","type":"article-journal","volume":"189"},"uris":["http://www.mendeley.com/documents/?uuid=54d3f796-4522-4fc9-872a-807945cf48f4"]}],"mendeley":{"formattedCitation":"(Britton et al., 2000; Ceccaroli et al., 2011)","plainTextFormattedCitation":"(Britton et al., 2000; Ceccaroli et al., 2011)","previouslyFormattedCitation":"(Britton et al., 2000; Ceccaroli et al., 2011)"},"properties":{"noteIndex":0},"schema":"https://github.com/citation-style-language/schema/raw/master/csl-citation.json"}</w:instrText>
      </w:r>
      <w:r w:rsidRPr="000D7D3D">
        <w:fldChar w:fldCharType="separate"/>
      </w:r>
      <w:r w:rsidRPr="000D7D3D">
        <w:rPr>
          <w:noProof/>
        </w:rPr>
        <w:t>(Britton et al., 2000; Ceccaroli et al., 2011)</w:t>
      </w:r>
      <w:r w:rsidRPr="000D7D3D">
        <w:fldChar w:fldCharType="end"/>
      </w:r>
      <w:r w:rsidRPr="000D7D3D">
        <w:t xml:space="preserve">. Succinic acid has been shown to be a potential weathering agent in different fungal species, and has been found in </w:t>
      </w:r>
      <w:r w:rsidR="00A96236">
        <w:t>various</w:t>
      </w:r>
      <w:r w:rsidRPr="000D7D3D">
        <w:t xml:space="preserve"> soil extracts </w:t>
      </w:r>
      <w:r w:rsidRPr="000D7D3D">
        <w:fldChar w:fldCharType="begin" w:fldLock="1"/>
      </w:r>
      <w:r w:rsidR="00EE33AB">
        <w:instrText>ADDIN CSL_CITATION {"citationItems":[{"id":"ITEM-1","itemData":{"DOI":"10.1007/978-3-642-78356-2_6","ISBN":"978-3-642-78356-2","abstract":"The soluble organic acids in soils consist largely of complex mixtures of polymeric compounds referred to collectively as fulvic and humic acids. These compounds are relatively refractory, and are broken down only slowly by microorganisms. Low-molecular-mass acids (e.g., acetic, oxalic, formic) exist in dynamic balance: they are rapidly produced and consumed by microorganisms. Their concentrations may be quite high where rapid decomposition of plant material is taking place, and in microenvironments adjacent to roots and fungal hyphae, but are generally low (typically less than 1 mM) in bulk soil solution. Concentrations of organic acids are generally highest in the organic layer at the top of the soil profile and decrease with depth. Particularly high concentrations of dissolved organic acids occur in peatlands and waterlogged soils.","author":[{"dropping-particle":"","family":"Drever","given":"James I","non-dropping-particle":"","parse-names":false,"suffix":""},{"dropping-particle":"","family":"Vance","given":"George F","non-dropping-particle":"","parse-names":false,"suffix":""}],"editor":[{"dropping-particle":"","family":"Pittman","given":"Edward D","non-dropping-particle":"","parse-names":false,"suffix":""},{"dropping-particle":"","family":"Lewan","given":"Michael D","non-dropping-particle":"","parse-names":false,"suffix":""}],"id":"ITEM-1","issued":{"date-parts":[["1994"]]},"page":"138-161","publisher":"Springer Berlin Heidelberg","publisher-place":"Berlin, Heidelberg","title":"Role of Soil Organic Acids in Mineral Weathering Processes BT  - Organic Acids in Geological Processes","type":"chapter"},"uris":["http://www.mendeley.com/documents/?uuid=ac016ca4-cbaa-4dcb-bef4-756c0172733b"]},{"id":"ITEM-2","itemData":{"DOI":"10.1016/S0016-7061(00)00102-6","ISBN":"0016-7061","ISSN":"00167061","abstract":"Low-molecular-weight (LMW) carboxylic acids found in soils and soil solutions comprise mainly aliphatic mono-, di- and tricarboxylic acids and substituted benzoic and cinnamic acids. This review compiles current information on the content of LMW carboxylic acids in soil solutions collected by centrifugation and in lysimeters, and soil extracts in relation to type of vegetation, soil type and soil depth. Contents of LMW carboxylic acids are highest in soil solution from the upper soil layers where carbon in LMW carboxylic acids constitutes up to 10% of DOC. The concentrations of aliphatic LMW di-/tricarboxylic acids (oxalic, malonic, malic, succinic, tartaric and citric acid) are usually in the range 0–50 μM with the higher concentrations in soil solutions from meadow, permanent pasture and forest soils as compared to ley and cultivated soils. In contrast, the concentrations of aliphatic LMW monocarboxylic acids (formic, acetic, propionic, butyric, valeric and lactic acid) are commonly in the range 0–1 mM with high concentrations found in soil solutions from both cultivated and forested soils. Especially insence cedar (Calocedrus decurrens (Torr.) Florin), ponderosa pine (Pinus ponderosa Dougl.), Douglas fir (Pseudotsuga menziesii Franco) and Norway spruce (Picea abies (L.) Karst.) seem to cause higher contents of LMW carboxylic acids in soils and soil solutions as compared to other tree species. Soil solution concentrations of substituted benzoic and cinnamic acids are submicromolar for all vegetations, whereas similar amounts in the range 0–800 μmol kg−1 of aliphatic LMW carboxylic acids and substituted benzoic and cinnamic acids are extractable from mineral soils with alkaline and dilute acid extractants. Seasonal variations are observed in soil solutions isolated by centrifugation and soil extracts with highest concentrations in 2–4 months in a period from mid spring to early summer, minimum concentrations around early autumn, and increasing concentrations during autumn.","author":[{"dropping-particle":"","family":"Strobel","given":"Bjarne W","non-dropping-particle":"","parse-names":false,"suffix":""}],"container-title":"Geoderma","id":"ITEM-2","issue":"3-4","issued":{"date-parts":[["2001"]]},"page":"169-198","title":"Influence of vegetation on low-molecular-weight carboxylic acids in soil solution—a review","type":"article-journal","volume":"99"},"uris":["http://www.mendeley.com/documents/?uuid=803908b4-4056-4368-86d6-caf4ed52a17b"]},{"id":"ITEM-3","itemData":{"DOI":"10.1128/AEM.00918-16 4090-4099","ISSN":"10985336","PMID":"27129959","abstract":"Bacteria play important roles in mineral weathering, soil formation, and element cycling. However, little is known about the interaction between silicate minerals and rhizobia. In this study, Rhizobium yantingense H66 (a novel mineral-weathering rhizobium) and Rhizobium etli CFN42 were compared with respect to potash feldspar weathering, mineral surface adsorption, and metabolic activity during the mineral weathering process. Strain H66 showed significantly higher Si, Al, and K mobilization from the mineral and higher ratios of cell numbers on the mineral surface to total cell numbers than strain CFN42. Although the two strains produced gluconic acid, strain H66 also produced acetic, malic, and succinic acids during mineral weathering in low- and high-glucose media. Notably, higher Si, Al, and K releases, higher ratios of cell numbers on the mineral surface to total cell numbers, and a higher production of organic acids by strain H66 were observed in the low-glucose medium than in the high-glucose medium. Scanning electron microscope analyses of the mineral surfaces and redundancy analysis showed stronger positive correlations between the mineral surface cell adsorption and mineral weathering, indicated by the dissolved Al and K concentrations. The results showed that the two rhizobia behaved differently with respect to mineral weathering. The results suggested that Rhizobium yantingense H66 promoted potash feldspar weathering through increased adsorption of cells to the mineral surface and through differences in glucose metabolism at low and high nutrient concentrations, especially at low nutrient concentrations. IMPORTANCE This study reported the potash feldspar weathering, the cell adsorption capacity of the mineral surfaces, and the metabolic differences between the novel mineral-weathering Rhizobium yantingense H66 and Rhizobium etli CFN42 under different nutritional conditions. The results showed that Rhizobium yantingense H66 had a greater ability to weather the mineral in low- and high-glucose media, especially in the low-glucose medium. Furthermore, Rhizobium yantingense H66 promoted mineral weathering through the increased adsorption of cells to the mineral surface and through increased organic acid production. Our results allow us to better comprehend the roles of different rhizobia in silicate mineral weathering, element cycling, and soil formation in various soil environments, providing more insight into the geomicrobial contributions of rh…","author":[{"dropping-particle":"","family":"Chen","given":"Wei","non-dropping-particle":"","parse-names":false,"suffix":""},{"dropping-particle":"","family":"Luo","given":"Long","non-dropping-particle":"","parse-names":false,"suffix":""},{"dropping-particle":"","family":"He","given":"Lin Yan","non-dropping-particle":"","parse-names":false,"suffix":""},{"dropping-particle":"","family":"Wang","given":"Qi","non-dropping-particle":"","parse-names":false,"suffix":""},{"dropping-particle":"","family":"Sheng","given":"Xia Fang","non-dropping-particle":"","parse-names":false,"suffix":""}],"container-title":"Applied and Environmental Microbiology","id":"ITEM-3","issue":"14","issued":{"date-parts":[["2016"]]},"page":"4090-4099","title":"Distinct mineral weathering behaviors of the novel mineral- weathering strains Rhizobium yantingense H66 and Rhizobium etli CFN42","type":"article-journal","volume":"82"},"uris":["http://www.mendeley.com/documents/?uuid=5efa5f38-4684-4264-ae87-e53200457233"]}],"mendeley":{"formattedCitation":"(Drever and Vance, 1994; Strobel, 2001; Chen et al., 2016)","plainTextFormattedCitation":"(Drever and Vance, 1994; Strobel, 2001; Chen et al., 2016)","previouslyFormattedCitation":"(Drever and Vance, 1994; Strobel, 2001; Chen et al., 2016)"},"properties":{"noteIndex":0},"schema":"https://github.com/citation-style-language/schema/raw/master/csl-citation.json"}</w:instrText>
      </w:r>
      <w:r w:rsidRPr="000D7D3D">
        <w:fldChar w:fldCharType="separate"/>
      </w:r>
      <w:r w:rsidRPr="000D7D3D">
        <w:rPr>
          <w:noProof/>
        </w:rPr>
        <w:t>(Drever and Vance, 1994; Strobel, 2001; Chen et al., 2016)</w:t>
      </w:r>
      <w:r w:rsidRPr="000D7D3D">
        <w:fldChar w:fldCharType="end"/>
      </w:r>
      <w:r w:rsidRPr="000D7D3D">
        <w:t>. Glyoxylate</w:t>
      </w:r>
      <w:r w:rsidR="00A96236">
        <w:t>,</w:t>
      </w:r>
      <w:r w:rsidRPr="000D7D3D">
        <w:t xml:space="preserve"> on the other hand</w:t>
      </w:r>
      <w:r w:rsidR="00A96236">
        <w:t>,</w:t>
      </w:r>
      <w:r w:rsidRPr="000D7D3D">
        <w:t xml:space="preserve"> has been shown to be used by </w:t>
      </w:r>
      <w:r w:rsidRPr="000D7D3D">
        <w:rPr>
          <w:i/>
        </w:rPr>
        <w:t>P. involutus</w:t>
      </w:r>
      <w:r w:rsidRPr="000D7D3D">
        <w:t xml:space="preserve"> as </w:t>
      </w:r>
      <w:r w:rsidR="00A96236">
        <w:t xml:space="preserve">a </w:t>
      </w:r>
      <w:r w:rsidRPr="000D7D3D">
        <w:t xml:space="preserve">substrate for oxalic acid biosynthesis, </w:t>
      </w:r>
      <w:r w:rsidR="00370860">
        <w:t>as</w:t>
      </w:r>
      <w:r w:rsidRPr="000D7D3D">
        <w:t xml:space="preserve"> an alternative pathway from the oxaloacetate one </w:t>
      </w:r>
      <w:r w:rsidRPr="000D7D3D">
        <w:fldChar w:fldCharType="begin" w:fldLock="1"/>
      </w:r>
      <w:r w:rsidR="00EE33AB">
        <w:instrText>ADDIN CSL_CITATION {"citationItems":[{"id":"ITEM-1","itemData":{"DOI":"10.1111/j.1469-8137.1987.tb04797.x","ISSN":"0028-646X","author":[{"dropping-particle":"","family":"Lapeyrie","given":"F.","non-dropping-particle":"","parse-names":false,"suffix":""},{"dropping-particle":"","family":"Chilvers","given":"G. a.","non-dropping-particle":"","parse-names":false,"suffix":""},{"dropping-particle":"","family":"Bhem","given":"C. a.","non-dropping-particle":"","parse-names":false,"suffix":""}],"container-title":"New Phytologist","id":"ITEM-1","issue":"1","issued":{"date-parts":[["1987","5"]]},"page":"139-146","title":"Oxalic Acid Synthesis By the Mycorrhizal Fungus Paxillus Involutus (Batsch. Ex Fr.) Fr.","type":"article-journal","volume":"106"},"uris":["http://www.mendeley.com/documents/?uuid=af3301be-238a-4512-a82b-12216d1c74e8"]}],"mendeley":{"formattedCitation":"(Lapeyrie et al., 1987)","plainTextFormattedCitation":"(Lapeyrie et al., 1987)","previouslyFormattedCitation":"(Lapeyrie et al., 1987)"},"properties":{"noteIndex":0},"schema":"https://github.com/citation-style-language/schema/raw/master/csl-citation.json"}</w:instrText>
      </w:r>
      <w:r w:rsidRPr="000D7D3D">
        <w:fldChar w:fldCharType="separate"/>
      </w:r>
      <w:r w:rsidRPr="000D7D3D">
        <w:rPr>
          <w:noProof/>
        </w:rPr>
        <w:t>(Lapeyrie et al., 1987)</w:t>
      </w:r>
      <w:r w:rsidRPr="000D7D3D">
        <w:fldChar w:fldCharType="end"/>
      </w:r>
      <w:r w:rsidRPr="000D7D3D">
        <w:t xml:space="preserve">. Interestingly, a gene encoding </w:t>
      </w:r>
      <w:r w:rsidR="00370860">
        <w:t>a putative</w:t>
      </w:r>
      <w:r w:rsidRPr="000D7D3D">
        <w:t xml:space="preserve"> </w:t>
      </w:r>
      <w:r w:rsidRPr="000D7D3D">
        <w:rPr>
          <w:i/>
        </w:rPr>
        <w:t>P. involutus</w:t>
      </w:r>
      <w:r w:rsidRPr="000D7D3D">
        <w:t xml:space="preserve"> GAPDH enzyme is also found to be upregulated in </w:t>
      </w:r>
      <w:r w:rsidR="00E34EE4" w:rsidRPr="000D7D3D">
        <w:t>HAP+ in S condition c</w:t>
      </w:r>
      <w:r w:rsidR="00E34EE4">
        <w:t>ompared to HAP+ in NS condition</w:t>
      </w:r>
      <w:r w:rsidRPr="000D7D3D">
        <w:t xml:space="preserve">. </w:t>
      </w:r>
      <w:r w:rsidR="00472363" w:rsidRPr="000D7D3D">
        <w:t>GAPDH</w:t>
      </w:r>
      <w:r w:rsidRPr="000D7D3D">
        <w:t xml:space="preserve"> </w:t>
      </w:r>
      <w:r w:rsidR="00E34EE4">
        <w:t xml:space="preserve">is involved in </w:t>
      </w:r>
      <w:r w:rsidR="00E34EE4" w:rsidRPr="000D7D3D">
        <w:t>glycolysis</w:t>
      </w:r>
      <w:r w:rsidR="00E34EE4">
        <w:t xml:space="preserve">, where pyruvate is </w:t>
      </w:r>
      <w:r w:rsidR="00472363">
        <w:t>the end product and serves as a substrat</w:t>
      </w:r>
      <w:r w:rsidR="00E34EE4">
        <w:t>e in</w:t>
      </w:r>
      <w:r w:rsidRPr="000D7D3D">
        <w:t xml:space="preserve"> the TCA cycle </w:t>
      </w:r>
      <w:r w:rsidRPr="000D7D3D">
        <w:fldChar w:fldCharType="begin" w:fldLock="1"/>
      </w:r>
      <w:r w:rsidR="00EE33AB">
        <w:instrText>ADDIN CSL_CITATION {"citationItems":[{"id":"ITEM-1","itemData":{"DOI":"10.1111/j.1469-8137.2010.03520.x","ISBN":"1469-8137 (Electronic)\\n0028-646X (Linking)","ISSN":"1469-8137","PMID":"21039570","abstract":"• Primary carbohydrate metabolism plays a special role related to carbon/nitrogen exchange, as well as metabolic support of fruiting body development, in ectomycorrhizal macrofungi. In this study, we used information retrieved from the recently sequenced Tuber melanosporum genome, together with transcriptome analysis data and targeted validation experiments, to construct the first genome-wide catalogue of the proteins supporting carbohydrate metabolism in a plant-symbiotic ascomycete. • More than 100 genes coding for enzymes of the glycolysis, pentose phosphate, tricarboxylic acid, glyoxylate and methylcitrate pathways, glycogen, trehalose and mannitol metabolism and cell wall precursor were annotated. Transcriptional regulation of these pathways in different stages of the T. melanosporum lifecycle was investigated using whole-genome oligoarray expression data together with real-time reverse transcription-polymerase chain reaction analysis of selected genes. • The most significant results were the identification of methylcitrate cycle genes and of an acid invertase, the first enzyme of this kind to be described in a plant-symbiotic filamentous fungus. • A subset of transcripts coding for trehalose, glyoxylate and methylcitrate enzymes was up-regulated in fruiting bodies, whereas genes involved in mannitol and glycogen metabolism were preferentially expressed in mycelia and ectomycorrhizas, respectively. These data indicate a high degree of lifecycle stage specialization for particular branches of carbohydrate metabolism in T. melanosporum.","author":[{"dropping-particle":"","family":"Ceccaroli","given":"P","non-dropping-particle":"","parse-names":false,"suffix":""},{"dropping-particle":"","family":"Buffalini","given":"M","non-dropping-particle":"","parse-names":false,"suffix":""},{"dropping-particle":"","family":"Saltarelli","given":"R","non-dropping-particle":"","parse-names":false,"suffix":""},{"dropping-particle":"","family":"Barbieri","given":"E","non-dropping-particle":"","parse-names":false,"suffix":""},{"dropping-particle":"","family":"Polidori","given":"E","non-dropping-particle":"","parse-names":false,"suffix":""},{"dropping-particle":"","family":"Ottonello","given":"S","non-dropping-particle":"","parse-names":false,"suffix":""},{"dropping-particle":"","family":"Kohler","given":"A","non-dropping-particle":"","parse-names":false,"suffix":""},{"dropping-particle":"","family":"Tisserant","given":"E","non-dropping-particle":"","parse-names":false,"suffix":""},{"dropping-particle":"","family":"Martin","given":"F","non-dropping-particle":"","parse-names":false,"suffix":""},{"dropping-particle":"","family":"Stocchi","given":"V","non-dropping-particle":"","parse-names":false,"suffix":""}],"container-title":"The New phytologist","id":"ITEM-1","issue":"3","issued":{"date-parts":[["2011"]]},"page":"751-64","title":"Genomic profiling of carbohydrate metabolism in the ectomycorrhizal fungus Tuber melanosporum.","type":"article-journal","volume":"189"},"uris":["http://www.mendeley.com/documents/?uuid=54d3f796-4522-4fc9-872a-807945cf48f4"]}],"mendeley":{"formattedCitation":"(Ceccaroli et al., 2011)","plainTextFormattedCitation":"(Ceccaroli et al., 2011)","previouslyFormattedCitation":"(Ceccaroli et al., 2011)"},"properties":{"noteIndex":0},"schema":"https://github.com/citation-style-language/schema/raw/master/csl-citation.json"}</w:instrText>
      </w:r>
      <w:r w:rsidRPr="000D7D3D">
        <w:fldChar w:fldCharType="separate"/>
      </w:r>
      <w:r w:rsidRPr="000D7D3D">
        <w:rPr>
          <w:noProof/>
        </w:rPr>
        <w:t>(Ceccaroli et al., 2011)</w:t>
      </w:r>
      <w:r w:rsidRPr="000D7D3D">
        <w:fldChar w:fldCharType="end"/>
      </w:r>
      <w:r w:rsidRPr="000D7D3D">
        <w:t xml:space="preserve">. Upregulation of this gene may indicate that, in </w:t>
      </w:r>
      <w:r w:rsidR="00472363">
        <w:t xml:space="preserve">the </w:t>
      </w:r>
      <w:r w:rsidRPr="000D7D3D">
        <w:t xml:space="preserve">presence of </w:t>
      </w:r>
      <w:r w:rsidR="0027219E">
        <w:t>HAP</w:t>
      </w:r>
      <w:r w:rsidR="0027219E" w:rsidRPr="000D7D3D">
        <w:t xml:space="preserve"> </w:t>
      </w:r>
      <w:r w:rsidRPr="000D7D3D">
        <w:t xml:space="preserve">in S conditions, </w:t>
      </w:r>
      <w:r w:rsidRPr="000D7D3D">
        <w:rPr>
          <w:i/>
        </w:rPr>
        <w:t>P. involutus</w:t>
      </w:r>
      <w:r w:rsidRPr="000D7D3D">
        <w:t xml:space="preserve"> primary </w:t>
      </w:r>
      <w:r w:rsidR="0027219E">
        <w:t>C</w:t>
      </w:r>
      <w:r w:rsidR="0027219E" w:rsidRPr="000D7D3D">
        <w:t xml:space="preserve"> </w:t>
      </w:r>
      <w:r w:rsidRPr="000D7D3D">
        <w:t>metabolism is enhanced, possibly resulting in enhanced energy production and/or carboxylic acid biosynthesis from the TCA cycle.</w:t>
      </w:r>
    </w:p>
    <w:p w14:paraId="707FBA3E" w14:textId="66AA3F7C" w:rsidR="000D7D3D" w:rsidRPr="000D7D3D" w:rsidRDefault="000D7D3D" w:rsidP="00D9161C">
      <w:pPr>
        <w:ind w:firstLine="720"/>
      </w:pPr>
      <w:r w:rsidRPr="000D7D3D">
        <w:t xml:space="preserve">Additional </w:t>
      </w:r>
      <w:r w:rsidR="00472363">
        <w:t xml:space="preserve">molecular </w:t>
      </w:r>
      <w:r w:rsidRPr="000D7D3D">
        <w:t xml:space="preserve">evidence for the role of organic acids </w:t>
      </w:r>
      <w:r w:rsidR="00472363">
        <w:t xml:space="preserve">in HAP weathering </w:t>
      </w:r>
      <w:r w:rsidRPr="000D7D3D">
        <w:t xml:space="preserve">comes from the identification of a putative plasma membrane monocarboxylic acid transporter </w:t>
      </w:r>
      <w:r w:rsidRPr="000D7D3D">
        <w:fldChar w:fldCharType="begin" w:fldLock="1"/>
      </w:r>
      <w:r w:rsidR="00EE33AB">
        <w:instrText>ADDIN CSL_CITATION {"citationItems":[{"id":"ITEM-1","itemData":{"DOI":"10.1111/j.1574-6976.2008.00128.x","ISBN":"0168-6445","ISSN":"01686445","PMID":"18759742","abstract":"Carboxylic acid transporters form a heterogeneous group of proteins, presenting diverse mechanisms of action and regulation, and belonging to several different families. Multiple physiological and genetic studies in several organisms, from yeast to mammals, have allowed the identification of various genes coding for carboxylate transporters. Detailed understanding of the metabolism and transport of these nutrients has become more important than ever, both from a fundamental and from an applied point of view. Under a biotechnological perspective, the increasing economic value of these compounds has boosted this field of research considerably. Here we review the current knowledge on yeast carboxylate transporters, at the biochemical and molecular level, focusing also on recent biotechnological developments.","author":[{"dropping-particle":"","family":"Casal","given":"Margarida","non-dropping-particle":"","parse-names":false,"suffix":""},{"dropping-particle":"","family":"Paiva","given":"Sandra","non-dropping-particle":"","parse-names":false,"suffix":""},{"dropping-particle":"","family":"Queirós","given":"Odília","non-dropping-particle":"","parse-names":false,"suffix":""},{"dropping-particle":"","family":"Soares-Silva","given":"Isabel","non-dropping-particle":"","parse-names":false,"suffix":""}],"container-title":"FEMS Microbiology Reviews","id":"ITEM-1","issue":"6","issued":{"date-parts":[["2008"]]},"page":"974-994","title":"Transport of carboxylic acids in yeasts","type":"article-journal","volume":"32"},"uris":["http://www.mendeley.com/documents/?uuid=d3201701-13b8-47f2-a986-b25528fd29c3"]}],"mendeley":{"formattedCitation":"(Casal et al., 2008)","plainTextFormattedCitation":"(Casal et al., 2008)","previouslyFormattedCitation":"(Casal et al., 2008)"},"properties":{"noteIndex":0},"schema":"https://github.com/citation-style-language/schema/raw/master/csl-citation.json"}</w:instrText>
      </w:r>
      <w:r w:rsidRPr="000D7D3D">
        <w:fldChar w:fldCharType="separate"/>
      </w:r>
      <w:r w:rsidRPr="000D7D3D">
        <w:rPr>
          <w:noProof/>
        </w:rPr>
        <w:t>(Casal et al., 2008)</w:t>
      </w:r>
      <w:r w:rsidRPr="000D7D3D">
        <w:fldChar w:fldCharType="end"/>
      </w:r>
      <w:r w:rsidRPr="000D7D3D">
        <w:t xml:space="preserve">. As </w:t>
      </w:r>
      <w:r w:rsidR="00472363">
        <w:t xml:space="preserve">a </w:t>
      </w:r>
      <w:r w:rsidRPr="000D7D3D">
        <w:t xml:space="preserve">monocarboxylic acid transporter, its substrate may be </w:t>
      </w:r>
      <w:r w:rsidR="00472363">
        <w:t xml:space="preserve">the </w:t>
      </w:r>
      <w:r w:rsidRPr="000D7D3D">
        <w:t xml:space="preserve">formic acid, which is a by-product of oxalic acid degradation </w:t>
      </w:r>
      <w:r w:rsidRPr="000D7D3D">
        <w:fldChar w:fldCharType="begin" w:fldLock="1"/>
      </w:r>
      <w:r w:rsidR="00EE33AB">
        <w:instrText>ADDIN CSL_CITATION {"citationItems":[{"id":"ITEM-1","itemData":{"DOI":"10.1139/m96-114","ISBN":"0008-4166","ISSN":"0008-4166","abstract":"Oxalate secretion by fungi provides many advantages for their growth and colonization of substrates. The role of oxalic acid in pathogenesis is through acidification of host tissues and sequestration of calcium from host cell walls. The formation of calcium oxalate crystals weakens the cell walls, thereby allowing polygalacturonase to effect degradation more rapidly in a synergistic response. There is good correlation between pathogenesis, virulence, and oxalic acid secretion. Solubility of soil nutrients is achieved by soil-living species, when cations freed by oxalate diffusing in clay layers increases the effective solubility of Al and Fe. Oxalate retained in hyphal mats of mycorrhizal species increases phosphate and sulphate availability. The formation of calcium oxalate crystals provides a reservoir of calcium in the ecosystem. The ability of oxalate to bind divalent cations permits detoxification of copper, particularly evident in wood preserved with copper salts. Oxalate plays a unique role in lign...","author":[{"dropping-particle":"V.","family":"Dutton","given":"Martin","non-dropping-particle":"","parse-names":false,"suffix":""},{"dropping-particle":"","family":"Evans","given":"Christine S.","non-dropping-particle":"","parse-names":false,"suffix":""}],"container-title":"Canadian Journal of Microbiology","id":"ITEM-1","issue":"9","issued":{"date-parts":[["1996"]]},"page":"881-895","title":"Oxalate production by fungi: its role in pathogenicity and ecology in the soil environment","type":"article-journal","volume":"42"},"uris":["http://www.mendeley.com/documents/?uuid=911f4917-a740-4ffd-a8c0-30c25f6c66dc"]},{"id":"ITEM-2","itemData":{"DOI":"https://doi.org/10.1016/j.fbr.2014.05.001","ISSN":"1749-4613","author":[{"dropping-particle":"","family":"Gadd","given":"Geoffrey Michael","non-dropping-particle":"","parse-names":false,"suffix":""},{"dropping-particle":"","family":"Bahri-Esfahani","given":"Jaleh","non-dropping-particle":"","parse-names":false,"suffix":""},{"dropping-particle":"","family":"Li","given":"Qianwei","non-dropping-particle":"","parse-names":false,"suffix":""},{"dropping-particle":"","family":"Rhee","given":"Young Joon","non-dropping-particle":"","parse-names":false,"suffix":""},{"dropping-particle":"","family":"Wei","given":"Zhan","non-dropping-particle":"","parse-names":false,"suffix":""},{"dropping-particle":"","family":"Fomina","given":"Marina","non-dropping-particle":"","parse-names":false,"suffix":""},{"dropping-particle":"","family":"Liang","given":"Xinjin","non-dropping-particle":"","parse-names":false,"suffix":""}],"container-title":"Fungal Biology Reviews","id":"ITEM-2","issue":"2","issued":{"date-parts":[["2014"]]},"page":"36-55","title":"Oxalate production by fungi: significance in geomycology, biodeterioration and bioremediation","type":"article-journal","volume":"28"},"uris":["http://www.mendeley.com/documents/?uuid=175ec618-f4cf-43f6-870e-31cd14149a5d"]}],"mendeley":{"formattedCitation":"(Dutton and Evans, 1996; Gadd et al., 2014)","plainTextFormattedCitation":"(Dutton and Evans, 1996; Gadd et al., 2014)","previouslyFormattedCitation":"(Dutton and Evans, 1996; Gadd et al., 2014)"},"properties":{"noteIndex":0},"schema":"https://github.com/citation-style-language/schema/raw/master/csl-citation.json"}</w:instrText>
      </w:r>
      <w:r w:rsidRPr="000D7D3D">
        <w:fldChar w:fldCharType="separate"/>
      </w:r>
      <w:r w:rsidRPr="000D7D3D">
        <w:rPr>
          <w:noProof/>
        </w:rPr>
        <w:t>(Dutton and Evans, 1996; Gadd et al., 2014)</w:t>
      </w:r>
      <w:r w:rsidRPr="000D7D3D">
        <w:fldChar w:fldCharType="end"/>
      </w:r>
      <w:r w:rsidR="00472363">
        <w:t>.</w:t>
      </w:r>
      <w:r w:rsidRPr="000D7D3D">
        <w:t xml:space="preserve"> </w:t>
      </w:r>
      <w:r w:rsidR="00472363">
        <w:t>Formic acid</w:t>
      </w:r>
      <w:r w:rsidRPr="000D7D3D">
        <w:t xml:space="preserve"> has also been indicated as </w:t>
      </w:r>
      <w:r w:rsidR="00472363">
        <w:t xml:space="preserve">a </w:t>
      </w:r>
      <w:r w:rsidRPr="000D7D3D">
        <w:t xml:space="preserve">potential mineral weathering agent </w:t>
      </w:r>
      <w:r w:rsidRPr="000D7D3D">
        <w:fldChar w:fldCharType="begin" w:fldLock="1"/>
      </w:r>
      <w:r w:rsidR="00EE33AB">
        <w:instrText>ADDIN CSL_CITATION {"citationItems":[{"id":"ITEM-1","itemData":{"DOI":"10.1007/978-3-642-78356-2_6","ISBN":"978-3-642-78356-2","abstract":"The soluble organic acids in soils consist largely of complex mixtures of polymeric compounds referred to collectively as fulvic and humic acids. These compounds are relatively refractory, and are broken down only slowly by microorganisms. Low-molecular-mass acids (e.g., acetic, oxalic, formic) exist in dynamic balance: they are rapidly produced and consumed by microorganisms. Their concentrations may be quite high where rapid decomposition of plant material is taking place, and in microenvironments adjacent to roots and fungal hyphae, but are generally low (typically less than 1 mM) in bulk soil solution. Concentrations of organic acids are generally highest in the organic layer at the top of the soil profile and decrease with depth. Particularly high concentrations of dissolved organic acids occur in peatlands and waterlogged soils.","author":[{"dropping-particle":"","family":"Drever","given":"James I","non-dropping-particle":"","parse-names":false,"suffix":""},{"dropping-particle":"","family":"Vance","given":"George F","non-dropping-particle":"","parse-names":false,"suffix":""}],"editor":[{"dropping-particle":"","family":"Pittman","given":"Edward D","non-dropping-particle":"","parse-names":false,"suffix":""},{"dropping-particle":"","family":"Lewan","given":"Michael D","non-dropping-particle":"","parse-names":false,"suffix":""}],"id":"ITEM-1","issued":{"date-parts":[["1994"]]},"page":"138-161","publisher":"Springer Berlin Heidelberg","publisher-place":"Berlin, Heidelberg","title":"Role of Soil Organic Acids in Mineral Weathering Processes BT  - Organic Acids in Geological Processes","type":"chapter"},"uris":["http://www.mendeley.com/documents/?uuid=ac016ca4-cbaa-4dcb-bef4-756c0172733b"]},{"id":"ITEM-2","itemData":{"DOI":"10.2136/sssaj1990.03615995005400040037x","abstract":"Abstract Organic acids can form stable complexes with metals and therefore can affect metal solubility and speciation. The low-molecular-weight aliphatic organic acids extracted in water and present in soil solution from O, A, Bh and Bt horizons from a group of forested Utlisols, Entisols and Spodosols were identified by high performance liquid chromatography (hplc). Oxalic acid was found in all samples and was present generally in the highest concentrations. Oxalate concentrations in soil solution ranged from 25 to 1000 µM and were greater in the Bh and Bt horizon soils than in the A horizon soil. High concentrations of formic acid were also identified in most soils, ranging from 5 to 174 µM in soil solution. Trace amounts of citric, acetic, malic, lactic, aconitic, and succinic acids were detected in some samples. In a greenhouse pot study, the concentrations of low-molecular-weight organic acids in the rhizosphere of slash pine (Pinus elliottii Engelm.) seedlings growing in A, Bh, and Bt horizons from an Ultic Haplaquod were compared with the concentrations in the nonrhizosphere soil. The observed concentrations were approximately an order of magnitude greater than in native soils. Oxalate was the only low-molecular-weight organic acid identified in the non-rhizosphere soil. The suite of organic acids identified in the rhizosphere was more complex than in the bulk soil. In the rhizosphere, high concentrations of both oxalate and formate were detected, along with trace amounts of citric, acetic, and aconitic acids. Since oxalate forms stable complexes with Al, the presence of large concentrations of oxalate may affect P availability in these soils.  Contribution of the Florida Agric. Exp. Stn. Journal no. R-00072.","author":[{"dropping-particle":"","family":"Fox","given":"T R","non-dropping-particle":"","parse-names":false,"suffix":""},{"dropping-particle":"","family":"Comerford","given":"N B","non-dropping-particle":"","parse-names":false,"suffix":""}],"container-title":"Soil Science Society of America Journal","id":"ITEM-2","issued":{"date-parts":[["1990"]]},"language":"English","page":"1139-1144","publisher":"Soil Science Society of America","publisher-place":"Madison, WI","title":"Low-Molecular-Weight Organic Acids in Selected Forest Soils of the Southeastern USA","type":"article-journal","volume":"54"},"uris":["http://www.mendeley.com/documents/?uuid=e6743ee4-9641-43b0-91c3-627e81c239f7"]},{"id":"ITEM-3","itemData":{"DOI":"10.1016/j.cub.2008.03.011","ISBN":"0960-9822 (Print)\\r0960-9822 (Linking)","ISSN":"09609822","PMID":"18460315","abstract":"The testing of depleted uranium (DU; a 97.25% U:0.75% Ti alloy) ammunition and its use in recent war campaigns in Iraq (1991 and 2003) and the Balkans (1995 and 1999) has led to dispersion of thermodynamically unstable DU metal into the environment [1-3]. Although less radioactive, DU has the same chemotoxicity as natural uranium and poses a threat to human populations [1]. Uranium tends to form stable aqueous complexes and precipitates with organic ligands [4], suggesting that living organisms could play an important role in geochemical transformations and cycling. Fungi are one of the most biogeochemically active components of the soil microbiota [5], particularly in the aerobic plant-root zone. Although the mutualistic symbiotic associations (mycorrhizas) of fungi with plants are particularly important in mineral transformations [5], fungal effects on metallic DU have not been studied. Here, we report that free-living and plant symbiotic (mycorrhizal) fungi can colonize DU surfaces and transform metallic DU into uranyl phosphate minerals. ?? 2008 Elsevier Ltd. All rights reserved.","author":[{"dropping-particle":"","family":"Fomina","given":"Marina","non-dropping-particle":"","parse-names":false,"suffix":""},{"dropping-particle":"","family":"Charnock","given":"John M.","non-dropping-particle":"","parse-names":false,"suffix":""},{"dropping-particle":"","family":"Hillier","given":"Stephen","non-dropping-particle":"","parse-names":false,"suffix":""},{"dropping-particle":"","family":"Alvarez","given":"Rebeca","non-dropping-particle":"","parse-names":false,"suffix":""},{"dropping-particle":"","family":"Livens","given":"Francis","non-dropping-particle":"","parse-names":false,"suffix":""},{"dropping-particle":"","family":"Gadd","given":"Geoffrey M.","non-dropping-particle":"","parse-names":false,"suffix":""}],"container-title":"Current Biology","id":"ITEM-3","issue":"9","issued":{"date-parts":[["2008"]]},"page":"375-377","title":"Role of fungi in the biogeochemical fate of depleted uranium","type":"article-journal","volume":"18"},"uris":["http://www.mendeley.com/documents/?uuid=5ab204e6-3086-41a6-b866-2f01ce292e8f"]}],"mendeley":{"formattedCitation":"(Drever and Vance, 1994; Fox and Comerford, 1990; Fomina et al., 2008)","plainTextFormattedCitation":"(Drever and Vance, 1994; Fox and Comerford, 1990; Fomina et al., 2008)","previouslyFormattedCitation":"(Drever and Vance, 1994; Fox and Comerford, 1990; Fomina et al., 2008)"},"properties":{"noteIndex":0},"schema":"https://github.com/citation-style-language/schema/raw/master/csl-citation.json"}</w:instrText>
      </w:r>
      <w:r w:rsidRPr="000D7D3D">
        <w:fldChar w:fldCharType="separate"/>
      </w:r>
      <w:r w:rsidRPr="000D7D3D">
        <w:rPr>
          <w:noProof/>
        </w:rPr>
        <w:t>(Drever and Vance, 1994; Fox and Comerford, 1990; Fomina et al., 2008)</w:t>
      </w:r>
      <w:r w:rsidRPr="000D7D3D">
        <w:fldChar w:fldCharType="end"/>
      </w:r>
      <w:r w:rsidR="00472363">
        <w:t>. Hence,</w:t>
      </w:r>
      <w:r w:rsidRPr="000D7D3D">
        <w:t xml:space="preserve"> this transporter may be involved in either efflux of </w:t>
      </w:r>
      <w:r w:rsidR="0035392F">
        <w:t xml:space="preserve">a </w:t>
      </w:r>
      <w:r w:rsidRPr="000D7D3D">
        <w:t xml:space="preserve">monocarboxylic acid (for mineral weathering) or </w:t>
      </w:r>
      <w:r w:rsidR="0035392F">
        <w:t xml:space="preserve">its </w:t>
      </w:r>
      <w:r w:rsidRPr="000D7D3D">
        <w:t xml:space="preserve">influx (for degradation and detoxification). Additional </w:t>
      </w:r>
      <w:r w:rsidR="0035392F">
        <w:t>transporters fou</w:t>
      </w:r>
      <w:r w:rsidR="00AA4DD1">
        <w:t>nd to be upregulated in HAP</w:t>
      </w:r>
      <w:r w:rsidRPr="000D7D3D">
        <w:t>+ in S condition compared to HAP+ in NS condition include one putative amino acid transporter and two putative MFS transporters (Figure 5.6A)</w:t>
      </w:r>
      <w:r w:rsidR="0035392F">
        <w:t xml:space="preserve"> </w:t>
      </w:r>
      <w:r w:rsidRPr="000D7D3D">
        <w:fldChar w:fldCharType="begin" w:fldLock="1"/>
      </w:r>
      <w:r w:rsidR="00EE33AB">
        <w:instrText>ADDIN CSL_CITATION {"citationItems":[{"id":"ITEM-1","itemData":{"DOI":"10.1038/nrm.2015.25","ISBN":"1471-0080 (Electronic)\\r1471-0072 (Linking)","ISSN":"14710080","PMID":"26758938","abstract":"Members of the major facilitator superfamily (MFS) of transport proteins are essential for the movement of a wide range of substrates across biomembranes. As this transport requires a series of conformational changes, structures of MFS transporters captured in different conformational states are needed to decipher the transport mechanism. Recently, a large number of MFS transporter structures have been determined, which has provided us with an unprecedented opportunity to understand general aspects of the transport mechanism. We propose an updated model for the conformational cycle of MFS transporters, the 'clamp-and-switch model', and discuss the role of so-called 'gating residues' and the substrate in modulating these conformational changes.","author":[{"dropping-particle":"","family":"Quistgaard","given":"Esben M.","non-dropping-particle":"","parse-names":false,"suffix":""},{"dropping-particle":"","family":"Löw","given":"Christian","non-dropping-particle":"","parse-names":false,"suffix":""},{"dropping-particle":"","family":"Guettou","given":"Fatma","non-dropping-particle":"","parse-names":false,"suffix":""},{"dropping-particle":"","family":"Nordlund","given":"Pär","non-dropping-particle":"","parse-names":false,"suffix":""}],"container-title":"Nature Reviews Molecular Cell Biology","id":"ITEM-1","issue":"2","issued":{"date-parts":[["2016"]]},"page":"123-132","publisher":"Nature Publishing Group","title":"Understanding transport by the major facilitator superfamily (MFS): Structures pave the way","type":"article-journal","volume":"17"},"uris":["http://www.mendeley.com/documents/?uuid=818a03d0-db48-442c-a71b-07abef0e537b"]}],"mendeley":{"formattedCitation":"(Quistgaard et al., 2016)","plainTextFormattedCitation":"(Quistgaard et al., 2016)","previouslyFormattedCitation":"(Quistgaard et al., 2016)"},"properties":{"noteIndex":0},"schema":"https://github.com/citation-style-language/schema/raw/master/csl-citation.json"}</w:instrText>
      </w:r>
      <w:r w:rsidRPr="000D7D3D">
        <w:fldChar w:fldCharType="separate"/>
      </w:r>
      <w:r w:rsidRPr="000D7D3D">
        <w:rPr>
          <w:noProof/>
        </w:rPr>
        <w:t>(Quistgaard et al., 2016)</w:t>
      </w:r>
      <w:r w:rsidRPr="000D7D3D">
        <w:fldChar w:fldCharType="end"/>
      </w:r>
      <w:r w:rsidRPr="000D7D3D">
        <w:t xml:space="preserve">. While </w:t>
      </w:r>
      <w:r w:rsidR="0035392F">
        <w:t xml:space="preserve">it </w:t>
      </w:r>
      <w:r w:rsidRPr="000D7D3D">
        <w:t xml:space="preserve">is not possible to identify the substrate </w:t>
      </w:r>
      <w:r w:rsidRPr="000D7D3D">
        <w:lastRenderedPageBreak/>
        <w:t>and direction</w:t>
      </w:r>
      <w:r w:rsidR="0035392F">
        <w:t>ality</w:t>
      </w:r>
      <w:r w:rsidRPr="000D7D3D">
        <w:t xml:space="preserve"> of these transporters, they may play a role in mobilizing metabolites utilized in </w:t>
      </w:r>
      <w:r w:rsidR="00A66B49">
        <w:t>HAP</w:t>
      </w:r>
      <w:r w:rsidR="00A66B49" w:rsidRPr="000D7D3D">
        <w:t xml:space="preserve"> </w:t>
      </w:r>
      <w:r w:rsidRPr="000D7D3D">
        <w:t xml:space="preserve">weathering </w:t>
      </w:r>
      <w:r w:rsidR="0035392F">
        <w:t>in S condition.</w:t>
      </w:r>
    </w:p>
    <w:p w14:paraId="6F18E0C5" w14:textId="307A76F7" w:rsidR="000D7D3D" w:rsidRPr="000D7D3D" w:rsidRDefault="0035392F" w:rsidP="00D9161C">
      <w:pPr>
        <w:ind w:firstLine="720"/>
      </w:pPr>
      <w:r>
        <w:t>A</w:t>
      </w:r>
      <w:r w:rsidR="000D7D3D" w:rsidRPr="000D7D3D">
        <w:t xml:space="preserve"> gene </w:t>
      </w:r>
      <w:r>
        <w:t xml:space="preserve">found to be </w:t>
      </w:r>
      <w:r w:rsidR="000D7D3D" w:rsidRPr="000D7D3D">
        <w:t xml:space="preserve">upregulated in HAP+ in </w:t>
      </w:r>
      <w:r w:rsidR="00A96236">
        <w:t xml:space="preserve">the </w:t>
      </w:r>
      <w:r w:rsidR="000D7D3D" w:rsidRPr="000D7D3D">
        <w:t xml:space="preserve">S condition encodes </w:t>
      </w:r>
      <w:r>
        <w:t xml:space="preserve">for </w:t>
      </w:r>
      <w:r w:rsidR="000D7D3D" w:rsidRPr="000D7D3D">
        <w:t xml:space="preserve">a putative IAA-amido synthetase (Figure 5.6A). In plants, this enzyme inactivates excess IAA by </w:t>
      </w:r>
      <w:r>
        <w:t>its ligation</w:t>
      </w:r>
      <w:r w:rsidR="000D7D3D" w:rsidRPr="000D7D3D">
        <w:t xml:space="preserve"> to an amino acid inhibitor </w:t>
      </w:r>
      <w:r w:rsidR="000D7D3D" w:rsidRPr="000D7D3D">
        <w:fldChar w:fldCharType="begin" w:fldLock="1"/>
      </w:r>
      <w:r w:rsidR="00EE33AB">
        <w:instrText>ADDIN CSL_CITATION {"citationItems":[{"id":"ITEM-1","itemData":{"DOI":"10.1105/tpc.104.026690","ISBN":"1040-4651 (Print)\\n1040-4651 (Linking)","ISSN":"1040-4651","PMID":"15659623","abstract":"Substantial evidence indicates that amino acid conjugates of indole-3-acetic acid (IAA) function in auxin homeostasis, yet the plant enzymes involved in their biosynthesis have not been identified. We tested whether several Arabidopsis thaliana enzymes that are related to the auxin-induced soybean (Glycine max) GH3 gene product synthesize IAA-amino acid conjugates. In vitro reactions with six recombinant GH3 enzymes produced IAA conjugates with several amino acids, based on thin layer chromatography. The identity of the Ala, Asp, Phe, and Trp conjugates was verified by gas chromatography-mass spectrometry. Insertional mutations in GH3.1, GH3.2, GH3.5, and GH3.17 resulted in modestly increased sensitivity to IAA in seedling root. Overexpression of GH3.6 in the activation-tagged mutant dfl1-D did not significantly alter IAA level but resulted in 3.2- and 4.5-fold more IAA-Asp than in wild-type seedlings and mature leaves, respectively. In addition to IAA, dfl1-D was less sensitive to indole-3-butyric acid and naphthaleneacetic acid, consistent with the fact that GH3.6 was active on each of these auxins. By contrast, GH3.6 and the other five enzymes tested were inactive on halogenated auxins, and dfl1-D was not resistant to these. This evidence establishes that several GH3 genes encode IAA-amido synthetases, which help to maintain auxin homeostasis by conjugating excess IAA to amino acids.","author":[{"dropping-particle":"","family":"Staswick","given":"P. E.","non-dropping-particle":"","parse-names":false,"suffix":""}],"container-title":"the Plant Cell Online","id":"ITEM-1","issue":"2","issued":{"date-parts":[["2005"]]},"page":"616-627","title":"Characterization of an Arabidopsis Enzyme Family That Conjugates Amino Acids to Indole-3-Acetic Acid","type":"article-journal","volume":"17"},"uris":["http://www.mendeley.com/documents/?uuid=76a6b4cb-0b1f-46a9-b755-ec1323c248bc"]},{"id":"ITEM-2","itemData":{"DOI":"10.1093/jxb/erq174","ISBN":"1460-2431 (Electronic)\\r0022-0957 (Linking)","ISSN":"00220957","PMID":"20581124","abstract":"In fleshy fruit, levels of indole-3-acetic acid (IAA), the most abundant auxin, decline towards the onset of ripening. The application of auxins to immature fruit can delay the ripening processes. However, the mechanisms by which the decrease in endogenous IAA concentrations and the maintenance of low auxin levels in maturing fruit are achieved remain elusive. The transcript of a GH3 gene (GH3-1), encoding for an IAA-amido synthetase which conjugates IAA to amino acids, was detected in grape berries (Vitis vinifera L.). GH3-1 expression increased at the onset of ripening (veraison), suggesting that it might be involved in the establishment and maintenance of low IAA concentrations in ripening berries. Furthermore, this grapevine GH3 gene, responded positively to the combined application of abscisic acid and sucrose and to ethylene, linking it to the control of ripening processes. Levels of IAA-aspartic acid (IAA-Asp), an in vitro product of recombinant GH3-1, rose after veraison and remained high during the following weeks of the ripening phase when levels of free IAA were low. A similar pattern of changes in free IAA and IAA-Asp levels was detected in developing tomatoes (Solanum lycopersicum Mill.), where low concentrations of IAA and an increase in IAA-Asp concentrations coincided with the onset of ripening in this climacteric fruit. Since IAA-Asp might be involved in IAA degradation, the GH3 catalysed formation of this conjugate at, and after, the onset of ripening could represent a common IAA inactivation mechanism in climacteric and non-climacteric fruit which enables ripening.","author":[{"dropping-particle":"","family":"Böttcher","given":"Christine","non-dropping-particle":"","parse-names":false,"suffix":""},{"dropping-particle":"","family":"Keyzers","given":"Robert A.","non-dropping-particle":"","parse-names":false,"suffix":""},{"dropping-particle":"","family":"Boss","given":"Paul K.","non-dropping-particle":"","parse-names":false,"suffix":""},{"dropping-particle":"","family":"Davies","given":"Christopher","non-dropping-particle":"","parse-names":false,"suffix":""}],"container-title":"Journal of Experimental Botany","id":"ITEM-2","issue":"13","issued":{"date-parts":[["2010"]]},"page":"3615-3625","title":"Sequestration of auxin by the indole-3-acetic acid-amido synthetase GH3-1 in grape berry (Vitis vinifera L.) and the proposed role of auxin conjugation during ripening","type":"article-journal","volume":"61"},"uris":["http://www.mendeley.com/documents/?uuid=dd6d12a5-4a6c-48bd-9bea-02395d6c77d8"]}],"mendeley":{"formattedCitation":"(Staswick, 2005; Böttcher et al., 2010)","plainTextFormattedCitation":"(Staswick, 2005; Böttcher et al., 2010)","previouslyFormattedCitation":"(Staswick, 2005; Böttcher et al., 2010)"},"properties":{"noteIndex":0},"schema":"https://github.com/citation-style-language/schema/raw/master/csl-citation.json"}</w:instrText>
      </w:r>
      <w:r w:rsidR="000D7D3D" w:rsidRPr="000D7D3D">
        <w:fldChar w:fldCharType="separate"/>
      </w:r>
      <w:r w:rsidR="000D7D3D" w:rsidRPr="000D7D3D">
        <w:rPr>
          <w:noProof/>
        </w:rPr>
        <w:t>(Staswick, 2005; Böttcher et al., 2010)</w:t>
      </w:r>
      <w:r w:rsidR="000D7D3D" w:rsidRPr="000D7D3D">
        <w:fldChar w:fldCharType="end"/>
      </w:r>
      <w:r w:rsidR="000D7D3D" w:rsidRPr="000D7D3D">
        <w:t xml:space="preserve">. Endogenous IAA in the </w:t>
      </w:r>
      <w:r w:rsidR="00A66B49">
        <w:t>EM</w:t>
      </w:r>
      <w:r w:rsidR="00A66B49" w:rsidRPr="000D7D3D">
        <w:t xml:space="preserve"> </w:t>
      </w:r>
      <w:r w:rsidR="000D7D3D" w:rsidRPr="000D7D3D">
        <w:t xml:space="preserve">fungus </w:t>
      </w:r>
      <w:r w:rsidR="000D7D3D" w:rsidRPr="000D7D3D">
        <w:rPr>
          <w:i/>
        </w:rPr>
        <w:t>T. vaccinum</w:t>
      </w:r>
      <w:r w:rsidR="000D7D3D" w:rsidRPr="000D7D3D">
        <w:t xml:space="preserve"> has been shown to be involved in positive regulation of both hyphal tip length and branching </w:t>
      </w:r>
      <w:r w:rsidR="000D7D3D" w:rsidRPr="000D7D3D">
        <w:fldChar w:fldCharType="begin" w:fldLock="1"/>
      </w:r>
      <w:r w:rsidR="00EE33AB">
        <w:instrText>ADDIN CSL_CITATION {"citationItems":[{"id":"ITEM-1","itemData":{"DOI":"10.1128/AEM.01991-15","ISSN":"10985336","PMID":"26231639","abstract":"&lt;p&gt; Fungus-derived indole-3-acetic acid (IAA), which is involved in development of ectomycorrhiza, affects both partners, i.e., the tree and the fungus. The biosynthesis pathway, excretion from fungal hyphae, the induction of branching in fungal cultures, and enhanced Hartig net formation in mycorrhiza were shown. Gene expression studies, incorporation of labeled compounds into IAA, heterologous expression of a transporter, and bioinformatics were applied to study the effect of IAA on fungal morphogenesis and on ectomycorrhiza. &lt;named-content content-type=\"genus-species\"&gt;Tricholoma vaccinum&lt;/named-content&gt; produces IAA from tryptophan via indole-3-pyruvate, with the last step of this biosynthetic pathway being catalyzed by an aldehyde dehydrogenase. The gene &lt;italic&gt;ald1&lt;/italic&gt; was found to be highly expressed in ectomycorrhiza and induced by indole-3-acetaldehyde. The export of IAA from fungal cells is supported by the multidrug and toxic extrusion (MATE) transporter Mte1 found in &lt;named-content content-type=\"genus-species\"&gt;T. vaccinum&lt;/named-content&gt; . The addition of IAA and its precursors induced elongated cells and hyphal ramification of mycorrhizal fungi; in contrast, in saprobic fungi such as &lt;named-content content-type=\"genus-species\"&gt;Schizophyllum commune&lt;/named-content&gt; , IAA did not induce morphogenetic changes. Mycorrhiza responded by increasing its Hartig net formation. The IAA of fungal origin acts as a diffusible signal, influencing root colonization and increasing Hartig net formation in ectomycorrhiza. &lt;/p&gt;","author":[{"dropping-particle":"","family":"Krause","given":"Katrin","non-dropping-particle":"","parse-names":false,"suffix":""},{"dropping-particle":"","family":"Henke","given":"Catarina","non-dropping-particle":"","parse-names":false,"suffix":""},{"dropping-particle":"","family":"Asiimwe","given":"Theodore","non-dropping-particle":"","parse-names":false,"suffix":""},{"dropping-particle":"","family":"Ulbricht","given":"Andrea","non-dropping-particle":"","parse-names":false,"suffix":""},{"dropping-particle":"","family":"Klemmer","given":"Sandra","non-dropping-particle":"","parse-names":false,"suffix":""},{"dropping-particle":"","family":"Schachtschabel","given":"Doreen","non-dropping-particle":"","parse-names":false,"suffix":""},{"dropping-particle":"","family":"Boland","given":"Wilhelm","non-dropping-particle":"","parse-names":false,"suffix":""},{"dropping-particle":"","family":"Kothe","given":"Erika","non-dropping-particle":"","parse-names":false,"suffix":""}],"container-title":"Applied and Environmental Microbiology","id":"ITEM-1","issue":"20","issued":{"date-parts":[["2015"]]},"page":"7003-7011","title":"Biosynthesis and secretion of indole-3-acetic acid and its morphological effects on Tricholoma vaccinum-spruce ectomycorrhiza","type":"article-journal","volume":"81"},"uris":["http://www.mendeley.com/documents/?uuid=15ed871d-dca8-475a-a201-ddd40127cbbb"]}],"mendeley":{"formattedCitation":"(Krause et al., 2015)","plainTextFormattedCitation":"(Krause et al., 2015)","previouslyFormattedCitation":"(Krause et al., 2015)"},"properties":{"noteIndex":0},"schema":"https://github.com/citation-style-language/schema/raw/master/csl-citation.json"}</w:instrText>
      </w:r>
      <w:r w:rsidR="000D7D3D" w:rsidRPr="000D7D3D">
        <w:fldChar w:fldCharType="separate"/>
      </w:r>
      <w:r w:rsidR="000D7D3D" w:rsidRPr="000D7D3D">
        <w:rPr>
          <w:noProof/>
        </w:rPr>
        <w:t>(Krause et al., 2015)</w:t>
      </w:r>
      <w:r w:rsidR="000D7D3D" w:rsidRPr="000D7D3D">
        <w:fldChar w:fldCharType="end"/>
      </w:r>
      <w:r w:rsidR="000D7D3D" w:rsidRPr="000D7D3D">
        <w:t xml:space="preserve">. Upregulation of </w:t>
      </w:r>
      <w:r>
        <w:t xml:space="preserve">the </w:t>
      </w:r>
      <w:r w:rsidR="000D7D3D" w:rsidRPr="000D7D3D">
        <w:t xml:space="preserve">IAA inhibitory enzyme </w:t>
      </w:r>
      <w:r>
        <w:t xml:space="preserve">encoding gene </w:t>
      </w:r>
      <w:r w:rsidR="000D7D3D" w:rsidRPr="000D7D3D">
        <w:t xml:space="preserve">in </w:t>
      </w:r>
      <w:r>
        <w:t xml:space="preserve">the </w:t>
      </w:r>
      <w:r w:rsidR="000D7D3D" w:rsidRPr="000D7D3D">
        <w:t xml:space="preserve">presence of </w:t>
      </w:r>
      <w:r>
        <w:t>HAP in S condition, but not in NS condition</w:t>
      </w:r>
      <w:r w:rsidR="000D7D3D" w:rsidRPr="000D7D3D">
        <w:t xml:space="preserve">, seems consistent with the previous identification of two putative IAA synthesis and transport genes downregulated in S condition in </w:t>
      </w:r>
      <w:r w:rsidR="00A96236">
        <w:t xml:space="preserve">the </w:t>
      </w:r>
      <w:r w:rsidR="000D7D3D" w:rsidRPr="000D7D3D">
        <w:t xml:space="preserve">presence of </w:t>
      </w:r>
      <w:r w:rsidR="00A66B49">
        <w:t>HAP</w:t>
      </w:r>
      <w:r w:rsidR="00A66B49" w:rsidRPr="000D7D3D">
        <w:t xml:space="preserve"> </w:t>
      </w:r>
      <w:r w:rsidR="000D7D3D" w:rsidRPr="000D7D3D">
        <w:t xml:space="preserve">(Figure 5.5B). Together these results may indicate that </w:t>
      </w:r>
      <w:r w:rsidR="000D7D3D" w:rsidRPr="000D7D3D">
        <w:rPr>
          <w:i/>
        </w:rPr>
        <w:t>P. involutus</w:t>
      </w:r>
      <w:r w:rsidR="000D7D3D" w:rsidRPr="000D7D3D">
        <w:t xml:space="preserve"> reduces growth and branching of exploratory mycelia once a P-bearing mineral source is identified and </w:t>
      </w:r>
      <w:r>
        <w:t>its</w:t>
      </w:r>
      <w:r w:rsidR="000D7D3D" w:rsidRPr="000D7D3D">
        <w:t xml:space="preserve"> weathering process is initiated, but only when grown in S condition.</w:t>
      </w:r>
    </w:p>
    <w:p w14:paraId="2873D656" w14:textId="039C65AA" w:rsidR="000D7D3D" w:rsidRPr="000D7D3D" w:rsidRDefault="000D7D3D" w:rsidP="001B51CA">
      <w:pPr>
        <w:ind w:firstLine="720"/>
      </w:pPr>
      <w:r w:rsidRPr="000D7D3D">
        <w:t xml:space="preserve">Surprisingly, </w:t>
      </w:r>
      <w:r w:rsidR="00A52E75">
        <w:t>a</w:t>
      </w:r>
      <w:r w:rsidRPr="000D7D3D">
        <w:t xml:space="preserve"> putative lytic polysaccharide mono-oxygenase and </w:t>
      </w:r>
      <w:r w:rsidR="00A52E75">
        <w:t xml:space="preserve">a </w:t>
      </w:r>
      <w:r w:rsidRPr="000D7D3D">
        <w:t xml:space="preserve">putative GMC oxidoreductase </w:t>
      </w:r>
      <w:r w:rsidR="00A52E75">
        <w:t>encoding genes have</w:t>
      </w:r>
      <w:r w:rsidRPr="000D7D3D">
        <w:t xml:space="preserve"> also </w:t>
      </w:r>
      <w:r w:rsidR="00103F87">
        <w:t xml:space="preserve">been </w:t>
      </w:r>
      <w:r w:rsidRPr="000D7D3D">
        <w:t xml:space="preserve">found to be upregulated in </w:t>
      </w:r>
      <w:r w:rsidR="00103F87">
        <w:t xml:space="preserve">the presence of HAP </w:t>
      </w:r>
      <w:r w:rsidRPr="000D7D3D">
        <w:t xml:space="preserve">in S </w:t>
      </w:r>
      <w:r w:rsidR="00103F87">
        <w:t xml:space="preserve">condition </w:t>
      </w:r>
      <w:r w:rsidRPr="000D7D3D">
        <w:t xml:space="preserve">(Figure 5.6A). In fungi, these genes are involved in cellulose and lignin degradation respectively </w:t>
      </w:r>
      <w:r w:rsidRPr="000D7D3D">
        <w:fldChar w:fldCharType="begin" w:fldLock="1"/>
      </w:r>
      <w:r w:rsidR="00EE33AB">
        <w:instrText>ADDIN CSL_CITATION {"citationItems":[{"id":"ITEM-1","itemData":{"DOI":"10.1107/S0907444909035860","ISBN":"doi:10.1107/S0907444909035860","ISSN":"09074449","PMID":"19923715","abstract":"Lignin biodegradation, a key step in carbon recycling in land ecosystems, is carried out by white-rot fungi through an H(2)O(2)-dependent process defined as enzymatic combustion. Pleurotus eryngii is a selective lignin-degrading fungus that produces H(2)O(2) during redox cycling of p-anisylic compounds involving the secreted flavoenzyme aryl-alcohol oxidase (AAO). Here, the 2.4 A resolution X-ray crystal structure of this oxidoreductase, which catalyzes dehydrogenation reactions on various primary polyunsaturated alcohols, yielding the corresponding aldehydes, is reported. The AAO crystal structure was solved by single-wavelength anomalous diffraction of a selenomethionine derivative obtained by Escherichia coli expression and in vitro folding. This monomeric enzyme is composed of two domains, the overall folding of which places it into the GMC (glucose-methanol-choline oxidase) oxidoreductase family, and a noncovalently bound FAD cofactor. However, two additional structural elements exist in the surroundings of its active site that modulate the access of substrates; these are absent in the structure of the model GMC oxidoreductase glucose oxidase. The folding of these novel elements gives rise to a funnel-like hydrophobic channel that connects the solvent region to the buried active-site cavity of AAO. This putative active-site cavity is located in front of the re side of the FAD isoalloxazine ring and near two histidines (His502 and His546) that could contribute to alcohol activation as catalytic bases. Moreover, three aromatic side chains from two phenylalanines (Phe397 and Phe502) and one tyrosine (Tyr92) at the inner region of the channel form an aromatic gate that may regulate the access of the enzyme substrates to the active site as well as contribute to the recognition of the alcohols that can effectively be oxidized by AAO.","author":[{"dropping-particle":"","family":"Fernández","given":"Israel S.","non-dropping-particle":"","parse-names":false,"suffix":""},{"dropping-particle":"","family":"Ruíz-Duẽas","given":"Francisco J.","non-dropping-particle":"","parse-names":false,"suffix":""},{"dropping-particle":"","family":"Santillana","given":"Elena","non-dropping-particle":"","parse-names":false,"suffix":""},{"dropping-particle":"","family":"Ferreira","given":"Patricia","non-dropping-particle":"","parse-names":false,"suffix":""},{"dropping-particle":"","family":"Martínez","given":"María Jess","non-dropping-particle":"","parse-names":false,"suffix":""},{"dropping-particle":"","family":"Martínez","given":"Ángel T.","non-dropping-particle":"","parse-names":false,"suffix":""},{"dropping-particle":"","family":"Romero","given":"Antonio","non-dropping-particle":"","parse-names":false,"suffix":""}],"container-title":"Acta Crystallographica Section D: Biological Crystallography","id":"ITEM-1","issue":"11","issued":{"date-parts":[["2009"]]},"page":"1196-1205","title":"Novel structural features in the GMC family of oxidoreductases revealed by the crystal structure of fungal aryl-alcohol oxidase","type":"article-journal","volume":"65"},"uris":["http://www.mendeley.com/documents/?uuid=f80171f3-dba3-4775-9add-47170d71bb45"]},{"id":"ITEM-2","itemData":{"DOI":"10.1038/srep40262","ISBN":"2045-2322 (Electronic)\\r2045-2322 (Linking)","ISSN":"20452322","PMID":"28071716","abstract":"Lytic polysaccharide monooxygenases (LPMOs) are a class of powerful oxidative enzymes that breakdown recalcitrant polysaccharides such as cellulose. Here we investigate the action of LPMOs on cellulose fibers. After enzymatic treatment and dispersion, LPMO-treated fibers show intense fibrillation. Cellulose structure modifications visualized at different scales indicate that LPMO creates nicking points that trigger the disintegration of the cellulose fibrillar structure with rupture of chains and release of elementary nanofibrils. Investigation of LPMO action using solid-state NMR provides direct evidence of modification of accessible and inaccessible surfaces surrounding the crystalline core of the fibrils. The chains breakage likely induces modifications of the cellulose network and weakens fibers cohesion promoting their disruption. Besides the formation of new initiation sites for conventional cellulases, this work provides the first evidence of the direct oxidative action of LPMOs with the mechanical weakening of the cellulose ultrastructure. LPMOs can be viewed as promising biocatalysts for enzymatic modification or degradation of cellulose fibers.","author":[{"dropping-particle":"","family":"Villares","given":"Ana","non-dropping-particle":"","parse-names":false,"suffix":""},{"dropping-particle":"","family":"Moreau","given":"Céline","non-dropping-particle":"","parse-names":false,"suffix":""},{"dropping-particle":"","family":"Bennati-Granier","given":"Chloé","non-dropping-particle":"","parse-names":false,"suffix":""},{"dropping-particle":"","family":"Garajova","given":"Sona","non-dropping-particle":"","parse-names":false,"suffix":""},{"dropping-particle":"","family":"Foucat","given":"Loïc","non-dropping-particle":"","parse-names":false,"suffix":""},{"dropping-particle":"","family":"Falourd","given":"Xavier","non-dropping-particle":"","parse-names":false,"suffix":""},{"dropping-particle":"","family":"Saake","given":"Bodo","non-dropping-particle":"","parse-names":false,"suffix":""},{"dropping-particle":"","family":"Berrin","given":"Jean Guy","non-dropping-particle":"","parse-names":false,"suffix":""},{"dropping-particle":"","family":"Cathala","given":"Bernard","non-dropping-particle":"","parse-names":false,"suffix":""}],"container-title":"Scientific Reports","id":"ITEM-2","issue":"September 2016","issued":{"date-parts":[["2017"]]},"page":"1-9","publisher":"Nature Publishing Group","title":"Lytic polysaccharide monooxygenases disrupt the cellulose fibers structure","type":"article-journal","volume":"7"},"uris":["http://www.mendeley.com/documents/?uuid=9c04243d-9026-46d2-a475-c9f63e6e973d"]}],"mendeley":{"formattedCitation":"(Fernández et al., 2009; Villares et al., 2017)","plainTextFormattedCitation":"(Fernández et al., 2009; Villares et al., 2017)","previouslyFormattedCitation":"(Fernández et al., 2009; Villares et al., 2017)"},"properties":{"noteIndex":0},"schema":"https://github.com/citation-style-language/schema/raw/master/csl-citation.json"}</w:instrText>
      </w:r>
      <w:r w:rsidRPr="000D7D3D">
        <w:fldChar w:fldCharType="separate"/>
      </w:r>
      <w:r w:rsidRPr="000D7D3D">
        <w:rPr>
          <w:noProof/>
        </w:rPr>
        <w:t>(Fernández et al., 2009; Villares et al., 2017)</w:t>
      </w:r>
      <w:r w:rsidRPr="000D7D3D">
        <w:fldChar w:fldCharType="end"/>
      </w:r>
      <w:r w:rsidRPr="000D7D3D">
        <w:t>, and are characteristic of saprophytic lifestyle.</w:t>
      </w:r>
    </w:p>
    <w:p w14:paraId="7EF262F3" w14:textId="25968765" w:rsidR="000D7D3D" w:rsidRPr="000D7D3D" w:rsidRDefault="000D7D3D" w:rsidP="001B51CA">
      <w:pPr>
        <w:ind w:firstLine="720"/>
      </w:pPr>
      <w:r w:rsidRPr="000D7D3D">
        <w:t>Multiple</w:t>
      </w:r>
      <w:r w:rsidR="00103F87">
        <w:t xml:space="preserve"> genes encoding for</w:t>
      </w:r>
      <w:r w:rsidRPr="000D7D3D">
        <w:t xml:space="preserve"> putative signalling </w:t>
      </w:r>
      <w:r w:rsidR="00103F87">
        <w:t>proteins</w:t>
      </w:r>
      <w:r w:rsidRPr="000D7D3D">
        <w:t xml:space="preserve"> </w:t>
      </w:r>
      <w:r w:rsidR="00103F87">
        <w:t>have been</w:t>
      </w:r>
      <w:r w:rsidRPr="000D7D3D">
        <w:t xml:space="preserve"> found to be upregulated </w:t>
      </w:r>
      <w:r w:rsidR="00103F87">
        <w:t>by</w:t>
      </w:r>
      <w:r w:rsidRPr="000D7D3D">
        <w:t xml:space="preserve"> </w:t>
      </w:r>
      <w:r w:rsidR="00103F87">
        <w:t xml:space="preserve">the presence of HAP </w:t>
      </w:r>
      <w:r w:rsidR="00103F87" w:rsidRPr="000D7D3D">
        <w:t xml:space="preserve">in S </w:t>
      </w:r>
      <w:r w:rsidR="00103F87">
        <w:t>condition</w:t>
      </w:r>
      <w:r w:rsidRPr="000D7D3D">
        <w:t>. These</w:t>
      </w:r>
      <w:r w:rsidR="00103F87">
        <w:t xml:space="preserve"> genes</w:t>
      </w:r>
      <w:r w:rsidRPr="000D7D3D">
        <w:t xml:space="preserve"> encode for two tyrosine phosphatase</w:t>
      </w:r>
      <w:r w:rsidR="00103F87">
        <w:t>s</w:t>
      </w:r>
      <w:r w:rsidRPr="000D7D3D">
        <w:t xml:space="preserve">, </w:t>
      </w:r>
      <w:r w:rsidR="00103F87">
        <w:t>a</w:t>
      </w:r>
      <w:r w:rsidRPr="000D7D3D">
        <w:t xml:space="preserve"> WD40 repeat-containing protein, </w:t>
      </w:r>
      <w:r w:rsidR="00103F87">
        <w:t>a</w:t>
      </w:r>
      <w:r w:rsidRPr="000D7D3D">
        <w:t xml:space="preserve"> phosphotransferase and </w:t>
      </w:r>
      <w:r w:rsidR="00103F87">
        <w:t>an</w:t>
      </w:r>
      <w:r w:rsidRPr="000D7D3D">
        <w:t xml:space="preserve"> ARM</w:t>
      </w:r>
      <w:r w:rsidR="00103F87">
        <w:t xml:space="preserve"> </w:t>
      </w:r>
      <w:r w:rsidRPr="000D7D3D">
        <w:t xml:space="preserve">repeat-containing protein (Figure 5.6A). Tyrosine phosphatases act by removing phosphorylation of tyrosine residues, and have been shown to be primary regulators of development in the fungal model </w:t>
      </w:r>
      <w:r w:rsidRPr="000D7D3D">
        <w:rPr>
          <w:i/>
        </w:rPr>
        <w:t>S. cerevisiae</w:t>
      </w:r>
      <w:r w:rsidRPr="000D7D3D">
        <w:t xml:space="preserve"> </w:t>
      </w:r>
      <w:r w:rsidRPr="000D7D3D">
        <w:fldChar w:fldCharType="begin" w:fldLock="1"/>
      </w:r>
      <w:r w:rsidR="00EE33AB">
        <w:instrText>ADDIN CSL_CITATION {"citationItems":[{"id":"ITEM-1","itemData":{"DOI":"10.1091/mbc.11.2.663","ISBN":"1059-1524 (Print)\\r1059-1524 (Linking)","ISSN":"1059-1524","PMID":"10679022","abstract":"Tyrosine phosphorylation plays a central role in eukaryotic signal transduction. In yeast, MAP kinase pathways are regulated by tyrosine phosphorylation, and it has been speculated that other biochemical processes may also be regulated by tyrosine phosphorylation. Previous genetic and biochemical studies demonstrate that protein tyrosine phosphatases (PTPases) negatively regulate yeast MAP kinases. Here we report that deletion of PTP2 and PTP3 results in a sporulation defect, suggesting that tyrosine phosphorylation is involved in regulation of meiosis and sporulation. Deletion of PTP2 and PTP3 blocks cells at an early stage of sporulation before premeiotic DNA synthesis and induction of meiotic-specific genes. We observed that tyrosine phosphorylation of several proteins, including 52-, 43-, and 42-kDa proteins, was changed in ptp2Deltaptp3Delta homozygous deletion cells under sporulation conditions. The 42-kDa tyrosine-phosphorylated protein was identified as Mck1, which is a member of the GSK3 family of protein kinases and previously known to be phosphorylated on tyrosine. Mutation of MCK1 decreases sporulation efficiency, whereas mutation of RIM11, another GSK3 member, specifically abolishes sporulation; therefore, we investigated regulation of Rim11 by Tyr phosphorylation during sporulation. We demonstrated that Rim11 is phosphorylated on Tyr-199, and the Tyr phosphorylation is essential for its in vivo function, although Rim11 appears not to be directly regulated by Ptp2 and Ptp3. Biochemical characterizations indicate that tyrosine phosphorylation of Rim11 is essential for the activity of Rim11 to phosphorylate substrates. Our data demonstrate important roles of protein tyrosine phosphorylation in meiosis and sporulation","author":[{"dropping-particle":"","family":"Zhan","given":"X. L.","non-dropping-particle":"","parse-names":false,"suffix":""},{"dropping-particle":"","family":"Hong","given":"Y.","non-dropping-particle":"","parse-names":false,"suffix":""},{"dropping-particle":"","family":"Zhu","given":"T.","non-dropping-particle":"","parse-names":false,"suffix":""},{"dropping-particle":"","family":"Mitchell","given":"A. P.","non-dropping-particle":"","parse-names":false,"suffix":""},{"dropping-particle":"","family":"Deschenes","given":"R. J.","non-dropping-particle":"","parse-names":false,"suffix":""},{"dropping-particle":"","family":"Guan","given":"K. L.","non-dropping-particle":"","parse-names":false,"suffix":""}],"container-title":"Molecular Biology of the Cell","id":"ITEM-1","issue":"2","issued":{"date-parts":[["2000"]]},"page":"663–76","title":"Essential functions of protein tyrosine phosphatases PTP2 and PTP3 and RIM11 tyrosine phosphorylation in Saccharomyces cerevisiae meiosis and sporulation.","type":"article-journal","volume":"11"},"uris":["http://www.mendeley.com/documents/?uuid=58d73945-13c7-4c8d-bf62-2c76c12e9b6f"]}],"mendeley":{"formattedCitation":"(Zhan et al., 2000)","plainTextFormattedCitation":"(Zhan et al., 2000)","previouslyFormattedCitation":"(Zhan et al., 2000)"},"properties":{"noteIndex":0},"schema":"https://github.com/citation-style-language/schema/raw/master/csl-citation.json"}</w:instrText>
      </w:r>
      <w:r w:rsidRPr="000D7D3D">
        <w:fldChar w:fldCharType="separate"/>
      </w:r>
      <w:r w:rsidRPr="000D7D3D">
        <w:rPr>
          <w:noProof/>
        </w:rPr>
        <w:t>(Zhan et al., 2000)</w:t>
      </w:r>
      <w:r w:rsidRPr="000D7D3D">
        <w:fldChar w:fldCharType="end"/>
      </w:r>
      <w:r w:rsidR="00A96236">
        <w:t>. In fungi, several ARM repeat-</w:t>
      </w:r>
      <w:r w:rsidRPr="000D7D3D">
        <w:t xml:space="preserve">containing proteins have been shown to be involved in regulation of growth, cytoskeleton assembly and vesicle formation </w:t>
      </w:r>
      <w:r w:rsidRPr="000D7D3D">
        <w:fldChar w:fldCharType="begin" w:fldLock="1"/>
      </w:r>
      <w:r w:rsidR="00EE33AB">
        <w:instrText>ADDIN CSL_CITATION {"citationItems":[{"id":"ITEM-1","itemData":{"DOI":"10.1016/j.tcb.2010.05.003","ISBN":"1879-3088 (Electronic)\\n0962-8924 (Linking)","ISSN":"09628924","PMID":"20688255","abstract":"Armadillo (ARM)-repeat proteins form a large family with diverse and fundamental functions in many eukaryotes. ARM-repeat proteins have largely been characterised in multicellular organisms and much is known about how a subset of these proteins function. The structure of ARM-repeats allows proteins containing them to be functionally very versatile. Are the ARM-repeat proteins in 'little creatures' as multifunctional as their better-studied relatives? The time is now right to start analysing ARM-repeat proteins in these new systems to better understand their cell biology. Here, we review recent advances in understanding the many cellular roles of both well-known and novel ARM-repeat proteins. © 2010 Elsevier Ltd.","author":[{"dropping-particle":"","family":"Tewari","given":"Rita","non-dropping-particle":"","parse-names":false,"suffix":""},{"dropping-particle":"","family":"Bailes","given":"Elizabeth","non-dropping-particle":"","parse-names":false,"suffix":""},{"dropping-particle":"","family":"Bunting","given":"Karen A.","non-dropping-particle":"","parse-names":false,"suffix":""},{"dropping-particle":"","family":"Coates","given":"Juliet C.","non-dropping-particle":"","parse-names":false,"suffix":""}],"container-title":"Trends in Cell Biology","id":"ITEM-1","issue":"8","issued":{"date-parts":[["2010"]]},"page":"470-481","publisher":"Elsevier Ltd","title":"Armadillo-repeat protein functions: Questions for little creatures","type":"article-journal","volume":"20"},"uris":["http://www.mendeley.com/documents/?uuid=df162a38-fbbf-4ef5-9459-4cc32755a432"]}],"mendeley":{"formattedCitation":"(Tewari et al., 2010)","plainTextFormattedCitation":"(Tewari et al., 2010)","previouslyFormattedCitation":"(Tewari et al., 2010)"},"properties":{"noteIndex":0},"schema":"https://github.com/citation-style-language/schema/raw/master/csl-citation.json"}</w:instrText>
      </w:r>
      <w:r w:rsidRPr="000D7D3D">
        <w:fldChar w:fldCharType="separate"/>
      </w:r>
      <w:r w:rsidRPr="000D7D3D">
        <w:rPr>
          <w:noProof/>
        </w:rPr>
        <w:t>(Tewari et al., 2010)</w:t>
      </w:r>
      <w:r w:rsidRPr="000D7D3D">
        <w:fldChar w:fldCharType="end"/>
      </w:r>
      <w:r w:rsidRPr="000D7D3D">
        <w:t>. Additional</w:t>
      </w:r>
      <w:r w:rsidR="00103F87">
        <w:t>ly, an upregulated gene encoding for</w:t>
      </w:r>
      <w:r w:rsidRPr="000D7D3D">
        <w:t xml:space="preserve"> the putative Alu domain of </w:t>
      </w:r>
      <w:r w:rsidR="005B5903">
        <w:t xml:space="preserve">a </w:t>
      </w:r>
      <w:r w:rsidRPr="000D7D3D">
        <w:t>signal recognition particle (SRP), made of subunits 9 and 14 (SRP9/SRP14 superfamily)</w:t>
      </w:r>
      <w:r w:rsidR="00103F87">
        <w:t>, has been found</w:t>
      </w:r>
      <w:r w:rsidRPr="000D7D3D">
        <w:t xml:space="preserve">. The SRP is a ribonucleoprotein complex involved in post-translational regulation and responsible for targeting proteins to the ER membrane </w:t>
      </w:r>
      <w:r w:rsidRPr="000D7D3D">
        <w:fldChar w:fldCharType="begin" w:fldLock="1"/>
      </w:r>
      <w:r w:rsidR="00EE33AB">
        <w:instrText>ADDIN CSL_CITATION {"citationItems":[{"id":"ITEM-1","itemData":{"author":[{"dropping-particle":"","family":"Keenan","given":"R J","non-dropping-particle":"","parse-names":false,"suffix":""},{"dropping-particle":"","family":"Freymann","given":"D M","non-dropping-particle":"","parse-names":false,"suffix":""},{"dropping-particle":"","family":"Stroud","given":"R M","non-dropping-particle":"","parse-names":false,"suffix":""},{"dropping-particle":"","family":"Walter","given":"P","non-dropping-particle":"","parse-names":false,"suffix":""}],"id":"ITEM-1","issued":{"date-parts":[["2001"]]},"page":"755-775","title":"The signal recognition particle","type":"article-journal","volume":"70"},"uris":["http://www.mendeley.com/documents/?uuid=38814c85-93ff-4168-b14b-106cea041036"]}],"mendeley":{"formattedCitation":"(Keenan et al., 2001)","plainTextFormattedCitation":"(Keenan et al., 2001)","previouslyFormattedCitation":"(Keenan et al., 2001)"},"properties":{"noteIndex":0},"schema":"https://github.com/citation-style-language/schema/raw/master/csl-citation.json"}</w:instrText>
      </w:r>
      <w:r w:rsidRPr="000D7D3D">
        <w:fldChar w:fldCharType="separate"/>
      </w:r>
      <w:r w:rsidRPr="000D7D3D">
        <w:rPr>
          <w:noProof/>
        </w:rPr>
        <w:t>(Keenan et al., 2001)</w:t>
      </w:r>
      <w:r w:rsidRPr="000D7D3D">
        <w:fldChar w:fldCharType="end"/>
      </w:r>
      <w:r w:rsidRPr="000D7D3D">
        <w:t xml:space="preserve">. In-silico analysis </w:t>
      </w:r>
      <w:r w:rsidR="005B5903">
        <w:t xml:space="preserve">has </w:t>
      </w:r>
      <w:r w:rsidR="005B5903">
        <w:lastRenderedPageBreak/>
        <w:t xml:space="preserve">identified </w:t>
      </w:r>
      <w:r w:rsidRPr="000D7D3D">
        <w:t>SRP RNA</w:t>
      </w:r>
      <w:r w:rsidR="005B5903">
        <w:t>s</w:t>
      </w:r>
      <w:r w:rsidRPr="000D7D3D">
        <w:t xml:space="preserve"> in the internal transcribed spacer 1 (ITS1) of ribosomal DNA of multiple </w:t>
      </w:r>
      <w:r w:rsidR="00A66B49">
        <w:t xml:space="preserve">EMF </w:t>
      </w:r>
      <w:r w:rsidRPr="000D7D3D">
        <w:fldChar w:fldCharType="begin" w:fldLock="1"/>
      </w:r>
      <w:r w:rsidR="00EE33AB">
        <w:instrText>ADDIN CSL_CITATION {"citationItems":[{"id":"ITEM-1","itemData":{"DOI":"10.3897/mycokeys.13.8579","ISSN":"1314-4049","abstract":"Citation: Rosenblad MA, Martín MP, Tedersoo L, Ryberg M, Larsson E, Wurzbacher C, Abarenkov K, Nilsson RH (2016) Detection of signal recognition particle (SRP) RNAs in the nuclear ribosomal internal transcribed spacer 1 (ITS1) of three lineages of ectomycorrhizal fungi (Agaricomycetes, Basidiomycota). MycoKeys 13: 21–33. doi: 10.3897/ mycokeys.13.8579 Abstract During a routine scan for Signal Recognition Particle (SRP) RNAs in eukaryotic sequences, we surpris-ingly found in silico evidence in GenBank for a 265-base long SRP RNA sequence in the ITS1 region of a total of 11 fully identified species in three ectomycorrhizal genera of the Basidiomycota (Fungi): Astraeus, Russula, and Lactarius. To rule out sequence artifacts, one specimen from a species indicated to have the SRP RNA-containing ITS region in each of these genera was ordered and re-sequenced. Sequences identi-cal to the corresponding GenBank entries were recovered, or in the case of a non-original but conspecific specimen differed by three bases, showing that these species indeed have an SRP RNA sequence incorpo-rated into their ITS1 region. Other than the ribosomal genes, this is the first known case of non-coding RNAs in the eukaryotic ITS region, and it may assist in the examination of other types of insertions in fungal genomes.","author":[{"dropping-particle":"","family":"Alm Rosenblad","given":"Magnus","non-dropping-particle":"","parse-names":false,"suffix":""},{"dropping-particle":"","family":"Martín","given":"María P.","non-dropping-particle":"","parse-names":false,"suffix":""},{"dropping-particle":"","family":"Tedersoo","given":"Leho","non-dropping-particle":"","parse-names":false,"suffix":""},{"dropping-particle":"","family":"Ryberg","given":"Martin K.","non-dropping-particle":"","parse-names":false,"suffix":""},{"dropping-particle":"","family":"Larsson","given":"Ellen","non-dropping-particle":"","parse-names":false,"suffix":""},{"dropping-particle":"","family":"Wurzbacher","given":"Christian","non-dropping-particle":"","parse-names":false,"suffix":""},{"dropping-particle":"","family":"Abarenkov","given":"Kessy","non-dropping-particle":"","parse-names":false,"suffix":""},{"dropping-particle":"","family":"Nilsson","given":"R. Henrik","non-dropping-particle":"","parse-names":false,"suffix":""}],"container-title":"MycoKeys","id":"ITEM-1","issued":{"date-parts":[["2016"]]},"page":"21-33","title":"Detection of signal recognition particle (SRP) RNAs in the nuclear ribosomal internal transcribed spacer 1 (ITS1) of three lineages of ectomycorrhizal fungi (Agaricomycetes, Basidiomycota)","type":"article-journal","volume":"13"},"uris":["http://www.mendeley.com/documents/?uuid=0bb728a8-3eec-4eea-82ce-1b5a7223dff8"]}],"mendeley":{"formattedCitation":"(Alm Rosenblad et al., 2016)","plainTextFormattedCitation":"(Alm Rosenblad et al., 2016)","previouslyFormattedCitation":"(Alm Rosenblad et al., 2016)"},"properties":{"noteIndex":0},"schema":"https://github.com/citation-style-language/schema/raw/master/csl-citation.json"}</w:instrText>
      </w:r>
      <w:r w:rsidRPr="000D7D3D">
        <w:fldChar w:fldCharType="separate"/>
      </w:r>
      <w:r w:rsidRPr="000D7D3D">
        <w:rPr>
          <w:noProof/>
        </w:rPr>
        <w:t>(Alm Rosenblad et al., 2016)</w:t>
      </w:r>
      <w:r w:rsidRPr="000D7D3D">
        <w:fldChar w:fldCharType="end"/>
      </w:r>
      <w:r w:rsidRPr="000D7D3D">
        <w:t xml:space="preserve">. The SRP RNA acts as a scaffold and regulator of SRP complex </w:t>
      </w:r>
      <w:r w:rsidRPr="000D7D3D">
        <w:fldChar w:fldCharType="begin" w:fldLock="1"/>
      </w:r>
      <w:r w:rsidR="00DF0AA5">
        <w:instrText>ADDIN CSL_CITATION {"citationItems":[{"id":"ITEM-1","itemData":{"DOI":"10.1146/annurev-biochem-072711-164732","ISBN":"0066-4154\\r1545-4509","ISSN":"0066-4154","PMID":"25135940","abstract":"Proteins are built as long chain-like molecules. First, a length of DNA is copied to make a messenger RNA (or mRNA) molecule, which then binds to a large molecular complex called a ribosome. The ribosome reads and translates the code in the mRNA sequence to build a protein chain, which then folds into a specific three-dimensional shape to allow the protein to perform its function. Many proteins also need to be targeted to the right location within the cell in order to carry out their role. Some proteins have to be inserted into the membranes of cells and these proteins are directed, as they are being built, to the membrane by another molecular complex called the signal recognition particle (or SRP for short). The SRP binds to the new protein as it emerges from the ribosome and helps to direct it to the membrane. To make sure that membrane proteins fold correctly, their translation is paused whilst the protein is being targeted to the membrane. Plants, animals, and other eukaryotes do this via a unique part of the SRP complex that only allows the translation to continue once the translating ribosome has been brought close to the membrane. However, most bacteria lack this part of the SRP complex, and yet they are still able to accurately insert new, correctly folded, proteins into their membranes. This suggests that an alternative mechanism must exist in bacterial cells. Fluman et al. looked at an existing data set that had measured how many ribosomes are found at different points along the length of mRNA molecules at any given time in the bacterium E. coli. If ribosomes are consistently found at specific sites in given mRNA molecules, it suggests that these are the sites where a pause in translation occurs. Specific short mRNA sequences—that bind to a ribosome and hold it in place—are often found in these pause sites. These sequences are similar to another sequence, called the Shine–Dalgarno sequence that is often also found at the very start of an mRNA molecule, where it functions to recruit a ribosome and begin the translation process. Fluman et al. reveal that mRNAs of membrane proteins contained these similar sequences early on in their coding region. Some looked likely to pause the translation before the newly formed protein chain emerged from the ribosome, which could give the ribosome time to be targeted to the membrane. Other Shine–Dalgarno-like sequences were found slightly later on in the mRNA molecules for protein chains that span back-and-for…","author":[{"dropping-particle":"","family":"Akopian","given":"David","non-dropping-particle":"","parse-names":false,"suffix":""},{"dropping-particle":"","family":"Shen","given":"Kuang","non-dropping-particle":"","parse-names":false,"suffix":""},{"dropping-particle":"","family":"Zhang","given":"Xin","non-dropping-particle":"","parse-names":false,"suffix":""},{"dropping-particle":"","family":"Shan","given":"Shu-ou","non-dropping-particle":"","parse-names":false,"suffix":""}],"container-title":"Annual Review of Biochemistry","id":"ITEM-1","issue":"1","issued":{"date-parts":[["2013"]]},"page":"693-721","title":"Signal Recognition Particle: An Essential Protein-Targeting Machine","type":"article-journal","volume":"82"},"uris":["http://www.mendeley.com/documents/?uuid=5e3d4045-e942-45de-889f-11888c37ff17"]}],"mendeley":{"formattedCitation":"(Akopian et al., 2013)","plainTextFormattedCitation":"(Akopian et al., 2013)","previouslyFormattedCitation":"(Akopian et al., 2013)"},"properties":{"noteIndex":0},"schema":"https://github.com/citation-style-language/schema/raw/master/csl-citation.json"}</w:instrText>
      </w:r>
      <w:r w:rsidRPr="000D7D3D">
        <w:fldChar w:fldCharType="separate"/>
      </w:r>
      <w:r w:rsidRPr="000D7D3D">
        <w:rPr>
          <w:noProof/>
        </w:rPr>
        <w:t>(Akopian et al., 2013)</w:t>
      </w:r>
      <w:r w:rsidRPr="000D7D3D">
        <w:fldChar w:fldCharType="end"/>
      </w:r>
      <w:r w:rsidRPr="000D7D3D">
        <w:t xml:space="preserve"> suggesting that the SRP complex may act on ribosomal regulation in </w:t>
      </w:r>
      <w:r w:rsidR="00A66B49">
        <w:t>EMF</w:t>
      </w:r>
      <w:r w:rsidRPr="000D7D3D">
        <w:t xml:space="preserve">. Altogether, these genes may be involved in positive regulation of </w:t>
      </w:r>
      <w:r w:rsidR="00A66B49">
        <w:t>HAP</w:t>
      </w:r>
      <w:r w:rsidR="00A66B49" w:rsidRPr="000D7D3D">
        <w:t xml:space="preserve"> </w:t>
      </w:r>
      <w:r w:rsidRPr="000D7D3D">
        <w:t>weathering in S condition specifically.</w:t>
      </w:r>
    </w:p>
    <w:p w14:paraId="33CB0FF2" w14:textId="77777777" w:rsidR="000D7D3D" w:rsidRPr="000D7D3D" w:rsidRDefault="000D7D3D" w:rsidP="001B51CA">
      <w:pPr>
        <w:ind w:firstLine="720"/>
      </w:pPr>
      <w:r w:rsidRPr="000D7D3D">
        <w:t>Figure 5.6B shows the top 50 genes with the most significant downregulation in S HAP+ compared to NS HAP+. Most of the genes in this comparison are genes induced by HAP+ in NS condition but not by HAP+ in S condition.</w:t>
      </w:r>
    </w:p>
    <w:p w14:paraId="102F8092" w14:textId="3182C2C6" w:rsidR="000D7D3D" w:rsidRPr="000D7D3D" w:rsidRDefault="000D7D3D" w:rsidP="001B51CA">
      <w:pPr>
        <w:ind w:firstLine="720"/>
      </w:pPr>
      <w:r w:rsidRPr="000D7D3D">
        <w:t xml:space="preserve">Many genes in this selection encode for putative transporter proteins. For instance, two genes encode </w:t>
      </w:r>
      <w:r w:rsidR="001073FB">
        <w:t xml:space="preserve">for </w:t>
      </w:r>
      <w:r w:rsidRPr="000D7D3D">
        <w:t xml:space="preserve">putative plasma membrane </w:t>
      </w:r>
      <w:r w:rsidR="00391984">
        <w:t>Ca</w:t>
      </w:r>
      <w:r w:rsidRPr="000D7D3D">
        <w:t>-dependent ATPases, extruding Ca ions from th</w:t>
      </w:r>
      <w:r w:rsidR="001073FB">
        <w:t>e cytoplasm, while another gene</w:t>
      </w:r>
      <w:r w:rsidRPr="000D7D3D">
        <w:t xml:space="preserve"> encodes </w:t>
      </w:r>
      <w:r w:rsidR="001073FB">
        <w:t>for the CSC1 channel</w:t>
      </w:r>
      <w:r w:rsidRPr="000D7D3D">
        <w:t xml:space="preserve">, </w:t>
      </w:r>
      <w:r w:rsidR="001073FB">
        <w:t xml:space="preserve">which mediates </w:t>
      </w:r>
      <w:r w:rsidRPr="000D7D3D">
        <w:t>the uptake of Ca</w:t>
      </w:r>
      <w:r w:rsidR="001073FB">
        <w:rPr>
          <w:vertAlign w:val="superscript"/>
        </w:rPr>
        <w:t xml:space="preserve"> </w:t>
      </w:r>
      <w:r w:rsidRPr="000D7D3D">
        <w:t xml:space="preserve">ions </w:t>
      </w:r>
      <w:r w:rsidRPr="000D7D3D">
        <w:fldChar w:fldCharType="begin" w:fldLock="1"/>
      </w:r>
      <w:r w:rsidR="00EE33AB">
        <w:instrText>ADDIN CSL_CITATION {"citationItems":[{"id":"ITEM-1","itemData":{"DOI":"10.1016/j.mycres.2006.12.001","ISBN":"0953-7562","ISSN":"09537562","PMID":"17307120","abstract":"The study of the role that fungi have played and are playing in fundamental geological processes can be termed 'geomycology' and this article seeks to emphasize the fundamental importance of fungi in several key areas. These include organic and inorganic transformations and element cycling, rock and mineral transformations, bioweathering, mycogenic mineral formation, fungal-clay interactions, metal-fungal interactions, and the significance of such processes in the environment and their relevance to areas of environmental biotechnology such as bioremediation. Fungi are intimately involved in biogeochemical transformations at local and global scales, and although such transformations occur in both aquatic and terrestrial habitats, it is the latter environment where fungi probably have the greatest influence. Within terrestrial aerobic ecosystems, fungi may exert an especially profound influence on biogeochemical processes, particularly when considering soil, rock and mineral surfaces, and the plant root-soil interface. The geochemical transformations that take place can influence plant productivity and the mobility of toxic elements and substances, and are therefore of considerable socio-economic relevance, including human health. Of special significance are the mutualistic symbioses, lichens and mycorrhizas. Some of the fungal transformations discussed have beneficial applications in environmental biotechnology, e.g. in metal leaching, recovery and detoxification, and xenobiotic and organic pollutant degradation. They may also result in adverse effects when these processes are associated with the degradation of foodstuffs, natural products, and building materials, including wood, stone and concrete. It is clear that a multidisciplinary approach is essential to understand fully all the phenomena encompassed within geomycology, and it is hoped that this review will serve to catalyse further research, as well as stimulate interest in an area of mycology of global significance. © 2007 The British Mycological Society.","author":[{"dropping-particle":"","family":"Gadd","given":"Geoffrey M.","non-dropping-particle":"","parse-names":false,"suffix":""}],"container-title":"Mycological Research","id":"ITEM-1","issue":"1","issued":{"date-parts":[["2007"]]},"page":"3-49","title":"Geomycology: biogeochemical transformations of rocks, minerals, metals and radionuclides by fungi, bioweathering and bioremediation","type":"article-journal","volume":"111"},"uris":["http://www.mendeley.com/documents/?uuid=0bdfed80-c309-4f0b-97cc-c1c9af30d999"]}],"mendeley":{"formattedCitation":"(Gadd, 2007)","plainTextFormattedCitation":"(Gadd, 2007)","previouslyFormattedCitation":"(Gadd, 2007)"},"properties":{"noteIndex":0},"schema":"https://github.com/citation-style-language/schema/raw/master/csl-citation.json"}</w:instrText>
      </w:r>
      <w:r w:rsidRPr="000D7D3D">
        <w:fldChar w:fldCharType="separate"/>
      </w:r>
      <w:r w:rsidRPr="000D7D3D">
        <w:rPr>
          <w:noProof/>
        </w:rPr>
        <w:t>(Gadd, 2007)</w:t>
      </w:r>
      <w:r w:rsidRPr="000D7D3D">
        <w:fldChar w:fldCharType="end"/>
      </w:r>
      <w:r w:rsidRPr="000D7D3D">
        <w:t xml:space="preserve">. Interestingly, the specific transcripts </w:t>
      </w:r>
      <w:r w:rsidR="001073FB">
        <w:t>corresponding to these genes have</w:t>
      </w:r>
      <w:r w:rsidRPr="000D7D3D">
        <w:t xml:space="preserve"> been found to be upreg</w:t>
      </w:r>
      <w:r w:rsidR="001073FB">
        <w:t>ulated by HAP+ in NS condition when compared to HAP- in NS condition</w:t>
      </w:r>
      <w:r w:rsidRPr="000D7D3D">
        <w:t xml:space="preserve"> </w:t>
      </w:r>
      <w:r w:rsidR="001073FB">
        <w:t>(</w:t>
      </w:r>
      <w:r w:rsidRPr="000D7D3D">
        <w:t xml:space="preserve">Figure 5.4A), whereas different transcripts encoding putative </w:t>
      </w:r>
      <w:r w:rsidR="001073FB">
        <w:t>Ca</w:t>
      </w:r>
      <w:r w:rsidRPr="000D7D3D">
        <w:t xml:space="preserve">-dependent ATPases have been </w:t>
      </w:r>
      <w:r w:rsidR="001073FB">
        <w:t>found to be</w:t>
      </w:r>
      <w:r w:rsidRPr="000D7D3D">
        <w:t xml:space="preserve"> upregulated in response to HAP+ in S co</w:t>
      </w:r>
      <w:r w:rsidR="001073FB">
        <w:t>ndition (Figure 5.5A). Together</w:t>
      </w:r>
      <w:r w:rsidRPr="000D7D3D">
        <w:t xml:space="preserve"> these findings strongly suggest that </w:t>
      </w:r>
      <w:r w:rsidRPr="000D7D3D">
        <w:rPr>
          <w:i/>
        </w:rPr>
        <w:t>P. involutus</w:t>
      </w:r>
      <w:r w:rsidRPr="000D7D3D">
        <w:t xml:space="preserve"> utilises different </w:t>
      </w:r>
      <w:r w:rsidR="001073FB">
        <w:t>Ca</w:t>
      </w:r>
      <w:r w:rsidRPr="000D7D3D">
        <w:t xml:space="preserve"> transporters </w:t>
      </w:r>
      <w:r w:rsidR="00BC603D">
        <w:t>while in</w:t>
      </w:r>
      <w:r w:rsidR="00A96236">
        <w:t xml:space="preserve"> S or</w:t>
      </w:r>
      <w:r w:rsidR="00BC603D">
        <w:t xml:space="preserve"> NS condition,</w:t>
      </w:r>
      <w:r w:rsidR="00BC603D" w:rsidRPr="000D7D3D">
        <w:t xml:space="preserve"> </w:t>
      </w:r>
      <w:r w:rsidRPr="000D7D3D">
        <w:t xml:space="preserve">for </w:t>
      </w:r>
      <w:r w:rsidR="001073FB">
        <w:t xml:space="preserve">maintaining </w:t>
      </w:r>
      <w:r w:rsidRPr="000D7D3D">
        <w:t xml:space="preserve">homeostasis </w:t>
      </w:r>
      <w:r w:rsidR="001073FB">
        <w:t>of Ca ions accumulating</w:t>
      </w:r>
      <w:r w:rsidRPr="000D7D3D">
        <w:t xml:space="preserve"> from </w:t>
      </w:r>
      <w:r w:rsidR="00A66B49">
        <w:t>HAP</w:t>
      </w:r>
      <w:r w:rsidR="00A66B49" w:rsidRPr="000D7D3D">
        <w:t xml:space="preserve"> </w:t>
      </w:r>
      <w:r w:rsidR="00BC603D">
        <w:t>weathering</w:t>
      </w:r>
      <w:r w:rsidRPr="000D7D3D">
        <w:t xml:space="preserve">. </w:t>
      </w:r>
      <w:r w:rsidR="00BC603D">
        <w:t xml:space="preserve">Additionally, </w:t>
      </w:r>
      <w:r w:rsidRPr="000D7D3D">
        <w:t xml:space="preserve">a gene encoding a putative efflux transporter of the MATE family </w:t>
      </w:r>
      <w:r w:rsidRPr="000D7D3D">
        <w:fldChar w:fldCharType="begin" w:fldLock="1"/>
      </w:r>
      <w:r w:rsidR="00EE33AB">
        <w:instrText>ADDIN CSL_CITATION {"citationItems":[{"id":"ITEM-1","itemData":{"DOI":"10.1016/j.tips.2006.09.001","ISBN":"0165-6147","ISSN":"01656147","PMID":"16996621","abstract":"Multidrug and toxic compound extrusion (MATE) proteins, comprising the most recently designated family of multidrug transporter proteins, are widely distributed in all kingdoms of living organisms, although their function is far from understood. The bacterial MATE-type transporters that have been characterized function as exporters of cationic drugs, such as norfloxacin and ethidium, through H+ or Na+ exchange. Plant MATE-type transporters are involved in the detoxification of secondary metabolites, including alkaloids. Mammalian MATE-type transporters are responsible for the final step in the excretion of metabolic waste and xenobiotic organic cations in the kidney and liver through electroneutral exchange of H+. Thus, we propose that members of the MATE family are organic cation exporters that excrete metabolic or xenobiotic organic cations from the body. ?? 2006 Elsevier Ltd. All rights reserved.","author":[{"dropping-particle":"","family":"Omote","given":"Hiroshi","non-dropping-particle":"","parse-names":false,"suffix":""},{"dropping-particle":"","family":"Hiasa","given":"Miki","non-dropping-particle":"","parse-names":false,"suffix":""},{"dropping-particle":"","family":"Matsumoto","given":"Takuya","non-dropping-particle":"","parse-names":false,"suffix":""},{"dropping-particle":"","family":"Otsuka","given":"Masato","non-dropping-particle":"","parse-names":false,"suffix":""},{"dropping-particle":"","family":"Moriyama","given":"Yoshinori","non-dropping-particle":"","parse-names":false,"suffix":""}],"container-title":"Trends in Pharmacological Sciences","id":"ITEM-1","issue":"11","issued":{"date-parts":[["2006"]]},"page":"587-593","title":"The MATE proteins as fundamental transporters of metabolic and xenobiotic organic cations","type":"article-journal","volume":"27"},"uris":["http://www.mendeley.com/documents/?uuid=572a2673-0c99-4f53-a8ab-660bf1201a26"]}],"mendeley":{"formattedCitation":"(Omote et al., 2006)","plainTextFormattedCitation":"(Omote et al., 2006)","previouslyFormattedCitation":"(Omote et al., 2006)"},"properties":{"noteIndex":0},"schema":"https://github.com/citation-style-language/schema/raw/master/csl-citation.json"}</w:instrText>
      </w:r>
      <w:r w:rsidRPr="000D7D3D">
        <w:fldChar w:fldCharType="separate"/>
      </w:r>
      <w:r w:rsidRPr="000D7D3D">
        <w:rPr>
          <w:noProof/>
        </w:rPr>
        <w:t>(Omote et al., 2006)</w:t>
      </w:r>
      <w:r w:rsidRPr="000D7D3D">
        <w:fldChar w:fldCharType="end"/>
      </w:r>
      <w:r w:rsidRPr="000D7D3D">
        <w:t xml:space="preserve"> found</w:t>
      </w:r>
      <w:r w:rsidR="00BC603D">
        <w:t xml:space="preserve"> to be</w:t>
      </w:r>
      <w:r w:rsidRPr="000D7D3D">
        <w:t xml:space="preserve"> downregulated in this selection, has </w:t>
      </w:r>
      <w:r w:rsidR="00BC603D">
        <w:t>also</w:t>
      </w:r>
      <w:r w:rsidR="00BC603D" w:rsidRPr="000D7D3D">
        <w:t xml:space="preserve"> </w:t>
      </w:r>
      <w:r w:rsidRPr="000D7D3D">
        <w:t xml:space="preserve">been </w:t>
      </w:r>
      <w:r w:rsidR="00BC603D">
        <w:t>found</w:t>
      </w:r>
      <w:r w:rsidRPr="000D7D3D">
        <w:t xml:space="preserve"> to be upregulated by HAP+ in NS condition (Figure 5.4A), indicating </w:t>
      </w:r>
      <w:r w:rsidR="00BC603D">
        <w:t>that this MATE transporter</w:t>
      </w:r>
      <w:r w:rsidRPr="000D7D3D">
        <w:t xml:space="preserve"> may be specifically involved in the transport of </w:t>
      </w:r>
      <w:r w:rsidR="00A66B49">
        <w:t>HAP</w:t>
      </w:r>
      <w:r w:rsidR="00BC603D">
        <w:t>-related compounds</w:t>
      </w:r>
      <w:r w:rsidRPr="000D7D3D">
        <w:t xml:space="preserve"> in </w:t>
      </w:r>
      <w:r w:rsidR="00BC603D">
        <w:t xml:space="preserve">the </w:t>
      </w:r>
      <w:r w:rsidRPr="000D7D3D">
        <w:t xml:space="preserve">NS condition only. </w:t>
      </w:r>
    </w:p>
    <w:p w14:paraId="62A15906" w14:textId="6352C7B6" w:rsidR="000D7D3D" w:rsidRPr="000D7D3D" w:rsidRDefault="000D7D3D" w:rsidP="001B51CA">
      <w:pPr>
        <w:ind w:firstLine="720"/>
      </w:pPr>
      <w:r w:rsidRPr="000D7D3D">
        <w:t xml:space="preserve">Interestingly, two genes encoding putative geranylgeranyl pyrophosphate synthases, required for the biosynthesis of terpenoids precursors </w:t>
      </w:r>
      <w:r w:rsidRPr="000D7D3D">
        <w:fldChar w:fldCharType="begin" w:fldLock="1"/>
      </w:r>
      <w:r w:rsidR="00EE33AB">
        <w:instrText>ADDIN CSL_CITATION {"citationItems":[{"id":"ITEM-1","itemData":{"DOI":"10.1371/journal.pone.0096626","ISSN":"19326203","PMID":"24796858","abstract":"The yeast Xanthophyllomyces dendrorhous synthesizes the carotenoid astaxanthin, which has applications in biotechnology because of its antioxidant and pigmentation properties. However, wild-type strains produce too low amounts of carotenoids to be industrially competitive. Considering this background, it is indispensable to understand how the synthesis of astaxanthin is controlled and regulated in this yeast. In this work, the steps leading to the synthesis of the carotenoid precursor geranylgeranyl pyrophosphate (GGPP, C20) in X. dendrorhous from isopentenyl pyrophosphate (IPP, C5) and dimethylallyl pyrophosphate (DMAPP, C5) was characterized. Two prenyl transferase encoding genes, FPS and crtE, were expressed in E. coli. The enzymatic assays using recombinant E. coli protein extracts demonstrated that FPS and crtE encode a farnesyl pyrophosphate (FPP, C15) synthase and a GGPP-synthase, respectively. X. dendrorhous FPP-synthase produces geranyl pyrophosphate (GPP, C10) from IPP and DMAPP and FPP from IPP and GPP, while the X. dendrorhous GGPP-synthase utilizes only FPP and IPP as substrates to produce GGPP. Additionally, the FPS and crtE genes were over-expressed in X. dendrorhous, resulting in an increase of the total carotenoid production. Because the parental strain is diploid, the deletion of one of the alleles of these genes did not affect the total carotenoid production, but the composition was significantly altered. These results suggest that the over-expression of these genes might provoke a higher carbon flux towards carotenogenesis, most likely involving an earlier formation of a carotenogenic enzyme complex. Conversely, the lower carbon flux towards carotenogenesis in the deletion mutants might delay or lead to a partial formation of a carotenogenic enzyme complex, which could explain the accumulation of astaxanthin carotenoid precursors in these mutants. In conclusion, the FPS and the crtE genes represent good candidates to manipulate to favor carotenoid biosynthesis in X. dendrorhous.","author":[{"dropping-particle":"","family":"Alcaíno","given":"Jennifer","non-dropping-particle":"","parse-names":false,"suffix":""},{"dropping-particle":"","family":"Romero","given":"Ignacio","non-dropping-particle":"","parse-names":false,"suffix":""},{"dropping-particle":"","family":"Niklitschek","given":"Mauricio","non-dropping-particle":"","parse-names":false,"suffix":""},{"dropping-particle":"","family":"Sepúlveda","given":"Dionisia","non-dropping-particle":"","parse-names":false,"suffix":""},{"dropping-particle":"","family":"Rojas","given":"María Cecilia","non-dropping-particle":"","parse-names":false,"suffix":""},{"dropping-particle":"","family":"Baeza","given":"Marcelo","non-dropping-particle":"","parse-names":false,"suffix":""},{"dropping-particle":"","family":"Cifuentes","given":"Víctor","non-dropping-particle":"","parse-names":false,"suffix":""}],"container-title":"PLoS ONE","id":"ITEM-1","issue":"5","issued":{"date-parts":[["2014"]]},"page":"1-12","title":"Functional characterization of the Xanthophyllomyces dendrorhous farnesyl pyrophosphate synthase and geranylgeranyl pyrophosphate synthase encoding genes that are involved in the synthesis of isoprenoid precursors","type":"article-journal","volume":"9"},"uris":["http://www.mendeley.com/documents/?uuid=5ee4b6a0-e0e7-4665-8ea2-5b2bf12aa184"]}],"mendeley":{"formattedCitation":"(Alcaíno et al., 2014)","plainTextFormattedCitation":"(Alcaíno et al., 2014)","previouslyFormattedCitation":"(Alcaíno et al., 2014)"},"properties":{"noteIndex":0},"schema":"https://github.com/citation-style-language/schema/raw/master/csl-citation.json"}</w:instrText>
      </w:r>
      <w:r w:rsidRPr="000D7D3D">
        <w:fldChar w:fldCharType="separate"/>
      </w:r>
      <w:r w:rsidRPr="000D7D3D">
        <w:rPr>
          <w:noProof/>
        </w:rPr>
        <w:t>(Alcaíno et al., 2014)</w:t>
      </w:r>
      <w:r w:rsidRPr="000D7D3D">
        <w:fldChar w:fldCharType="end"/>
      </w:r>
      <w:r w:rsidRPr="000D7D3D">
        <w:t xml:space="preserve">, </w:t>
      </w:r>
      <w:r w:rsidR="00A048F2">
        <w:t>have been</w:t>
      </w:r>
      <w:r w:rsidRPr="000D7D3D">
        <w:t xml:space="preserve"> found to be </w:t>
      </w:r>
      <w:r w:rsidR="00747B46">
        <w:t>downregulated</w:t>
      </w:r>
      <w:r w:rsidRPr="000D7D3D">
        <w:t xml:space="preserve"> in HAP+ in S conditions compared to HAP+ in NS condition</w:t>
      </w:r>
      <w:r w:rsidR="00747B46">
        <w:t xml:space="preserve"> (Figure 5.6B)</w:t>
      </w:r>
      <w:r w:rsidRPr="000D7D3D">
        <w:t xml:space="preserve">. The specific transcripts corresponding to these genes have </w:t>
      </w:r>
      <w:r w:rsidR="001F721A">
        <w:t>also</w:t>
      </w:r>
      <w:r w:rsidR="001F721A" w:rsidRPr="000D7D3D">
        <w:t xml:space="preserve"> </w:t>
      </w:r>
      <w:r w:rsidRPr="000D7D3D">
        <w:t xml:space="preserve">been </w:t>
      </w:r>
      <w:r w:rsidR="00A048F2">
        <w:t>found</w:t>
      </w:r>
      <w:r w:rsidRPr="000D7D3D">
        <w:t xml:space="preserve"> to be upregulated during </w:t>
      </w:r>
      <w:r w:rsidR="00A66B49">
        <w:t>Pi</w:t>
      </w:r>
      <w:r w:rsidR="00A66B49" w:rsidRPr="000D7D3D">
        <w:t xml:space="preserve"> </w:t>
      </w:r>
      <w:r w:rsidRPr="000D7D3D">
        <w:t>sta</w:t>
      </w:r>
      <w:r w:rsidR="001F721A">
        <w:t>rvation (Figures 3.4A and 3.5A). In addition, these genes have</w:t>
      </w:r>
      <w:r w:rsidRPr="000D7D3D">
        <w:t xml:space="preserve"> found to be downregulated </w:t>
      </w:r>
      <w:r w:rsidR="001F721A">
        <w:t xml:space="preserve">in </w:t>
      </w:r>
      <w:r w:rsidRPr="000D7D3D">
        <w:t xml:space="preserve">HAP+ compared to HAP- in S condition (Figure 5.5B). </w:t>
      </w:r>
      <w:r w:rsidR="001F721A">
        <w:t>Because</w:t>
      </w:r>
      <w:r w:rsidRPr="000D7D3D">
        <w:t xml:space="preserve"> the dow</w:t>
      </w:r>
      <w:r w:rsidR="001F721A">
        <w:t xml:space="preserve">nregulation of these genes in </w:t>
      </w:r>
      <w:r w:rsidRPr="000D7D3D">
        <w:t xml:space="preserve">HAP+ in S condition may be occurring from augmented Pi availability deriving from </w:t>
      </w:r>
      <w:r w:rsidR="00A66B49">
        <w:t>HAP</w:t>
      </w:r>
      <w:r w:rsidR="00A66B49" w:rsidRPr="000D7D3D">
        <w:t xml:space="preserve"> </w:t>
      </w:r>
      <w:r w:rsidRPr="000D7D3D">
        <w:t xml:space="preserve">weathering, the </w:t>
      </w:r>
      <w:r w:rsidRPr="000D7D3D">
        <w:lastRenderedPageBreak/>
        <w:t>identification of a strong downregulation between HAP+ in S condition and HAP+ in NS condition may indicate that</w:t>
      </w:r>
      <w:r w:rsidR="001F721A">
        <w:t>,</w:t>
      </w:r>
      <w:r w:rsidRPr="000D7D3D">
        <w:t xml:space="preserve"> in S condition</w:t>
      </w:r>
      <w:r w:rsidR="001F721A">
        <w:t>,</w:t>
      </w:r>
      <w:r w:rsidRPr="000D7D3D">
        <w:t xml:space="preserve"> fungal hyphae experience higher availability of Pi compared to NS condition. This finding could be an indirect indication of a more efficient Pi solubilisation from </w:t>
      </w:r>
      <w:r w:rsidR="00A66B49">
        <w:t>HAP</w:t>
      </w:r>
      <w:r w:rsidR="00A66B49" w:rsidRPr="000D7D3D">
        <w:t xml:space="preserve"> </w:t>
      </w:r>
      <w:r w:rsidRPr="000D7D3D">
        <w:t xml:space="preserve">weathering by </w:t>
      </w:r>
      <w:r w:rsidRPr="000D7D3D">
        <w:rPr>
          <w:i/>
        </w:rPr>
        <w:t>P. involutus</w:t>
      </w:r>
      <w:r w:rsidR="00A048F2">
        <w:t xml:space="preserve"> when in S condition</w:t>
      </w:r>
      <w:r w:rsidRPr="000D7D3D">
        <w:t>.</w:t>
      </w:r>
    </w:p>
    <w:p w14:paraId="62E12B92" w14:textId="31522105" w:rsidR="000D7D3D" w:rsidRPr="000D7D3D" w:rsidRDefault="00A96236" w:rsidP="001B51CA">
      <w:pPr>
        <w:ind w:firstLine="720"/>
      </w:pPr>
      <w:r>
        <w:t>Ultimately, a putative</w:t>
      </w:r>
      <w:r w:rsidR="000D7D3D" w:rsidRPr="000D7D3D">
        <w:t xml:space="preserve"> ZF transcription factor was found to be downregulated in HAP+ in S condition compared to HAP+ in NS condition (Figure 5.6B). The transcripts corresponding to this gene have</w:t>
      </w:r>
      <w:r w:rsidR="00DF42AE">
        <w:t xml:space="preserve"> also</w:t>
      </w:r>
      <w:r w:rsidR="000D7D3D" w:rsidRPr="000D7D3D">
        <w:t xml:space="preserve"> been found to be strongly upregulated by HAP+ in NS conditions (Figure 5.4A),</w:t>
      </w:r>
      <w:r w:rsidR="00DF42AE">
        <w:t xml:space="preserve"> </w:t>
      </w:r>
      <w:r w:rsidR="000D7D3D" w:rsidRPr="000D7D3D">
        <w:t xml:space="preserve">indicating that this gene may be specifically involved in positive regulation of </w:t>
      </w:r>
      <w:r w:rsidR="00A66B49">
        <w:t>HAP</w:t>
      </w:r>
      <w:r w:rsidR="00A66B49" w:rsidRPr="000D7D3D">
        <w:t xml:space="preserve"> </w:t>
      </w:r>
      <w:r w:rsidR="000D7D3D" w:rsidRPr="000D7D3D">
        <w:t>weathering in NS condition only.</w:t>
      </w:r>
    </w:p>
    <w:p w14:paraId="73516B8F" w14:textId="77777777" w:rsidR="000D7D3D" w:rsidRPr="000D7D3D" w:rsidRDefault="000D7D3D" w:rsidP="001B51CA"/>
    <w:p w14:paraId="15983FE4" w14:textId="5C7966F3" w:rsidR="000D7D3D" w:rsidRPr="000D7D3D" w:rsidRDefault="000D7D3D" w:rsidP="00635993">
      <w:pPr>
        <w:pStyle w:val="Heading2"/>
      </w:pPr>
      <w:bookmarkStart w:id="530" w:name="_Toc507604087"/>
      <w:bookmarkStart w:id="531" w:name="_Toc507604354"/>
      <w:bookmarkStart w:id="532" w:name="_Toc519017056"/>
      <w:bookmarkStart w:id="533" w:name="_Toc520837969"/>
      <w:r w:rsidRPr="000D7D3D">
        <w:t xml:space="preserve">5.4.4 </w:t>
      </w:r>
      <w:r w:rsidRPr="000D7D3D">
        <w:rPr>
          <w:i/>
        </w:rPr>
        <w:t>P. involutus</w:t>
      </w:r>
      <w:r w:rsidR="00323FB9">
        <w:rPr>
          <w:i/>
        </w:rPr>
        <w:t xml:space="preserve"> DJR1</w:t>
      </w:r>
      <w:r w:rsidRPr="000D7D3D">
        <w:t xml:space="preserve"> gene transcriptional regulation of </w:t>
      </w:r>
      <w:r w:rsidR="00A66B49">
        <w:t>HAP</w:t>
      </w:r>
      <w:r w:rsidR="00A66B49" w:rsidRPr="000D7D3D">
        <w:t xml:space="preserve"> </w:t>
      </w:r>
      <w:r w:rsidRPr="000D7D3D">
        <w:t xml:space="preserve">weathering in either </w:t>
      </w:r>
      <w:r w:rsidR="00323FB9">
        <w:t>NS</w:t>
      </w:r>
      <w:r w:rsidRPr="000D7D3D">
        <w:t xml:space="preserve"> or </w:t>
      </w:r>
      <w:r w:rsidR="00323FB9">
        <w:t>S conditions</w:t>
      </w:r>
      <w:bookmarkEnd w:id="530"/>
      <w:bookmarkEnd w:id="531"/>
      <w:bookmarkEnd w:id="532"/>
      <w:bookmarkEnd w:id="533"/>
      <w:r w:rsidRPr="000D7D3D">
        <w:t xml:space="preserve"> </w:t>
      </w:r>
    </w:p>
    <w:p w14:paraId="0CD7D9E2" w14:textId="39C21A44" w:rsidR="000D7D3D" w:rsidRPr="000D7D3D" w:rsidRDefault="000D7D3D" w:rsidP="003F7054">
      <w:pPr>
        <w:rPr>
          <w:lang w:val="en-US"/>
        </w:rPr>
      </w:pPr>
      <w:r w:rsidRPr="000D7D3D">
        <w:t xml:space="preserve">As mentioned before, the transcriptional response of symbiotic fungal hyphae to </w:t>
      </w:r>
      <w:r w:rsidR="00A473E2">
        <w:t>HAP</w:t>
      </w:r>
      <w:r w:rsidR="00A473E2" w:rsidRPr="000D7D3D">
        <w:t xml:space="preserve"> </w:t>
      </w:r>
      <w:r w:rsidRPr="000D7D3D">
        <w:t xml:space="preserve">differs profoundly from the response of hyphae grown </w:t>
      </w:r>
      <w:r w:rsidR="0068739F">
        <w:t>non-symbiotically.</w:t>
      </w:r>
      <w:r w:rsidRPr="000D7D3D">
        <w:t xml:space="preserve"> Nonetheless, 16 genes were found to be significantly upregulated by HAP+ in both NS and S condition</w:t>
      </w:r>
      <w:r w:rsidR="0068739F">
        <w:t>s</w:t>
      </w:r>
      <w:r w:rsidRPr="000D7D3D">
        <w:t>. Most of these genes encode putative sign</w:t>
      </w:r>
      <w:r w:rsidR="00A96236">
        <w:t>alling proteins, such as a WD40 domain-</w:t>
      </w:r>
      <w:r w:rsidRPr="000D7D3D">
        <w:t xml:space="preserve">containing protein, or a protein </w:t>
      </w:r>
      <w:r w:rsidR="0068739F" w:rsidRPr="000D7D3D">
        <w:t xml:space="preserve">kinase </w:t>
      </w:r>
      <w:r w:rsidRPr="000D7D3D">
        <w:t xml:space="preserve">similar to </w:t>
      </w:r>
      <w:r w:rsidR="0068739F">
        <w:t>Sck1</w:t>
      </w:r>
      <w:r w:rsidRPr="000D7D3D">
        <w:t xml:space="preserve"> (Figure 5.9). The latter was characterised </w:t>
      </w:r>
      <w:r w:rsidR="0068739F">
        <w:t xml:space="preserve">as </w:t>
      </w:r>
      <w:r w:rsidRPr="000D7D3D">
        <w:t xml:space="preserve">a key regulator of fungal growth and development, in response to external nutrient composition and availability </w:t>
      </w:r>
      <w:r w:rsidRPr="000D7D3D">
        <w:fldChar w:fldCharType="begin" w:fldLock="1"/>
      </w:r>
      <w:r w:rsidR="00EE33AB">
        <w:instrText>ADDIN CSL_CITATION {"citationItems":[{"id":"ITEM-1","itemData":{"DOI":"10.1128/EC.00277-13","ISBN":"1535-9786","ISSN":"15359778","PMID":"24297439","abstract":"Schizosaccharomyces pombe detects extracellular glucose via a G protein-mediated cyclic AMP (cAMP)-signaling pathway activating protein kinase A (PKA) and regulating transcription of genes involved in metabolism and sexual development. In this pathway, Gpa2 Gα binds to and activates adenylyl cyclase in response to glucose detection by the Git3 G protein-coupled receptor. Using a two-hybrid screen to identify extrinsic regulators of Gpa2, we isolated a clone that expresses codons 471 to 696 of the Sck1 kinase, which appears to display a higher affinity for Gpa2(K270E)-activated Gα relative to Gpa2(+) Gα. Deletion of sck1(+) or mutational inactivation of the Sck1 kinase produces phenotypes reflecting increased PKA activity in strains expressing Gpa2(+) or Gpa2(K270E), suggesting that Sck1 negatively regulates PKA activation through Gpa2. In contrast to the Gpa2(K270E) GDP-GTP exchange rate mutant, GTPase-defective Gpa2(R176H) weakly binds Sck1 in the two-hybrid screen and a deletion of sck1(+) in a Gpa2(R176H) strain confers phenotypes consistent with a slight reduction in PKA activity. Finally, deleting sck1(+) in a gpa2Δ strain results in phenotypes consistent with a second role for Sck1 acting in parallel with PKA. In addition to this parallel role with PKA, our data suggest that Sck1 negatively regulates Gpa2, possibly targeting the nucleotide-free form of the protein that may expose the one and only AKT/PKB consensus site in Gpa2 for Sck1 to bind. This dual role for Sck1 may allow S. pombe to produce distinct biological responses to glucose and nitrogen starvation signals that both activate the Wis1-Spc1/StyI stress-activated protein kinase (SAPK) pathway.","author":[{"dropping-particle":"","family":"Mudge","given":"Dayna K.","non-dropping-particle":"","parse-names":false,"suffix":""},{"dropping-particle":"","family":"Yang","given":"Fan","non-dropping-particle":"","parse-names":false,"suffix":""},{"dropping-particle":"","family":"Currie","given":"Brian M.","non-dropping-particle":"","parse-names":false,"suffix":""},{"dropping-particle":"","family":"Kim","given":"James M.","non-dropping-particle":"","parse-names":false,"suffix":""},{"dropping-particle":"","family":"Yeda","given":"Kelly","non-dropping-particle":"","parse-names":false,"suffix":""},{"dropping-particle":"","family":"Bashyakarla","given":"Varoon K.","non-dropping-particle":"","parse-names":false,"suffix":""},{"dropping-particle":"","family":"Douglas Ivey","given":"F.","non-dropping-particle":"","parse-names":false,"suffix":""},{"dropping-particle":"","family":"Hoffman","given":"Charles S.","non-dropping-particle":"","parse-names":false,"suffix":""}],"container-title":"Eukaryotic Cell","id":"ITEM-1","issue":"2","issued":{"date-parts":[["2014"]]},"page":"202-208","title":"Sck1 negatively regulates Gpa2-mediated glucose signaling in Schizosaccharomyces pombe","type":"article-journal","volume":"13"},"uris":["http://www.mendeley.com/documents/?uuid=b4db6e12-8b65-4a1a-9c1b-369e95594fdb"]}],"mendeley":{"formattedCitation":"(Mudge et al., 2014)","plainTextFormattedCitation":"(Mudge et al., 2014)","previouslyFormattedCitation":"(Mudge et al., 2014)"},"properties":{"noteIndex":0},"schema":"https://github.com/citation-style-language/schema/raw/master/csl-citation.json"}</w:instrText>
      </w:r>
      <w:r w:rsidRPr="000D7D3D">
        <w:fldChar w:fldCharType="separate"/>
      </w:r>
      <w:r w:rsidRPr="000D7D3D">
        <w:rPr>
          <w:noProof/>
        </w:rPr>
        <w:t>(Mudge et al., 2014)</w:t>
      </w:r>
      <w:r w:rsidRPr="000D7D3D">
        <w:fldChar w:fldCharType="end"/>
      </w:r>
      <w:r w:rsidRPr="000D7D3D">
        <w:t>.</w:t>
      </w:r>
    </w:p>
    <w:p w14:paraId="4FCE7497" w14:textId="66767379" w:rsidR="000D7D3D" w:rsidRPr="000D7D3D" w:rsidRDefault="000D7D3D" w:rsidP="007F746A">
      <w:pPr>
        <w:ind w:firstLine="720"/>
      </w:pPr>
      <w:r w:rsidRPr="000D7D3D">
        <w:t xml:space="preserve">Another putative signalling gene upregulated by </w:t>
      </w:r>
      <w:r w:rsidR="00A473E2">
        <w:t>HAP</w:t>
      </w:r>
      <w:r w:rsidR="00A473E2" w:rsidRPr="000D7D3D">
        <w:t xml:space="preserve"> </w:t>
      </w:r>
      <w:r w:rsidRPr="000D7D3D">
        <w:t>in both S and NS condition</w:t>
      </w:r>
      <w:r w:rsidR="0090240E">
        <w:t>s</w:t>
      </w:r>
      <w:r w:rsidRPr="000D7D3D">
        <w:t xml:space="preserve"> shares </w:t>
      </w:r>
      <w:r w:rsidR="0090240E">
        <w:t>amino acid similarity with Gcn1</w:t>
      </w:r>
      <w:r w:rsidRPr="000D7D3D">
        <w:t xml:space="preserve"> (Figure 5.9), a positive activator of the protein kinase Gcn2 responsive to amino acid starvation but also </w:t>
      </w:r>
      <w:r w:rsidR="0090240E">
        <w:t xml:space="preserve">(sodium) </w:t>
      </w:r>
      <w:r w:rsidRPr="000D7D3D">
        <w:t xml:space="preserve">Na and K toxicity </w:t>
      </w:r>
      <w:r w:rsidRPr="000D7D3D">
        <w:fldChar w:fldCharType="begin" w:fldLock="1"/>
      </w:r>
      <w:r w:rsidR="00EE33AB">
        <w:instrText>ADDIN CSL_CITATION {"citationItems":[{"id":"ITEM-1","itemData":{"DOI":"10.1074/jbc.M102960200","ISBN":"3075330760","ISSN":"00219258","PMID":"11408481","abstract":"Phosphorylation of the alpha-subunit of eukaryotic initiation factor 2 (eIF2alpha) is a conserved mechanism regulating protein synthesis in response to various stresses. A screening for negative factors in yeast salt stress tolerance has led to the identification of Gcn2p, the single yeast eIF2alpha kinase that is activated by amino acid starvation in the general amino acid control response. Mutation of other components of this regulatory circuit such as GCN1 and GCN3 also resulted in improved NaCl tolerance. The gcn2 phenotype was not accompanied by changes in sodium or potassium homeostasis. NaCl induced a Gcn2p-dependent phosphorylation of eIF2alpha and translational activation of Gcn4p, the transcription factor that mediates the general amino acid control response. Mutations that activate Gcn4p function, such as gcd7-201, cpc2, and deletion of the translational regulatory region of the GCN4 gene, also cause salt sensitivity. It can be postulated that sodium activation of the Gcn2p pathway has toxic effects on growth under NaCl stress and that this novel mechanism of sodium toxicity may be of general significance in eukaryotes.","author":[{"dropping-particle":"","family":"Goossens","given":"Alain","non-dropping-particle":"","parse-names":false,"suffix":""},{"dropping-particle":"","family":"Dever","given":"Thomas E.","non-dropping-particle":"","parse-names":false,"suffix":""},{"dropping-particle":"","family":"Pascual-Ahuir","given":"Amparo","non-dropping-particle":"","parse-names":false,"suffix":""},{"dropping-particle":"","family":"Serrano","given":"Ramon","non-dropping-particle":"","parse-names":false,"suffix":""}],"container-title":"Journal of Biological Chemistry","id":"ITEM-1","issue":"33","issued":{"date-parts":[["2001"]]},"page":"30753-30760","title":"The Protein Kinase Gcn2p Mediates Sodium Toxicity in Yeast","type":"article-journal","volume":"276"},"uris":["http://www.mendeley.com/documents/?uuid=9a01e1c4-4b95-4044-948a-992c5589960e"]}],"mendeley":{"formattedCitation":"(Goossens et al., 2001)","plainTextFormattedCitation":"(Goossens et al., 2001)","previouslyFormattedCitation":"(Goossens et al., 2001)"},"properties":{"noteIndex":0},"schema":"https://github.com/citation-style-language/schema/raw/master/csl-citation.json"}</w:instrText>
      </w:r>
      <w:r w:rsidRPr="000D7D3D">
        <w:fldChar w:fldCharType="separate"/>
      </w:r>
      <w:r w:rsidRPr="000D7D3D">
        <w:rPr>
          <w:noProof/>
        </w:rPr>
        <w:t>(Goossens et al., 2001)</w:t>
      </w:r>
      <w:r w:rsidRPr="000D7D3D">
        <w:fldChar w:fldCharType="end"/>
      </w:r>
      <w:r w:rsidRPr="000D7D3D">
        <w:t xml:space="preserve">. Similarly, the putative osmosensor SSK1 </w:t>
      </w:r>
      <w:r w:rsidR="0090240E">
        <w:t>was</w:t>
      </w:r>
      <w:r w:rsidRPr="000D7D3D">
        <w:t xml:space="preserve"> also found to be upregulated (Figure 5.9), which in </w:t>
      </w:r>
      <w:r w:rsidRPr="000D7D3D">
        <w:rPr>
          <w:i/>
        </w:rPr>
        <w:t>S. cerevisiae</w:t>
      </w:r>
      <w:r w:rsidRPr="000D7D3D">
        <w:t xml:space="preserve"> relays osmotic stress signal</w:t>
      </w:r>
      <w:r w:rsidR="0090240E">
        <w:t>s</w:t>
      </w:r>
      <w:r w:rsidRPr="000D7D3D">
        <w:t xml:space="preserve"> to downstream kinases </w:t>
      </w:r>
      <w:r w:rsidRPr="000D7D3D">
        <w:fldChar w:fldCharType="begin" w:fldLock="1"/>
      </w:r>
      <w:r w:rsidR="00EE33AB">
        <w:instrText>ADDIN CSL_CITATION {"citationItems":[{"id":"ITEM-1","itemData":{"DOI":"10.1111/j.1574-6968.2010.01937.x","ISBN":"1574-6968","ISSN":"03781097","PMID":"20345377","abstract":"The ability of microorganisms to survive and thrive within hostile environments depends on rapid and robust stress responses. Stress-activated protein kinase (SAPK) pathways are important stress-signalling modules found in all eukaryotes, including eukaryotic microorganisms such as fungi. These pathways consist of a SAPK that is activated by phosphorylation through a kinase cascade, and once activated, the SAPK phosphorylates a range of cytoplasmic and nuclear target substrates, which determine the appropriate response. However, despite their conservation in fungi, mechanisms that have evolved to relay stress signals to the SAPK module in different fungi have diverged significantly. Here, we present an overview of the diverse strategies used in the model yeasts Saccharomyces cerevisiae and Schizosaccharomyces pombe, and the pathogenic fungus Candida albicans, to sense and transduce stress signals to their respective SAPKs.","author":[{"dropping-particle":"","family":"Smith","given":"Deborah A.","non-dropping-particle":"","parse-names":false,"suffix":""},{"dropping-particle":"","family":"Morgan","given":"Brian A.","non-dropping-particle":"","parse-names":false,"suffix":""},{"dropping-particle":"","family":"Quinn","given":"Janet","non-dropping-particle":"","parse-names":false,"suffix":""}],"container-title":"FEMS Microbiology Letters","id":"ITEM-1","issue":"1","issued":{"date-parts":[["2010"]]},"page":"1-8","title":"Stress signalling to fungal stress-activated protein kinase pathways","type":"article-journal","volume":"306"},"uris":["http://www.mendeley.com/documents/?uuid=2424a18b-ad08-4412-a42e-4ce632cf364a"]}],"mendeley":{"formattedCitation":"(Smith et al., 2010)","plainTextFormattedCitation":"(Smith et al., 2010)","previouslyFormattedCitation":"(Smith et al., 2010)"},"properties":{"noteIndex":0},"schema":"https://github.com/citation-style-language/schema/raw/master/csl-citation.json"}</w:instrText>
      </w:r>
      <w:r w:rsidRPr="000D7D3D">
        <w:fldChar w:fldCharType="separate"/>
      </w:r>
      <w:r w:rsidRPr="000D7D3D">
        <w:rPr>
          <w:noProof/>
        </w:rPr>
        <w:t>(Smith et al., 2010)</w:t>
      </w:r>
      <w:r w:rsidRPr="000D7D3D">
        <w:fldChar w:fldCharType="end"/>
      </w:r>
      <w:r w:rsidR="0090240E">
        <w:t xml:space="preserve">. These findings </w:t>
      </w:r>
      <w:r w:rsidRPr="000D7D3D">
        <w:t xml:space="preserve">indicate that, in </w:t>
      </w:r>
      <w:r w:rsidR="00A96236">
        <w:t xml:space="preserve">the </w:t>
      </w:r>
      <w:r w:rsidRPr="000D7D3D">
        <w:t xml:space="preserve">presence of </w:t>
      </w:r>
      <w:r w:rsidR="00A473E2">
        <w:t>HAP</w:t>
      </w:r>
      <w:r w:rsidRPr="000D7D3D">
        <w:t xml:space="preserve">, </w:t>
      </w:r>
      <w:r w:rsidRPr="000D7D3D">
        <w:rPr>
          <w:i/>
        </w:rPr>
        <w:t>P. involutus</w:t>
      </w:r>
      <w:r w:rsidRPr="000D7D3D">
        <w:t xml:space="preserve"> may experience osmotic stress from weathering-derived ions. Previous finding of upregulation of diverse Ca-dependant ATPases in presence of </w:t>
      </w:r>
      <w:r w:rsidR="00A473E2">
        <w:t>HAP</w:t>
      </w:r>
      <w:r w:rsidR="00A473E2" w:rsidRPr="000D7D3D">
        <w:t xml:space="preserve"> </w:t>
      </w:r>
      <w:r w:rsidRPr="000D7D3D">
        <w:t xml:space="preserve">(Figure 5.4A and 5.5A) seems to support this hypothesis. It is also tempting to speculate that a </w:t>
      </w:r>
      <w:r w:rsidR="009C56BE">
        <w:t xml:space="preserve">sudden </w:t>
      </w:r>
      <w:r w:rsidRPr="000D7D3D">
        <w:t xml:space="preserve">change in ion homeostasis </w:t>
      </w:r>
      <w:r w:rsidR="0090240E">
        <w:t>with</w:t>
      </w:r>
      <w:r w:rsidRPr="000D7D3D">
        <w:t xml:space="preserve">in the </w:t>
      </w:r>
      <w:r w:rsidR="0090240E">
        <w:t>exploratory mycelia</w:t>
      </w:r>
      <w:r w:rsidR="009C56BE">
        <w:t>, resulting from the</w:t>
      </w:r>
      <w:r w:rsidR="0090240E">
        <w:t xml:space="preserve"> </w:t>
      </w:r>
      <w:r w:rsidR="0090240E">
        <w:lastRenderedPageBreak/>
        <w:t>weathering of a nutrient-rich mineral</w:t>
      </w:r>
      <w:r w:rsidRPr="000D7D3D">
        <w:t xml:space="preserve">, may </w:t>
      </w:r>
      <w:r w:rsidR="00980E52">
        <w:t>signal the presence of an exploitable nutritional</w:t>
      </w:r>
      <w:r w:rsidRPr="000D7D3D">
        <w:t xml:space="preserve"> source to the fungus. </w:t>
      </w:r>
      <w:r w:rsidR="0090240E">
        <w:t xml:space="preserve">In this perspective, recognition of nutrient-rich minerals by exploratory mycelia of EMF may </w:t>
      </w:r>
      <w:r w:rsidR="009C56BE">
        <w:t>operate</w:t>
      </w:r>
      <w:r w:rsidR="0090240E">
        <w:t xml:space="preserve"> through an</w:t>
      </w:r>
      <w:r w:rsidR="009C56BE">
        <w:t xml:space="preserve"> os</w:t>
      </w:r>
      <w:r w:rsidR="0090240E">
        <w:t>mosensory</w:t>
      </w:r>
      <w:r w:rsidR="009C56BE">
        <w:t>-based</w:t>
      </w:r>
      <w:r w:rsidR="0090240E">
        <w:t xml:space="preserve"> mechanism.</w:t>
      </w:r>
    </w:p>
    <w:p w14:paraId="3E5B9541" w14:textId="6938E1D0" w:rsidR="000D7D3D" w:rsidRPr="000D7D3D" w:rsidRDefault="009C56BE" w:rsidP="00FB36B8">
      <w:pPr>
        <w:ind w:firstLine="720"/>
      </w:pPr>
      <w:r>
        <w:t>Other u</w:t>
      </w:r>
      <w:r w:rsidRPr="000D7D3D">
        <w:t xml:space="preserve">pregulated genes in </w:t>
      </w:r>
      <w:r w:rsidR="00A96236">
        <w:t xml:space="preserve">the </w:t>
      </w:r>
      <w:r w:rsidRPr="000D7D3D">
        <w:t xml:space="preserve">presence of </w:t>
      </w:r>
      <w:r>
        <w:t>HAP in both NS and S conditions also</w:t>
      </w:r>
      <w:r w:rsidRPr="000D7D3D">
        <w:t xml:space="preserve"> </w:t>
      </w:r>
      <w:r>
        <w:t xml:space="preserve">encode for putative </w:t>
      </w:r>
      <w:r w:rsidR="000D7D3D" w:rsidRPr="000D7D3D">
        <w:t>signalling</w:t>
      </w:r>
      <w:r>
        <w:t xml:space="preserve"> proteins, such as </w:t>
      </w:r>
      <w:r w:rsidR="000D7D3D" w:rsidRPr="000D7D3D">
        <w:t xml:space="preserve">the phosphatidate phosphatase PAH1, which converts phospatidates into </w:t>
      </w:r>
      <w:r>
        <w:t>DAG</w:t>
      </w:r>
      <w:r w:rsidR="000D7D3D" w:rsidRPr="000D7D3D">
        <w:t>, and a DAG kinase, which converts DAG into phosphatidic acid (PA</w:t>
      </w:r>
      <w:r w:rsidR="00980E52">
        <w:t>)</w:t>
      </w:r>
      <w:r w:rsidR="000D7D3D" w:rsidRPr="000D7D3D">
        <w:t xml:space="preserve"> </w:t>
      </w:r>
      <w:r w:rsidR="00980E52">
        <w:t>(</w:t>
      </w:r>
      <w:r w:rsidR="000D7D3D" w:rsidRPr="000D7D3D">
        <w:t>Figure 5.9). PA is a precursor in membrane phospholipid biosynthesis, but can also act as</w:t>
      </w:r>
      <w:r w:rsidR="00980E52">
        <w:t xml:space="preserve"> a</w:t>
      </w:r>
      <w:r w:rsidR="000D7D3D" w:rsidRPr="000D7D3D">
        <w:t xml:space="preserve"> lipid signal for recruiting cytosolic proteins to membranes </w:t>
      </w:r>
      <w:r w:rsidR="000D7D3D" w:rsidRPr="000D7D3D">
        <w:fldChar w:fldCharType="begin" w:fldLock="1"/>
      </w:r>
      <w:r w:rsidR="00EE33AB">
        <w:instrText>ADDIN CSL_CITATION {"citationItems":[{"id":"ITEM-1","itemData":{"DOI":"10.1007/978-94-007-6331-9_9","ISBN":"978-94-007-6331-9","abstract":"Phosphatidic acid (PA) is recognized as an important class of lipid messengers. The cellular PA levels are dynamic; PA is produced and metabolized by several enzymatic reactions, including different phospholipases, lipid kinases, and phosphatases. PA interacts with various proteins and the interactions may modulate enzyme catalytic activities and/or tether proteins to membranes. The PA-protein interactions are impacted by changes in cellular pH and other effectors, such as cations. PA is involved in a wide range of cellular processes, including vesicular trafficking, cytoskeletal organization, secretion, cell proliferation, and survival. Manipulations of different PA production reactions alter cellular and organismal response to a wide range of abiotic and biotic stresses. Further investigations of PA’s function and mechanisms of action will advance not only the understanding of cell signaling networks but also may lead to biotechnological and pharmacological applications.","author":[{"dropping-particle":"","family":"Liu","given":"Yu","non-dropping-particle":"","parse-names":false,"suffix":""},{"dropping-particle":"","family":"Su","given":"Yuan","non-dropping-particle":"","parse-names":false,"suffix":""},{"dropping-particle":"","family":"Wang","given":"Xuemin","non-dropping-particle":"","parse-names":false,"suffix":""}],"editor":[{"dropping-particle":"","family":"Capelluto","given":"Daniel G S","non-dropping-particle":"","parse-names":false,"suffix":""}],"id":"ITEM-1","issued":{"date-parts":[["2013"]]},"page":"159-176","publisher":"Springer Netherlands","publisher-place":"Dordrecht","title":"Phosphatidic Acid-Mediated Signaling BT  - Lipid-mediated Protein Signaling","type":"chapter"},"uris":["http://www.mendeley.com/documents/?uuid=8019f756-3369-440e-89b5-0833800bca55"]}],"mendeley":{"formattedCitation":"(Liu et al., 2013b)","manualFormatting":"(Liu et al., 2013)","plainTextFormattedCitation":"(Liu et al., 2013b)","previouslyFormattedCitation":"(Liu et al., 2013b)"},"properties":{"noteIndex":0},"schema":"https://github.com/citation-style-language/schema/raw/master/csl-citation.json"}</w:instrText>
      </w:r>
      <w:r w:rsidR="000D7D3D" w:rsidRPr="000D7D3D">
        <w:fldChar w:fldCharType="separate"/>
      </w:r>
      <w:r w:rsidR="000D7D3D" w:rsidRPr="000D7D3D">
        <w:rPr>
          <w:noProof/>
        </w:rPr>
        <w:t>(Liu et al., 2013)</w:t>
      </w:r>
      <w:r w:rsidR="000D7D3D" w:rsidRPr="000D7D3D">
        <w:fldChar w:fldCharType="end"/>
      </w:r>
      <w:r w:rsidR="000D7D3D" w:rsidRPr="000D7D3D">
        <w:t xml:space="preserve">. Interestingly, PA has also been linked with vesicle formation and their extrusion </w:t>
      </w:r>
      <w:r w:rsidR="000D7D3D" w:rsidRPr="000D7D3D">
        <w:fldChar w:fldCharType="begin" w:fldLock="1"/>
      </w:r>
      <w:r w:rsidR="00EE33AB">
        <w:instrText>ADDIN CSL_CITATION {"citationItems":[{"id":"ITEM-1","itemData":{"DOI":"10.1074/jbc.275.16.12023","ISSN":"00219258","PMID":"10766834","abstract":"In mammalian cells, activation of a Golgi-associated phospholipase D by ADP-ribosylation factor results in the hydrolysis of phosphatidylcholine to form phosphatidic acid (PA). This reaction stimulates the release of nascent secretory vesicles from the trans-Golgi network of endocrine cells. To understand the role of PA in mediating secretion, we have exploited the transphosphatidylation activity of phospholipase D. Rat anterior pituitary GH3 cells, which secrete growth hormone and prolactin, were treated with 1-butanol resulting in the synthesis of phosphatidylbutanol rather than PA. Under these conditions transport from the ER through the Golgi apparatus and secretion of polypeptide hormones were inhibited quantitatively. Furthermore, the in vitro synthesis of phosphatidylinositol 4,5-bisphosphate (PtdIns(4,5)P(2)) by Golgi membranes was inhibited quantitatively. Most significantly, in the presence of 1-butanol the architecture of the Golgi apparatus was disrupted, resulting in its disassembly and fragmentation. Removal of the alcohol resulted in the rapid restoration of Golgi structure and secretion of growth hormone and prolactin. Our results suggest that PA stimulation of PtdIns(4,5)P(2) synthesis is required for maintaining the structural integrity and function of the Golgi apparatus.","author":[{"dropping-particle":"","family":"Siddhanta","given":"Anirban","non-dropping-particle":"","parse-names":false,"suffix":""},{"dropping-particle":"","family":"Backer","given":"Jonathan M.","non-dropping-particle":"","parse-names":false,"suffix":""},{"dropping-particle":"","family":"Shields","given":"Dennis","non-dropping-particle":"","parse-names":false,"suffix":""}],"container-title":"Journal of Biological Chemistry","id":"ITEM-1","issue":"16","issued":{"date-parts":[["2000"]]},"page":"12023-12031","title":"Inhibition of phosphatidic acid synthesis alters the structure of the Golgi apparatus and inhibits secretion in endocrine cells","type":"article-journal","volume":"275"},"uris":["http://www.mendeley.com/documents/?uuid=2c82571b-37f7-47fd-b76f-e71ab59480fe"]},{"id":"ITEM-2","itemData":{"author":[{"dropping-particle":"","family":"Yang","given":"Jia-Shu","non-dropping-particle":"","parse-names":false,"suffix":""},{"dropping-particle":"","family":"Gad","given":"Helge","non-dropping-particle":"","parse-names":false,"suffix":""},{"dropping-particle":"","family":"Lee","given":"Stella Y","non-dropping-particle":"","parse-names":false,"suffix":""},{"dropping-particle":"","family":"Mironov","given":"Alexander","non-dropping-particle":"","parse-names":false,"suffix":""},{"dropping-particle":"","family":"Zhang","given":"Leiliang","non-dropping-particle":"","parse-names":false,"suffix":""},{"dropping-particle":"V","family":"Beznoussenko","given":"Galina","non-dropping-particle":"","parse-names":false,"suffix":""},{"dropping-particle":"","family":"Valente","given":"Carmen","non-dropping-particle":"","parse-names":false,"suffix":""},{"dropping-particle":"","family":"Turacchio","given":"Gabriele","non-dropping-particle":"","parse-names":false,"suffix":""},{"dropping-particle":"","family":"Bonsra","given":"Akua N","non-dropping-particle":"","parse-names":false,"suffix":""},{"dropping-particle":"","family":"Du","given":"Guangwei","non-dropping-particle":"","parse-names":false,"suffix":""},{"dropping-particle":"","family":"Baldanzi","given":"Gianluca","non-dropping-particle":"","parse-names":false,"suffix":""},{"dropping-particle":"","family":"Graziani","given":"Andrea","non-dropping-particle":"","parse-names":false,"suffix":""},{"dropping-particle":"","family":"Bourgoin","given":"Sylvain","non-dropping-particle":"","parse-names":false,"suffix":""},{"dropping-particle":"","family":"Frohman","given":"Michael A","non-dropping-particle":"","parse-names":false,"suffix":""},{"dropping-particle":"","family":"Luini","given":"Alberto","non-dropping-particle":"","parse-names":false,"suffix":""},{"dropping-particle":"","family":"Hsu","given":"Victor W","non-dropping-particle":"","parse-names":false,"suffix":""}],"container-title":"Nature Cell Biology","id":"ITEM-2","issued":{"date-parts":[["2008","9","7"]]},"page":"1146","publisher":"Nature Publishing Group","title":"A role for phosphatidic acid in COPI vesicle fission yields insights into Golgi maintenance","type":"article-journal","volume":"10"},"uris":["http://www.mendeley.com/documents/?uuid=b1a3cf63-c0f1-4fbe-92db-473821367c89"]},{"id":"ITEM-3","itemData":{"DOI":"10.1371/journal.pone.0039463","ISBN":"1932-6203 (Electronic)\\r1932-6203 (Linking)","ISSN":"19326203","PMID":"22745761","abstract":"BACKGROUND: Fungal extracellular vesicles are able to cross the cell wall and transport molecules that help in nutrient acquisition, cell defense, and modulation of the host defense machinery. METHODOLOGY/PRINCIPAL FINDINGS: Here we present a detailed lipidomic analysis of extracellular vesicles released by Paracoccidioides brasiliensis at the yeast pathogenic phase. We compared data of two representative isolates, Pb3 and Pb18, which have distinct virulence profiles and phylogenetic background. Vesicle lipids were fractionated into different classes and analyzed by either electrospray ionization- or gas chromatography-mass spectrometry. We found two species of monohexosylceramide and 33 phospholipid species, including phosphatidylcholine, phosphatidylethanolamine, phosphatidic acid, phosphatidylserine, phosphatidylinositol, and phosphatidylglycerol. Among the phospholipid-bound fatty acids in extracellular vesicles, C181 predominated in Pb3, whereas C18:2 prevailed in Pb18. The prevalent sterol in Pb3 and Pb18 vesicles was brassicasterol, followed by ergosterol and lanosterol. Inter-isolate differences in sterol composition were observed, and also between extracellular vesicles and whole cells. CONCLUSIONS/SIGNIFICANCE: The extensive lipidomic analysis of extracellular vesicles from two P. brasiliensis isolates will help to understand the composition of these fungal components/organelles and will hopefully be useful to study their biogenesis and role in host-pathogen interactions.","author":[{"dropping-particle":"","family":"Vallejo","given":"Milene C.","non-dropping-particle":"","parse-names":false,"suffix":""},{"dropping-particle":"","family":"Nakayasu","given":"Ernesto S.","non-dropping-particle":"","parse-names":false,"suffix":""},{"dropping-particle":"","family":"Longo","given":"Larissa V G","non-dropping-particle":"","parse-names":false,"suffix":""},{"dropping-particle":"","family":"Ganiko","given":"Luciane","non-dropping-particle":"","parse-names":false,"suffix":""},{"dropping-particle":"","family":"Lopes","given":"Felipe G.","non-dropping-particle":"","parse-names":false,"suffix":""},{"dropping-particle":"","family":"Matsuo","given":"Alisson L.","non-dropping-particle":"","parse-names":false,"suffix":""},{"dropping-particle":"","family":"Almeida","given":"Igor C.","non-dropping-particle":"","parse-names":false,"suffix":""},{"dropping-particle":"","family":"Puccia","given":"Rosana","non-dropping-particle":"","parse-names":false,"suffix":""}],"container-title":"PLoS ONE","id":"ITEM-3","issue":"6","issued":{"date-parts":[["2012"]]},"page":"1-10","title":"Lipidomic analysis of extracellular vesicles from the pathogenic phase of Paracoccidioides brasiliensis","type":"article-journal","volume":"7"},"uris":["http://www.mendeley.com/documents/?uuid=4b4fecb1-3cc1-4d6a-945a-9dbd295d4ff1"]}],"mendeley":{"formattedCitation":"(Siddhanta et al., 2000; Yang et al., 2008; Vallejo et al., 2012)","plainTextFormattedCitation":"(Siddhanta et al., 2000; Yang et al., 2008; Vallejo et al., 2012)","previouslyFormattedCitation":"(Siddhanta et al., 2000; Yang et al., 2008; Vallejo et al., 2012)"},"properties":{"noteIndex":0},"schema":"https://github.com/citation-style-language/schema/raw/master/csl-citation.json"}</w:instrText>
      </w:r>
      <w:r w:rsidR="000D7D3D" w:rsidRPr="000D7D3D">
        <w:fldChar w:fldCharType="separate"/>
      </w:r>
      <w:r w:rsidR="000D7D3D" w:rsidRPr="000D7D3D">
        <w:rPr>
          <w:noProof/>
        </w:rPr>
        <w:t>(Siddhanta et al., 2000; Yang et al., 2008; Vallejo et al., 2012)</w:t>
      </w:r>
      <w:r w:rsidR="000D7D3D" w:rsidRPr="000D7D3D">
        <w:fldChar w:fldCharType="end"/>
      </w:r>
      <w:r w:rsidR="000D7D3D" w:rsidRPr="000D7D3D">
        <w:t xml:space="preserve">. Additional genes encoding putative vesicle formation and trafficking factors are also found to be upregulated in this selection. These include a Vam6/Vps39-like protein, potentially involved in vesicles fusion </w:t>
      </w:r>
      <w:r w:rsidR="000D7D3D" w:rsidRPr="000D7D3D">
        <w:fldChar w:fldCharType="begin" w:fldLock="1"/>
      </w:r>
      <w:r w:rsidR="00EE33AB">
        <w:instrText>ADDIN CSL_CITATION {"citationItems":[{"id":"ITEM-1","itemData":{"DOI":"10.1016/S0378-1097(04)00039-4","ISBN":"0378-1097","ISSN":"03781097","PMID":"15019743","abstract":"It has been demonstrated that Saccharomyces cerevisiae Vam6p/Vps39p plays a critical role in the tethering steps of vacuolar membrane fusion by facilitating guanine nucleotide exchange on small guanosine triphosphatase (GTPase) Vam4p/Ypt7p. We report here the identification and characterization of a novel protein in Aspergillus nidulans, AvaB, that exhibits similarity to Vam6p/Vps39p and plays a critical role in vacuolar morphogenesis in A. nidulans. AvaB is comprised of 1058 amino acids with amino-terminal citron homology (CNH) and central clathrin homology (CLH) domains, as observed for other Vam6p/ Vps39p family proteins. Disruption of avaB in A. nidulans resulted in the fragmentation of vacuoles and reduced growth rate under various growth conditions, implying its importance in maintaining vacuolar morphology and function. Yeast two-hybrid analysis demonstrated the interaction of AvaB with AvaA, a Vam4p/Ypt7p homolog in A. nidulans, as well as the homooligomer formation of AvaB, suggesting that AvaB performs its function through hetero- or homophilic protein-protein interactions. ?? 2004 Federation of European Microbiological Societies. Published by Elsevier B.V. All rights reserved.","author":[{"dropping-particle":"","family":"Oka","given":"Masanao","non-dropping-particle":"","parse-names":false,"suffix":""},{"dropping-particle":"","family":"Maruyama","given":"Jun Ichi","non-dropping-particle":"","parse-names":false,"suffix":""},{"dropping-particle":"","family":"Arioka","given":"Manabu","non-dropping-particle":"","parse-names":false,"suffix":""},{"dropping-particle":"","family":"Nakajima","given":"Harushi","non-dropping-particle":"","parse-names":false,"suffix":""},{"dropping-particle":"","family":"Kitamoto","given":"Katsuhiko","non-dropping-particle":"","parse-names":false,"suffix":""}],"container-title":"FEMS Microbiology Letters","id":"ITEM-1","issue":"1","issued":{"date-parts":[["2004"]]},"page":"113-121","title":"Molecular cloning and functional characterization of avaB, a gene encoding Vam6p/Vps39p-like protein in Aspergillus nidulans","type":"article-journal","volume":"232"},"uris":["http://www.mendeley.com/documents/?uuid=3e40dc28-f7de-4d68-9122-5ae164d5db9e"]}],"mendeley":{"formattedCitation":"(Oka et al., 2004)","plainTextFormattedCitation":"(Oka et al., 2004)","previouslyFormattedCitation":"(Oka et al., 2004)"},"properties":{"noteIndex":0},"schema":"https://github.com/citation-style-language/schema/raw/master/csl-citation.json"}</w:instrText>
      </w:r>
      <w:r w:rsidR="000D7D3D" w:rsidRPr="000D7D3D">
        <w:fldChar w:fldCharType="separate"/>
      </w:r>
      <w:r w:rsidR="000D7D3D" w:rsidRPr="000D7D3D">
        <w:rPr>
          <w:noProof/>
        </w:rPr>
        <w:t>(Oka et al., 2004)</w:t>
      </w:r>
      <w:r w:rsidR="000D7D3D" w:rsidRPr="000D7D3D">
        <w:fldChar w:fldCharType="end"/>
      </w:r>
      <w:r w:rsidR="000D7D3D" w:rsidRPr="000D7D3D">
        <w:t xml:space="preserve">, a protein containing an ANTH domain, involved in clathrin-coated vesicles formation in eukaryotes </w:t>
      </w:r>
      <w:r w:rsidR="000D7D3D" w:rsidRPr="000D7D3D">
        <w:fldChar w:fldCharType="begin" w:fldLock="1"/>
      </w:r>
      <w:r w:rsidR="00EE33AB">
        <w:instrText>ADDIN CSL_CITATION {"citationItems":[{"id":"ITEM-1","itemData":{"DOI":"10.1105/tpc.114.131680","ISBN":"1040-4651","ISSN":"1040-4651","PMID":"25415979","abstract":"Coated vesicles provide a major mechanism for the transport of proteins through the endomembrane system of plants. Transport between the endoplasmic reticulum and the Golgi involves vesicles with COPI and COPII coats, whereas clathrin is the predominant coat in endocytosis and post-Golgi trafficking. Sorting of cargo, coat assembly, budding, and fission are all complex and tightly regulated processes that involve many proteins. The mechanisms and responsible factors are largely conserved in eukaryotes, and increasing organismal complexity tends to be associated with a greater numbers of individual family members. Among the key factors is the class of ENTH/ANTH/VHS domain-containing proteins, which link membrane subdomains, clathrin, and other adapter proteins involved in early steps of clathrin coated vesicle formation. More than 30 Arabidopsis thaliana proteins contain this domain, but their generally low sequence conservation has made functional classification difficult. Reports from the last two years have greatly expanded our knowledge of these proteins and suggest that ENTH/ANTH/VHS domain proteins are involved in various instances of clathrin-related endomembrane trafficking in plants. This review aims to summarize these new findings and discuss the broader context of clathrin-dependent plant vesicular transport.","author":[{"dropping-particle":"","family":"Zouhar","given":"Jan","non-dropping-particle":"","parse-names":false,"suffix":""},{"dropping-particle":"","family":"Sauer","given":"Michael","non-dropping-particle":"","parse-names":false,"suffix":""}],"container-title":"The Plant Cell Online","id":"ITEM-1","issue":"11","issued":{"date-parts":[["2014"]]},"page":"4232-4244","title":"Helping Hands for Budding Prospects: ENTH/ANTH/VHS Accessory Proteins in Endocytosis, Vacuolar Transport, and Secretion","type":"article-journal","volume":"26"},"uris":["http://www.mendeley.com/documents/?uuid=bf80037a-1936-48b3-a6b0-b04e82566884"]}],"mendeley":{"formattedCitation":"(Zouhar and Sauer, 2014)","plainTextFormattedCitation":"(Zouhar and Sauer, 2014)","previouslyFormattedCitation":"(Zouhar and Sauer, 2014)"},"properties":{"noteIndex":0},"schema":"https://github.com/citation-style-language/schema/raw/master/csl-citation.json"}</w:instrText>
      </w:r>
      <w:r w:rsidR="000D7D3D" w:rsidRPr="000D7D3D">
        <w:fldChar w:fldCharType="separate"/>
      </w:r>
      <w:r w:rsidR="000D7D3D" w:rsidRPr="000D7D3D">
        <w:rPr>
          <w:noProof/>
        </w:rPr>
        <w:t>(Zouhar and Sauer, 2014)</w:t>
      </w:r>
      <w:r w:rsidR="000D7D3D" w:rsidRPr="000D7D3D">
        <w:fldChar w:fldCharType="end"/>
      </w:r>
      <w:r w:rsidR="000D7D3D" w:rsidRPr="000D7D3D">
        <w:t>, and a VAMP</w:t>
      </w:r>
      <w:r w:rsidR="00980E52">
        <w:t xml:space="preserve"> component</w:t>
      </w:r>
      <w:r w:rsidR="000D7D3D" w:rsidRPr="000D7D3D">
        <w:t xml:space="preserve">, involved in vesicle fusion during exocytosis </w:t>
      </w:r>
      <w:r w:rsidR="000D7D3D" w:rsidRPr="000D7D3D">
        <w:fldChar w:fldCharType="begin" w:fldLock="1"/>
      </w:r>
      <w:r w:rsidR="00EE33AB">
        <w:instrText>ADDIN CSL_CITATION {"citationItems":[{"id":"ITEM-1","itemData":{"DOI":"10.1016/0092-8674(93)90465-3","ISBN":"0092-8674","ISSN":"00928674","PMID":"8374953","abstract":"The yeast S. cerevisiae possesses two genes, SNC1 and SNC2, that encode homologs of vertebrate synaptic vesicle-associated membrane proteins, also known as synaptobrevins. Here we describe the cloning of SNC2 and demonstrate that yeast lacking both SNC genes are deficient in normal bulk secretion, accumulate large numbers of post-Golgi vesicles, and display a variety of conditional lethal phenotypes. In addition, we show that yeast Snc proteins localize to post-Golgi transport vesicles that accumulate in a late-acting sec mutant. Our findings clearly place the Snc proteins on the late secretory pathway in S. cerevisiae and provide direct in vivo evidence that synaptobrevin-like proteins mediate the targeting and transport of secretory proteins. © 1993.","author":[{"dropping-particle":"","family":"Protopopov","given":"Vladimir","non-dropping-particle":"","parse-names":false,"suffix":""},{"dropping-particle":"","family":"Govindan","given":"Brinda","non-dropping-particle":"","parse-names":false,"suffix":""},{"dropping-particle":"","family":"Novick","given":"Peter","non-dropping-particle":"","parse-names":false,"suffix":""},{"dropping-particle":"","family":"Gerst","given":"Jeffrey E.","non-dropping-particle":"","parse-names":false,"suffix":""}],"container-title":"Cell","id":"ITEM-1","issue":"5","issued":{"date-parts":[["1993"]]},"page":"855-861","title":"Homologs of the synaptobrevin/VAMP family of synaptic vesicle proteins function on the late secretory pathway in S. cerevisiae","type":"article-journal","volume":"74"},"uris":["http://www.mendeley.com/documents/?uuid=fe3a7297-d922-4f8c-9468-0f4dd8211d3c"]}],"mendeley":{"formattedCitation":"(Protopopov et al., 1993)","plainTextFormattedCitation":"(Protopopov et al., 1993)","previouslyFormattedCitation":"(Protopopov et al., 1993)"},"properties":{"noteIndex":0},"schema":"https://github.com/citation-style-language/schema/raw/master/csl-citation.json"}</w:instrText>
      </w:r>
      <w:r w:rsidR="000D7D3D" w:rsidRPr="000D7D3D">
        <w:fldChar w:fldCharType="separate"/>
      </w:r>
      <w:r w:rsidR="000D7D3D" w:rsidRPr="000D7D3D">
        <w:rPr>
          <w:noProof/>
        </w:rPr>
        <w:t>(Protopopov et al., 1993)</w:t>
      </w:r>
      <w:r w:rsidR="000D7D3D" w:rsidRPr="000D7D3D">
        <w:fldChar w:fldCharType="end"/>
      </w:r>
      <w:r w:rsidR="000D7D3D" w:rsidRPr="000D7D3D">
        <w:t>. The upregulation of multiple components of a putative exocytosis pathway in both NS and S condition</w:t>
      </w:r>
      <w:r w:rsidR="00EB7E2E">
        <w:t>s</w:t>
      </w:r>
      <w:r w:rsidR="000D7D3D" w:rsidRPr="000D7D3D">
        <w:t xml:space="preserve"> supports the idea that extrusion of potentially toxic weathering</w:t>
      </w:r>
      <w:r>
        <w:t xml:space="preserve"> agents may happen in a vesicle-</w:t>
      </w:r>
      <w:r w:rsidR="000D7D3D" w:rsidRPr="000D7D3D">
        <w:t>mediated manner, as discussed previously (</w:t>
      </w:r>
      <w:r w:rsidR="003F061A">
        <w:t>S</w:t>
      </w:r>
      <w:r w:rsidR="000D7D3D" w:rsidRPr="000D7D3D">
        <w:t>ections 5.4.1 and 5.4.2).</w:t>
      </w:r>
    </w:p>
    <w:p w14:paraId="7F787D5A" w14:textId="1A2C7387" w:rsidR="000D7D3D" w:rsidRPr="000D7D3D" w:rsidRDefault="000D7D3D" w:rsidP="00EB7E2E">
      <w:pPr>
        <w:ind w:firstLine="720"/>
      </w:pPr>
      <w:r w:rsidRPr="000D7D3D">
        <w:t xml:space="preserve">Most of the putative signalling genes found to be upregulated by </w:t>
      </w:r>
      <w:r w:rsidR="00325866">
        <w:t xml:space="preserve">the </w:t>
      </w:r>
      <w:r w:rsidRPr="000D7D3D">
        <w:t xml:space="preserve">presence of </w:t>
      </w:r>
      <w:r w:rsidR="00A473E2">
        <w:t>HAP</w:t>
      </w:r>
      <w:r w:rsidR="00A473E2" w:rsidRPr="000D7D3D">
        <w:t xml:space="preserve"> </w:t>
      </w:r>
      <w:r w:rsidRPr="000D7D3D">
        <w:t>in both NS and S condition</w:t>
      </w:r>
      <w:r w:rsidR="00EB7E2E">
        <w:t>s</w:t>
      </w:r>
      <w:r w:rsidRPr="000D7D3D">
        <w:t xml:space="preserve"> are comprised of upstream signalling genes (Figure 5.9), indicating that these genes could be putative key regulators </w:t>
      </w:r>
      <w:r w:rsidR="00EB7E2E">
        <w:t>of</w:t>
      </w:r>
      <w:r w:rsidRPr="000D7D3D">
        <w:t xml:space="preserve"> </w:t>
      </w:r>
      <w:r w:rsidR="00EB7E2E">
        <w:t xml:space="preserve">HAP </w:t>
      </w:r>
      <w:r w:rsidRPr="000D7D3D">
        <w:t>weathering</w:t>
      </w:r>
      <w:r w:rsidR="00EB7E2E">
        <w:t>.</w:t>
      </w:r>
      <w:r w:rsidR="00EB7E2E">
        <w:br w:type="page"/>
      </w:r>
    </w:p>
    <w:p w14:paraId="2718EB88" w14:textId="689CD5DD" w:rsidR="000D7D3D" w:rsidRPr="000D7D3D" w:rsidRDefault="000D7D3D" w:rsidP="00635993">
      <w:pPr>
        <w:pStyle w:val="Heading2"/>
      </w:pPr>
      <w:bookmarkStart w:id="534" w:name="_Toc507604088"/>
      <w:bookmarkStart w:id="535" w:name="_Toc507604355"/>
      <w:bookmarkStart w:id="536" w:name="_Toc519017057"/>
      <w:bookmarkStart w:id="537" w:name="_Toc520837970"/>
      <w:r w:rsidRPr="000D7D3D">
        <w:lastRenderedPageBreak/>
        <w:t xml:space="preserve">5.4.5 </w:t>
      </w:r>
      <w:r w:rsidR="00EB7E2E">
        <w:t>M</w:t>
      </w:r>
      <w:r w:rsidRPr="000D7D3D">
        <w:t xml:space="preserve">etabolites produced at the fungal-mineral interface in response to </w:t>
      </w:r>
      <w:r w:rsidR="003C5803">
        <w:t>HAP</w:t>
      </w:r>
      <w:r w:rsidR="003C5803" w:rsidRPr="000D7D3D">
        <w:t xml:space="preserve"> </w:t>
      </w:r>
      <w:r w:rsidRPr="000D7D3D">
        <w:t xml:space="preserve">weathering </w:t>
      </w:r>
      <w:r w:rsidR="00EB7E2E" w:rsidRPr="000D7D3D">
        <w:t xml:space="preserve">in either </w:t>
      </w:r>
      <w:r w:rsidR="00EB7E2E">
        <w:t>NS</w:t>
      </w:r>
      <w:r w:rsidR="00EB7E2E" w:rsidRPr="000D7D3D">
        <w:t xml:space="preserve"> or </w:t>
      </w:r>
      <w:r w:rsidR="00EB7E2E">
        <w:t>S conditions</w:t>
      </w:r>
      <w:bookmarkEnd w:id="534"/>
      <w:bookmarkEnd w:id="535"/>
      <w:bookmarkEnd w:id="536"/>
      <w:bookmarkEnd w:id="537"/>
    </w:p>
    <w:p w14:paraId="02107B87" w14:textId="30854CD0" w:rsidR="000D7D3D" w:rsidRPr="000D7D3D" w:rsidRDefault="000D7D3D" w:rsidP="003F7054">
      <w:r w:rsidRPr="000D7D3D">
        <w:t xml:space="preserve">Analysis of metabolites produced in response to </w:t>
      </w:r>
      <w:r w:rsidR="003C5803">
        <w:t>HAP</w:t>
      </w:r>
      <w:r w:rsidR="003C5803" w:rsidRPr="000D7D3D">
        <w:t xml:space="preserve"> </w:t>
      </w:r>
      <w:r w:rsidRPr="000D7D3D">
        <w:t>weathering yielded only two me</w:t>
      </w:r>
      <w:r w:rsidR="00DF1948">
        <w:t>tabolites enriched in both NS and</w:t>
      </w:r>
      <w:r w:rsidRPr="000D7D3D">
        <w:t xml:space="preserve"> S conditions (Figure 5.12A, cluster I). The first one identified is oxaloacetate, which, most interestingly, appears to be produced in slightly higher amounts in </w:t>
      </w:r>
      <w:r w:rsidR="00DF1948">
        <w:t>the S condition</w:t>
      </w:r>
      <w:r w:rsidRPr="000D7D3D">
        <w:t xml:space="preserve"> (Figure 5.12A, clu</w:t>
      </w:r>
      <w:r w:rsidR="00325866">
        <w:t>ster I). Oxaloacetate is a well-</w:t>
      </w:r>
      <w:r w:rsidRPr="000D7D3D">
        <w:t xml:space="preserve">characterised precursor of oxalic acid biosynthesis in fungi </w:t>
      </w:r>
      <w:r w:rsidRPr="000D7D3D">
        <w:fldChar w:fldCharType="begin" w:fldLock="1"/>
      </w:r>
      <w:r w:rsidR="00EE33AB">
        <w:instrText>ADDIN CSL_CITATION {"citationItems":[{"id":"ITEM-1","itemData":{"DOI":"https://doi.org/10.1016/j.fbr.2014.05.001","ISSN":"1749-4613","author":[{"dropping-particle":"","family":"Gadd","given":"Geoffrey Michael","non-dropping-particle":"","parse-names":false,"suffix":""},{"dropping-particle":"","family":"Bahri-Esfahani","given":"Jaleh","non-dropping-particle":"","parse-names":false,"suffix":""},{"dropping-particle":"","family":"Li","given":"Qianwei","non-dropping-particle":"","parse-names":false,"suffix":""},{"dropping-particle":"","family":"Rhee","given":"Young Joon","non-dropping-particle":"","parse-names":false,"suffix":""},{"dropping-particle":"","family":"Wei","given":"Zhan","non-dropping-particle":"","parse-names":false,"suffix":""},{"dropping-particle":"","family":"Fomina","given":"Marina","non-dropping-particle":"","parse-names":false,"suffix":""},{"dropping-particle":"","family":"Liang","given":"Xinjin","non-dropping-particle":"","parse-names":false,"suffix":""}],"container-title":"Fungal Biology Reviews","id":"ITEM-1","issue":"2","issued":{"date-parts":[["2014"]]},"page":"36-55","title":"Oxalate production by fungi: significance in geomycology, biodeterioration and bioremediation","type":"article-journal","volume":"28"},"uris":["http://www.mendeley.com/documents/?uuid=175ec618-f4cf-43f6-870e-31cd14149a5d"]},{"id":"ITEM-2","itemData":{"DOI":"10.1016/j.micres.2017.03.002","ISSN":"09445013","abstract":"In this study, the transcriptomic-based response of the white rot fungus Abortiporus biennis to oxalic acid induction was reported. The whole transcriptome of A. biennis was analysed using the RNA-based sequencing technology and Solid 5500 platform. De novo assembly of reads generated 37,719 contigs. A molecular function for 26,280 unique transcripts was assigned. The analysis of the A. biennis transcriptome predicted 635 hypothetical open reading frames encoding carbohydrate active enzymes distributed in 122 families. 82 genes were identified, whose expression level was significantly changed after oxalic acid addition. Among them, 18 genes were up-regulated and 64 genes were down-regulated. Genes coding for putative cellulose and hemicellulose degrading enzymes were predominantly up-regulated in the mycelium induced with oxalic acid; it was in the case of cellulases and xylanases (hemicellulases), in particular, β-glucosidase and endo-1,4-β-xylanases. On the contrary, several genes coding for lignolytic enzymes were down-regulated, with the significant repression level in the case of versatile peroxidase. Finally, we identified putative genes involved in oxalate metabolism. Among the transcripts detected in the A. biennis transcriptome, one was annotated as coding for putative oxalate decarboxylase (ODC) and nine transcripts were annotated as formate dehydrogenases (FDH). The addition of oxalic acid to the culture caused upregulation of the gene coding for ODC and three genes for FDH. Amongst the transcripts of putative FDH genes, one designated as NODE_36057, demonstrated the highest induction level recorded in this study after the oxalic acid addition.","author":[{"dropping-particle":"","family":"Grąz","given":"Marcin","non-dropping-particle":"","parse-names":false,"suffix":""},{"dropping-particle":"","family":"Jarosz-Wilkołazka","given":"Anna","non-dropping-particle":"","parse-names":false,"suffix":""},{"dropping-particle":"","family":"Janusz","given":"Grzegorz","non-dropping-particle":"","parse-names":false,"suffix":""},{"dropping-particle":"","family":"Mazur","given":"Andrzej","non-dropping-particle":"","parse-names":false,"suffix":""},{"dropping-particle":"","family":"Wielbo","given":"Jerzy","non-dropping-particle":"","parse-names":false,"suffix":""},{"dropping-particle":"","family":"Koper","given":"Piotr","non-dropping-particle":"","parse-names":false,"suffix":""},{"dropping-particle":"","family":"Żebracki","given":"Kamil","non-dropping-particle":"","parse-names":false,"suffix":""},{"dropping-particle":"","family":"Kubik-Komar","given":"Agnieszka","non-dropping-particle":"","parse-names":false,"suffix":""}],"container-title":"Microbiological Research","id":"ITEM-2","issued":{"date-parts":[["2017"]]},"page":"79-88","title":"Transcriptome-based analysis of the saprophytic fungus Abortiporus biennis – response to oxalic acid","type":"article-journal","volume":"199"},"uris":["http://www.mendeley.com/documents/?uuid=0d35f426-df70-4b27-85f7-63351c26945a"]}],"mendeley":{"formattedCitation":"(Gadd et al., 2014; Grąz et al., 2017)","plainTextFormattedCitation":"(Gadd et al., 2014; Grąz et al., 2017)","previouslyFormattedCitation":"(Gadd et al., 2014; Grąz et al., 2017)"},"properties":{"noteIndex":0},"schema":"https://github.com/citation-style-language/schema/raw/master/csl-citation.json"}</w:instrText>
      </w:r>
      <w:r w:rsidRPr="000D7D3D">
        <w:fldChar w:fldCharType="separate"/>
      </w:r>
      <w:r w:rsidRPr="000D7D3D">
        <w:rPr>
          <w:noProof/>
        </w:rPr>
        <w:t>(Gadd et al., 2014; Grąz et al., 2017)</w:t>
      </w:r>
      <w:r w:rsidRPr="000D7D3D">
        <w:fldChar w:fldCharType="end"/>
      </w:r>
      <w:r w:rsidRPr="000D7D3D">
        <w:t xml:space="preserve">. The identification of increased amounts of oxaloacetate </w:t>
      </w:r>
      <w:r w:rsidR="009C56BE">
        <w:t>together with t</w:t>
      </w:r>
      <w:r w:rsidRPr="000D7D3D">
        <w:t xml:space="preserve">he lack of detection of oxalic acid in </w:t>
      </w:r>
      <w:r w:rsidR="00DF1948">
        <w:t>the presence of HAP</w:t>
      </w:r>
      <w:r w:rsidRPr="000D7D3D">
        <w:t xml:space="preserve"> indicates that </w:t>
      </w:r>
      <w:r w:rsidRPr="000D7D3D">
        <w:rPr>
          <w:i/>
        </w:rPr>
        <w:t>P. involutus</w:t>
      </w:r>
      <w:r w:rsidRPr="000D7D3D">
        <w:t xml:space="preserve"> may rapidly cycle oxalic acid into formate and ultimately CO</w:t>
      </w:r>
      <w:r w:rsidRPr="000D7D3D">
        <w:rPr>
          <w:vertAlign w:val="subscript"/>
        </w:rPr>
        <w:t>2</w:t>
      </w:r>
      <w:r w:rsidR="009C56BE">
        <w:t>. This mechanism could</w:t>
      </w:r>
      <w:r w:rsidR="00DF1948">
        <w:t xml:space="preserve"> protect</w:t>
      </w:r>
      <w:r w:rsidRPr="000D7D3D">
        <w:t xml:space="preserve"> against oxalic acid toxicity </w:t>
      </w:r>
      <w:r w:rsidRPr="000D7D3D">
        <w:fldChar w:fldCharType="begin" w:fldLock="1"/>
      </w:r>
      <w:r w:rsidR="00EE33AB">
        <w:instrText>ADDIN CSL_CITATION {"citationItems":[{"id":"ITEM-1","itemData":{"DOI":"https://doi.org/10.1016/j.fbr.2014.05.001","ISSN":"1749-4613","author":[{"dropping-particle":"","family":"Gadd","given":"Geoffrey Michael","non-dropping-particle":"","parse-names":false,"suffix":""},{"dropping-particle":"","family":"Bahri-Esfahani","given":"Jaleh","non-dropping-particle":"","parse-names":false,"suffix":""},{"dropping-particle":"","family":"Li","given":"Qianwei","non-dropping-particle":"","parse-names":false,"suffix":""},{"dropping-particle":"","family":"Rhee","given":"Young Joon","non-dropping-particle":"","parse-names":false,"suffix":""},{"dropping-particle":"","family":"Wei","given":"Zhan","non-dropping-particle":"","parse-names":false,"suffix":""},{"dropping-particle":"","family":"Fomina","given":"Marina","non-dropping-particle":"","parse-names":false,"suffix":""},{"dropping-particle":"","family":"Liang","given":"Xinjin","non-dropping-particle":"","parse-names":false,"suffix":""}],"container-title":"Fungal Biology Reviews","id":"ITEM-1","issue":"2","issued":{"date-parts":[["2014"]]},"page":"36-55","title":"Oxalate production by fungi: significance in geomycology, biodeterioration and bioremediation","type":"article-journal","volume":"28"},"uris":["http://www.mendeley.com/documents/?uuid=175ec618-f4cf-43f6-870e-31cd14149a5d"]}],"mendeley":{"formattedCitation":"(Gadd et al., 2014)","plainTextFormattedCitation":"(Gadd et al., 2014)","previouslyFormattedCitation":"(Gadd et al., 2014)"},"properties":{"noteIndex":0},"schema":"https://github.com/citation-style-language/schema/raw/master/csl-citation.json"}</w:instrText>
      </w:r>
      <w:r w:rsidRPr="000D7D3D">
        <w:fldChar w:fldCharType="separate"/>
      </w:r>
      <w:r w:rsidRPr="000D7D3D">
        <w:rPr>
          <w:noProof/>
        </w:rPr>
        <w:t>(Gadd et al., 2014)</w:t>
      </w:r>
      <w:r w:rsidRPr="000D7D3D">
        <w:fldChar w:fldCharType="end"/>
      </w:r>
      <w:r w:rsidR="009C56BE">
        <w:t xml:space="preserve"> and further acidify</w:t>
      </w:r>
      <w:r w:rsidRPr="000D7D3D">
        <w:t xml:space="preserve"> the fungal-mineral interface</w:t>
      </w:r>
      <w:r w:rsidR="009C56BE">
        <w:t>,</w:t>
      </w:r>
      <w:r w:rsidRPr="000D7D3D">
        <w:t xml:space="preserve"> through the production of carbonates </w:t>
      </w:r>
      <w:r w:rsidRPr="000D7D3D">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Pr="000D7D3D">
        <w:fldChar w:fldCharType="separate"/>
      </w:r>
      <w:r w:rsidRPr="000D7D3D">
        <w:rPr>
          <w:noProof/>
        </w:rPr>
        <w:t>(Hoffland et al., 2004)</w:t>
      </w:r>
      <w:r w:rsidRPr="000D7D3D">
        <w:fldChar w:fldCharType="end"/>
      </w:r>
      <w:r w:rsidRPr="000D7D3D">
        <w:t xml:space="preserve">. This hypothesis is supported by the identification of two putative oxalate decarboxylases and one putative formate dehydrogenase strongly upregulated by </w:t>
      </w:r>
      <w:r w:rsidR="00DF1948">
        <w:t>the presence of HAP</w:t>
      </w:r>
      <w:r w:rsidRPr="000D7D3D">
        <w:t xml:space="preserve"> in S condition (Figures 5.5A and 5.6A)</w:t>
      </w:r>
      <w:r w:rsidR="00DF1948">
        <w:t xml:space="preserve">. </w:t>
      </w:r>
      <w:r w:rsidR="009C56BE">
        <w:t>The second metabolite, g</w:t>
      </w:r>
      <w:r w:rsidRPr="000D7D3D">
        <w:t>lucuronic acid</w:t>
      </w:r>
      <w:r w:rsidR="009C56BE">
        <w:t>,</w:t>
      </w:r>
      <w:r w:rsidRPr="000D7D3D">
        <w:t xml:space="preserve"> is p</w:t>
      </w:r>
      <w:r w:rsidR="009C56BE">
        <w:t xml:space="preserve">roduced by </w:t>
      </w:r>
      <w:r w:rsidR="00DF1948">
        <w:t xml:space="preserve">the </w:t>
      </w:r>
      <w:r w:rsidR="009C56BE">
        <w:t>oxidation of glucose</w:t>
      </w:r>
      <w:r w:rsidR="007E573F">
        <w:t>, although</w:t>
      </w:r>
      <w:r w:rsidRPr="000D7D3D">
        <w:t xml:space="preserve"> this </w:t>
      </w:r>
      <w:r w:rsidR="007E573F">
        <w:t xml:space="preserve">biochemical reaction </w:t>
      </w:r>
      <w:r w:rsidRPr="000D7D3D">
        <w:t xml:space="preserve">has </w:t>
      </w:r>
      <w:r w:rsidR="007E573F">
        <w:t xml:space="preserve">only been described in </w:t>
      </w:r>
      <w:r w:rsidRPr="000D7D3D">
        <w:t xml:space="preserve">pathogenic fungi </w:t>
      </w:r>
      <w:r w:rsidRPr="000D7D3D">
        <w:fldChar w:fldCharType="begin" w:fldLock="1"/>
      </w:r>
      <w:r w:rsidR="00EE33AB">
        <w:instrText>ADDIN CSL_CITATION {"citationItems":[{"id":"ITEM-1","itemData":{"DOI":"10.1074/jbc.M408889200","ISBN":"0021-9258 (Print)\\r0021-9258 (Linking)","ISSN":"00219258","PMID":"15383535","abstract":"Cryptococcus neoformans is a pathogenic fungus surrounded by an elaborate polysaccharide capsule that is strictly required for its virulence in humans and other mammals. Nearly half of the sugar residues in the capsule are derived from UDP-glucuronic acid or its metabolites. To examine the role of these nucleotide sugars in C. neoformans, the gene encoding UDP-glucose dehydrogenase was disrupted. Mass spectrometry analysis of nucleotide sugar pools showed that the resulting mutant lacked both UDP-glucuronic acid and its downstream product, UDP-xylose, thus confirming the effect of the knockout and indicating that an alternate pathway for UDP-glucuronic acid production was not used. The mutant was dramatically affected by the lack of specific sugar donors, demonstrating altered cell integrity, temperature sensitivity, lack of growth in an animal model of cryptococcosis, and morphological defects. Additionally, the polysaccharide capsule could not be detected on the mutant cells, although the possibility remains that abbreviated forms of capsule components are made, possibly without proper surface display. The capsule defect is largely independent of the other observed changes, as cells that are acapsular because of mutations in other genes show lack of virulence but do not exhibit alterations in cell integrity, temperature sensitivity, or cellular morphology. All of the observed alterations were reversed by correction of the gene disruption.","author":[{"dropping-particle":"","family":"Griffith","given":"Cara L.","non-dropping-particle":"","parse-names":false,"suffix":""},{"dropping-particle":"","family":"Klutts","given":"J. Stacey","non-dropping-particle":"","parse-names":false,"suffix":""},{"dropping-particle":"","family":"Zhang","given":"Lijuan","non-dropping-particle":"","parse-names":false,"suffix":""},{"dropping-particle":"","family":"Levery","given":"Steven B.","non-dropping-particle":"","parse-names":false,"suffix":""},{"dropping-particle":"","family":"Doering","given":"Tamara L.","non-dropping-particle":"","parse-names":false,"suffix":""}],"container-title":"Journal of Biological Chemistry","id":"ITEM-1","issue":"49","issued":{"date-parts":[["2004"]]},"page":"51669-51676","title":"UDP-glucose dehydrogenase plays multiple roles in the biology of the pathogenic fungus Cryptococcus neoformans","type":"article-journal","volume":"279"},"uris":["http://www.mendeley.com/documents/?uuid=2ee384a1-3507-4ffb-be62-189a8a8a5eb2"]}],"mendeley":{"formattedCitation":"(Griffith et al., 2004)","plainTextFormattedCitation":"(Griffith et al., 2004)","previouslyFormattedCitation":"(Griffith et al., 2004)"},"properties":{"noteIndex":0},"schema":"https://github.com/citation-style-language/schema/raw/master/csl-citation.json"}</w:instrText>
      </w:r>
      <w:r w:rsidRPr="000D7D3D">
        <w:fldChar w:fldCharType="separate"/>
      </w:r>
      <w:r w:rsidRPr="000D7D3D">
        <w:rPr>
          <w:noProof/>
        </w:rPr>
        <w:t>(Griffith et al., 2004)</w:t>
      </w:r>
      <w:r w:rsidRPr="000D7D3D">
        <w:fldChar w:fldCharType="end"/>
      </w:r>
      <w:r w:rsidRPr="000D7D3D">
        <w:t xml:space="preserve">. The presence of glucuronic acid in both NS and S conditions may be a direct consequence of the presence of glucose as the main sugar source in the weathering system (Appendix, Table 8). A potential role for glucuronic acid in fungal mineral weathering has only been speculated so far </w:t>
      </w:r>
      <w:r w:rsidRPr="000D7D3D">
        <w:fldChar w:fldCharType="begin" w:fldLock="1"/>
      </w:r>
      <w:r w:rsidR="00EE33AB">
        <w:instrText>ADDIN CSL_CITATION {"citationItems":[{"id":"ITEM-1","itemData":{"DOI":"10.1007/978-3-642-78356-2_6","ISBN":"978-3-642-78356-2","abstract":"The soluble organic acids in soils consist largely of complex mixtures of polymeric compounds referred to collectively as fulvic and humic acids. These compounds are relatively refractory, and are broken down only slowly by microorganisms. Low-molecular-mass acids (e.g., acetic, oxalic, formic) exist in dynamic balance: they are rapidly produced and consumed by microorganisms. Their concentrations may be quite high where rapid decomposition of plant material is taking place, and in microenvironments adjacent to roots and fungal hyphae, but are generally low (typically less than 1 mM) in bulk soil solution. Concentrations of organic acids are generally highest in the organic layer at the top of the soil profile and decrease with depth. Particularly high concentrations of dissolved organic acids occur in peatlands and waterlogged soils.","author":[{"dropping-particle":"","family":"Drever","given":"James I","non-dropping-particle":"","parse-names":false,"suffix":""},{"dropping-particle":"","family":"Vance","given":"George F","non-dropping-particle":"","parse-names":false,"suffix":""}],"editor":[{"dropping-particle":"","family":"Pittman","given":"Edward D","non-dropping-particle":"","parse-names":false,"suffix":""},{"dropping-particle":"","family":"Lewan","given":"Michael D","non-dropping-particle":"","parse-names":false,"suffix":""}],"id":"ITEM-1","issued":{"date-parts":[["1994"]]},"page":"138-161","publisher":"Springer Berlin Heidelberg","publisher-place":"Berlin, Heidelberg","title":"Role of Soil Organic Acids in Mineral Weathering Processes BT  - Organic Acids in Geological Processes","type":"chapter"},"uris":["http://www.mendeley.com/documents/?uuid=ac016ca4-cbaa-4dcb-bef4-756c0172733b"]}],"mendeley":{"formattedCitation":"(Drever and Vance, 1994)","plainTextFormattedCitation":"(Drever and Vance, 1994)","previouslyFormattedCitation":"(Drever and Vance, 1994)"},"properties":{"noteIndex":0},"schema":"https://github.com/citation-style-language/schema/raw/master/csl-citation.json"}</w:instrText>
      </w:r>
      <w:r w:rsidRPr="000D7D3D">
        <w:fldChar w:fldCharType="separate"/>
      </w:r>
      <w:r w:rsidRPr="000D7D3D">
        <w:rPr>
          <w:noProof/>
        </w:rPr>
        <w:t>(Drever and Vance, 1994)</w:t>
      </w:r>
      <w:r w:rsidRPr="000D7D3D">
        <w:fldChar w:fldCharType="end"/>
      </w:r>
      <w:r w:rsidRPr="000D7D3D">
        <w:t xml:space="preserve">. Multiple studies on </w:t>
      </w:r>
      <w:r w:rsidR="00C82AA2">
        <w:t xml:space="preserve">the </w:t>
      </w:r>
      <w:r w:rsidRPr="000D7D3D">
        <w:t xml:space="preserve">weathering of different minerals </w:t>
      </w:r>
      <w:r w:rsidR="007E573F">
        <w:t>based on</w:t>
      </w:r>
      <w:r w:rsidRPr="000D7D3D">
        <w:t xml:space="preserve"> different fungal species preferentially </w:t>
      </w:r>
      <w:r w:rsidR="00980E52" w:rsidRPr="000D7D3D">
        <w:t xml:space="preserve">identified </w:t>
      </w:r>
      <w:r w:rsidRPr="000D7D3D">
        <w:t xml:space="preserve">gluconic acid </w:t>
      </w:r>
      <w:r w:rsidR="00C82AA2">
        <w:fldChar w:fldCharType="begin" w:fldLock="1"/>
      </w:r>
      <w:r w:rsidR="00EE33AB">
        <w:instrText>ADDIN CSL_CITATION {"citationItems":[{"id":"ITEM-1","itemData":{"DOI":"10.1080/01490450050023791","ISBN":"0149-0451","ISSN":"15210529","abstract":"Although many studies on fungi and geological processes have been published in recent years,books and congress proceedings on geomicrobiology focus mainly on prokaryotes and algae. Therefore, it istheaimof this reviewtosummarize data on the fungal impacton geological processes.These processes include the alteration and weathering of rock and minerals, the accumulation of metals, and the conversion of fossil organic carbon. Fossil records and fungi in subsurface environments are also discussed. This article especially emphasizes the role of epi- and endolithic black meristematic fungi, discussing their deteriorative potential on rock as well as their taxonomy and phylogeny. Moreover, the impact of fungi on weathering of monuments and building materials is describedand new methods to study fungi-material interactions are presented. The data summarized here show that “geomycology” is a highly interesting discipline in view of basic geological research, as well as biotechnological application.","author":[{"dropping-particle":"","family":"Sterflinger","given":"Katja","non-dropping-particle":"","parse-names":false,"suffix":""}],"container-title":"Geomicrobiology Journal","id":"ITEM-1","issue":"2","issued":{"date-parts":[["2000"]]},"page":"97-124","title":"Fungi as geologic agents","type":"article-journal","volume":"17"},"uris":["http://www.mendeley.com/documents/?uuid=6726828f-1c6a-409b-9c9f-239ff50a1d9c"]},{"id":"ITEM-2","itemData":{"DOI":"10.1016/j.cub.2008.03.011","ISBN":"0960-9822 (Print)\\r0960-9822 (Linking)","ISSN":"09609822","PMID":"18460315","abstract":"The testing of depleted uranium (DU; a 97.25% U:0.75% Ti alloy) ammunition and its use in recent war campaigns in Iraq (1991 and 2003) and the Balkans (1995 and 1999) has led to dispersion of thermodynamically unstable DU metal into the environment [1-3]. Although less radioactive, DU has the same chemotoxicity as natural uranium and poses a threat to human populations [1]. Uranium tends to form stable aqueous complexes and precipitates with organic ligands [4], suggesting that living organisms could play an important role in geochemical transformations and cycling. Fungi are one of the most biogeochemically active components of the soil microbiota [5], particularly in the aerobic plant-root zone. Although the mutualistic symbiotic associations (mycorrhizas) of fungi with plants are particularly important in mineral transformations [5], fungal effects on metallic DU have not been studied. Here, we report that free-living and plant symbiotic (mycorrhizal) fungi can colonize DU surfaces and transform metallic DU into uranyl phosphate minerals. ?? 2008 Elsevier Ltd. All rights reserved.","author":[{"dropping-particle":"","family":"Fomina","given":"Marina","non-dropping-particle":"","parse-names":false,"suffix":""},{"dropping-particle":"","family":"Charnock","given":"John M.","non-dropping-particle":"","parse-names":false,"suffix":""},{"dropping-particle":"","family":"Hillier","given":"Stephen","non-dropping-particle":"","parse-names":false,"suffix":""},{"dropping-particle":"","family":"Alvarez","given":"Rebeca","non-dropping-particle":"","parse-names":false,"suffix":""},{"dropping-particle":"","family":"Livens","given":"Francis","non-dropping-particle":"","parse-names":false,"suffix":""},{"dropping-particle":"","family":"Gadd","given":"Geoffrey M.","non-dropping-particle":"","parse-names":false,"suffix":""}],"container-title":"Current Biology","id":"ITEM-2","issue":"9","issued":{"date-parts":[["2008"]]},"page":"375-377","title":"Role of fungi in the biogeochemical fate of depleted uranium","type":"article-journal","volume":"18"},"uris":["http://www.mendeley.com/documents/?uuid=5ab204e6-3086-41a6-b866-2f01ce292e8f"]},{"id":"ITEM-3","itemData":{"DOI":"10.3390/min6020041","ISSN":"2075-163X","abstract":"In the field of microbial biomineralization, much of the scientific attention is focused on processes carried out by prokaryotes, in particular bacteria, even though fungi are also known to be involved in biogeochemical cycles in numerous ways. They are traditionally recognized as key players in organic matter recycling, as nutrient suppliers via mineral weathering, as well as large producers of organic acids such as oxalic acid for instance, an activity leading to the genesis of various metal complexes such as metal-oxalate. Their implications in the transformation of various mineral and metallic compounds has been widely acknowledged during the last decade, however, currently, their contribution to the genesis of a common biomineral, calcite, needs to be more thoroughly documented. Calcite is observed in many ecosystems and plays an essential role in the biogeochemical cycles of both carbon (C) and calcium (Ca). It may be physicochemical or biogenic in origin and numerous organisms have been recognized to control or induce its biomineralization. While fungi have often been suspected of being involved in this process in terrestrial environments, only scarce information supports this hypothesis in natural settings. As a result, calcite biomineralization by microbes is still largely attributed to bacteria at present. However, in some terrestrial environments there are particular calcitic habits that have been described as being fungal in origin. In addition to this, several studies dealing with axenic cultures of fungi have demonstrated the ability of fungi to produce calcite. Examples of fungal biomineralization range from induced to organomineralization processes. More examples of calcite biomineralization related to direct fungal activity, or at least to their presence, have been described within the last decade. However, the peculiar mechanisms leading to calcite biomineralization by fungi remain incompletely understood and more research is necessary, posing new exciting questions linked to microbial biomineralization processes.","author":[{"dropping-particle":"","family":"Bindschedler","given":"Saskia","non-dropping-particle":"","parse-names":false,"suffix":""},{"dropping-particle":"","family":"Cailleau","given":"Guillaume","non-dropping-particle":"","parse-names":false,"suffix":""},{"dropping-particle":"","family":"Verrecchia","given":"Eric","non-dropping-particle":"","parse-names":false,"suffix":""}],"container-title":"Minerals","id":"ITEM-3","issue":"2","issued":{"date-parts":[["2016"]]},"page":"41","title":"Role of Fungi in the Biomineralization of Calcite","type":"article-journal","volume":"6"},"uris":["http://www.mendeley.com/documents/?uuid=b28e54b1-604f-438c-807d-292b3863ac3e"]},{"id":"ITEM-4","itemData":{"DOI":"10.2113/gselements.13.3.171","ISSN":"18115217","abstract":"Fungi are ubiquitous inhabitants of rock and mineral surfaces and are significant geoactive agents. Capable of numerous transformations of metals and minerals, fungi can prosper in the most adverse of environments, their activities underpinned by growth form and metabolism. Free-living filamentous species, microcolonial fungi and lichens can significantly change a rock's surficial structure and appearance, ranging from discolouration and staining to biodeterioration and the formation of new biogenic minerals and rock coatings. The presence and activity of fungi should be considered in any study of rock and mineral transformations that seeks to understand the biotic and abiotic processes that underpin geochemical change in the biosphere.","author":[{"dropping-particle":"","family":"Gadd","given":"Geoffrey M.","non-dropping-particle":"","parse-names":false,"suffix":""}],"container-title":"Elements","id":"ITEM-4","issue":"3","issued":{"date-parts":[["2017"]]},"page":"171-176","title":"Fungi, rocks, and minerals","type":"article-journal","volume":"13"},"uris":["http://www.mendeley.com/documents/?uuid=67f40e93-d721-411b-9d5d-67fc8c9a0b59"]}],"mendeley":{"formattedCitation":"(Sterflinger, 2000; Fomina et al., 2008; Bindschedler et al., 2016; Gadd, 2017)","plainTextFormattedCitation":"(Sterflinger, 2000; Fomina et al., 2008; Bindschedler et al., 2016; Gadd, 2017)","previouslyFormattedCitation":"(Sterflinger, 2000; Fomina et al., 2008; Bindschedler et al., 2016; Gadd, 2017)"},"properties":{"noteIndex":0},"schema":"https://github.com/citation-style-language/schema/raw/master/csl-citation.json"}</w:instrText>
      </w:r>
      <w:r w:rsidR="00C82AA2">
        <w:fldChar w:fldCharType="separate"/>
      </w:r>
      <w:r w:rsidR="00C82AA2" w:rsidRPr="00C82AA2">
        <w:rPr>
          <w:noProof/>
        </w:rPr>
        <w:t>(Sterflinger, 2000; Fomina et al., 2008; Bindschedler et al., 2016; Gadd, 2017)</w:t>
      </w:r>
      <w:r w:rsidR="00C82AA2">
        <w:fldChar w:fldCharType="end"/>
      </w:r>
      <w:r w:rsidRPr="000D7D3D">
        <w:t xml:space="preserve">, </w:t>
      </w:r>
      <w:r w:rsidR="00C82AA2">
        <w:t>which is also a</w:t>
      </w:r>
      <w:r w:rsidRPr="000D7D3D">
        <w:t xml:space="preserve"> </w:t>
      </w:r>
      <w:r w:rsidR="00C82AA2" w:rsidRPr="000D7D3D">
        <w:t>glucose</w:t>
      </w:r>
      <w:r w:rsidR="00C82AA2">
        <w:t>-deri</w:t>
      </w:r>
      <w:r w:rsidR="00C82AA2" w:rsidRPr="000D7D3D">
        <w:t>ve</w:t>
      </w:r>
      <w:r w:rsidR="00C82AA2">
        <w:t>d</w:t>
      </w:r>
      <w:r w:rsidR="00C82AA2" w:rsidRPr="000D7D3D">
        <w:t xml:space="preserve"> </w:t>
      </w:r>
      <w:r w:rsidRPr="000D7D3D">
        <w:t>organic acid. However, the dissociation constant of glucuronic acid (pKa, 3.21) is lower than that of gluconic acid (3.39), or than that of lactic (3.9) and malic acid (3.4), more commonly identified in multiple weathering studies</w:t>
      </w:r>
      <w:r w:rsidRPr="000D7D3D">
        <w:rPr>
          <w:b/>
        </w:rPr>
        <w:t xml:space="preserve"> </w:t>
      </w:r>
      <w:r w:rsidRPr="000D7D3D">
        <w:rPr>
          <w:b/>
        </w:rPr>
        <w:fldChar w:fldCharType="begin" w:fldLock="1"/>
      </w:r>
      <w:r w:rsidR="00EE33AB">
        <w:rPr>
          <w:b/>
        </w:rPr>
        <w:instrText>ADDIN CSL_CITATION {"citationItems":[{"id":"ITEM-1","itemData":{"DOI":"10.1023/A:1004230525164","ISBN":"0032-079X","ISSN":"0032079X","abstract":"The objectives of the study are firstly to test the ability of ectomycorrhizal\\npine seedlings to use apatite as a P source in comparison with non-mycorrhizal\\npine seedlings and secondly, to determine if there is a relation\\nbetween exudation of organic acids and the ability to use apatite\\nas a P source. Non-mycorrhizal Pinus sylvestris (L.) seedlings and\\nseedlings ectomycorrhizal with 4 different isolates of ectomycorrhizal\\nfungi were grown for 220 days in sand/peat filled pots with apatite\\n(Ca-5(F,OH)(PO4)(3)) as the sole P source. In an additional experiment,\\nnon-mycorrhizal Pinus sylvestris (L.) seedlings and seedlings ectomycorrhizal\\nwith 2 different isolates of ectomycorrhizal fungi were grown without\\nany P source for 250 days. All other nutrients were supplied in a\\nbalanced nutrient solution. Ectomycorrhizal seedlings grew less than\\nnon-mycorrhizal seedlings but ectomycorrhizal seedlings produced\\na large external mycelium not included in the biomass estimates.\\nAll seedlings in the present study had low shoot:root ratios compared\\nto seedlings growing under optimal conditions. All seedlings grown\\nwith apatite as P source had higher foliar P concentrations (0.71-2.11\\nmg/g) than seedlings growing without any P source (0.57-0.75 mg/g)\\nindicating a significant ability to use apatite as a P source. Seedlings\\ncolonized by Suillus variegatus and Paxillus involutus had higher\\nconcentrations and total contents of P in shoots compared with non-mycorrhizal\\nseedlings, indicating significant improvement of P uptake by these\\nfungi in comparison with non-mycorrhizal seedlings or seedlings colonized\\nPiloderma croceum. No clear relationship between exudation of organic\\nacids and uptake of P was found. Seedlings colonized by S. variegatus\\nreduced the pH of the soil more than seedlings colonized by P. involutus\\nor non-mycorrhizal seedlings. It is suggested that S. variegatus\\ncolonization improves the P uptake by reducing the pH of the soil\\nwhile I? involutus improves P uptake by having a greater ability\\nto absorb dissolved phosphate than non-mycorrhizal roots or roots\\ncolonized by the other fungi used in the study.","author":[{"dropping-particle":"","family":"Wallander","given":"Håkan","non-dropping-particle":"","parse-names":false,"suffix":""},{"dropping-particle":"","family":"Wickman","given":"Tonie","non-dropping-particle":"","parse-names":false,"suffix":""},{"dropping-particle":"","family":"Jacks","given":"Gunnar","non-dropping-particle":"","parse-names":false,"suffix":""}],"container-title":"Plant and Soil","id":"ITEM-1","issue":"1","issued":{"date-parts":[["1997"]]},"page":"123-131","title":"Apatite as a P source in mycorrhizal and non-mycorrhizal Pinus sylvestris seedlings","type":"article-journal","volume":"196"},"uris":["http://www.mendeley.com/documents/?uuid=bee34ca2-e555-4658-9a7c-ba5e7d3d9bbc"]},{"id":"ITEM-2","itemData":{"DOI":"10.1080/01490450050023791","ISBN":"0149-0451","ISSN":"15210529","abstract":"Although many studies on fungi and geological processes have been published in recent years,books and congress proceedings on geomicrobiology focus mainly on prokaryotes and algae. Therefore, it istheaimof this reviewtosummarize data on the fungal impacton geological processes.These processes include the alteration and weathering of rock and minerals, the accumulation of metals, and the conversion of fossil organic carbon. Fossil records and fungi in subsurface environments are also discussed. This article especially emphasizes the role of epi- and endolithic black meristematic fungi, discussing their deteriorative potential on rock as well as their taxonomy and phylogeny. Moreover, the impact of fungi on weathering of monuments and building materials is describedand new methods to study fungi-material interactions are presented. The data summarized here show that “geomycology” is a highly interesting discipline in view of basic geological research, as well as biotechnological application.","author":[{"dropping-particle":"","family":"Sterflinger","given":"Katja","non-dropping-particle":"","parse-names":false,"suffix":""}],"container-title":"Geomicrobiology Journal","id":"ITEM-2","issue":"2","issued":{"date-parts":[["2000"]]},"page":"97-124","title":"Fungi as geologic agents","type":"article-journal","volume":"17"},"uris":["http://www.mendeley.com/documents/?uuid=6726828f-1c6a-409b-9c9f-239ff50a1d9c"]},{"id":"ITEM-3","itemData":{"DOI":"10.1016/j.soilbio.2004.10.013","ISBN":"0038-0717","ISSN":"00380717","PMID":"228242300006","abstract":"This work investigates the ability of ericoid mycorrhizal (ErM) and ectomycorrhizal (EcM) fungi to solubilize different toxic metal (Cd, Cu, Pb, Zn)-containing minerals. Minerals were incorporated into solidified agar media and solubilization assessed by measuring clearing of the agar after fungal growth. Measurement of radial growth and biomass dry weight provided indications of metal tolerance: accumulated metal in the biomass was measured by atomic absorption spectrophotometry. Metal tolerance and solubilizing ability varied widely between different mineral and fungal species, and strains derived from sites of differing degrees of metal pollution. Zinc phosphate exhibited the least toxicity and was the easiest to solubilize by the majority of tested fungal isolates. Solubilization of toxic metal minerals was connected with both the pH of the medium and growth and tolerance of fungi and it seems that acidification of the medium was the main mechanism of mineral dissolution for most of the mycorrhizal fungi studied. A very strong lethal effect was observed for ectomycorrhizal isolates (&gt;60% of strains) in the presence of Pb phosphate, carbonate, sulphide and tetraoxide. In contrast, ericoid mycorrhizal isolates were able to grow on Pb-mineral-amended media. A significant proportion of ericoid mycorrhizal cultures (70-90%) solubilized Cd and Cu phosphates and cuprite. None of the ericoid mycorrhizal and ectomycorrhizal fungi were able to produce a clear zone in Pb mineral-containing agar. However, many fungi were able to accumulate mobilized Pb in their mycelia. Differences in toxic metal mineral tolerance, mineral solubilization and metal uptake between populations isolated from metal-polluted and uncontaminated sites were related to the toxic metal which was the main pollutant in the original contaminated environment. In general, metal-tolerant fungi grew and solubilized toxic metal minerals better than non-tolerant isolates. ?? 2004 Elsevier Ltd. All rights reserved.","author":[{"dropping-particle":"","family":"Fomina","given":"M. A.","non-dropping-particle":"","parse-names":false,"suffix":""},{"dropping-particle":"","family":"Alexander","given":"I. J.","non-dropping-particle":"","parse-names":false,"suffix":""},{"dropping-particle":"V.","family":"Colpaert","given":"J.","non-dropping-particle":"","parse-names":false,"suffix":""},{"dropping-particle":"","family":"Gadd","given":"G. M.","non-dropping-particle":"","parse-names":false,"suffix":""}],"container-title":"Soil Biology and Biochemistry","id":"ITEM-3","issue":"5","issued":{"date-parts":[["2005"]]},"page":"851-866","title":"Solubilization of toxic metal minerals and metal tolerance of mycorrhizal fungi","type":"article-journal","volume":"37"},"uris":["http://www.mendeley.com/documents/?uuid=22e6638d-0a17-473d-8315-9fcbbe105745"]},{"id":"ITEM-4","itemData":{"DOI":"10.1007/s10534-005-1539-2","ISSN":"09660844","PMID":"15984571","abstract":"The aim of this study was to examine nutritional influence on the ability of selected filamentous fungi to mediate biogenic weathering of the minerals, apatite, galena and obsidian in order to provide further understanding of the roles of fungi as biogeochemical agents, particularly in relation to the cycling of metals and associated elements found in minerals. The impact of three organic acid producing fungi (Aspergillus niger, Serpula himantioides and Trametes versicolor) on apatite, galena and obsidian was examined in the absence and presence of a carbon and energy source (glucose). Manifestation of fungal weathering included corrosion of mineral surfaces, modification of the mineral substrate through transformation into secondary minerals (i.e. crystal formation) and hyphal penetration of the mineral substrate. Physicochemical interactions of fungal metabolites, e.g. H+ and organic acids, with the minerals are thought to be the primary driving forces responsible. All experimental fungi were capable of mineral surface colonization in the absence and presence of glucose but corrosion of the mineral surface and secondary mineral formation were affected by glucose availability. Only S. himantioides and T. versicolor were able to corrode apatite in the absence of glucose but none of the fungi were capable of doing so with the other minerals. In addition, crystal formation with galena was entirely dependent on the availability of glucose. Penetration of the mineral substrates by fungal hyphae occurred but this did not follow any particular pattern. Although the presence of glucose in the media appeared to influence positively the mineral penetrating abilities of the fungi, the results obtained also showed that some geochemical change(s) might occur under nutrient-limited conditions. It was, however, unclear whether the hyphae actively penetrated the minerals or were growing into pre-existing pores or cracks.","author":[{"dropping-particle":"","family":"Adeyemi","given":"Ademola O.","non-dropping-particle":"","parse-names":false,"suffix":""},{"dropping-particle":"","family":"Gadd","given":"Geoffrey M.","non-dropping-particle":"","parse-names":false,"suffix":""}],"container-title":"BioMetals","id":"ITEM-4","issue":"3","issued":{"date-parts":[["2005"]]},"page":"269-281","title":"Fungal degradation of calcium-, lead- and silicon-bearing minerals","type":"article-journal","volume":"18"},"uris":["http://www.mendeley.com/documents/?uuid=e3592673-6ff5-428e-9a18-6cd00fc1c868"]}],"mendeley":{"formattedCitation":"(Wallander et al., 1997; Sterflinger, 2000; Fomina et al., 2005; Adeyemi and Gadd, 2005)","plainTextFormattedCitation":"(Wallander et al., 1997; Sterflinger, 2000; Fomina et al., 2005; Adeyemi and Gadd, 2005)","previouslyFormattedCitation":"(Wallander et al., 1997; Sterflinger, 2000; Fomina et al., 2005; Adeyemi and Gadd, 2005)"},"properties":{"noteIndex":0},"schema":"https://github.com/citation-style-language/schema/raw/master/csl-citation.json"}</w:instrText>
      </w:r>
      <w:r w:rsidRPr="000D7D3D">
        <w:rPr>
          <w:b/>
        </w:rPr>
        <w:fldChar w:fldCharType="separate"/>
      </w:r>
      <w:r w:rsidRPr="000D7D3D">
        <w:rPr>
          <w:noProof/>
        </w:rPr>
        <w:t>(Wallander et al., 1997; Sterflinger, 2000; Fomina et al., 2005; Adeyemi and Gadd, 2005)</w:t>
      </w:r>
      <w:r w:rsidRPr="000D7D3D">
        <w:rPr>
          <w:b/>
        </w:rPr>
        <w:fldChar w:fldCharType="end"/>
      </w:r>
      <w:r w:rsidR="00325866">
        <w:t>. The former may indicate</w:t>
      </w:r>
      <w:r w:rsidRPr="000D7D3D">
        <w:t xml:space="preserve"> that secretion of glucuronic acid may result in stronger acidification of the fungal-miner</w:t>
      </w:r>
      <w:r w:rsidR="00980E52">
        <w:t>al interface, compared to other</w:t>
      </w:r>
      <w:r w:rsidRPr="000D7D3D">
        <w:t xml:space="preserve"> organic acids secreted during fungal mineral weathering. The identification of glucuronic acid </w:t>
      </w:r>
      <w:r w:rsidR="00A546A7">
        <w:t>enrichment in the presence of HAP</w:t>
      </w:r>
      <w:r w:rsidRPr="000D7D3D">
        <w:t xml:space="preserve"> in both NS and S condition</w:t>
      </w:r>
      <w:r w:rsidR="00A546A7">
        <w:t>s</w:t>
      </w:r>
      <w:r w:rsidRPr="000D7D3D">
        <w:t xml:space="preserve"> may constitute the first experimental evidence for the role of this organic acid in </w:t>
      </w:r>
      <w:r w:rsidR="00A546A7">
        <w:t>HAP</w:t>
      </w:r>
      <w:r w:rsidRPr="000D7D3D">
        <w:t xml:space="preserve"> weathering.</w:t>
      </w:r>
    </w:p>
    <w:p w14:paraId="4D5FA995" w14:textId="3F215AA9" w:rsidR="000D7D3D" w:rsidRPr="000D7D3D" w:rsidRDefault="000D7D3D" w:rsidP="003F7054">
      <w:pPr>
        <w:ind w:firstLine="720"/>
      </w:pPr>
      <w:r w:rsidRPr="000D7D3D">
        <w:lastRenderedPageBreak/>
        <w:t xml:space="preserve">Notably, compounds enriched by HAP+ only in S condition include two phenolic dihydroxybenzoic acids, gentisic acid and protocatechuic acid (Figure 5.12A, cluster II; Figure 5.12B, cluster </w:t>
      </w:r>
      <w:r w:rsidR="003D0C13">
        <w:t>I). The presence of these acids has</w:t>
      </w:r>
      <w:r w:rsidRPr="000D7D3D">
        <w:t xml:space="preserve"> been reported in different soils, as reviewed in </w:t>
      </w:r>
      <w:r w:rsidRPr="000D7D3D">
        <w:fldChar w:fldCharType="begin" w:fldLock="1"/>
      </w:r>
      <w:r w:rsidR="00EE33AB">
        <w:instrText>ADDIN CSL_CITATION {"citationItems":[{"id":"ITEM-1","itemData":{"author":[{"dropping-particle":"","family":"Vranova","given":"Valerie","non-dropping-particle":"","parse-names":false,"suffix":""},{"dropping-particle":"","family":"Rejsek","given":"Klement","non-dropping-particle":"","parse-names":false,"suffix":""},{"dropping-particle":"","family":"Formanek","given":"Pavel","non-dropping-particle":"","parse-names":false,"suffix":""}],"container-title":"The ScientificWorld Journal","id":"ITEM-1","issued":{"date-parts":[["2013"]]},"title":"Aliphatic, Cyclic, and Aromatic Organic Acids, Vitamins, and Carbohydrates in Soil: A Review","type":"article-journal","volume":"2013"},"uris":["http://www.mendeley.com/documents/?uuid=53f43839-16cf-4471-b44d-5e8a8d11522c"]}],"mendeley":{"formattedCitation":"(Vranova et al., 2013)","plainTextFormattedCitation":"(Vranova et al., 2013)","previouslyFormattedCitation":"(Vranova et al., 2013)"},"properties":{"noteIndex":0},"schema":"https://github.com/citation-style-language/schema/raw/master/csl-citation.json"}</w:instrText>
      </w:r>
      <w:r w:rsidRPr="000D7D3D">
        <w:fldChar w:fldCharType="separate"/>
      </w:r>
      <w:r w:rsidRPr="000D7D3D">
        <w:rPr>
          <w:noProof/>
        </w:rPr>
        <w:t>(Vranova et al., 2013)</w:t>
      </w:r>
      <w:r w:rsidRPr="000D7D3D">
        <w:fldChar w:fldCharType="end"/>
      </w:r>
      <w:r w:rsidRPr="000D7D3D">
        <w:t xml:space="preserve">. </w:t>
      </w:r>
      <w:r w:rsidR="00980E52">
        <w:t>H</w:t>
      </w:r>
      <w:r w:rsidR="00980E52" w:rsidRPr="000D7D3D">
        <w:t>owever</w:t>
      </w:r>
      <w:r w:rsidR="00980E52">
        <w:t>, t</w:t>
      </w:r>
      <w:r w:rsidRPr="000D7D3D">
        <w:t>he role of dihydroxybenzoic acids in mineral weathering has been documented in bacterial species only</w:t>
      </w:r>
      <w:r w:rsidRPr="000D7D3D">
        <w:rPr>
          <w:b/>
        </w:rPr>
        <w:t xml:space="preserve"> </w:t>
      </w:r>
      <w:r w:rsidRPr="000D7D3D">
        <w:rPr>
          <w:b/>
        </w:rPr>
        <w:fldChar w:fldCharType="begin" w:fldLock="1"/>
      </w:r>
      <w:r w:rsidR="00EE33AB">
        <w:rPr>
          <w:b/>
        </w:rPr>
        <w:instrText>ADDIN CSL_CITATION {"citationItems":[{"id":"ITEM-1","itemData":{"DOI":"10.1016/j.tim.2009.05.004","ISBN":"0966-842X","ISSN":"0966842X","PMID":"19660952","abstract":"Soil microbes play an essential role in the environment by contributing to the release of key nutrients from primary minerals that are required not only for their own nutrition but also for that of plants. Although the role of fungi in mineral weathering is beginning to be elucidated, the relative impact of bacteria in this process and the molecular mechanisms involved remain poorly understood. Here, we discuss the ecological relevance of bacterial weathering, mainly in the soil and especially in acidic forest ecosystems, which strongly depend on mineral weathering for their sustainability. We also present highlights from recent studies showing molecular mechanisms and genetic determinants involved in the dissolution of complex minerals under aerobic conditions. Finally, we consider the potential applications of genomic resources to the study of bacterial weathering. © 2009 Elsevier Ltd. All rights reserved.","author":[{"dropping-particle":"","family":"Uroz","given":"Stéphane","non-dropping-particle":"","parse-names":false,"suffix":""},{"dropping-particle":"","family":"Calvaruso","given":"Christophe","non-dropping-particle":"","parse-names":false,"suffix":""},{"dropping-particle":"","family":"Turpault","given":"Marie Pierre","non-dropping-particle":"","parse-names":false,"suffix":""},{"dropping-particle":"","family":"Frey-Klett","given":"Pascale","non-dropping-particle":"","parse-names":false,"suffix":""}],"container-title":"Trends in Microbiology","id":"ITEM-1","issue":"8","issued":{"date-parts":[["2009"]]},"page":"378-387","title":"Mineral weathering by bacteria: ecology, actors and mechanisms","type":"article-journal","volume":"17"},"uris":["http://www.mendeley.com/documents/?uuid=d3b98c1f-2e3f-4578-9e59-a0d1f61a308c"]}],"mendeley":{"formattedCitation":"(Uroz et al., 2009)","plainTextFormattedCitation":"(Uroz et al., 2009)","previouslyFormattedCitation":"(Uroz et al., 2009)"},"properties":{"noteIndex":0},"schema":"https://github.com/citation-style-language/schema/raw/master/csl-citation.json"}</w:instrText>
      </w:r>
      <w:r w:rsidRPr="000D7D3D">
        <w:rPr>
          <w:b/>
        </w:rPr>
        <w:fldChar w:fldCharType="separate"/>
      </w:r>
      <w:r w:rsidRPr="000D7D3D">
        <w:rPr>
          <w:noProof/>
        </w:rPr>
        <w:t>(Uroz et al., 2009)</w:t>
      </w:r>
      <w:r w:rsidRPr="000D7D3D">
        <w:rPr>
          <w:b/>
        </w:rPr>
        <w:fldChar w:fldCharType="end"/>
      </w:r>
      <w:r w:rsidRPr="000D7D3D">
        <w:t>. The identification of these compou</w:t>
      </w:r>
      <w:r w:rsidR="00980E52">
        <w:t>nds may be the first evidence for</w:t>
      </w:r>
      <w:r w:rsidRPr="000D7D3D">
        <w:t xml:space="preserve"> their role in </w:t>
      </w:r>
      <w:r w:rsidR="00FD74CB">
        <w:t>HAP</w:t>
      </w:r>
      <w:r w:rsidR="00FD74CB" w:rsidRPr="000D7D3D">
        <w:t xml:space="preserve"> </w:t>
      </w:r>
      <w:r w:rsidR="007F7966">
        <w:t>weathering by a fungal species.</w:t>
      </w:r>
    </w:p>
    <w:p w14:paraId="69F9942B" w14:textId="3E8F9A5F" w:rsidR="000D7D3D" w:rsidRPr="000D7D3D" w:rsidRDefault="000D7D3D" w:rsidP="003F7054">
      <w:pPr>
        <w:ind w:firstLine="720"/>
      </w:pPr>
      <w:r w:rsidRPr="000D7D3D">
        <w:t xml:space="preserve">On the other hand, in NS condition a wide array of organic acids were specifically induced by </w:t>
      </w:r>
      <w:r w:rsidR="007F7966">
        <w:t>the presence of HAP</w:t>
      </w:r>
      <w:r w:rsidRPr="000D7D3D">
        <w:t xml:space="preserve">. These include gluconic acid, succinate, glyoxylic acid, pipecolic acid, folic acid, nicotinic acid, hydroxhyphenillactic acid, shikimic acid, as well as polyketide acids such as emodic or pestheic acid (Figure 5.12A, cluster IV; Figure 5.12B, cluster III). As mentioned earlier, gluconic acid, succinic acid and glyoxylic acid were previously identified to be secreted by different fungal species on the surface of weathered minerals </w:t>
      </w:r>
      <w:r w:rsidRPr="000D7D3D">
        <w:fldChar w:fldCharType="begin" w:fldLock="1"/>
      </w:r>
      <w:r w:rsidR="00EE33AB">
        <w:instrText>ADDIN CSL_CITATION {"citationItems":[{"id":"ITEM-1","itemData":{"DOI":"10.1016/j.cub.2008.03.011","ISBN":"0960-9822 (Print)\\r0960-9822 (Linking)","ISSN":"09609822","PMID":"18460315","abstract":"The testing of depleted uranium (DU; a 97.25% U:0.75% Ti alloy) ammunition and its use in recent war campaigns in Iraq (1991 and 2003) and the Balkans (1995 and 1999) has led to dispersion of thermodynamically unstable DU metal into the environment [1-3]. Although less radioactive, DU has the same chemotoxicity as natural uranium and poses a threat to human populations [1]. Uranium tends to form stable aqueous complexes and precipitates with organic ligands [4], suggesting that living organisms could play an important role in geochemical transformations and cycling. Fungi are one of the most biogeochemically active components of the soil microbiota [5], particularly in the aerobic plant-root zone. Although the mutualistic symbiotic associations (mycorrhizas) of fungi with plants are particularly important in mineral transformations [5], fungal effects on metallic DU have not been studied. Here, we report that free-living and plant symbiotic (mycorrhizal) fungi can colonize DU surfaces and transform metallic DU into uranyl phosphate minerals. ?? 2008 Elsevier Ltd. All rights reserved.","author":[{"dropping-particle":"","family":"Fomina","given":"Marina","non-dropping-particle":"","parse-names":false,"suffix":""},{"dropping-particle":"","family":"Charnock","given":"John M.","non-dropping-particle":"","parse-names":false,"suffix":""},{"dropping-particle":"","family":"Hillier","given":"Stephen","non-dropping-particle":"","parse-names":false,"suffix":""},{"dropping-particle":"","family":"Alvarez","given":"Rebeca","non-dropping-particle":"","parse-names":false,"suffix":""},{"dropping-particle":"","family":"Livens","given":"Francis","non-dropping-particle":"","parse-names":false,"suffix":""},{"dropping-particle":"","family":"Gadd","given":"Geoffrey M.","non-dropping-particle":"","parse-names":false,"suffix":""}],"container-title":"Current Biology","id":"ITEM-1","issue":"9","issued":{"date-parts":[["2008"]]},"page":"375-377","title":"Role of fungi in the biogeochemical fate of depleted uranium","type":"article-journal","volume":"18"},"uris":["http://www.mendeley.com/documents/?uuid=5ab204e6-3086-41a6-b866-2f01ce292e8f"]},{"id":"ITEM-2","itemData":{"DOI":"10.3390/min6020041","ISSN":"2075-163X","abstract":"In the field of microbial biomineralization, much of the scientific attention is focused on processes carried out by prokaryotes, in particular bacteria, even though fungi are also known to be involved in biogeochemical cycles in numerous ways. They are traditionally recognized as key players in organic matter recycling, as nutrient suppliers via mineral weathering, as well as large producers of organic acids such as oxalic acid for instance, an activity leading to the genesis of various metal complexes such as metal-oxalate. Their implications in the transformation of various mineral and metallic compounds has been widely acknowledged during the last decade, however, currently, their contribution to the genesis of a common biomineral, calcite, needs to be more thoroughly documented. Calcite is observed in many ecosystems and plays an essential role in the biogeochemical cycles of both carbon (C) and calcium (Ca). It may be physicochemical or biogenic in origin and numerous organisms have been recognized to control or induce its biomineralization. While fungi have often been suspected of being involved in this process in terrestrial environments, only scarce information supports this hypothesis in natural settings. As a result, calcite biomineralization by microbes is still largely attributed to bacteria at present. However, in some terrestrial environments there are particular calcitic habits that have been described as being fungal in origin. In addition to this, several studies dealing with axenic cultures of fungi have demonstrated the ability of fungi to produce calcite. Examples of fungal biomineralization range from induced to organomineralization processes. More examples of calcite biomineralization related to direct fungal activity, or at least to their presence, have been described within the last decade. However, the peculiar mechanisms leading to calcite biomineralization by fungi remain incompletely understood and more research is necessary, posing new exciting questions linked to microbial biomineralization processes.","author":[{"dropping-particle":"","family":"Bindschedler","given":"Saskia","non-dropping-particle":"","parse-names":false,"suffix":""},{"dropping-particle":"","family":"Cailleau","given":"Guillaume","non-dropping-particle":"","parse-names":false,"suffix":""},{"dropping-particle":"","family":"Verrecchia","given":"Eric","non-dropping-particle":"","parse-names":false,"suffix":""}],"container-title":"Minerals","id":"ITEM-2","issue":"2","issued":{"date-parts":[["2016"]]},"page":"41","title":"Role of Fungi in the Biomineralization of Calcite","type":"article-journal","volume":"6"},"uris":["http://www.mendeley.com/documents/?uuid=b28e54b1-604f-438c-807d-292b3863ac3e"]},{"id":"ITEM-3","itemData":{"DOI":"10.2113/gselements.13.3.171","ISSN":"18115217","abstract":"Fungi are ubiquitous inhabitants of rock and mineral surfaces and are significant geoactive agents. Capable of numerous transformations of metals and minerals, fungi can prosper in the most adverse of environments, their activities underpinned by growth form and metabolism. Free-living filamentous species, microcolonial fungi and lichens can significantly change a rock's surficial structure and appearance, ranging from discolouration and staining to biodeterioration and the formation of new biogenic minerals and rock coatings. The presence and activity of fungi should be considered in any study of rock and mineral transformations that seeks to understand the biotic and abiotic processes that underpin geochemical change in the biosphere.","author":[{"dropping-particle":"","family":"Gadd","given":"Geoffrey M.","non-dropping-particle":"","parse-names":false,"suffix":""}],"container-title":"Elements","id":"ITEM-3","issue":"3","issued":{"date-parts":[["2017"]]},"page":"171-176","title":"Fungi, rocks, and minerals","type":"article-journal","volume":"13"},"uris":["http://www.mendeley.com/documents/?uuid=67f40e93-d721-411b-9d5d-67fc8c9a0b59"]},{"id":"ITEM-4","itemData":{"DOI":"10.1080/01490450050023791","ISBN":"0149-0451","ISSN":"15210529","abstract":"Although many studies on fungi and geological processes have been published in recent years,books and congress proceedings on geomicrobiology focus mainly on prokaryotes and algae. Therefore, it istheaimof this reviewtosummarize data on the fungal impacton geological processes.These processes include the alteration and weathering of rock and minerals, the accumulation of metals, and the conversion of fossil organic carbon. Fossil records and fungi in subsurface environments are also discussed. This article especially emphasizes the role of epi- and endolithic black meristematic fungi, discussing their deteriorative potential on rock as well as their taxonomy and phylogeny. Moreover, the impact of fungi on weathering of monuments and building materials is describedand new methods to study fungi-material interactions are presented. The data summarized here show that “geomycology” is a highly interesting discipline in view of basic geological research, as well as biotechnological application.","author":[{"dropping-particle":"","family":"Sterflinger","given":"Katja","non-dropping-particle":"","parse-names":false,"suffix":""}],"container-title":"Geomicrobiology Journal","id":"ITEM-4","issue":"2","issued":{"date-parts":[["2000"]]},"page":"97-124","title":"Fungi as geologic agents","type":"article-journal","volume":"17"},"uris":["http://www.mendeley.com/documents/?uuid=6726828f-1c6a-409b-9c9f-239ff50a1d9c"]}],"mendeley":{"formattedCitation":"(Fomina et al., 2008; Bindschedler et al., 2016; Gadd, 2017; Sterflinger, 2000)","plainTextFormattedCitation":"(Fomina et al., 2008; Bindschedler et al., 2016; Gadd, 2017; Sterflinger, 2000)","previouslyFormattedCitation":"(Fomina et al., 2008; Bindschedler et al., 2016; Gadd, 2017; Sterflinger, 2000)"},"properties":{"noteIndex":0},"schema":"https://github.com/citation-style-language/schema/raw/master/csl-citation.json"}</w:instrText>
      </w:r>
      <w:r w:rsidRPr="000D7D3D">
        <w:fldChar w:fldCharType="separate"/>
      </w:r>
      <w:r w:rsidRPr="000D7D3D">
        <w:rPr>
          <w:noProof/>
        </w:rPr>
        <w:t>(Fomina et al., 2008; Bindschedler et al., 2016; Gadd, 2017; Sterflinger, 2000)</w:t>
      </w:r>
      <w:r w:rsidRPr="000D7D3D">
        <w:fldChar w:fldCharType="end"/>
      </w:r>
      <w:r w:rsidRPr="000D7D3D">
        <w:t xml:space="preserve">. Interestingly, a recent study on </w:t>
      </w:r>
      <w:r w:rsidR="007F7966">
        <w:t xml:space="preserve">K </w:t>
      </w:r>
      <w:r w:rsidRPr="000D7D3D">
        <w:t xml:space="preserve">feldspar weathering by </w:t>
      </w:r>
      <w:r w:rsidRPr="000D7D3D">
        <w:rPr>
          <w:i/>
        </w:rPr>
        <w:t xml:space="preserve">Rhizobium </w:t>
      </w:r>
      <w:r w:rsidRPr="000D7D3D">
        <w:t>strains showed that production of organic acid</w:t>
      </w:r>
      <w:r w:rsidR="00620166">
        <w:t>s</w:t>
      </w:r>
      <w:r w:rsidRPr="000D7D3D">
        <w:t xml:space="preserve"> derived from glucose metabolism (gluconic and acetic acid) was increased in media supplied w</w:t>
      </w:r>
      <w:r w:rsidR="00620166">
        <w:t>ith lower glucose concentration</w:t>
      </w:r>
      <w:r w:rsidRPr="000D7D3D">
        <w:t xml:space="preserve"> </w:t>
      </w:r>
      <w:r w:rsidRPr="000D7D3D">
        <w:fldChar w:fldCharType="begin" w:fldLock="1"/>
      </w:r>
      <w:r w:rsidR="00EE33AB">
        <w:instrText>ADDIN CSL_CITATION {"citationItems":[{"id":"ITEM-1","itemData":{"DOI":"10.1128/AEM.00918-16 4090-4099","ISSN":"10985336","PMID":"27129959","abstract":"Bacteria play important roles in mineral weathering, soil formation, and element cycling. However, little is known about the interaction between silicate minerals and rhizobia. In this study, Rhizobium yantingense H66 (a novel mineral-weathering rhizobium) and Rhizobium etli CFN42 were compared with respect to potash feldspar weathering, mineral surface adsorption, and metabolic activity during the mineral weathering process. Strain H66 showed significantly higher Si, Al, and K mobilization from the mineral and higher ratios of cell numbers on the mineral surface to total cell numbers than strain CFN42. Although the two strains produced gluconic acid, strain H66 also produced acetic, malic, and succinic acids during mineral weathering in low- and high-glucose media. Notably, higher Si, Al, and K releases, higher ratios of cell numbers on the mineral surface to total cell numbers, and a higher production of organic acids by strain H66 were observed in the low-glucose medium than in the high-glucose medium. Scanning electron microscope analyses of the mineral surfaces and redundancy analysis showed stronger positive correlations between the mineral surface cell adsorption and mineral weathering, indicated by the dissolved Al and K concentrations. The results showed that the two rhizobia behaved differently with respect to mineral weathering. The results suggested that Rhizobium yantingense H66 promoted potash feldspar weathering through increased adsorption of cells to the mineral surface and through differences in glucose metabolism at low and high nutrient concentrations, especially at low nutrient concentrations. IMPORTANCE This study reported the potash feldspar weathering, the cell adsorption capacity of the mineral surfaces, and the metabolic differences between the novel mineral-weathering Rhizobium yantingense H66 and Rhizobium etli CFN42 under different nutritional conditions. The results showed that Rhizobium yantingense H66 had a greater ability to weather the mineral in low- and high-glucose media, especially in the low-glucose medium. Furthermore, Rhizobium yantingense H66 promoted mineral weathering through the increased adsorption of cells to the mineral surface and through increased organic acid production. Our results allow us to better comprehend the roles of different rhizobia in silicate mineral weathering, element cycling, and soil formation in various soil environments, providing more insight into the geomicrobial contributions of rh…","author":[{"dropping-particle":"","family":"Chen","given":"Wei","non-dropping-particle":"","parse-names":false,"suffix":""},{"dropping-particle":"","family":"Luo","given":"Long","non-dropping-particle":"","parse-names":false,"suffix":""},{"dropping-particle":"","family":"He","given":"Lin Yan","non-dropping-particle":"","parse-names":false,"suffix":""},{"dropping-particle":"","family":"Wang","given":"Qi","non-dropping-particle":"","parse-names":false,"suffix":""},{"dropping-particle":"","family":"Sheng","given":"Xia Fang","non-dropping-particle":"","parse-names":false,"suffix":""}],"container-title":"Applied and Environmental Microbiology","id":"ITEM-1","issue":"14","issued":{"date-parts":[["2016"]]},"page":"4090-4099","title":"Distinct mineral weathering behaviors of the novel mineral- weathering strains Rhizobium yantingense H66 and Rhizobium etli CFN42","type":"article-journal","volume":"82"},"uris":["http://www.mendeley.com/documents/?uuid=5efa5f38-4684-4264-ae87-e53200457233"]}],"mendeley":{"formattedCitation":"(Chen et al., 2016)","plainTextFormattedCitation":"(Chen et al., 2016)","previouslyFormattedCitation":"(Chen et al., 2016)"},"properties":{"noteIndex":0},"schema":"https://github.com/citation-style-language/schema/raw/master/csl-citation.json"}</w:instrText>
      </w:r>
      <w:r w:rsidRPr="000D7D3D">
        <w:fldChar w:fldCharType="separate"/>
      </w:r>
      <w:r w:rsidRPr="000D7D3D">
        <w:rPr>
          <w:noProof/>
        </w:rPr>
        <w:t>(Chen et al., 2016)</w:t>
      </w:r>
      <w:r w:rsidRPr="000D7D3D">
        <w:fldChar w:fldCharType="end"/>
      </w:r>
      <w:r w:rsidRPr="000D7D3D">
        <w:t xml:space="preserve">. </w:t>
      </w:r>
      <w:r w:rsidRPr="000D7D3D">
        <w:rPr>
          <w:i/>
        </w:rPr>
        <w:t>P. involutus</w:t>
      </w:r>
      <w:r w:rsidRPr="000D7D3D">
        <w:t xml:space="preserve"> grown in symbiosis has </w:t>
      </w:r>
      <w:r w:rsidR="00A019AD">
        <w:t>access to primary photosynthetic sugars</w:t>
      </w:r>
      <w:r w:rsidRPr="000D7D3D">
        <w:t xml:space="preserve"> </w:t>
      </w:r>
      <w:r w:rsidRPr="000D7D3D">
        <w:fldChar w:fldCharType="begin" w:fldLock="1"/>
      </w:r>
      <w:r w:rsidR="00EE33AB">
        <w:instrText>ADDIN CSL_CITATION {"citationItems":[{"id":"ITEM-1","itemData":{"DOI":"10.1046/j.1365-3040.2000.00518.x","ISSN":"0140-7791","author":[{"dropping-particle":"","family":"Wright","given":"D. P.","non-dropping-particle":"","parse-names":false,"suffix":""},{"dropping-particle":"","family":"Scholes","given":"J. D.","non-dropping-particle":"","parse-names":false,"suffix":""},{"dropping-particle":"","family":"Read","given":"D. J.","non-dropping-particle":"","parse-names":false,"suffix":""},{"dropping-particle":"","family":"Rolfe","given":"S. A.","non-dropping-particle":"","parse-names":false,"suffix":""}],"container-title":"Plant, Cell and Environment","id":"ITEM-1","issue":"1","issued":{"date-parts":[["2000","1"]]},"page":"39-49","title":"Changes in carbon allocation and expression of carbon transporter genes in Betula pendula Roth. colonized by the ectomycorrhizal fungus Paxillus involutus (Batsch) Fr.","type":"article-journal","volume":"23"},"uris":["http://www.mendeley.com/documents/?uuid=d12a195c-699b-473c-a8b6-e03f51634ce4"]},{"id":"ITEM-2","itemData":{"DOI":"10.1111/j.1438-8677.2009.00312.x","ISSN":"1438-8677","PMID":"20398236","abstract":"Ectomycorrhizal (ECM) symbiosis is a mutualistic interaction between certain soil fungi and fine roots of perennial plants, mainly forest trees, by which both partners become capable of efficiently colonising nutrient-limited environments. The success of this interaction is reflected in the dominance of ECM forest ecosystems in the Northern hemisphere. Apart from their economic importance (wood production), forest ecosystems are essential for large-scale carbon sequestration, leading to substantial reductions in anthropogenic CO(2) release. The biological function of ECM symbiosis is the exchange of fungus-derived mineral nutrients for plant-derived carbohydrates. Improved plant nutrition as a result of this interaction, however, has a price. Together with their fungal partner, root systems of ECM plants can receive about half of the photosynthetically fixed carbon. To enable such a strong carbohydrate sink, the monosaccharide uptake capacity and carbohydrate flux through glycolysis and intermediate carbohydrate storage pools (trehalose and/or mannitol) of mycorrhizal fungi is strongly increased at the plant-fungus interface. Apart from their function as a carbohydrate store, trehalose/mannitol are additionally considered to be involved in carbon allocation within the fungal colony. Dependent on the fungal species involved in the symbiosis, regulation and fine-tuning of fungal carbohydrate uptake and metabolism seems to be controlled either by developmental mechanisms or by the apoplastic sugar content. As a consequence of the increased carbohydrate demand in symbiosis, trees increase their photosynthetic capacity. In addition, host plants control and restrict carbohydrate flux towards their partner to avoid fungal parasitism. The mechanisms behind this phenomenon are still largely unknown but rates of local sucrose hydrolysis and hexose uptake by rhizodermal cells are thought to restrict fungal carbohydrate nutrition under certain conditions (e.g., reduced fungal nutrient export).","author":[{"dropping-particle":"","family":"Nehls","given":"U","non-dropping-particle":"","parse-names":false,"suffix":""},{"dropping-particle":"","family":"Göhringer","given":"F","non-dropping-particle":"","parse-names":false,"suffix":""},{"dropping-particle":"","family":"Wittulsky","given":"S","non-dropping-particle":"","parse-names":false,"suffix":""},{"dropping-particle":"","family":"Dietz","given":"S","non-dropping-particle":"","parse-names":false,"suffix":""}],"container-title":"Plant biology (Stuttgart, Germany)","id":"ITEM-2","issue":"2","issued":{"date-parts":[["2010","3"]]},"page":"292-301","title":"Fungal carbohydrate support in the ectomycorrhizal symbiosis: a review.","type":"article-journal","volume":"12"},"uris":["http://www.mendeley.com/documents/?uuid=28d2946d-d875-489f-b5de-255269f84621"]}],"mendeley":{"formattedCitation":"(Wright et al., 2000; Nehls et al., 2010)","plainTextFormattedCitation":"(Wright et al., 2000; Nehls et al., 2010)","previouslyFormattedCitation":"(Wright et al., 2000; Nehls et al., 2010)"},"properties":{"noteIndex":0},"schema":"https://github.com/citation-style-language/schema/raw/master/csl-citation.json"}</w:instrText>
      </w:r>
      <w:r w:rsidRPr="000D7D3D">
        <w:fldChar w:fldCharType="separate"/>
      </w:r>
      <w:r w:rsidRPr="000D7D3D">
        <w:rPr>
          <w:noProof/>
        </w:rPr>
        <w:t>(Wright et al., 2000; Nehls et al., 2010)</w:t>
      </w:r>
      <w:r w:rsidRPr="000D7D3D">
        <w:fldChar w:fldCharType="end"/>
      </w:r>
      <w:r w:rsidRPr="000D7D3D">
        <w:t xml:space="preserve">, in addition to glucose present in the media of the weathering system. From this perspective, in S condition </w:t>
      </w:r>
      <w:r w:rsidRPr="000D7D3D">
        <w:rPr>
          <w:i/>
        </w:rPr>
        <w:t xml:space="preserve">P. involutus </w:t>
      </w:r>
      <w:r w:rsidRPr="000D7D3D">
        <w:t xml:space="preserve">experiences higher glucose availability than hyphae grown in the NS condition. The metabolic profile presented in this chapter reflects the findings of </w:t>
      </w:r>
      <w:r w:rsidRPr="000D7D3D">
        <w:fldChar w:fldCharType="begin" w:fldLock="1"/>
      </w:r>
      <w:r w:rsidR="00EE33AB">
        <w:instrText>ADDIN CSL_CITATION {"citationItems":[{"id":"ITEM-1","itemData":{"DOI":"10.1128/AEM.00918-16 4090-4099","ISSN":"10985336","PMID":"27129959","abstract":"Bacteria play important roles in mineral weathering, soil formation, and element cycling. However, little is known about the interaction between silicate minerals and rhizobia. In this study, Rhizobium yantingense H66 (a novel mineral-weathering rhizobium) and Rhizobium etli CFN42 were compared with respect to potash feldspar weathering, mineral surface adsorption, and metabolic activity during the mineral weathering process. Strain H66 showed significantly higher Si, Al, and K mobilization from the mineral and higher ratios of cell numbers on the mineral surface to total cell numbers than strain CFN42. Although the two strains produced gluconic acid, strain H66 also produced acetic, malic, and succinic acids during mineral weathering in low- and high-glucose media. Notably, higher Si, Al, and K releases, higher ratios of cell numbers on the mineral surface to total cell numbers, and a higher production of organic acids by strain H66 were observed in the low-glucose medium than in the high-glucose medium. Scanning electron microscope analyses of the mineral surfaces and redundancy analysis showed stronger positive correlations between the mineral surface cell adsorption and mineral weathering, indicated by the dissolved Al and K concentrations. The results showed that the two rhizobia behaved differently with respect to mineral weathering. The results suggested that Rhizobium yantingense H66 promoted potash feldspar weathering through increased adsorption of cells to the mineral surface and through differences in glucose metabolism at low and high nutrient concentrations, especially at low nutrient concentrations. IMPORTANCE This study reported the potash feldspar weathering, the cell adsorption capacity of the mineral surfaces, and the metabolic differences between the novel mineral-weathering Rhizobium yantingense H66 and Rhizobium etli CFN42 under different nutritional conditions. The results showed that Rhizobium yantingense H66 had a greater ability to weather the mineral in low- and high-glucose media, especially in the low-glucose medium. Furthermore, Rhizobium yantingense H66 promoted mineral weathering through the increased adsorption of cells to the mineral surface and through increased organic acid production. Our results allow us to better comprehend the roles of different rhizobia in silicate mineral weathering, element cycling, and soil formation in various soil environments, providing more insight into the geomicrobial contributions of rh…","author":[{"dropping-particle":"","family":"Chen","given":"Wei","non-dropping-particle":"","parse-names":false,"suffix":""},{"dropping-particle":"","family":"Luo","given":"Long","non-dropping-particle":"","parse-names":false,"suffix":""},{"dropping-particle":"","family":"He","given":"Lin Yan","non-dropping-particle":"","parse-names":false,"suffix":""},{"dropping-particle":"","family":"Wang","given":"Qi","non-dropping-particle":"","parse-names":false,"suffix":""},{"dropping-particle":"","family":"Sheng","given":"Xia Fang","non-dropping-particle":"","parse-names":false,"suffix":""}],"container-title":"Applied and Environmental Microbiology","id":"ITEM-1","issue":"14","issued":{"date-parts":[["2016"]]},"page":"4090-4099","title":"Distinct mineral weathering behaviors of the novel mineral- weathering strains Rhizobium yantingense H66 and Rhizobium etli CFN42","type":"article-journal","volume":"82"},"uris":["http://www.mendeley.com/documents/?uuid=5efa5f38-4684-4264-ae87-e53200457233"]}],"mendeley":{"formattedCitation":"(Chen et al., 2016)","plainTextFormattedCitation":"(Chen et al., 2016)","previouslyFormattedCitation":"(Chen et al., 2016)"},"properties":{"noteIndex":0},"schema":"https://github.com/citation-style-language/schema/raw/master/csl-citation.json"}</w:instrText>
      </w:r>
      <w:r w:rsidRPr="000D7D3D">
        <w:fldChar w:fldCharType="separate"/>
      </w:r>
      <w:r w:rsidRPr="000D7D3D">
        <w:rPr>
          <w:noProof/>
        </w:rPr>
        <w:t>(Chen et al., 2016)</w:t>
      </w:r>
      <w:r w:rsidRPr="000D7D3D">
        <w:fldChar w:fldCharType="end"/>
      </w:r>
      <w:r w:rsidRPr="000D7D3D">
        <w:t>, as hyphae grown in NS condition, hence grown in lower glucose availability, produce higher amounts of organic acids deriving from glucose metabolism (Figure 5.12A, cluster IV; Figure 5.12B, cluster III). However, production of multiple organic acids</w:t>
      </w:r>
      <w:r w:rsidR="00620166">
        <w:t xml:space="preserve"> in the NS condition</w:t>
      </w:r>
      <w:r w:rsidRPr="000D7D3D">
        <w:t xml:space="preserve"> does not necessarily correlate with enhanced solubilisation of </w:t>
      </w:r>
      <w:r w:rsidR="00FD74CB">
        <w:t>HAP</w:t>
      </w:r>
      <w:r w:rsidR="00C0270A">
        <w:t xml:space="preserve">. On the other hand, HAP solubilisation was more evident </w:t>
      </w:r>
      <w:r w:rsidRPr="000D7D3D">
        <w:t xml:space="preserve">in </w:t>
      </w:r>
      <w:r w:rsidR="00620166">
        <w:t xml:space="preserve">the </w:t>
      </w:r>
      <w:r w:rsidRPr="000D7D3D">
        <w:t>S condition (Figures 5.1D and 5.2</w:t>
      </w:r>
      <w:r w:rsidR="00C0270A">
        <w:rPr>
          <w:rFonts w:ascii="Palatino Linotype" w:hAnsi="Palatino Linotype"/>
        </w:rPr>
        <w:t>V</w:t>
      </w:r>
      <w:r w:rsidR="00325866">
        <w:t xml:space="preserve">), </w:t>
      </w:r>
      <w:r w:rsidR="00325866" w:rsidRPr="00325866">
        <w:rPr>
          <w:rFonts w:cs="Arial"/>
        </w:rPr>
        <w:t>wh</w:t>
      </w:r>
      <w:r w:rsidR="00325866">
        <w:t>ich</w:t>
      </w:r>
      <w:r w:rsidRPr="000D7D3D">
        <w:t xml:space="preserve"> </w:t>
      </w:r>
      <w:r w:rsidR="00325866">
        <w:t xml:space="preserve">may </w:t>
      </w:r>
      <w:r w:rsidRPr="000D7D3D">
        <w:t xml:space="preserve">suggest that </w:t>
      </w:r>
      <w:r w:rsidR="00C0270A">
        <w:t xml:space="preserve">HAP solubilisation is preferably driven by </w:t>
      </w:r>
      <w:r w:rsidRPr="000D7D3D">
        <w:t>organic acids w</w:t>
      </w:r>
      <w:r w:rsidR="00ED4426">
        <w:t>ith lower pKa, such as oxalate.</w:t>
      </w:r>
    </w:p>
    <w:p w14:paraId="26B61AB4" w14:textId="751AAC82" w:rsidR="000D7D3D" w:rsidRPr="000D7D3D" w:rsidRDefault="000D7D3D" w:rsidP="007F746A">
      <w:pPr>
        <w:ind w:firstLine="720"/>
      </w:pPr>
      <w:r w:rsidRPr="000D7D3D">
        <w:lastRenderedPageBreak/>
        <w:t xml:space="preserve">Two auxins, IAA and 3-indolepropionic acid, have been identified to be produced in </w:t>
      </w:r>
      <w:r w:rsidR="00ED4426">
        <w:t>the presence of HAP</w:t>
      </w:r>
      <w:r w:rsidRPr="000D7D3D">
        <w:t xml:space="preserve"> in NS condi</w:t>
      </w:r>
      <w:r w:rsidR="00ED4426">
        <w:t>tion</w:t>
      </w:r>
      <w:r w:rsidRPr="000D7D3D">
        <w:t xml:space="preserve"> only (Figure 5.12A, cluster IV). This finding may correlate with the previous identification of a putative downregulated auxin efflux transporter and a putative upregulated auxin-inhibiting gene in S condition (Figures 5.5B and 5.6A), in which no auxins were identified (Figure 5.12A, cluster II; Figure 5.12B, cluster I). The identification of auxins in NS condition confirms that </w:t>
      </w:r>
      <w:r w:rsidRPr="000D7D3D">
        <w:rPr>
          <w:i/>
        </w:rPr>
        <w:t>P. involutus</w:t>
      </w:r>
      <w:r w:rsidRPr="000D7D3D">
        <w:t xml:space="preserve"> produces endogenous auxins, which can have a stimulatory effect on hyphal growth and branching. While the role of endogenous fungal auxins in both EM</w:t>
      </w:r>
      <w:r w:rsidR="00FD74CB">
        <w:t>F</w:t>
      </w:r>
      <w:r w:rsidRPr="000D7D3D">
        <w:t xml:space="preserve"> and </w:t>
      </w:r>
      <w:r w:rsidR="00ED4426">
        <w:t>arbuscular mycorrhiza fungi (</w:t>
      </w:r>
      <w:r w:rsidRPr="000D7D3D">
        <w:t>AM</w:t>
      </w:r>
      <w:r w:rsidR="00FD74CB">
        <w:t>F</w:t>
      </w:r>
      <w:r w:rsidR="00ED4426">
        <w:t>)</w:t>
      </w:r>
      <w:r w:rsidR="00FD74CB">
        <w:t xml:space="preserve"> </w:t>
      </w:r>
      <w:r w:rsidRPr="000D7D3D">
        <w:t xml:space="preserve">has been clearly linked with establishment of the mycorrhizal symbiosis </w:t>
      </w:r>
      <w:r w:rsidRPr="000D7D3D">
        <w:fldChar w:fldCharType="begin" w:fldLock="1"/>
      </w:r>
      <w:r w:rsidR="00EE33AB">
        <w:instrText>ADDIN CSL_CITATION {"citationItems":[{"id":"ITEM-1","itemData":{"DOI":"10.4161/psb.2.3.4152","ISBN":"1559-2316 (Print)\\n1559-2316 (Linking)","ISSN":"1559-2324","PMID":"19704695","abstract":"Plant hormones such as auxin derivatives are likely signals during the establishment of an arbuscular mycorrhizal (AM) symbiosis. Although reports on auxin levels during AM in different plant species are contradictory, the contribution of auxins to the establishment of an AM symbiosis might be an important factor especially for the development of lateral roots which are the preferred infection sites for the fungi. In addition to evidence that different auxins could be elevated after colonization with AM fungi, there are also overlapping gene expression patterns between auxin-treated and AM-inoculated roots that provide further clues on auxin-triggered colonization events. Using an auxin-inducible promoter-reporter system it was shown that the reporter was strongly induced in AM colonized roots, although co-localization with AM fungi was not observed. Our data are discussed in frame of a model together with other plant hormones which might be involved in the AM colonization processes.","author":[{"dropping-particle":"","family":"Ludwig-Müller","given":"Jutta","non-dropping-particle":"","parse-names":false,"suffix":""},{"dropping-particle":"","family":"Güther","given":"Mike","non-dropping-particle":"","parse-names":false,"suffix":""}],"container-title":"Plant Signaling &amp; Behavior","id":"ITEM-1","issue":"3","issued":{"date-parts":[["2007"]]},"page":"194-196","title":"Auxins as Signals in Arbuscular Mycorrhiza Formation","type":"article-journal","volume":"2"},"uris":["http://www.mendeley.com/documents/?uuid=6218d3cc-28e3-4c7a-8ce2-7e210494f0c3"]},{"id":"ITEM-2","itemData":{"DOI":"10.1007/978-3-642-20966-6_6","ISBN":"1867-9048","author":[{"dropping-particle":"","family":"Felten","given":"Judith","non-dropping-particle":"","parse-names":false,"suffix":""},{"dropping-particle":"","family":"Martin","given":"Francis","non-dropping-particle":"","parse-names":false,"suffix":""},{"dropping-particle":"","family":"Legué","given":"Valérie","non-dropping-particle":"","parse-names":false,"suffix":""}],"id":"ITEM-2","issued":{"date-parts":[["2012"]]},"page":"123-142","publisher-place":"BERLIN","title":"Signalling in Ectomycorrhizal Symbiosis","type":"article","volume":"11"},"uris":["http://www.mendeley.com/documents/?uuid=58f3c331-fe14-49c8-8246-bfe87fe689f1"]}],"mendeley":{"formattedCitation":"(Ludwig-Müller and Güther, 2007; Felten et al., 2012)","plainTextFormattedCitation":"(Ludwig-Müller and Güther, 2007; Felten et al., 2012)","previouslyFormattedCitation":"(Ludwig-Müller and Güther, 2007; Felten et al., 2012)"},"properties":{"noteIndex":0},"schema":"https://github.com/citation-style-language/schema/raw/master/csl-citation.json"}</w:instrText>
      </w:r>
      <w:r w:rsidRPr="000D7D3D">
        <w:fldChar w:fldCharType="separate"/>
      </w:r>
      <w:r w:rsidRPr="000D7D3D">
        <w:rPr>
          <w:noProof/>
        </w:rPr>
        <w:t>(Ludwig-Müller and Güther, 2007; Felten et al., 2012)</w:t>
      </w:r>
      <w:r w:rsidRPr="000D7D3D">
        <w:fldChar w:fldCharType="end"/>
      </w:r>
      <w:r w:rsidRPr="000D7D3D">
        <w:t xml:space="preserve">, the metabolites presented in this </w:t>
      </w:r>
      <w:r w:rsidR="00FD74CB">
        <w:t>c</w:t>
      </w:r>
      <w:r w:rsidRPr="000D7D3D">
        <w:t xml:space="preserve">hapter are derived from the fungal-mineral interface, colonised mostly by exploratory mycelia only. The enhanced production of these auxins by HAP+ in NS conditions only seems to indicate that their role is mostly linked with hyphal growth and branching of the foraging mycelia, as previously established in the EM fungus </w:t>
      </w:r>
      <w:r w:rsidRPr="000D7D3D">
        <w:rPr>
          <w:i/>
        </w:rPr>
        <w:t xml:space="preserve">T. vaccinum </w:t>
      </w:r>
      <w:r w:rsidRPr="000D7D3D">
        <w:rPr>
          <w:i/>
        </w:rPr>
        <w:fldChar w:fldCharType="begin" w:fldLock="1"/>
      </w:r>
      <w:r w:rsidR="00EE33AB">
        <w:rPr>
          <w:i/>
        </w:rPr>
        <w:instrText>ADDIN CSL_CITATION {"citationItems":[{"id":"ITEM-1","itemData":{"DOI":"10.1128/AEM.01991-15","ISSN":"10985336","PMID":"26231639","abstract":"&lt;p&gt; Fungus-derived indole-3-acetic acid (IAA), which is involved in development of ectomycorrhiza, affects both partners, i.e., the tree and the fungus. The biosynthesis pathway, excretion from fungal hyphae, the induction of branching in fungal cultures, and enhanced Hartig net formation in mycorrhiza were shown. Gene expression studies, incorporation of labeled compounds into IAA, heterologous expression of a transporter, and bioinformatics were applied to study the effect of IAA on fungal morphogenesis and on ectomycorrhiza. &lt;named-content content-type=\"genus-species\"&gt;Tricholoma vaccinum&lt;/named-content&gt; produces IAA from tryptophan via indole-3-pyruvate, with the last step of this biosynthetic pathway being catalyzed by an aldehyde dehydrogenase. The gene &lt;italic&gt;ald1&lt;/italic&gt; was found to be highly expressed in ectomycorrhiza and induced by indole-3-acetaldehyde. The export of IAA from fungal cells is supported by the multidrug and toxic extrusion (MATE) transporter Mte1 found in &lt;named-content content-type=\"genus-species\"&gt;T. vaccinum&lt;/named-content&gt; . The addition of IAA and its precursors induced elongated cells and hyphal ramification of mycorrhizal fungi; in contrast, in saprobic fungi such as &lt;named-content content-type=\"genus-species\"&gt;Schizophyllum commune&lt;/named-content&gt; , IAA did not induce morphogenetic changes. Mycorrhiza responded by increasing its Hartig net formation. The IAA of fungal origin acts as a diffusible signal, influencing root colonization and increasing Hartig net formation in ectomycorrhiza. &lt;/p&gt;","author":[{"dropping-particle":"","family":"Krause","given":"Katrin","non-dropping-particle":"","parse-names":false,"suffix":""},{"dropping-particle":"","family":"Henke","given":"Catarina","non-dropping-particle":"","parse-names":false,"suffix":""},{"dropping-particle":"","family":"Asiimwe","given":"Theodore","non-dropping-particle":"","parse-names":false,"suffix":""},{"dropping-particle":"","family":"Ulbricht","given":"Andrea","non-dropping-particle":"","parse-names":false,"suffix":""},{"dropping-particle":"","family":"Klemmer","given":"Sandra","non-dropping-particle":"","parse-names":false,"suffix":""},{"dropping-particle":"","family":"Schachtschabel","given":"Doreen","non-dropping-particle":"","parse-names":false,"suffix":""},{"dropping-particle":"","family":"Boland","given":"Wilhelm","non-dropping-particle":"","parse-names":false,"suffix":""},{"dropping-particle":"","family":"Kothe","given":"Erika","non-dropping-particle":"","parse-names":false,"suffix":""}],"container-title":"Applied and Environmental Microbiology","id":"ITEM-1","issue":"20","issued":{"date-parts":[["2015"]]},"page":"7003-7011","title":"Biosynthesis and secretion of indole-3-acetic acid and its morphological effects on Tricholoma vaccinum-spruce ectomycorrhiza","type":"article-journal","volume":"81"},"uris":["http://www.mendeley.com/documents/?uuid=15ed871d-dca8-475a-a201-ddd40127cbbb"]}],"mendeley":{"formattedCitation":"(Krause et al., 2015)","plainTextFormattedCitation":"(Krause et al., 2015)","previouslyFormattedCitation":"(Krause et al., 2015)"},"properties":{"noteIndex":0},"schema":"https://github.com/citation-style-language/schema/raw/master/csl-citation.json"}</w:instrText>
      </w:r>
      <w:r w:rsidRPr="000D7D3D">
        <w:rPr>
          <w:i/>
        </w:rPr>
        <w:fldChar w:fldCharType="separate"/>
      </w:r>
      <w:r w:rsidRPr="000D7D3D">
        <w:rPr>
          <w:noProof/>
        </w:rPr>
        <w:t>(Krause et al., 2015)</w:t>
      </w:r>
      <w:r w:rsidRPr="000D7D3D">
        <w:rPr>
          <w:i/>
        </w:rPr>
        <w:fldChar w:fldCharType="end"/>
      </w:r>
      <w:r w:rsidRPr="000D7D3D">
        <w:t>.</w:t>
      </w:r>
    </w:p>
    <w:p w14:paraId="2AB4267B" w14:textId="6ADF1CAF" w:rsidR="000D7D3D" w:rsidRPr="000D7D3D" w:rsidRDefault="000D7D3D" w:rsidP="00634533">
      <w:pPr>
        <w:ind w:firstLine="720"/>
      </w:pPr>
      <w:r w:rsidRPr="000D7D3D">
        <w:t xml:space="preserve">Multiple membrane phospholipids were identified in </w:t>
      </w:r>
      <w:r w:rsidR="00ED4426">
        <w:t>both NS and S conditions in the presence of HAP</w:t>
      </w:r>
      <w:r w:rsidRPr="000D7D3D">
        <w:t>, including triacylglycerols, phosphatidylcholines (PC), phosphatidylethanolamines (PE) and phosphatidylglycerides (PG</w:t>
      </w:r>
      <w:r w:rsidR="00ED4426">
        <w:t>)</w:t>
      </w:r>
      <w:r w:rsidRPr="000D7D3D">
        <w:t xml:space="preserve"> </w:t>
      </w:r>
      <w:r w:rsidR="00ED4426">
        <w:t>(</w:t>
      </w:r>
      <w:r w:rsidRPr="000D7D3D">
        <w:t xml:space="preserve">Figure 5.12). These lipids are most likely derived from degraded fungal membranes during harvesting of metabolites from </w:t>
      </w:r>
      <w:r w:rsidR="00ED4426">
        <w:t xml:space="preserve">the </w:t>
      </w:r>
      <w:r w:rsidRPr="000D7D3D">
        <w:t xml:space="preserve">polystyrene discs. Their relative abundance in HAP+ may </w:t>
      </w:r>
      <w:r w:rsidR="00ED4426">
        <w:t>indicate the</w:t>
      </w:r>
      <w:r w:rsidRPr="000D7D3D">
        <w:t xml:space="preserve"> increased fungal colonisation of </w:t>
      </w:r>
      <w:r w:rsidR="00FD74CB">
        <w:t>HAP</w:t>
      </w:r>
      <w:r w:rsidRPr="000D7D3D">
        <w:t xml:space="preserve">-coated discs compared to </w:t>
      </w:r>
      <w:r w:rsidR="00ED4426">
        <w:t>un</w:t>
      </w:r>
      <w:r w:rsidR="00634533">
        <w:t>coated ones.</w:t>
      </w:r>
      <w:r w:rsidR="009B625F">
        <w:br w:type="page"/>
      </w:r>
    </w:p>
    <w:p w14:paraId="08C8B753" w14:textId="53F881E2" w:rsidR="000D7D3D" w:rsidRPr="000D7D3D" w:rsidRDefault="000D7D3D" w:rsidP="00635993">
      <w:pPr>
        <w:pStyle w:val="Heading1"/>
      </w:pPr>
      <w:bookmarkStart w:id="538" w:name="_Toc507604089"/>
      <w:bookmarkStart w:id="539" w:name="_Toc507604356"/>
      <w:bookmarkStart w:id="540" w:name="_Toc519017058"/>
      <w:bookmarkStart w:id="541" w:name="_Toc520837971"/>
      <w:r w:rsidRPr="000D7D3D">
        <w:lastRenderedPageBreak/>
        <w:t>5.5 Conclusions</w:t>
      </w:r>
      <w:bookmarkEnd w:id="538"/>
      <w:bookmarkEnd w:id="539"/>
      <w:bookmarkEnd w:id="540"/>
      <w:bookmarkEnd w:id="541"/>
    </w:p>
    <w:p w14:paraId="21E2B4E2" w14:textId="77777777" w:rsidR="007C30E7" w:rsidRDefault="000D7D3D" w:rsidP="003F7054">
      <w:r w:rsidRPr="000D7D3D">
        <w:t>Fungal solubilisation</w:t>
      </w:r>
      <w:r w:rsidR="00CF0EAE">
        <w:t xml:space="preserve"> of</w:t>
      </w:r>
      <w:r w:rsidRPr="000D7D3D">
        <w:t xml:space="preserve"> </w:t>
      </w:r>
      <w:r w:rsidR="00CF0EAE">
        <w:t>Pi-rich</w:t>
      </w:r>
      <w:r w:rsidRPr="000D7D3D">
        <w:t xml:space="preserve"> minerals can provide an alternative form of Pi acquisition by plants, when in mycorrhizal symbiosis. In this </w:t>
      </w:r>
      <w:r w:rsidR="00742D9E">
        <w:t>c</w:t>
      </w:r>
      <w:r w:rsidRPr="000D7D3D">
        <w:t xml:space="preserve">hapter, a previously-established </w:t>
      </w:r>
      <w:r w:rsidR="00742D9E">
        <w:t>HAP</w:t>
      </w:r>
      <w:r w:rsidR="00742D9E" w:rsidRPr="000D7D3D">
        <w:t xml:space="preserve"> </w:t>
      </w:r>
      <w:r w:rsidRPr="000D7D3D">
        <w:t xml:space="preserve">weathering system </w:t>
      </w:r>
      <w:r w:rsidR="00204F36">
        <w:t xml:space="preserve">colonised </w:t>
      </w:r>
      <w:r w:rsidRPr="000D7D3D">
        <w:t xml:space="preserve">by the </w:t>
      </w:r>
      <w:r w:rsidR="00742D9E">
        <w:t>EM</w:t>
      </w:r>
      <w:r w:rsidR="00742D9E" w:rsidRPr="000D7D3D">
        <w:t xml:space="preserve"> </w:t>
      </w:r>
      <w:r w:rsidRPr="000D7D3D">
        <w:t xml:space="preserve">fungus </w:t>
      </w:r>
      <w:r w:rsidRPr="000D7D3D">
        <w:rPr>
          <w:i/>
        </w:rPr>
        <w:t>P. involutus</w:t>
      </w:r>
      <w:r w:rsidRPr="000D7D3D">
        <w:t xml:space="preserve">, either with or without EM symbiosis with </w:t>
      </w:r>
      <w:r w:rsidR="00204F36" w:rsidRPr="00204F36">
        <w:rPr>
          <w:i/>
        </w:rPr>
        <w:t>P. sylvestris</w:t>
      </w:r>
      <w:r w:rsidRPr="000D7D3D">
        <w:t xml:space="preserve"> seedlings, was subjected to different </w:t>
      </w:r>
      <w:r w:rsidR="00204F36">
        <w:t>“</w:t>
      </w:r>
      <w:r w:rsidRPr="000D7D3D">
        <w:t>omics</w:t>
      </w:r>
      <w:r w:rsidR="00204F36">
        <w:t>” analyse</w:t>
      </w:r>
      <w:r w:rsidRPr="000D7D3D">
        <w:t xml:space="preserve">s, to unravel the molecular mechanisms behind </w:t>
      </w:r>
      <w:r w:rsidR="00204F36">
        <w:t>HAP</w:t>
      </w:r>
      <w:r w:rsidRPr="000D7D3D">
        <w:t xml:space="preserve"> solubilisation by </w:t>
      </w:r>
      <w:r w:rsidR="00204F36">
        <w:t xml:space="preserve">the </w:t>
      </w:r>
      <w:r w:rsidRPr="000D7D3D">
        <w:t xml:space="preserve">fungal hyphae. </w:t>
      </w:r>
    </w:p>
    <w:p w14:paraId="7B16F377" w14:textId="1FE24BB5" w:rsidR="007C30E7" w:rsidRDefault="007C30E7" w:rsidP="007C30E7">
      <w:pPr>
        <w:ind w:firstLine="720"/>
      </w:pPr>
      <w:r>
        <w:t>In respect to the</w:t>
      </w:r>
      <w:r w:rsidR="008F430A">
        <w:t xml:space="preserve"> five initial hypotheses</w:t>
      </w:r>
      <w:r>
        <w:t xml:space="preserve">, the first </w:t>
      </w:r>
      <w:r w:rsidR="00271609">
        <w:t>was only</w:t>
      </w:r>
      <w:r w:rsidR="008F430A">
        <w:t xml:space="preserve"> confirmed</w:t>
      </w:r>
      <w:r w:rsidR="00271609">
        <w:t xml:space="preserve"> for</w:t>
      </w:r>
      <w:r>
        <w:t xml:space="preserve"> </w:t>
      </w:r>
      <w:r w:rsidR="009A5707">
        <w:t>Pi content within the fungal hyphae</w:t>
      </w:r>
      <w:r w:rsidR="00271609">
        <w:t>, which</w:t>
      </w:r>
      <w:r w:rsidR="00271609" w:rsidRPr="00271609">
        <w:t xml:space="preserve"> </w:t>
      </w:r>
      <w:r w:rsidR="00271609">
        <w:t>increased in response to HAP solubilisation</w:t>
      </w:r>
      <w:r w:rsidR="009A5707">
        <w:t xml:space="preserve"> (Figure 5.1D)</w:t>
      </w:r>
      <w:r w:rsidR="00E84624">
        <w:t>,</w:t>
      </w:r>
      <w:r w:rsidR="009A5707">
        <w:t xml:space="preserve"> but not within the needle or root tissues (Figure 5.1B). In addition, despite the increase in the fungal Pi content in the S condition, this did not lead to increased fungal (Figure 5.1E) or plant dry mass (Figure 5.1</w:t>
      </w:r>
      <w:r w:rsidR="00135A6B">
        <w:t>C).</w:t>
      </w:r>
    </w:p>
    <w:p w14:paraId="2DA75BB6" w14:textId="359175B0" w:rsidR="007C30E7" w:rsidRPr="00D21E4A" w:rsidRDefault="007C30E7" w:rsidP="007C30E7">
      <w:pPr>
        <w:ind w:firstLine="720"/>
        <w:rPr>
          <w:rFonts w:cs="Arial"/>
        </w:rPr>
      </w:pPr>
      <w:r>
        <w:t xml:space="preserve">The second hypothesis was </w:t>
      </w:r>
      <w:r w:rsidR="008B24BD">
        <w:t xml:space="preserve">partially </w:t>
      </w:r>
      <w:r w:rsidR="00271609">
        <w:t>validated, as P depletion was evident</w:t>
      </w:r>
      <w:r>
        <w:t xml:space="preserve"> </w:t>
      </w:r>
      <w:r w:rsidR="008B24BD">
        <w:t xml:space="preserve">only </w:t>
      </w:r>
      <w:r w:rsidR="00742A4A">
        <w:t>in</w:t>
      </w:r>
      <w:r>
        <w:t xml:space="preserve"> the S condition </w:t>
      </w:r>
      <w:r w:rsidR="008B24BD">
        <w:t>(</w:t>
      </w:r>
      <w:r>
        <w:t>Figure 5.2</w:t>
      </w:r>
      <w:r>
        <w:rPr>
          <w:rFonts w:ascii="Palatino Linotype" w:hAnsi="Palatino Linotype"/>
        </w:rPr>
        <w:t>V</w:t>
      </w:r>
      <w:r w:rsidR="008B24BD" w:rsidRPr="008B24BD">
        <w:rPr>
          <w:rFonts w:cs="Arial"/>
        </w:rPr>
        <w:t>)</w:t>
      </w:r>
      <w:r>
        <w:t xml:space="preserve">, but not </w:t>
      </w:r>
      <w:r w:rsidR="00742A4A">
        <w:t>in</w:t>
      </w:r>
      <w:r>
        <w:t xml:space="preserve"> the NS condition</w:t>
      </w:r>
      <w:r w:rsidR="008B24BD">
        <w:t xml:space="preserve"> (</w:t>
      </w:r>
      <w:r>
        <w:t>Figure 5.2</w:t>
      </w:r>
      <w:r>
        <w:rPr>
          <w:rFonts w:ascii="Palatino Linotype" w:hAnsi="Palatino Linotype"/>
        </w:rPr>
        <w:t>III</w:t>
      </w:r>
      <w:r w:rsidR="008B24BD" w:rsidRPr="008B24BD">
        <w:rPr>
          <w:rFonts w:cs="Arial"/>
        </w:rPr>
        <w:t>)</w:t>
      </w:r>
      <w:r w:rsidRPr="00D21E4A">
        <w:rPr>
          <w:rFonts w:cs="Arial"/>
        </w:rPr>
        <w:t>.</w:t>
      </w:r>
      <w:r w:rsidR="00D21E4A" w:rsidRPr="00D21E4A">
        <w:rPr>
          <w:rFonts w:cs="Arial"/>
        </w:rPr>
        <w:t xml:space="preserve"> </w:t>
      </w:r>
    </w:p>
    <w:p w14:paraId="222E4B63" w14:textId="6AF674C2" w:rsidR="007C30E7" w:rsidRDefault="008B24BD" w:rsidP="007C30E7">
      <w:pPr>
        <w:ind w:firstLine="720"/>
      </w:pPr>
      <w:r>
        <w:t>T</w:t>
      </w:r>
      <w:r w:rsidR="002A2D3C">
        <w:t xml:space="preserve">he third hypothesis </w:t>
      </w:r>
      <w:r w:rsidR="00742A4A">
        <w:t>was also confirmed,</w:t>
      </w:r>
      <w:r w:rsidR="002A2D3C">
        <w:t xml:space="preserve"> </w:t>
      </w:r>
      <w:r w:rsidR="00742A4A">
        <w:t xml:space="preserve">since </w:t>
      </w:r>
      <w:r w:rsidR="002A2D3C">
        <w:t>secondary minerals formation was observed at both NS and S conditions</w:t>
      </w:r>
      <w:r w:rsidR="00D51BFC">
        <w:t xml:space="preserve"> (</w:t>
      </w:r>
      <w:r w:rsidR="002A2D3C">
        <w:t>Figures 5.2K-M and Figure 5.2T and U</w:t>
      </w:r>
      <w:r w:rsidR="00D51BFC">
        <w:t>)</w:t>
      </w:r>
      <w:r w:rsidR="002A2D3C">
        <w:t>.</w:t>
      </w:r>
    </w:p>
    <w:p w14:paraId="4FDA8EF5" w14:textId="0733F9C8" w:rsidR="007C30E7" w:rsidRDefault="00ED2098" w:rsidP="008B24BD">
      <w:pPr>
        <w:ind w:firstLine="720"/>
      </w:pPr>
      <w:r>
        <w:t>In respect to the fourth hypothesis</w:t>
      </w:r>
      <w:r w:rsidR="008B24BD">
        <w:t xml:space="preserve"> this was </w:t>
      </w:r>
      <w:r w:rsidR="00D51BFC">
        <w:t>in part</w:t>
      </w:r>
      <w:r w:rsidR="008B24BD">
        <w:t xml:space="preserve"> valid</w:t>
      </w:r>
      <w:r w:rsidR="00742A4A">
        <w:t>,</w:t>
      </w:r>
      <w:r>
        <w:t xml:space="preserve"> </w:t>
      </w:r>
      <w:r w:rsidR="008B24BD">
        <w:t xml:space="preserve">since </w:t>
      </w:r>
      <w:r w:rsidR="00204F36">
        <w:t xml:space="preserve">the </w:t>
      </w:r>
      <w:r w:rsidR="000D7D3D" w:rsidRPr="000D7D3D">
        <w:t xml:space="preserve">presence of </w:t>
      </w:r>
      <w:r w:rsidR="00742D9E">
        <w:t>HAP</w:t>
      </w:r>
      <w:r w:rsidR="00E84624">
        <w:t xml:space="preserve"> </w:t>
      </w:r>
      <w:r w:rsidR="009E36B4">
        <w:t>in</w:t>
      </w:r>
      <w:r w:rsidR="00742A4A">
        <w:t xml:space="preserve"> both</w:t>
      </w:r>
      <w:r w:rsidR="009E36B4">
        <w:t xml:space="preserve"> NS or S condition</w:t>
      </w:r>
      <w:r w:rsidR="00742A4A">
        <w:t>s</w:t>
      </w:r>
      <w:r w:rsidR="009E36B4">
        <w:t xml:space="preserve"> </w:t>
      </w:r>
      <w:r w:rsidR="00E84624">
        <w:t xml:space="preserve">induced </w:t>
      </w:r>
      <w:r w:rsidR="009E36B4">
        <w:t xml:space="preserve">various </w:t>
      </w:r>
      <w:r w:rsidR="00E84624">
        <w:t>genes involved in ion</w:t>
      </w:r>
      <w:r w:rsidR="009E36B4">
        <w:t xml:space="preserve">/compound </w:t>
      </w:r>
      <w:r w:rsidR="00E84624">
        <w:t>transport</w:t>
      </w:r>
      <w:r w:rsidR="00AC75B9">
        <w:t xml:space="preserve">, </w:t>
      </w:r>
      <w:r w:rsidR="00E84624">
        <w:t xml:space="preserve">such as </w:t>
      </w:r>
      <w:r w:rsidR="00AC75B9">
        <w:t>Ca</w:t>
      </w:r>
      <w:r w:rsidR="009E36B4">
        <w:t xml:space="preserve"> or Mg </w:t>
      </w:r>
      <w:r w:rsidR="00E84624">
        <w:t>transport</w:t>
      </w:r>
      <w:r w:rsidR="009E36B4">
        <w:t>ing genes and many MATE or MFS transporter genes</w:t>
      </w:r>
      <w:r w:rsidR="008B24BD">
        <w:t>,</w:t>
      </w:r>
      <w:r w:rsidR="009E36B4">
        <w:t xml:space="preserve"> </w:t>
      </w:r>
      <w:r w:rsidR="008B24BD">
        <w:t>but not genes involved in H</w:t>
      </w:r>
      <w:r w:rsidR="008B24BD" w:rsidRPr="00AC75B9">
        <w:rPr>
          <w:vertAlign w:val="superscript"/>
        </w:rPr>
        <w:t>+</w:t>
      </w:r>
      <w:r w:rsidR="00D51BFC">
        <w:t xml:space="preserve"> extrusion</w:t>
      </w:r>
      <w:r w:rsidR="008B24BD">
        <w:t xml:space="preserve"> </w:t>
      </w:r>
      <w:r w:rsidR="009E36B4">
        <w:t>(Figure</w:t>
      </w:r>
      <w:r w:rsidR="00742A4A">
        <w:t>s</w:t>
      </w:r>
      <w:r w:rsidR="009E36B4">
        <w:t xml:space="preserve"> 5.4A, 5.5A and 5.6A). </w:t>
      </w:r>
      <w:r w:rsidR="002316D2">
        <w:t>Besides</w:t>
      </w:r>
      <w:r w:rsidR="00742A4A">
        <w:t>, many</w:t>
      </w:r>
      <w:r w:rsidR="007010B7">
        <w:t xml:space="preserve"> </w:t>
      </w:r>
      <w:r w:rsidR="002316D2">
        <w:t xml:space="preserve">genes </w:t>
      </w:r>
      <w:r w:rsidR="00742A4A">
        <w:t xml:space="preserve">encoding putative </w:t>
      </w:r>
      <w:r w:rsidR="004F2395">
        <w:t>enzymes</w:t>
      </w:r>
      <w:r w:rsidR="00742A4A">
        <w:t xml:space="preserve"> </w:t>
      </w:r>
      <w:r w:rsidR="002316D2">
        <w:t xml:space="preserve">involved in organic acids metabolisms were also upregulated (Figure 5.4A, 5.5A and 5.6A). </w:t>
      </w:r>
      <w:r w:rsidR="00D51BFC">
        <w:t>Indeed,</w:t>
      </w:r>
      <w:r w:rsidR="00C43702">
        <w:t xml:space="preserve"> genes related to Pi transport </w:t>
      </w:r>
      <w:r w:rsidR="00B56008">
        <w:t>or</w:t>
      </w:r>
      <w:r w:rsidR="00C43702">
        <w:t xml:space="preserve"> metabolism were downregulated</w:t>
      </w:r>
      <w:r w:rsidR="00742A4A">
        <w:t xml:space="preserve">, </w:t>
      </w:r>
      <w:r w:rsidR="00B56008">
        <w:t xml:space="preserve">for example the </w:t>
      </w:r>
      <w:r w:rsidR="00B56008" w:rsidRPr="00B56008">
        <w:rPr>
          <w:i/>
        </w:rPr>
        <w:t>PiPT1</w:t>
      </w:r>
      <w:r w:rsidR="008F430A">
        <w:t xml:space="preserve"> gene (Figure</w:t>
      </w:r>
      <w:r w:rsidR="00742A4A">
        <w:t>s</w:t>
      </w:r>
      <w:r w:rsidR="008F430A">
        <w:t xml:space="preserve"> 5.4B, and 5.5B</w:t>
      </w:r>
      <w:r w:rsidR="00B56008">
        <w:t>).</w:t>
      </w:r>
    </w:p>
    <w:p w14:paraId="172D9963" w14:textId="3FD37AE3" w:rsidR="000D7D3D" w:rsidRDefault="000D7D3D" w:rsidP="005E01F3">
      <w:pPr>
        <w:ind w:firstLine="720"/>
      </w:pPr>
      <w:r w:rsidRPr="000D7D3D">
        <w:t>Lastly</w:t>
      </w:r>
      <w:r w:rsidR="00DB51FF">
        <w:t>,</w:t>
      </w:r>
      <w:r w:rsidR="007C30E7">
        <w:t xml:space="preserve"> the fifth hypothesis was </w:t>
      </w:r>
      <w:r w:rsidR="00D51BFC">
        <w:t>confirmed since</w:t>
      </w:r>
      <w:r w:rsidRPr="000D7D3D">
        <w:t xml:space="preserve"> multiple metabolites</w:t>
      </w:r>
      <w:r w:rsidR="007F0A8E">
        <w:t xml:space="preserve"> </w:t>
      </w:r>
      <w:r w:rsidRPr="000D7D3D">
        <w:t xml:space="preserve">enhanced </w:t>
      </w:r>
      <w:r w:rsidR="00742A4A">
        <w:t>by</w:t>
      </w:r>
      <w:r w:rsidR="007F0A8E">
        <w:t xml:space="preserve"> the</w:t>
      </w:r>
      <w:r w:rsidRPr="000D7D3D">
        <w:t xml:space="preserve"> presence of </w:t>
      </w:r>
      <w:r w:rsidR="00742D9E">
        <w:t>HAP</w:t>
      </w:r>
      <w:r w:rsidR="00742D9E" w:rsidRPr="000D7D3D">
        <w:t xml:space="preserve"> </w:t>
      </w:r>
      <w:r w:rsidR="007F0A8E">
        <w:t>in NS or S</w:t>
      </w:r>
      <w:r w:rsidR="00742A4A">
        <w:t xml:space="preserve"> condition</w:t>
      </w:r>
      <w:r w:rsidR="00D51BFC">
        <w:t xml:space="preserve"> </w:t>
      </w:r>
      <w:r w:rsidR="00742A4A">
        <w:t>or</w:t>
      </w:r>
      <w:r w:rsidR="00A17A48">
        <w:t xml:space="preserve"> </w:t>
      </w:r>
      <w:r w:rsidR="007F0A8E">
        <w:t>both</w:t>
      </w:r>
      <w:r w:rsidR="00F364DE">
        <w:t xml:space="preserve"> </w:t>
      </w:r>
      <w:r w:rsidR="00D51BFC">
        <w:t xml:space="preserve">were identified </w:t>
      </w:r>
      <w:r w:rsidR="00F364DE">
        <w:t>(F</w:t>
      </w:r>
      <w:r w:rsidR="00DB51FF">
        <w:t>igure 5.12</w:t>
      </w:r>
      <w:r w:rsidR="00F364DE">
        <w:t>)</w:t>
      </w:r>
      <w:r w:rsidR="00403B4C">
        <w:t xml:space="preserve">, including </w:t>
      </w:r>
      <w:r w:rsidR="00DB51FF">
        <w:t>LM</w:t>
      </w:r>
      <w:r w:rsidR="00403B4C">
        <w:t>WOAs that have been previously described in mineral weathering.</w:t>
      </w:r>
      <w:r w:rsidRPr="000D7D3D">
        <w:br w:type="page"/>
      </w:r>
    </w:p>
    <w:p w14:paraId="596B4C90" w14:textId="6D00480C" w:rsidR="00F2503F" w:rsidRDefault="00F2503F" w:rsidP="00635993">
      <w:pPr>
        <w:pStyle w:val="Title"/>
      </w:pPr>
      <w:bookmarkStart w:id="542" w:name="_Toc507604090"/>
      <w:bookmarkStart w:id="543" w:name="_Toc507604357"/>
      <w:bookmarkStart w:id="544" w:name="_Toc519017059"/>
      <w:bookmarkStart w:id="545" w:name="_Toc520837972"/>
      <w:r>
        <w:lastRenderedPageBreak/>
        <w:t xml:space="preserve">Chapter 6. </w:t>
      </w:r>
      <w:r w:rsidR="007A0D8D">
        <w:t xml:space="preserve">Unravelling the molecular mechanisms of </w:t>
      </w:r>
      <w:r w:rsidR="009659EC">
        <w:t>hydroxyapatite</w:t>
      </w:r>
      <w:r w:rsidR="007A0D8D">
        <w:t xml:space="preserve"> weathering </w:t>
      </w:r>
      <w:r w:rsidR="009659EC">
        <w:t xml:space="preserve">driven </w:t>
      </w:r>
      <w:r w:rsidR="007A0D8D">
        <w:t xml:space="preserve">by the </w:t>
      </w:r>
      <w:r w:rsidR="009659EC">
        <w:t>ectomycorrhizal</w:t>
      </w:r>
      <w:r w:rsidR="00AD6377">
        <w:t xml:space="preserve"> fungus </w:t>
      </w:r>
      <w:r w:rsidR="007A0D8D" w:rsidRPr="00FB36B8">
        <w:rPr>
          <w:i/>
        </w:rPr>
        <w:t>Paxillus</w:t>
      </w:r>
      <w:r w:rsidR="007A0D8D" w:rsidRPr="00635993">
        <w:rPr>
          <w:i/>
        </w:rPr>
        <w:t xml:space="preserve"> involutus</w:t>
      </w:r>
      <w:bookmarkEnd w:id="542"/>
      <w:bookmarkEnd w:id="543"/>
      <w:bookmarkEnd w:id="544"/>
      <w:bookmarkEnd w:id="545"/>
    </w:p>
    <w:p w14:paraId="638CE7E6" w14:textId="77777777" w:rsidR="00155C6A" w:rsidRPr="000D7D3D" w:rsidRDefault="00155C6A" w:rsidP="00635993"/>
    <w:p w14:paraId="2361A8A5" w14:textId="2AFADF8B" w:rsidR="004E20E8" w:rsidRPr="004E20E8" w:rsidRDefault="00D13CAF" w:rsidP="004E20E8">
      <w:pPr>
        <w:pStyle w:val="Heading1"/>
      </w:pPr>
      <w:bookmarkStart w:id="546" w:name="_Toc507604091"/>
      <w:bookmarkStart w:id="547" w:name="_Toc507604358"/>
      <w:bookmarkStart w:id="548" w:name="_Toc519017060"/>
      <w:bookmarkStart w:id="549" w:name="_Toc520837973"/>
      <w:r w:rsidRPr="001563DA">
        <w:t>6</w:t>
      </w:r>
      <w:r w:rsidR="00AE35F1" w:rsidRPr="001563DA">
        <w:t>.1 General Discussion</w:t>
      </w:r>
      <w:bookmarkEnd w:id="546"/>
      <w:bookmarkEnd w:id="547"/>
      <w:bookmarkEnd w:id="548"/>
      <w:bookmarkEnd w:id="549"/>
    </w:p>
    <w:p w14:paraId="1EFE22B9" w14:textId="635A76FB" w:rsidR="00716FFA" w:rsidRDefault="00BD181E" w:rsidP="00635993">
      <w:pPr>
        <w:pStyle w:val="Heading2"/>
      </w:pPr>
      <w:bookmarkStart w:id="550" w:name="_Toc507604092"/>
      <w:bookmarkStart w:id="551" w:name="_Toc507604359"/>
      <w:bookmarkStart w:id="552" w:name="_Toc519017061"/>
      <w:bookmarkStart w:id="553" w:name="_Toc520837974"/>
      <w:r>
        <w:t xml:space="preserve">6.1.1 </w:t>
      </w:r>
      <w:r w:rsidR="00AD6377">
        <w:t>Inorganic phosphorus</w:t>
      </w:r>
      <w:r>
        <w:t xml:space="preserve"> availability and hydroxyapatite weathering</w:t>
      </w:r>
      <w:bookmarkEnd w:id="550"/>
      <w:bookmarkEnd w:id="551"/>
      <w:bookmarkEnd w:id="552"/>
      <w:bookmarkEnd w:id="553"/>
    </w:p>
    <w:p w14:paraId="257A9FAC" w14:textId="5C844298" w:rsidR="00E97B58" w:rsidRPr="001B51CA" w:rsidRDefault="00940941" w:rsidP="007C3C15">
      <w:r>
        <w:t>The r</w:t>
      </w:r>
      <w:r w:rsidR="00EF00B9">
        <w:t xml:space="preserve">esults presented in </w:t>
      </w:r>
      <w:r>
        <w:t>this</w:t>
      </w:r>
      <w:r w:rsidR="00EF00B9">
        <w:t xml:space="preserve"> thesis show that </w:t>
      </w:r>
      <w:r w:rsidR="00E36A58">
        <w:t>varying</w:t>
      </w:r>
      <w:r w:rsidR="007708AB">
        <w:t xml:space="preserve"> levels of inorganic </w:t>
      </w:r>
      <w:r w:rsidR="006E0DE4">
        <w:t>phosphor</w:t>
      </w:r>
      <w:r w:rsidR="007708AB">
        <w:t>us (Pi)</w:t>
      </w:r>
      <w:r w:rsidR="00EF00B9">
        <w:t xml:space="preserve"> </w:t>
      </w:r>
      <w:r w:rsidR="00E36A58">
        <w:t>strongly</w:t>
      </w:r>
      <w:r w:rsidR="00EF00B9">
        <w:t xml:space="preserve"> </w:t>
      </w:r>
      <w:r w:rsidR="00BD181E">
        <w:t>affect</w:t>
      </w:r>
      <w:r w:rsidR="00E36A58">
        <w:t xml:space="preserve"> </w:t>
      </w:r>
      <w:r w:rsidR="00AD6377">
        <w:t xml:space="preserve">the </w:t>
      </w:r>
      <w:r w:rsidR="00E36A58">
        <w:t xml:space="preserve">growth and </w:t>
      </w:r>
      <w:r w:rsidR="00EF00B9">
        <w:t>morphology</w:t>
      </w:r>
      <w:r w:rsidR="00E36A58">
        <w:t xml:space="preserve"> of</w:t>
      </w:r>
      <w:r w:rsidR="00662F3C">
        <w:t xml:space="preserve"> the ectomycorrhizal </w:t>
      </w:r>
      <w:r w:rsidR="00AD6377">
        <w:t>(EM)</w:t>
      </w:r>
      <w:r w:rsidR="00E36A58">
        <w:t xml:space="preserve"> </w:t>
      </w:r>
      <w:r w:rsidR="00AD6377">
        <w:t>fungus</w:t>
      </w:r>
      <w:r w:rsidR="00AD6377">
        <w:rPr>
          <w:i/>
        </w:rPr>
        <w:t xml:space="preserve"> </w:t>
      </w:r>
      <w:r w:rsidR="00E36A58">
        <w:rPr>
          <w:i/>
        </w:rPr>
        <w:t>P</w:t>
      </w:r>
      <w:r w:rsidR="00B54EE6">
        <w:rPr>
          <w:i/>
        </w:rPr>
        <w:t>axillus</w:t>
      </w:r>
      <w:r w:rsidR="00E36A58" w:rsidRPr="00D707D4">
        <w:rPr>
          <w:i/>
        </w:rPr>
        <w:t xml:space="preserve"> involutus</w:t>
      </w:r>
      <w:r w:rsidR="00E36A58">
        <w:t xml:space="preserve"> (Figures 2.2, 2.4 and 3.1A), </w:t>
      </w:r>
      <w:r w:rsidR="001B2934">
        <w:t xml:space="preserve">and </w:t>
      </w:r>
      <w:r w:rsidR="00F065DC">
        <w:t>trigger</w:t>
      </w:r>
      <w:r w:rsidR="00E36A58">
        <w:t xml:space="preserve"> s</w:t>
      </w:r>
      <w:r w:rsidR="00AD6377">
        <w:t>ignificant changes in the hyph</w:t>
      </w:r>
      <w:r w:rsidR="00662F3C">
        <w:t>al</w:t>
      </w:r>
      <w:r w:rsidR="00E36A58">
        <w:t xml:space="preserve"> transcriptional response</w:t>
      </w:r>
      <w:r>
        <w:t>s</w:t>
      </w:r>
      <w:r w:rsidR="00E36A58">
        <w:t xml:space="preserve"> (Figure 2.8 and Figures 3.2-3.9)</w:t>
      </w:r>
      <w:r w:rsidR="00EF00B9">
        <w:t>.</w:t>
      </w:r>
      <w:r w:rsidR="00BD181E">
        <w:t xml:space="preserve"> In particular, </w:t>
      </w:r>
      <w:r w:rsidR="00AD6377">
        <w:t xml:space="preserve">global </w:t>
      </w:r>
      <w:r w:rsidR="00BD181E">
        <w:t>transcriptomic analysis revealed that</w:t>
      </w:r>
      <w:r w:rsidR="007708AB">
        <w:t xml:space="preserve"> low Pi availability </w:t>
      </w:r>
      <w:r w:rsidR="00CF088E">
        <w:t xml:space="preserve">triggered </w:t>
      </w:r>
      <w:r w:rsidR="00AD6377">
        <w:t xml:space="preserve">the </w:t>
      </w:r>
      <w:r w:rsidR="00CF088E">
        <w:t>upregulation</w:t>
      </w:r>
      <w:r w:rsidR="00AD6377">
        <w:t xml:space="preserve"> of </w:t>
      </w:r>
      <w:r w:rsidR="00CF088E" w:rsidRPr="00CF088E">
        <w:rPr>
          <w:i/>
        </w:rPr>
        <w:t>P. involutus</w:t>
      </w:r>
      <w:r w:rsidR="00CF088E">
        <w:t xml:space="preserve"> </w:t>
      </w:r>
      <w:r w:rsidR="00B16115">
        <w:t>genes related to</w:t>
      </w:r>
      <w:r w:rsidR="00BD181E">
        <w:t xml:space="preserve"> </w:t>
      </w:r>
      <w:r w:rsidR="007708AB">
        <w:t xml:space="preserve">Pi </w:t>
      </w:r>
      <w:r w:rsidR="00B16115" w:rsidRPr="000D7D3D">
        <w:t>transport</w:t>
      </w:r>
      <w:r>
        <w:t>, such as high-</w:t>
      </w:r>
      <w:r w:rsidR="00B16115">
        <w:t>affinity Pi transporters,</w:t>
      </w:r>
      <w:r w:rsidR="00B16115" w:rsidRPr="000D7D3D">
        <w:t xml:space="preserve"> or</w:t>
      </w:r>
      <w:r w:rsidR="00B16115">
        <w:t xml:space="preserve"> </w:t>
      </w:r>
      <w:r w:rsidR="007708AB">
        <w:t xml:space="preserve">to Pi </w:t>
      </w:r>
      <w:r w:rsidR="00B16115" w:rsidRPr="000D7D3D">
        <w:t>metabolism</w:t>
      </w:r>
      <w:r w:rsidR="00B16115">
        <w:t>, such as multiple (acid) phosphatases</w:t>
      </w:r>
      <w:r w:rsidR="00F50D78">
        <w:t xml:space="preserve">, in both </w:t>
      </w:r>
      <w:r w:rsidR="007708AB">
        <w:t>non-symbiotic (</w:t>
      </w:r>
      <w:r w:rsidR="00F50D78">
        <w:t>NS</w:t>
      </w:r>
      <w:r w:rsidR="007708AB">
        <w:t>)</w:t>
      </w:r>
      <w:r w:rsidR="00F50D78">
        <w:t xml:space="preserve"> </w:t>
      </w:r>
      <w:r w:rsidR="00CF088E">
        <w:t>or</w:t>
      </w:r>
      <w:r w:rsidR="007708AB">
        <w:t xml:space="preserve"> symbiotic</w:t>
      </w:r>
      <w:r w:rsidR="00F50D78">
        <w:t xml:space="preserve"> </w:t>
      </w:r>
      <w:r w:rsidR="007708AB">
        <w:t>(</w:t>
      </w:r>
      <w:r w:rsidR="00F50D78">
        <w:t>S</w:t>
      </w:r>
      <w:r w:rsidR="007708AB">
        <w:t>)</w:t>
      </w:r>
      <w:r w:rsidR="00F50D78">
        <w:t xml:space="preserve"> condition</w:t>
      </w:r>
      <w:r w:rsidR="007708AB">
        <w:t>s</w:t>
      </w:r>
      <w:r w:rsidR="00CF088E">
        <w:t xml:space="preserve"> with its host </w:t>
      </w:r>
      <w:r w:rsidR="00CF088E">
        <w:rPr>
          <w:i/>
        </w:rPr>
        <w:t>Pinus</w:t>
      </w:r>
      <w:r w:rsidR="0023338D" w:rsidRPr="0023338D">
        <w:rPr>
          <w:i/>
        </w:rPr>
        <w:t xml:space="preserve"> sylvestris</w:t>
      </w:r>
      <w:r w:rsidR="00B16115">
        <w:t xml:space="preserve"> (Figures 3.4A and 3.5A)</w:t>
      </w:r>
      <w:r w:rsidR="009F5DBC">
        <w:t xml:space="preserve">. </w:t>
      </w:r>
      <w:r w:rsidR="00B16115">
        <w:t xml:space="preserve">Additionally, </w:t>
      </w:r>
      <w:r w:rsidR="00F065DC">
        <w:t>low</w:t>
      </w:r>
      <w:r w:rsidR="007708AB">
        <w:t xml:space="preserve"> Pi availability resulted</w:t>
      </w:r>
      <w:r w:rsidR="00BD181E">
        <w:t xml:space="preserve"> in downregulation of </w:t>
      </w:r>
      <w:r w:rsidR="00F065DC">
        <w:t xml:space="preserve">genes involved in </w:t>
      </w:r>
      <w:r w:rsidR="007708AB">
        <w:t>nitrogen (</w:t>
      </w:r>
      <w:r w:rsidR="00BD181E">
        <w:t>N</w:t>
      </w:r>
      <w:r w:rsidR="007708AB">
        <w:t>)</w:t>
      </w:r>
      <w:r w:rsidR="00BD181E">
        <w:t xml:space="preserve"> primary metabolism and </w:t>
      </w:r>
      <w:r w:rsidR="00F2786F">
        <w:t>uptake</w:t>
      </w:r>
      <w:r w:rsidR="00BD181E">
        <w:t>, such as nitrate reductases, necessary for N uptake in fungi</w:t>
      </w:r>
      <w:r w:rsidR="00D9161C">
        <w:t xml:space="preserve"> </w:t>
      </w:r>
      <w:r w:rsidR="00D9161C">
        <w:fldChar w:fldCharType="begin" w:fldLock="1"/>
      </w:r>
      <w:r w:rsidR="00EE33AB">
        <w:instrText>ADDIN CSL_CITATION {"citationItems":[{"id":"ITEM-1","itemData":{"DOI":"10.1074/jbc.M403974200","ISSN":"0021-9258","author":[{"dropping-particle":"","family":"Unkles","given":"Shiela E.","non-dropping-particle":"","parse-names":false,"suffix":""},{"dropping-particle":"","family":"Wang","given":"Rongchen","non-dropping-particle":"","parse-names":false,"suffix":""},{"dropping-particle":"","family":"Wang","given":"Ye","non-dropping-particle":"","parse-names":false,"suffix":""},{"dropping-particle":"","family":"Glass","given":"Anthony D. M.","non-dropping-particle":"","parse-names":false,"suffix":""},{"dropping-particle":"","family":"Crawford","given":"Nigel M.","non-dropping-particle":"","parse-names":false,"suffix":""},{"dropping-particle":"","family":"Kinghorn","given":"James R.","non-dropping-particle":"","parse-names":false,"suffix":""}],"container-title":"Journal of Biological Chemistry","id":"ITEM-1","issue":"27","issued":{"date-parts":[["2004"]]},"page":"28182-28186","title":"Nitrate Reductase Activity Is Required for Nitrate Uptake into Fungal but Not Plant Cells","type":"article-journal","volume":"279"},"uris":["http://www.mendeley.com/documents/?uuid=64699f40-78bf-4a15-a47c-a1a0db6d4aaa"]}],"mendeley":{"formattedCitation":"(Unkles et al., 2004)","plainTextFormattedCitation":"(Unkles et al., 2004)","previouslyFormattedCitation":"(Unkles et al., 2004)"},"properties":{"noteIndex":0},"schema":"https://github.com/citation-style-language/schema/raw/master/csl-citation.json"}</w:instrText>
      </w:r>
      <w:r w:rsidR="00D9161C">
        <w:fldChar w:fldCharType="separate"/>
      </w:r>
      <w:r w:rsidR="00D9161C" w:rsidRPr="00D9161C">
        <w:rPr>
          <w:noProof/>
        </w:rPr>
        <w:t>(Unkles et al., 2004)</w:t>
      </w:r>
      <w:r w:rsidR="00D9161C">
        <w:fldChar w:fldCharType="end"/>
      </w:r>
      <w:r w:rsidR="00BD181E">
        <w:t>, or ammonium permease</w:t>
      </w:r>
      <w:r w:rsidR="00F065DC">
        <w:t>s</w:t>
      </w:r>
      <w:r w:rsidR="001B2934">
        <w:t xml:space="preserve"> </w:t>
      </w:r>
      <w:r w:rsidR="00BD181E">
        <w:t xml:space="preserve">(Figures </w:t>
      </w:r>
      <w:r w:rsidR="00E36A58">
        <w:t>3.4B and 3.5B</w:t>
      </w:r>
      <w:r w:rsidR="00BD181E">
        <w:t>)</w:t>
      </w:r>
      <w:r w:rsidR="00E36A58">
        <w:t xml:space="preserve">. </w:t>
      </w:r>
      <w:r w:rsidR="00D9161C">
        <w:t>Interestingly, among</w:t>
      </w:r>
      <w:r w:rsidR="00C43364">
        <w:t xml:space="preserve"> the genes most significantly downregulated by low Pi availability in </w:t>
      </w:r>
      <w:r w:rsidR="00C30EFC">
        <w:t xml:space="preserve">the </w:t>
      </w:r>
      <w:r w:rsidR="00C43364">
        <w:t>S condition</w:t>
      </w:r>
      <w:r w:rsidR="00C30EFC">
        <w:t>,</w:t>
      </w:r>
      <w:r w:rsidR="00CF088E">
        <w:t xml:space="preserve"> there are</w:t>
      </w:r>
      <w:r w:rsidR="001B51CA">
        <w:t xml:space="preserve"> genes</w:t>
      </w:r>
      <w:r w:rsidR="00C30EFC">
        <w:t xml:space="preserve"> encoding for proteins</w:t>
      </w:r>
      <w:r w:rsidR="001B51CA">
        <w:t xml:space="preserve"> involved in N transfer </w:t>
      </w:r>
      <w:r w:rsidR="007708AB">
        <w:t>to the host plant, including an</w:t>
      </w:r>
      <w:r w:rsidR="00C43364">
        <w:t xml:space="preserve"> </w:t>
      </w:r>
      <w:r w:rsidR="00F2786F">
        <w:t>ammonium</w:t>
      </w:r>
      <w:r w:rsidR="007708AB">
        <w:t xml:space="preserve"> transporter, a</w:t>
      </w:r>
      <w:r w:rsidR="00C43364">
        <w:t xml:space="preserve"> urea transporter and a MATE efflux pump potentially involved in amino acid efflux</w:t>
      </w:r>
      <w:r w:rsidR="001B51CA">
        <w:t xml:space="preserve"> </w:t>
      </w:r>
      <w:r w:rsidR="001B51CA">
        <w:fldChar w:fldCharType="begin" w:fldLock="1"/>
      </w:r>
      <w:r w:rsidR="00EE33AB">
        <w:instrText>ADDIN CSL_CITATION {"citationItems":[{"id":"ITEM-1","itemData":{"DOI":"10.1007/s11427-012-4330-y","ISBN":"1869-1889 (Electronic)\\n1674-7305 (Linking)","ISSN":"16747305","PMID":"22744177","abstract":"Arbuscular mycorrhizal (AM) fungi are obligate symbionts that colonize the roots of more than 80% of land plants. Experiments on the relationship between the host plant and AM in soil or in sterile root-organ culture have provided clear evidence that the extraradical mycelia of AM fungi uptake various forms of nitrogen (N) and transport the assimilated N to the roots of the host plant. However, the uptake mechanisms of various forms of N and its translocation and transfer from the fungus to the host are virtually unknown. Therefore, there is a dearth of integrated models describing the movement of N through the AM fungal hyphae. Recent studies examined Ri T-DNA-transformed carrot roots colonized with AM fungi in (15)N tracer experiments. In these experiments, the activities of key enzymes were determined, and expressions of genes related to N assimilation and translocation pathways were quantified. This review summarizes and discusses the results of recent research on the forms of N uptake, transport, degradation, and transfer to the roots of the host plant and the underlying mechanisms, as well as research on the forms of N and carbon used by germinating spores and their effects on amino acid metabolism. Finally, a pathway model summarizing the entire mechanism of N metabolism in AM fungi is outlined.","author":[{"dropping-particle":"","family":"Jin","given":"Hai Ru","non-dropping-particle":"","parse-names":false,"suffix":""},{"dropping-particle":"","family":"Liu","given":"Jie","non-dropping-particle":"","parse-names":false,"suffix":""},{"dropping-particle":"","family":"Liu","given":"Jing","non-dropping-particle":"","parse-names":false,"suffix":""},{"dropping-particle":"","family":"Huang","given":"Xiao Wei","non-dropping-particle":"","parse-names":false,"suffix":""}],"container-title":"Science China Life Sciences","id":"ITEM-1","issue":"6","issued":{"date-parts":[["2012"]]},"page":"474-482","title":"Forms of nitrogen uptake, translocation, and transfer via arbuscular mycorrhizal fungi: A review","type":"article-journal","volume":"55"},"uris":["http://www.mendeley.com/documents/?uuid=d9cc750c-3dd1-4b6d-9fa6-b4d72f86d7f0"]}],"mendeley":{"formattedCitation":"(Jin et al., 2012)","plainTextFormattedCitation":"(Jin et al., 2012)","previouslyFormattedCitation":"(Jin et al., 2012)"},"properties":{"noteIndex":0},"schema":"https://github.com/citation-style-language/schema/raw/master/csl-citation.json"}</w:instrText>
      </w:r>
      <w:r w:rsidR="001B51CA">
        <w:fldChar w:fldCharType="separate"/>
      </w:r>
      <w:r w:rsidR="001B51CA" w:rsidRPr="001B51CA">
        <w:rPr>
          <w:noProof/>
        </w:rPr>
        <w:t>(Jin et al., 2012)</w:t>
      </w:r>
      <w:r w:rsidR="001B51CA">
        <w:fldChar w:fldCharType="end"/>
      </w:r>
      <w:r w:rsidR="001B51CA">
        <w:t xml:space="preserve">. </w:t>
      </w:r>
      <w:r w:rsidR="00F10108">
        <w:t>It is well known that t</w:t>
      </w:r>
      <w:r w:rsidR="001B2934">
        <w:t>he m</w:t>
      </w:r>
      <w:r w:rsidR="001B2934" w:rsidRPr="001B2934">
        <w:t xml:space="preserve">ycorrhizal symbiosis </w:t>
      </w:r>
      <w:r w:rsidR="001B2934">
        <w:t>enhances</w:t>
      </w:r>
      <w:r w:rsidR="00B16115">
        <w:t xml:space="preserve"> both</w:t>
      </w:r>
      <w:r w:rsidR="001B2934" w:rsidRPr="001B2934">
        <w:t xml:space="preserve"> </w:t>
      </w:r>
      <w:r w:rsidR="00CF088E">
        <w:t>P</w:t>
      </w:r>
      <w:r w:rsidR="001B2934">
        <w:t xml:space="preserve"> and </w:t>
      </w:r>
      <w:r w:rsidR="00983BD7">
        <w:t>N</w:t>
      </w:r>
      <w:r w:rsidR="001B2934">
        <w:t xml:space="preserve"> acquisition in</w:t>
      </w:r>
      <w:r w:rsidR="001B2934" w:rsidRPr="001B2934">
        <w:t xml:space="preserve"> limiting conditions</w:t>
      </w:r>
      <w:r w:rsidR="00F10108">
        <w:t xml:space="preserve"> </w:t>
      </w:r>
      <w:r w:rsidR="00983BD7">
        <w:fldChar w:fldCharType="begin" w:fldLock="1"/>
      </w:r>
      <w:r w:rsidR="00EE33AB">
        <w:instrText>ADDIN CSL_CITATION {"citationItems":[{"id":"ITEM-1","itemData":{"author":[{"dropping-particle":"","family":"Brandes","given":"Bettina","non-dropping-particle":"","parse-names":false,"suffix":""},{"dropping-particle":"","family":"Godbold","given":"Douglas L","non-dropping-particle":"","parse-names":false,"suffix":""},{"dropping-particle":"","family":"Kuhn","given":"Arnd J","non-dropping-particle":"","parse-names":false,"suffix":""},{"dropping-particle":"","family":"Jentschke","given":"Georg","non-dropping-particle":"","parse-names":false,"suffix":""},{"dropping-particle":"","family":"Brandes","given":"B Y Bettina","non-dropping-particle":"","parse-names":false,"suffix":""},{"dropping-particle":"","family":"Godbold","given":"L","non-dropping-particle":"","parse-names":false,"suffix":""}],"container-title":"New Phytologist","id":"ITEM-1","issue":"4","issued":{"date-parts":[["1998"]]},"page":"735-743","title":"Nitrogen and phosphorus acquisition by the mycelium of the ectomycorrhizal fungus Paxillus invointus and its effect on host nutrition","type":"article-journal","volume":"140"},"uris":["http://www.mendeley.com/documents/?uuid=56fc6d17-6740-4208-b925-c4ca113cd665"]},{"id":"ITEM-2","itemData":{"author":[{"dropping-particle":"","family":"Bücking","given":"Heike","non-dropping-particle":"","parse-names":false,"suffix":""},{"dropping-particle":"","family":"Liepold","given":"Elliot","non-dropping-particle":"","parse-names":false,"suffix":""},{"dropping-particle":"","family":"Ambilwade","given":"Prashant","non-dropping-particle":"","parse-names":false,"suffix":""}],"container-title":"Plant science","id":"ITEM-2","issued":{"date-parts":[["2012"]]},"title":"The Role of the Mycorrhizal Symbiosis in Nutrient Uptake of Plants and the Regulatory Mechanisms Underlying These Transport Processes","type":"chapter"},"uris":["http://www.mendeley.com/documents/?uuid=0c6aa680-4e0e-4c04-b6f1-660b5c7ca163"]}],"mendeley":{"formattedCitation":"(Brandes et al., 1998; Bücking et al., 2012)","plainTextFormattedCitation":"(Brandes et al., 1998; Bücking et al., 2012)","previouslyFormattedCitation":"(Brandes et al., 1998; Bücking et al., 2012)"},"properties":{"noteIndex":0},"schema":"https://github.com/citation-style-language/schema/raw/master/csl-citation.json"}</w:instrText>
      </w:r>
      <w:r w:rsidR="00983BD7">
        <w:fldChar w:fldCharType="separate"/>
      </w:r>
      <w:r w:rsidR="00FB4AFE" w:rsidRPr="00FB4AFE">
        <w:rPr>
          <w:noProof/>
        </w:rPr>
        <w:t>(Brandes et al., 1998; Bücking et al., 2012)</w:t>
      </w:r>
      <w:r w:rsidR="00983BD7">
        <w:fldChar w:fldCharType="end"/>
      </w:r>
      <w:r w:rsidR="00F10108">
        <w:t xml:space="preserve">. </w:t>
      </w:r>
      <w:r w:rsidR="001B51CA">
        <w:t>However, a study</w:t>
      </w:r>
      <w:r w:rsidR="00C43364">
        <w:t xml:space="preserve"> reported</w:t>
      </w:r>
      <w:r w:rsidR="00F10108">
        <w:t xml:space="preserve"> that </w:t>
      </w:r>
      <w:r w:rsidR="00C43364">
        <w:t>the type</w:t>
      </w:r>
      <w:r w:rsidR="007708AB">
        <w:t>s</w:t>
      </w:r>
      <w:r w:rsidR="00C43364">
        <w:t xml:space="preserve"> of</w:t>
      </w:r>
      <w:r w:rsidR="00B16115">
        <w:t xml:space="preserve"> plant-fungus interaction</w:t>
      </w:r>
      <w:r w:rsidR="00983BD7">
        <w:t xml:space="preserve"> during </w:t>
      </w:r>
      <w:r w:rsidR="007708AB">
        <w:t>arbuscular mycorrhiza (</w:t>
      </w:r>
      <w:r w:rsidR="00983BD7">
        <w:t>AM</w:t>
      </w:r>
      <w:r w:rsidR="007708AB">
        <w:t>)</w:t>
      </w:r>
      <w:r w:rsidR="00983BD7">
        <w:t xml:space="preserve"> symbiosis</w:t>
      </w:r>
      <w:r w:rsidR="00B16115">
        <w:t xml:space="preserve">, </w:t>
      </w:r>
      <w:r w:rsidR="001B51CA">
        <w:t xml:space="preserve">ranging </w:t>
      </w:r>
      <w:r w:rsidR="00B16115" w:rsidRPr="00B16115">
        <w:t>from mutually symbiotic to parasitic</w:t>
      </w:r>
      <w:r w:rsidR="00B16115">
        <w:t xml:space="preserve">, are affected by </w:t>
      </w:r>
      <w:r w:rsidR="009A0B2E">
        <w:t>different</w:t>
      </w:r>
      <w:r w:rsidR="009F5DBC">
        <w:t xml:space="preserve"> combinations of limited a</w:t>
      </w:r>
      <w:r w:rsidR="00CF088E">
        <w:t>vailability of both P</w:t>
      </w:r>
      <w:r w:rsidR="009A0B2E">
        <w:t xml:space="preserve"> and N</w:t>
      </w:r>
      <w:r w:rsidR="00983BD7">
        <w:t xml:space="preserve"> </w:t>
      </w:r>
      <w:r w:rsidR="00983BD7">
        <w:fldChar w:fldCharType="begin" w:fldLock="1"/>
      </w:r>
      <w:r w:rsidR="00EE33AB">
        <w:instrText>ADDIN CSL_CITATION {"citationItems":[{"id":"ITEM-1","itemData":{"DOI":"10.1371/journal.pone.0090841","ISBN":"1932-6203","ISSN":"19326203","PMID":"24608923","abstract":"Phosphorus and nitrogen are essential nutrient elements that are needed by plants in large amounts. The arbuscular mycorrhizal symbiosis between plants and soil fungi improves phosphorus and nitrogen acquisition under limiting conditions. On the other hand, these nutrients influence root colonization by mycorrhizal fungi and symbiotic functioning. This represents a feedback mechanism that allows plants to control the fungal symbiont depending on nutrient requirements and supply. Elevated phosphorus supply has previously been shown to exert strong inhibition of arbuscular mycorrhizal development. Here, we address to what extent inhibition by phosphorus is influenced by other nutritional pathways in the interaction between Petunia hybrida and R. irregularis. We show that phosphorus and nitrogen are the major nutritional determinants of the interaction. Interestingly, the symbiosis-promoting effect of nitrogen starvation dominantly overruled the suppressive effect of high phosphorus nutrition onto arbuscular mycorrhiza, suggesting that plants promote the symbiosis as long as they are limited by one of the two major nutrients. Our results also show that in a given pair of symbiotic partners (Petunia hybrida and R. irregularis), the entire range from mutually symbiotic to parasitic can be observed depending on the nutritional conditions. Taken together, these results reveal complex nutritional feedback mechanisms in the control of root colonization by arbuscular mycorrhizal fungi.","author":[{"dropping-particle":"","family":"Nouri","given":"Eva","non-dropping-particle":"","parse-names":false,"suffix":""},{"dropping-particle":"","family":"Breuillin-Sessoms","given":"Florence","non-dropping-particle":"","parse-names":false,"suffix":""},{"dropping-particle":"","family":"Feller","given":"Urs","non-dropping-particle":"","parse-names":false,"suffix":""},{"dropping-particle":"","family":"Reinhardt","given":"Didier","non-dropping-particle":"","parse-names":false,"suffix":""}],"container-title":"PLoS ONE","id":"ITEM-1","issue":"3","issued":{"date-parts":[["2014"]]},"title":"Phosphorus and nitrogen regulate arbuscular mycorrhizal symbiosis in petunia hybrida","type":"article-journal","volume":"9"},"uris":["http://www.mendeley.com/documents/?uuid=20db18e1-8b16-47c7-9e81-59e2197a30cb"]}],"mendeley":{"formattedCitation":"(Nouri et al., 2014)","plainTextFormattedCitation":"(Nouri et al., 2014)","previouslyFormattedCitation":"(Nouri et al., 2014)"},"properties":{"noteIndex":0},"schema":"https://github.com/citation-style-language/schema/raw/master/csl-citation.json"}</w:instrText>
      </w:r>
      <w:r w:rsidR="00983BD7">
        <w:fldChar w:fldCharType="separate"/>
      </w:r>
      <w:r w:rsidR="00983BD7" w:rsidRPr="001B51CA">
        <w:rPr>
          <w:noProof/>
        </w:rPr>
        <w:t>(Nouri et al., 2014)</w:t>
      </w:r>
      <w:r w:rsidR="00983BD7">
        <w:fldChar w:fldCharType="end"/>
      </w:r>
      <w:r w:rsidR="00983BD7">
        <w:t xml:space="preserve">. </w:t>
      </w:r>
      <w:r w:rsidR="00F065DC">
        <w:t>I</w:t>
      </w:r>
      <w:r w:rsidR="00983BD7">
        <w:t>n particular,</w:t>
      </w:r>
      <w:r w:rsidR="00BD10CE">
        <w:t xml:space="preserve"> </w:t>
      </w:r>
      <w:r w:rsidR="00CF088E">
        <w:t>varying Pi content resulted</w:t>
      </w:r>
      <w:r w:rsidR="00BD10CE">
        <w:t xml:space="preserve"> in</w:t>
      </w:r>
      <w:r w:rsidR="00983BD7">
        <w:t xml:space="preserve"> the</w:t>
      </w:r>
      <w:r w:rsidR="00BD10CE">
        <w:t xml:space="preserve"> AM</w:t>
      </w:r>
      <w:r w:rsidR="00983BD7">
        <w:t xml:space="preserve"> fungus </w:t>
      </w:r>
      <w:r w:rsidR="00F065DC" w:rsidRPr="001563DA">
        <w:rPr>
          <w:i/>
        </w:rPr>
        <w:t>R</w:t>
      </w:r>
      <w:r w:rsidR="003825B5">
        <w:rPr>
          <w:i/>
        </w:rPr>
        <w:t>h</w:t>
      </w:r>
      <w:r w:rsidR="00F065DC">
        <w:rPr>
          <w:i/>
        </w:rPr>
        <w:t>izophagus</w:t>
      </w:r>
      <w:r w:rsidR="00983BD7" w:rsidRPr="00635993">
        <w:rPr>
          <w:i/>
        </w:rPr>
        <w:t xml:space="preserve"> irregularis</w:t>
      </w:r>
      <w:r w:rsidR="00BD10CE">
        <w:t xml:space="preserve"> </w:t>
      </w:r>
      <w:r w:rsidR="00CF088E">
        <w:t xml:space="preserve">to exhibit </w:t>
      </w:r>
      <w:r w:rsidR="00BD10CE">
        <w:t>parasitic behaviour</w:t>
      </w:r>
      <w:r w:rsidR="00C30EFC">
        <w:t>,</w:t>
      </w:r>
      <w:r w:rsidR="00CF088E">
        <w:t xml:space="preserve"> by</w:t>
      </w:r>
      <w:r w:rsidR="00BD10CE">
        <w:t xml:space="preserve"> withdrawing nutrients from </w:t>
      </w:r>
      <w:r w:rsidR="00983BD7">
        <w:t xml:space="preserve">its </w:t>
      </w:r>
      <w:r w:rsidR="00BD10CE">
        <w:t>plant host (</w:t>
      </w:r>
      <w:r w:rsidR="00BD10CE" w:rsidRPr="00635993">
        <w:rPr>
          <w:i/>
        </w:rPr>
        <w:t>Petunia</w:t>
      </w:r>
      <w:r w:rsidR="00983BD7">
        <w:rPr>
          <w:i/>
        </w:rPr>
        <w:t xml:space="preserve"> hybrida</w:t>
      </w:r>
      <w:r w:rsidR="00BD10CE">
        <w:t>)</w:t>
      </w:r>
      <w:r w:rsidR="001B51CA">
        <w:t xml:space="preserve"> </w:t>
      </w:r>
      <w:r w:rsidR="001B51CA">
        <w:fldChar w:fldCharType="begin" w:fldLock="1"/>
      </w:r>
      <w:r w:rsidR="00EE33AB">
        <w:instrText>ADDIN CSL_CITATION {"citationItems":[{"id":"ITEM-1","itemData":{"DOI":"10.1371/journal.pone.0090841","ISBN":"1932-6203","ISSN":"19326203","PMID":"24608923","abstract":"Phosphorus and nitrogen are essential nutrient elements that are needed by plants in large amounts. The arbuscular mycorrhizal symbiosis between plants and soil fungi improves phosphorus and nitrogen acquisition under limiting conditions. On the other hand, these nutrients influence root colonization by mycorrhizal fungi and symbiotic functioning. This represents a feedback mechanism that allows plants to control the fungal symbiont depending on nutrient requirements and supply. Elevated phosphorus supply has previously been shown to exert strong inhibition of arbuscular mycorrhizal development. Here, we address to what extent inhibition by phosphorus is influenced by other nutritional pathways in the interaction between Petunia hybrida and R. irregularis. We show that phosphorus and nitrogen are the major nutritional determinants of the interaction. Interestingly, the symbiosis-promoting effect of nitrogen starvation dominantly overruled the suppressive effect of high phosphorus nutrition onto arbuscular mycorrhiza, suggesting that plants promote the symbiosis as long as they are limited by one of the two major nutrients. Our results also show that in a given pair of symbiotic partners (Petunia hybrida and R. irregularis), the entire range from mutually symbiotic to parasitic can be observed depending on the nutritional conditions. Taken together, these results reveal complex nutritional feedback mechanisms in the control of root colonization by arbuscular mycorrhizal fungi.","author":[{"dropping-particle":"","family":"Nouri","given":"Eva","non-dropping-particle":"","parse-names":false,"suffix":""},{"dropping-particle":"","family":"Breuillin-Sessoms","given":"Florence","non-dropping-particle":"","parse-names":false,"suffix":""},{"dropping-particle":"","family":"Feller","given":"Urs","non-dropping-particle":"","parse-names":false,"suffix":""},{"dropping-particle":"","family":"Reinhardt","given":"Didier","non-dropping-particle":"","parse-names":false,"suffix":""}],"container-title":"PLoS ONE","id":"ITEM-1","issue":"3","issued":{"date-parts":[["2014"]]},"title":"Phosphorus and nitrogen regulate arbuscular mycorrhizal symbiosis in petunia hybrida","type":"article-journal","volume":"9"},"uris":["http://www.mendeley.com/documents/?uuid=20db18e1-8b16-47c7-9e81-59e2197a30cb"]}],"mendeley":{"formattedCitation":"(Nouri et al., 2014)","plainTextFormattedCitation":"(Nouri et al., 2014)","previouslyFormattedCitation":"(Nouri et al., 2014)"},"properties":{"noteIndex":0},"schema":"https://github.com/citation-style-language/schema/raw/master/csl-citation.json"}</w:instrText>
      </w:r>
      <w:r w:rsidR="001B51CA">
        <w:fldChar w:fldCharType="separate"/>
      </w:r>
      <w:r w:rsidR="001B51CA" w:rsidRPr="001B51CA">
        <w:rPr>
          <w:noProof/>
        </w:rPr>
        <w:t>(Nouri et al., 2014)</w:t>
      </w:r>
      <w:r w:rsidR="001B51CA">
        <w:fldChar w:fldCharType="end"/>
      </w:r>
      <w:r w:rsidR="00B16115">
        <w:t>.</w:t>
      </w:r>
      <w:r w:rsidR="00BD10CE">
        <w:t xml:space="preserve"> </w:t>
      </w:r>
      <w:r w:rsidR="00C43364">
        <w:t>The downregulation of putative</w:t>
      </w:r>
      <w:r w:rsidR="00F065DC">
        <w:t xml:space="preserve"> N</w:t>
      </w:r>
      <w:r w:rsidR="007708AB">
        <w:t xml:space="preserve"> </w:t>
      </w:r>
      <w:r w:rsidR="007708AB">
        <w:lastRenderedPageBreak/>
        <w:t>exporters</w:t>
      </w:r>
      <w:r w:rsidR="00662F3C">
        <w:t xml:space="preserve"> during </w:t>
      </w:r>
      <w:r w:rsidR="00F15D91">
        <w:t>EM</w:t>
      </w:r>
      <w:r w:rsidR="00662F3C">
        <w:t xml:space="preserve"> symbiosis</w:t>
      </w:r>
      <w:r w:rsidR="007708AB">
        <w:t xml:space="preserve"> </w:t>
      </w:r>
      <w:r w:rsidR="00C30EFC">
        <w:t>suggest</w:t>
      </w:r>
      <w:r w:rsidR="00F15D91">
        <w:t>s</w:t>
      </w:r>
      <w:r w:rsidR="00C43364">
        <w:t xml:space="preserve"> that, at low Pi availability, </w:t>
      </w:r>
      <w:r w:rsidR="00662F3C">
        <w:t xml:space="preserve">the </w:t>
      </w:r>
      <w:r w:rsidR="007708AB">
        <w:t>EM</w:t>
      </w:r>
      <w:r w:rsidR="00F15D91">
        <w:t xml:space="preserve"> fungus</w:t>
      </w:r>
      <w:r w:rsidR="007708AB">
        <w:t xml:space="preserve"> </w:t>
      </w:r>
      <w:r w:rsidR="00C43364" w:rsidRPr="00635993">
        <w:rPr>
          <w:i/>
        </w:rPr>
        <w:t>P. involutus</w:t>
      </w:r>
      <w:r w:rsidR="007708AB">
        <w:rPr>
          <w:i/>
        </w:rPr>
        <w:t xml:space="preserve"> </w:t>
      </w:r>
      <w:r w:rsidR="007708AB">
        <w:t>may</w:t>
      </w:r>
      <w:r w:rsidR="00C43364" w:rsidRPr="00635993">
        <w:rPr>
          <w:i/>
        </w:rPr>
        <w:t xml:space="preserve"> </w:t>
      </w:r>
      <w:r w:rsidR="007708AB">
        <w:t>also reduce</w:t>
      </w:r>
      <w:r w:rsidR="00C43364">
        <w:t xml:space="preserve"> N transfer towards </w:t>
      </w:r>
      <w:r w:rsidR="00F15D91">
        <w:t>its</w:t>
      </w:r>
      <w:r w:rsidR="00C43364">
        <w:t xml:space="preserve"> plant host.</w:t>
      </w:r>
    </w:p>
    <w:p w14:paraId="1BFEFC66" w14:textId="6A7C603C" w:rsidR="0010628E" w:rsidRDefault="00F15D91" w:rsidP="0010628E">
      <w:pPr>
        <w:ind w:firstLine="720"/>
      </w:pPr>
      <w:r>
        <w:t>L</w:t>
      </w:r>
      <w:r w:rsidR="009A0B2E">
        <w:t>ow</w:t>
      </w:r>
      <w:r w:rsidR="00F065DC">
        <w:t xml:space="preserve"> </w:t>
      </w:r>
      <w:r w:rsidR="009A0B2E">
        <w:t xml:space="preserve">Pi availability </w:t>
      </w:r>
      <w:r w:rsidR="00F50D78">
        <w:t>is required</w:t>
      </w:r>
      <w:r w:rsidR="009A0B2E">
        <w:t xml:space="preserve"> to </w:t>
      </w:r>
      <w:r w:rsidR="00F50D78">
        <w:t>trigger</w:t>
      </w:r>
      <w:r w:rsidR="009A0B2E">
        <w:t xml:space="preserve"> weathering of</w:t>
      </w:r>
      <w:r w:rsidR="007708AB">
        <w:t xml:space="preserve"> the</w:t>
      </w:r>
      <w:r w:rsidR="00F50D78">
        <w:t xml:space="preserve"> Pi-bearing</w:t>
      </w:r>
      <w:r w:rsidR="009A0B2E">
        <w:t xml:space="preserve"> </w:t>
      </w:r>
      <w:r>
        <w:t xml:space="preserve">mineral </w:t>
      </w:r>
      <w:r w:rsidR="007708AB">
        <w:t>hydroxyapatite (</w:t>
      </w:r>
      <w:r w:rsidR="009A0B2E">
        <w:t>HAP</w:t>
      </w:r>
      <w:r w:rsidR="007708AB">
        <w:t>)</w:t>
      </w:r>
      <w:r w:rsidR="009A0B2E">
        <w:t xml:space="preserve"> </w:t>
      </w:r>
      <w:r w:rsidR="007708AB">
        <w:t xml:space="preserve">by </w:t>
      </w:r>
      <w:r>
        <w:t xml:space="preserve">the hyphae of </w:t>
      </w:r>
      <w:r w:rsidR="007708AB" w:rsidRPr="007708AB">
        <w:rPr>
          <w:i/>
        </w:rPr>
        <w:t>P. involutus</w:t>
      </w:r>
      <w:r w:rsidR="007708AB">
        <w:rPr>
          <w:i/>
        </w:rPr>
        <w:t xml:space="preserve"> </w:t>
      </w:r>
      <w:r w:rsidR="009A0B2E">
        <w:t xml:space="preserve">(Figures 4.4 and 4.5). </w:t>
      </w:r>
      <w:r w:rsidR="007708AB">
        <w:t>At the same time</w:t>
      </w:r>
      <w:r w:rsidR="009A0B2E">
        <w:t xml:space="preserve">, </w:t>
      </w:r>
      <w:r w:rsidR="00CF0662">
        <w:t xml:space="preserve">HAP </w:t>
      </w:r>
      <w:r w:rsidR="009A0B2E">
        <w:t xml:space="preserve">weathering results </w:t>
      </w:r>
      <w:r w:rsidR="00F50D78">
        <w:t xml:space="preserve">in Pi </w:t>
      </w:r>
      <w:r w:rsidR="00CF0662">
        <w:t>accumulation with</w:t>
      </w:r>
      <w:r w:rsidR="00F50D78">
        <w:t xml:space="preserve">in the fungal hyphae </w:t>
      </w:r>
      <w:r w:rsidR="00CF0662">
        <w:t xml:space="preserve">(Figure 5.1D), which in turn triggers the repression of </w:t>
      </w:r>
      <w:r w:rsidR="009C1FA1">
        <w:t xml:space="preserve">gene </w:t>
      </w:r>
      <w:r w:rsidR="00F50D78">
        <w:t xml:space="preserve">transcriptional </w:t>
      </w:r>
      <w:r w:rsidR="00E97B58">
        <w:t>response</w:t>
      </w:r>
      <w:r>
        <w:t>s</w:t>
      </w:r>
      <w:r w:rsidR="00E97B58">
        <w:t xml:space="preserve"> </w:t>
      </w:r>
      <w:r w:rsidR="009C1FA1">
        <w:t xml:space="preserve">related </w:t>
      </w:r>
      <w:r w:rsidR="00E97B58">
        <w:t xml:space="preserve">to </w:t>
      </w:r>
      <w:r w:rsidR="009C1FA1">
        <w:t xml:space="preserve">low </w:t>
      </w:r>
      <w:r w:rsidR="00F50D78">
        <w:t xml:space="preserve">Pi availability. The most prominent example is the </w:t>
      </w:r>
      <w:r w:rsidR="00F50D78" w:rsidRPr="007105C2">
        <w:rPr>
          <w:i/>
        </w:rPr>
        <w:t xml:space="preserve">P. involutus </w:t>
      </w:r>
      <w:r w:rsidR="00A470A8">
        <w:t>high-</w:t>
      </w:r>
      <w:r w:rsidR="00F50D78">
        <w:t>affinity Pi transporter</w:t>
      </w:r>
      <w:r>
        <w:t xml:space="preserve"> gene</w:t>
      </w:r>
      <w:r w:rsidR="00F50D78">
        <w:t xml:space="preserve"> </w:t>
      </w:r>
      <w:r w:rsidR="00F50D78" w:rsidRPr="00720F46">
        <w:rPr>
          <w:i/>
        </w:rPr>
        <w:t>PiPT1</w:t>
      </w:r>
      <w:r w:rsidR="00F36673">
        <w:t xml:space="preserve">, </w:t>
      </w:r>
      <w:r w:rsidR="007708AB">
        <w:t xml:space="preserve">of which </w:t>
      </w:r>
      <w:r w:rsidR="00F36673">
        <w:t xml:space="preserve">expression is </w:t>
      </w:r>
      <w:r w:rsidR="007708AB">
        <w:t>upregulated</w:t>
      </w:r>
      <w:r w:rsidR="00E97B58">
        <w:t xml:space="preserve"> at low Pi availability (Figures 3.4A and 3.5A)</w:t>
      </w:r>
      <w:r w:rsidR="006551D2">
        <w:t>, but</w:t>
      </w:r>
      <w:r w:rsidR="00EB28F7">
        <w:t xml:space="preserve"> </w:t>
      </w:r>
      <w:r w:rsidR="009C1FA1">
        <w:t xml:space="preserve">is </w:t>
      </w:r>
      <w:r w:rsidR="00EB28F7">
        <w:t xml:space="preserve">downregulated </w:t>
      </w:r>
      <w:r w:rsidR="009C1FA1">
        <w:t xml:space="preserve">in fungal hyphae grown in the HAP solubilisation system due to HAP weathering </w:t>
      </w:r>
      <w:r>
        <w:t>(Figures 4.8D, 5.4B and 5.5B).</w:t>
      </w:r>
    </w:p>
    <w:p w14:paraId="3D6D76F2" w14:textId="489202BB" w:rsidR="003150A8" w:rsidRDefault="003150A8" w:rsidP="0010628E">
      <w:pPr>
        <w:ind w:firstLine="720"/>
      </w:pPr>
      <w:r>
        <w:t xml:space="preserve">Analysis of Pi content </w:t>
      </w:r>
      <w:r w:rsidR="003A1BB4">
        <w:t>of</w:t>
      </w:r>
      <w:r>
        <w:t xml:space="preserve"> </w:t>
      </w:r>
      <w:r w:rsidRPr="003150A8">
        <w:rPr>
          <w:i/>
        </w:rPr>
        <w:t>P. involutus</w:t>
      </w:r>
      <w:r>
        <w:t xml:space="preserve"> hyphae </w:t>
      </w:r>
      <w:r w:rsidR="003A1BB4">
        <w:t xml:space="preserve">grown </w:t>
      </w:r>
      <w:r>
        <w:t xml:space="preserve">in the HAP solubilisation systems revealed </w:t>
      </w:r>
      <w:r w:rsidR="003A1BB4">
        <w:t xml:space="preserve">that </w:t>
      </w:r>
      <w:r>
        <w:t xml:space="preserve">the highest Pi accumulation </w:t>
      </w:r>
      <w:r w:rsidR="003A1BB4">
        <w:t>in</w:t>
      </w:r>
      <w:r>
        <w:t xml:space="preserve"> </w:t>
      </w:r>
      <w:r w:rsidR="00481FF9">
        <w:t xml:space="preserve">the fungal </w:t>
      </w:r>
      <w:r>
        <w:t xml:space="preserve">hyphae </w:t>
      </w:r>
      <w:r w:rsidR="003A1BB4">
        <w:t>occurred when grown</w:t>
      </w:r>
      <w:r>
        <w:t xml:space="preserve"> in EM symbiosis with </w:t>
      </w:r>
      <w:r w:rsidRPr="003A1BB4">
        <w:rPr>
          <w:i/>
        </w:rPr>
        <w:t>P. sylvestris</w:t>
      </w:r>
      <w:r w:rsidRPr="003150A8">
        <w:t xml:space="preserve"> </w:t>
      </w:r>
      <w:r w:rsidR="00481FF9">
        <w:t xml:space="preserve">seedlings </w:t>
      </w:r>
      <w:r>
        <w:t xml:space="preserve">(Figure 5.1D). Similarly, </w:t>
      </w:r>
      <w:r w:rsidR="003A1BB4">
        <w:t xml:space="preserve">energy </w:t>
      </w:r>
      <w:r w:rsidRPr="000D7D3D">
        <w:t>dispersive X-ray (EDX) spectroscopy</w:t>
      </w:r>
      <w:r>
        <w:t xml:space="preserve"> analysis </w:t>
      </w:r>
      <w:r w:rsidR="003A1BB4">
        <w:t xml:space="preserve">together with </w:t>
      </w:r>
      <w:r>
        <w:t xml:space="preserve">scanning </w:t>
      </w:r>
      <w:r w:rsidR="003A1BB4">
        <w:t>electron microscopy (SEM)</w:t>
      </w:r>
      <w:r>
        <w:t xml:space="preserve"> showed statistically significant depletion of P</w:t>
      </w:r>
      <w:r w:rsidR="003A1BB4">
        <w:t xml:space="preserve"> content</w:t>
      </w:r>
      <w:r>
        <w:t xml:space="preserve"> from HAP crystals in </w:t>
      </w:r>
      <w:r w:rsidR="00481FF9">
        <w:t xml:space="preserve">the </w:t>
      </w:r>
      <w:r>
        <w:t>S systems</w:t>
      </w:r>
      <w:r w:rsidR="00481FF9">
        <w:t xml:space="preserve"> (Figure 5.2</w:t>
      </w:r>
      <w:r w:rsidR="00481FF9">
        <w:rPr>
          <w:rFonts w:ascii="Palatino Linotype" w:hAnsi="Palatino Linotype"/>
        </w:rPr>
        <w:t>V</w:t>
      </w:r>
      <w:r w:rsidR="00481FF9">
        <w:t>)</w:t>
      </w:r>
      <w:r>
        <w:t>. Additionally, transcriptional repression of several Pi-starvation responsive genes</w:t>
      </w:r>
      <w:r w:rsidR="003A1BB4">
        <w:t xml:space="preserve"> by the presence of HAP</w:t>
      </w:r>
      <w:r>
        <w:t xml:space="preserve"> was more prominent </w:t>
      </w:r>
      <w:r w:rsidR="003A1BB4">
        <w:t xml:space="preserve">when </w:t>
      </w:r>
      <w:r w:rsidR="003A1BB4" w:rsidRPr="003A1BB4">
        <w:rPr>
          <w:i/>
        </w:rPr>
        <w:t>P. involutus</w:t>
      </w:r>
      <w:r w:rsidR="003A1BB4">
        <w:t xml:space="preserve"> </w:t>
      </w:r>
      <w:r w:rsidR="00481FF9">
        <w:t xml:space="preserve">was </w:t>
      </w:r>
      <w:r w:rsidR="003A1BB4">
        <w:t xml:space="preserve">grown in EM symbiosis together with </w:t>
      </w:r>
      <w:r w:rsidR="003A1BB4" w:rsidRPr="003A1BB4">
        <w:rPr>
          <w:i/>
        </w:rPr>
        <w:t>P. sylvestris</w:t>
      </w:r>
      <w:r w:rsidR="003A1BB4">
        <w:t xml:space="preserve"> (Section 5.4.3, Figure 5.6B)</w:t>
      </w:r>
      <w:r w:rsidR="00481FF9">
        <w:t>.</w:t>
      </w:r>
      <w:r w:rsidR="003A1BB4" w:rsidRPr="003A1BB4">
        <w:t xml:space="preserve"> </w:t>
      </w:r>
      <w:r w:rsidR="001E7A62">
        <w:t>T</w:t>
      </w:r>
      <w:r w:rsidR="003A1BB4">
        <w:t>hese</w:t>
      </w:r>
      <w:r w:rsidR="003A1BB4" w:rsidRPr="000D7D3D">
        <w:t xml:space="preserve"> finding</w:t>
      </w:r>
      <w:r w:rsidR="003A1BB4">
        <w:t>s</w:t>
      </w:r>
      <w:r w:rsidR="003A1BB4" w:rsidRPr="000D7D3D">
        <w:t xml:space="preserve"> </w:t>
      </w:r>
      <w:r w:rsidR="003A1BB4">
        <w:t xml:space="preserve">show that HAP </w:t>
      </w:r>
      <w:r w:rsidR="00736288">
        <w:t xml:space="preserve">solubilisation is </w:t>
      </w:r>
      <w:r w:rsidR="003825B5">
        <w:t>principally</w:t>
      </w:r>
      <w:r w:rsidR="00736288">
        <w:t xml:space="preserve"> </w:t>
      </w:r>
      <w:r w:rsidR="003A1BB4">
        <w:t xml:space="preserve">driven by </w:t>
      </w:r>
      <w:r w:rsidR="003A1BB4" w:rsidRPr="000D7D3D">
        <w:rPr>
          <w:i/>
        </w:rPr>
        <w:t>P. involutus</w:t>
      </w:r>
      <w:r w:rsidR="003A1BB4">
        <w:t xml:space="preserve"> </w:t>
      </w:r>
      <w:r w:rsidR="00736288">
        <w:t xml:space="preserve">hyphae </w:t>
      </w:r>
      <w:r w:rsidR="003A1BB4">
        <w:t xml:space="preserve">grown in </w:t>
      </w:r>
      <w:r w:rsidR="00736288">
        <w:t xml:space="preserve">EM </w:t>
      </w:r>
      <w:r w:rsidR="003A1BB4">
        <w:t>symbiosis</w:t>
      </w:r>
      <w:r w:rsidR="00481FF9">
        <w:t xml:space="preserve"> with its </w:t>
      </w:r>
      <w:r w:rsidR="00736288">
        <w:t>host</w:t>
      </w:r>
      <w:r w:rsidR="00481FF9">
        <w:t xml:space="preserve"> tree</w:t>
      </w:r>
      <w:r w:rsidR="003A1BB4">
        <w:t>. Indeed, putative genes involved in</w:t>
      </w:r>
      <w:r w:rsidR="00736288">
        <w:t xml:space="preserve"> </w:t>
      </w:r>
      <w:r w:rsidR="003A1BB4">
        <w:t>carbon (C)</w:t>
      </w:r>
      <w:r w:rsidR="00736288">
        <w:t xml:space="preserve"> or</w:t>
      </w:r>
      <w:r w:rsidR="003A1BB4">
        <w:t xml:space="preserve"> N primary metabolism were found to be significantly upregulated by </w:t>
      </w:r>
      <w:r w:rsidR="00736288">
        <w:t xml:space="preserve">the </w:t>
      </w:r>
      <w:r w:rsidR="003A1BB4">
        <w:t>presence of HAP in the</w:t>
      </w:r>
      <w:r w:rsidR="00736288">
        <w:t xml:space="preserve"> S conditions</w:t>
      </w:r>
      <w:r w:rsidR="003A1BB4">
        <w:t xml:space="preserve"> (Figure 5.5A).</w:t>
      </w:r>
    </w:p>
    <w:p w14:paraId="519E21C7" w14:textId="77777777" w:rsidR="002B07A7" w:rsidRPr="000D7D3D" w:rsidRDefault="002B07A7" w:rsidP="00635993"/>
    <w:p w14:paraId="50AE403C" w14:textId="14A1E6C4" w:rsidR="00F36673" w:rsidRDefault="00F36673" w:rsidP="00635993">
      <w:pPr>
        <w:pStyle w:val="Heading2"/>
      </w:pPr>
      <w:bookmarkStart w:id="554" w:name="_Toc507604093"/>
      <w:bookmarkStart w:id="555" w:name="_Toc507604360"/>
      <w:bookmarkStart w:id="556" w:name="_Toc519017062"/>
      <w:bookmarkStart w:id="557" w:name="_Toc520837975"/>
      <w:r>
        <w:t xml:space="preserve">6.1.2 </w:t>
      </w:r>
      <w:r w:rsidR="00AE35F1">
        <w:t>M</w:t>
      </w:r>
      <w:r>
        <w:t xml:space="preserve">olecular mechanisms of </w:t>
      </w:r>
      <w:r w:rsidR="002E39CF">
        <w:t>HAP</w:t>
      </w:r>
      <w:r>
        <w:t xml:space="preserve"> weathering</w:t>
      </w:r>
      <w:bookmarkEnd w:id="554"/>
      <w:bookmarkEnd w:id="555"/>
      <w:bookmarkEnd w:id="556"/>
      <w:bookmarkEnd w:id="557"/>
    </w:p>
    <w:p w14:paraId="558D3F1D" w14:textId="69FFB2FE" w:rsidR="003C3212" w:rsidRDefault="001A4E75" w:rsidP="0019708F">
      <w:r>
        <w:t xml:space="preserve">During the transcriptional response to </w:t>
      </w:r>
      <w:r w:rsidR="00FF7AB7">
        <w:t>low Pi availability, the</w:t>
      </w:r>
      <w:r>
        <w:t xml:space="preserve"> majority of</w:t>
      </w:r>
      <w:r w:rsidR="00FF7AB7">
        <w:t xml:space="preserve"> differentially expressed genes was shared</w:t>
      </w:r>
      <w:r>
        <w:t xml:space="preserve"> </w:t>
      </w:r>
      <w:r w:rsidR="00FF7AB7">
        <w:t>between</w:t>
      </w:r>
      <w:r w:rsidR="00C30EFC">
        <w:t xml:space="preserve"> the</w:t>
      </w:r>
      <w:r w:rsidR="00FF7AB7">
        <w:t xml:space="preserve"> S and NS condition</w:t>
      </w:r>
      <w:r w:rsidR="00C30EFC">
        <w:t xml:space="preserve"> (Figure 3.7). Notably</w:t>
      </w:r>
      <w:r w:rsidR="00FF7AB7">
        <w:t xml:space="preserve">, </w:t>
      </w:r>
      <w:r w:rsidR="002E39CF" w:rsidRPr="00C30EFC">
        <w:rPr>
          <w:i/>
        </w:rPr>
        <w:t>P. involutus</w:t>
      </w:r>
      <w:r w:rsidR="00FF7AB7">
        <w:t xml:space="preserve"> transcriptional response</w:t>
      </w:r>
      <w:r w:rsidR="002E39CF">
        <w:t>s</w:t>
      </w:r>
      <w:r w:rsidR="00FF7AB7">
        <w:t xml:space="preserve"> to </w:t>
      </w:r>
      <w:r w:rsidR="002E39CF">
        <w:t>the presence of HAP</w:t>
      </w:r>
      <w:r w:rsidR="00FF7AB7">
        <w:t xml:space="preserve"> w</w:t>
      </w:r>
      <w:r w:rsidR="002E39CF">
        <w:t>ere</w:t>
      </w:r>
      <w:r w:rsidR="00FF7AB7">
        <w:t xml:space="preserve"> </w:t>
      </w:r>
      <w:r w:rsidR="003825B5">
        <w:t>principally</w:t>
      </w:r>
      <w:r w:rsidR="002E39CF">
        <w:t xml:space="preserve"> </w:t>
      </w:r>
      <w:r w:rsidR="00FF7AB7">
        <w:t xml:space="preserve">different </w:t>
      </w:r>
      <w:r w:rsidR="006551D2">
        <w:t>between</w:t>
      </w:r>
      <w:r w:rsidR="00FF7AB7">
        <w:t xml:space="preserve"> the NS or S conditions, with only few differentially expressed genes </w:t>
      </w:r>
      <w:r w:rsidR="002E39CF">
        <w:t xml:space="preserve">to be </w:t>
      </w:r>
      <w:r w:rsidR="00FF7AB7">
        <w:t>shared between the two conditions</w:t>
      </w:r>
      <w:r w:rsidR="00122F15">
        <w:t xml:space="preserve"> (Figure 5.7</w:t>
      </w:r>
      <w:r w:rsidR="006551D2">
        <w:t>)</w:t>
      </w:r>
      <w:r w:rsidR="00FF7AB7">
        <w:t xml:space="preserve">. </w:t>
      </w:r>
      <w:r>
        <w:t xml:space="preserve">In particular, specific putative </w:t>
      </w:r>
      <w:r w:rsidR="00FF7AB7">
        <w:t xml:space="preserve">serine/threonine </w:t>
      </w:r>
      <w:r w:rsidR="00FF7AB7">
        <w:lastRenderedPageBreak/>
        <w:t>kinases, tyrosine phosphatase,</w:t>
      </w:r>
      <w:r>
        <w:t xml:space="preserve"> transcription factor</w:t>
      </w:r>
      <w:r w:rsidR="00FF7AB7">
        <w:t xml:space="preserve">s and other signalling </w:t>
      </w:r>
      <w:r w:rsidR="00122F15">
        <w:t>encoding genes</w:t>
      </w:r>
      <w:r>
        <w:t xml:space="preserve"> were </w:t>
      </w:r>
      <w:r w:rsidR="00122F15">
        <w:t>specifically</w:t>
      </w:r>
      <w:r>
        <w:t xml:space="preserve"> upregulated by </w:t>
      </w:r>
      <w:r w:rsidR="002E39CF">
        <w:t>the presence of HAP</w:t>
      </w:r>
      <w:r>
        <w:t xml:space="preserve"> </w:t>
      </w:r>
      <w:r w:rsidR="00D37705">
        <w:t xml:space="preserve">either </w:t>
      </w:r>
      <w:r>
        <w:t xml:space="preserve">in </w:t>
      </w:r>
      <w:r w:rsidR="00C30EFC">
        <w:t xml:space="preserve">the </w:t>
      </w:r>
      <w:r>
        <w:t>NS or S conditions (Figures 5.4A and 5.5A</w:t>
      </w:r>
      <w:r w:rsidR="00FF7AB7">
        <w:t>, magenta annotations</w:t>
      </w:r>
      <w:r>
        <w:t>)</w:t>
      </w:r>
      <w:r w:rsidR="00FF7AB7">
        <w:t xml:space="preserve">. These signalling proteins may independently contribute </w:t>
      </w:r>
      <w:r w:rsidR="002E39CF">
        <w:t xml:space="preserve">in the regulation of </w:t>
      </w:r>
      <w:r w:rsidR="00FF7AB7">
        <w:t xml:space="preserve">HAP weathering </w:t>
      </w:r>
      <w:r w:rsidR="002E39CF">
        <w:t xml:space="preserve">either </w:t>
      </w:r>
      <w:r w:rsidR="00FF7AB7">
        <w:t>in</w:t>
      </w:r>
      <w:r w:rsidR="00C30EFC">
        <w:t xml:space="preserve"> the</w:t>
      </w:r>
      <w:r w:rsidR="00FF7AB7">
        <w:t xml:space="preserve"> NS or S conditions. On the other hand,</w:t>
      </w:r>
      <w:r>
        <w:t xml:space="preserve"> </w:t>
      </w:r>
      <w:r w:rsidR="00122F15">
        <w:t>few genes encoding multiple putative signalling proteins</w:t>
      </w:r>
      <w:r w:rsidR="0019708F">
        <w:t xml:space="preserve"> were found to be</w:t>
      </w:r>
      <w:r w:rsidR="00C30EFC">
        <w:t xml:space="preserve"> upregulated in response to HAP</w:t>
      </w:r>
      <w:r w:rsidR="0019708F">
        <w:t xml:space="preserve"> in both </w:t>
      </w:r>
      <w:r w:rsidR="00C30EFC">
        <w:t xml:space="preserve">the </w:t>
      </w:r>
      <w:r w:rsidR="002E39CF">
        <w:t xml:space="preserve">NS </w:t>
      </w:r>
      <w:r w:rsidR="0019708F">
        <w:t xml:space="preserve">and </w:t>
      </w:r>
      <w:r w:rsidR="002E39CF">
        <w:t xml:space="preserve">S </w:t>
      </w:r>
      <w:r w:rsidR="0019708F">
        <w:t>conditions</w:t>
      </w:r>
      <w:r w:rsidR="004607EE">
        <w:t xml:space="preserve"> </w:t>
      </w:r>
      <w:r w:rsidR="004607EE" w:rsidRPr="000D7D3D">
        <w:t>(Figure 5.9)</w:t>
      </w:r>
      <w:r w:rsidR="0019708F" w:rsidRPr="000D7D3D">
        <w:t>.</w:t>
      </w:r>
      <w:r w:rsidR="0019708F">
        <w:t xml:space="preserve"> </w:t>
      </w:r>
      <w:r w:rsidR="00FD4D08">
        <w:t>These genes may constitute upstream regulator</w:t>
      </w:r>
      <w:r w:rsidR="002E39CF">
        <w:t>s of the HAP weathering.</w:t>
      </w:r>
    </w:p>
    <w:p w14:paraId="240C9D6B" w14:textId="40C35AC1" w:rsidR="003C3212" w:rsidRDefault="00FD4D08" w:rsidP="001563DA">
      <w:pPr>
        <w:ind w:firstLine="720"/>
      </w:pPr>
      <w:r>
        <w:t xml:space="preserve">Interestingly, </w:t>
      </w:r>
      <w:r w:rsidR="00AD171F">
        <w:t>multiple</w:t>
      </w:r>
      <w:r w:rsidR="00122F15">
        <w:t xml:space="preserve"> genes encoding</w:t>
      </w:r>
      <w:r w:rsidR="00AD171F">
        <w:t xml:space="preserve"> signalling protein putatively involved in vesicle formation and regulation were found to be upregulated by </w:t>
      </w:r>
      <w:r w:rsidR="00455A4B">
        <w:t>the presence of HAP</w:t>
      </w:r>
      <w:r w:rsidR="00AD171F">
        <w:t xml:space="preserve">, either exclusively in </w:t>
      </w:r>
      <w:r w:rsidR="00250CAF">
        <w:t xml:space="preserve">the </w:t>
      </w:r>
      <w:r w:rsidR="00AD171F">
        <w:t xml:space="preserve">NS or </w:t>
      </w:r>
      <w:r w:rsidR="00455A4B">
        <w:t>in the S condition,</w:t>
      </w:r>
      <w:r w:rsidR="00AD171F">
        <w:t xml:space="preserve"> or in both. </w:t>
      </w:r>
      <w:r w:rsidR="00455A4B">
        <w:t>G</w:t>
      </w:r>
      <w:r w:rsidR="00122F15">
        <w:t xml:space="preserve">enes encoding for a putative </w:t>
      </w:r>
      <w:r w:rsidR="003C3212" w:rsidRPr="000D7D3D">
        <w:t>AAA</w:t>
      </w:r>
      <w:r w:rsidR="003C3212" w:rsidRPr="000D7D3D">
        <w:rPr>
          <w:vertAlign w:val="superscript"/>
        </w:rPr>
        <w:t>+</w:t>
      </w:r>
      <w:r w:rsidR="003C3212" w:rsidRPr="000D7D3D">
        <w:t>-type ATPase and</w:t>
      </w:r>
      <w:r w:rsidR="00122F15">
        <w:t xml:space="preserve"> a putative</w:t>
      </w:r>
      <w:r w:rsidR="00AD171F">
        <w:t xml:space="preserve"> RGP1 domain-containing protein, </w:t>
      </w:r>
      <w:r w:rsidR="003C3212" w:rsidRPr="000D7D3D">
        <w:t xml:space="preserve">involved in vesicular mediated transport in fungi </w:t>
      </w:r>
      <w:r w:rsidR="003C3212" w:rsidRPr="000D7D3D">
        <w:fldChar w:fldCharType="begin" w:fldLock="1"/>
      </w:r>
      <w:r w:rsidR="00EE33AB">
        <w:instrText>ADDIN CSL_CITATION {"citationItems":[{"id":"ITEM-1","itemData":{"DOI":"10.1111/j.1600-0854.2007.00642.x","ISBN":"1398-9219 (Print)\\r1398-9219 (Linking)","ISSN":"13989219","PMID":"17897320","abstract":"AAA+ adenosine triphosphatases (ATPases) are molecular machines that perform a wide variety of cellular functions. For instance, they can act in vesicle transport, organelle assembly, membrane dynamics and protein unfolding. In most cases, the ATPase domains of these proteins assemble into active ring-shaped hexamers. As AAA+ proteins have a common structure, a central issue is determining how they use conserved mechanistic principles to accomplish specific biological actions. Here, we review the features and motifs that partially define AAA+ domains, describe the cellular activities mediated by selected AAA+ proteins and discuss the recent work, suggesting that various AAA+ machines with very different activities employ a common core mechanism. The importance of this mechanism to human health is demonstrated by the number of genetic diseases caused by mutant AAA+ proteins.","author":[{"dropping-particle":"","family":"White","given":"Susan Roehl","non-dropping-particle":"","parse-names":false,"suffix":""},{"dropping-particle":"","family":"Lauring","given":"Brett","non-dropping-particle":"","parse-names":false,"suffix":""}],"container-title":"Traffic","id":"ITEM-1","issue":"12","issued":{"date-parts":[["2007"]]},"page":"1657-1667","title":"AAA+ ATPases: Achieving diversity of function with conserved machinery","type":"article-journal","volume":"8"},"uris":["http://www.mendeley.com/documents/?uuid=9edbc70e-c042-46e1-8780-c8a28e650f59"]},{"id":"ITEM-2","itemData":{"DOI":"10.1074/jbc.M112.414565","ISBN":"1083-351X (Electronic)\\r0021-9258 (Linking)","ISSN":"00219258","PMID":"23091056","abstract":"Rab GTPases are master regulators of membrane trafficking events and template the directionality of protein transport through the secretory and endocytic pathways. Certain Rabs recruit the guanine nucleotide exchange factor (GEF) that activates a subsequent acting Rab protein in a given pathway; this process has been termed a Rab cascade. We show here that the medial Golgi-localized Rab33B GTPase has the potential to link functionally to the late Golgi, Rab6 GTPase, by its capacity for association with Ric1 and Rgp1 proteins. In yeast, Ric1p and Rgp1p form a complex that catalyzes guanine nucleotide exchange by Ypt6p, the Rab6 homolog. Human Ric1 and Rgp1 both bind Rab6A with preference for the GDP-bound conformation, characteristic of a GEF. Nevertheless, both Ric1 and Rgp1 proteins are needed to catalyze nucleotide exchange on Rab6A protein. Ric1 and Rgp1 form a complex, but unlike their yeast counterparts, most of the subunits are not associated, and most of the proteins are cytosolic. Loss of Ric1 or Rgp1 leads to destabilization of Rab6, concomitant with a block in Rab6-dependent retrograde transport of mannose 6-phosphate receptors to the Golgi. The C terminus of Ric1 protein contains a distinct binding site for Rab33B-GTP, supporting the existence of a Rab cascade between the medial and trans Golgi. This study thus identifies a GEF for Rab6A in human cells.","author":[{"dropping-particle":"V.","family":"Pusapati","given":"Ganesh","non-dropping-particle":"","parse-names":false,"suffix":""},{"dropping-particle":"","family":"Luchetti","given":"Giovanni","non-dropping-particle":"","parse-names":false,"suffix":""},{"dropping-particle":"","family":"Pfeffer","given":"Suzanne R.","non-dropping-particle":"","parse-names":false,"suffix":""}],"container-title":"Journal of Biological Chemistry","id":"ITEM-2","issue":"50","issued":{"date-parts":[["2012"]]},"page":"42129-42137","title":"Ric1-Rgp1 complex is a guanine nucleotide exchange factor for the late Golgi Rab6A GTPase and an effector of the medial Golgi Rab33B GTPase","type":"article-journal","volume":"287"},"uris":["http://www.mendeley.com/documents/?uuid=c61ed5a7-48a7-4d28-829b-a5f70a27b8d2"]}],"mendeley":{"formattedCitation":"(White and Lauring, 2007; Pusapati et al., 2012)","plainTextFormattedCitation":"(White and Lauring, 2007; Pusapati et al., 2012)","previouslyFormattedCitation":"(White and Lauring, 2007; Pusapati et al., 2012)"},"properties":{"noteIndex":0},"schema":"https://github.com/citation-style-language/schema/raw/master/csl-citation.json"}</w:instrText>
      </w:r>
      <w:r w:rsidR="003C3212" w:rsidRPr="000D7D3D">
        <w:fldChar w:fldCharType="separate"/>
      </w:r>
      <w:r w:rsidR="003C3212" w:rsidRPr="000D7D3D">
        <w:rPr>
          <w:noProof/>
        </w:rPr>
        <w:t>(White and Lauring, 2007; Pusapati et al., 2012)</w:t>
      </w:r>
      <w:r w:rsidR="003C3212" w:rsidRPr="000D7D3D">
        <w:fldChar w:fldCharType="end"/>
      </w:r>
      <w:r w:rsidR="00AD171F">
        <w:t xml:space="preserve">, were found to be upregulated by </w:t>
      </w:r>
      <w:r w:rsidR="00455A4B">
        <w:t xml:space="preserve">the presence of HAP in the NS condition </w:t>
      </w:r>
      <w:r w:rsidR="00AD171F">
        <w:t>(Figure 5.4A)</w:t>
      </w:r>
      <w:r w:rsidR="003C3212" w:rsidRPr="000D7D3D">
        <w:t>.</w:t>
      </w:r>
      <w:r w:rsidR="00AD171F">
        <w:t xml:space="preserve"> </w:t>
      </w:r>
      <w:r w:rsidR="00455A4B">
        <w:t>Respectively, a</w:t>
      </w:r>
      <w:r w:rsidR="003C3212" w:rsidRPr="000D7D3D">
        <w:t xml:space="preserve"> gene encoding</w:t>
      </w:r>
      <w:r w:rsidR="00122F15">
        <w:t xml:space="preserve"> for </w:t>
      </w:r>
      <w:r w:rsidR="00455A4B" w:rsidRPr="000D7D3D">
        <w:t xml:space="preserve">an </w:t>
      </w:r>
      <w:r w:rsidR="00455A4B">
        <w:t>ANTH</w:t>
      </w:r>
      <w:r w:rsidR="00455A4B" w:rsidRPr="000D7D3D">
        <w:t xml:space="preserve"> domain</w:t>
      </w:r>
      <w:r w:rsidR="00455A4B">
        <w:t>-</w:t>
      </w:r>
      <w:r w:rsidR="00455A4B" w:rsidRPr="000D7D3D">
        <w:t xml:space="preserve">containing </w:t>
      </w:r>
      <w:r w:rsidR="003C3212" w:rsidRPr="000D7D3D">
        <w:t>protein</w:t>
      </w:r>
      <w:r w:rsidR="00AD171F">
        <w:t xml:space="preserve">, </w:t>
      </w:r>
      <w:r w:rsidR="00AD171F" w:rsidRPr="000D7D3D">
        <w:t xml:space="preserve">involved in clathrin-coated vesicles formation in eukaryotes </w:t>
      </w:r>
      <w:r w:rsidR="00AD171F" w:rsidRPr="000D7D3D">
        <w:fldChar w:fldCharType="begin" w:fldLock="1"/>
      </w:r>
      <w:r w:rsidR="00EE33AB">
        <w:instrText>ADDIN CSL_CITATION {"citationItems":[{"id":"ITEM-1","itemData":{"DOI":"10.1105/tpc.114.131680","ISBN":"1040-4651","ISSN":"1040-4651","PMID":"25415979","abstract":"Coated vesicles provide a major mechanism for the transport of proteins through the endomembrane system of plants. Transport between the endoplasmic reticulum and the Golgi involves vesicles with COPI and COPII coats, whereas clathrin is the predominant coat in endocytosis and post-Golgi trafficking. Sorting of cargo, coat assembly, budding, and fission are all complex and tightly regulated processes that involve many proteins. The mechanisms and responsible factors are largely conserved in eukaryotes, and increasing organismal complexity tends to be associated with a greater numbers of individual family members. Among the key factors is the class of ENTH/ANTH/VHS domain-containing proteins, which link membrane subdomains, clathrin, and other adapter proteins involved in early steps of clathrin coated vesicle formation. More than 30 Arabidopsis thaliana proteins contain this domain, but their generally low sequence conservation has made functional classification difficult. Reports from the last two years have greatly expanded our knowledge of these proteins and suggest that ENTH/ANTH/VHS domain proteins are involved in various instances of clathrin-related endomembrane trafficking in plants. This review aims to summarize these new findings and discuss the broader context of clathrin-dependent plant vesicular transport.","author":[{"dropping-particle":"","family":"Zouhar","given":"Jan","non-dropping-particle":"","parse-names":false,"suffix":""},{"dropping-particle":"","family":"Sauer","given":"Michael","non-dropping-particle":"","parse-names":false,"suffix":""}],"container-title":"The Plant Cell Online","id":"ITEM-1","issue":"11","issued":{"date-parts":[["2014"]]},"page":"4232-4244","title":"Helping Hands for Budding Prospects: ENTH/ANTH/VHS Accessory Proteins in Endocytosis, Vacuolar Transport, and Secretion","type":"article-journal","volume":"26"},"uris":["http://www.mendeley.com/documents/?uuid=bf80037a-1936-48b3-a6b0-b04e82566884"]}],"mendeley":{"formattedCitation":"(Zouhar and Sauer, 2014)","plainTextFormattedCitation":"(Zouhar and Sauer, 2014)","previouslyFormattedCitation":"(Zouhar and Sauer, 2014)"},"properties":{"noteIndex":0},"schema":"https://github.com/citation-style-language/schema/raw/master/csl-citation.json"}</w:instrText>
      </w:r>
      <w:r w:rsidR="00AD171F" w:rsidRPr="000D7D3D">
        <w:fldChar w:fldCharType="separate"/>
      </w:r>
      <w:r w:rsidR="00AD171F" w:rsidRPr="000D7D3D">
        <w:rPr>
          <w:noProof/>
        </w:rPr>
        <w:t>(Zouhar and Sauer, 2014)</w:t>
      </w:r>
      <w:r w:rsidR="00AD171F" w:rsidRPr="000D7D3D">
        <w:fldChar w:fldCharType="end"/>
      </w:r>
      <w:r w:rsidR="00AD171F">
        <w:t>,</w:t>
      </w:r>
      <w:r w:rsidR="003C3212" w:rsidRPr="000D7D3D">
        <w:t xml:space="preserve"> </w:t>
      </w:r>
      <w:r w:rsidR="00122F15">
        <w:t>was</w:t>
      </w:r>
      <w:r w:rsidR="003C3212" w:rsidRPr="000D7D3D">
        <w:t xml:space="preserve"> </w:t>
      </w:r>
      <w:r w:rsidR="00CC5501">
        <w:t>found to be</w:t>
      </w:r>
      <w:r w:rsidR="003C3212" w:rsidRPr="000D7D3D">
        <w:t xml:space="preserve"> upregulated</w:t>
      </w:r>
      <w:r w:rsidR="00AD171F">
        <w:t xml:space="preserve"> </w:t>
      </w:r>
      <w:r w:rsidR="00455A4B">
        <w:t>by the presence of HAP in the S condition (Figure 5.5A</w:t>
      </w:r>
      <w:r w:rsidR="00AD171F">
        <w:t>)</w:t>
      </w:r>
      <w:r w:rsidR="003C3212" w:rsidRPr="000D7D3D">
        <w:t>. Additional</w:t>
      </w:r>
      <w:r w:rsidR="00AD171F">
        <w:t>ly</w:t>
      </w:r>
      <w:r w:rsidR="00122F15">
        <w:t xml:space="preserve"> genes encoding for</w:t>
      </w:r>
      <w:r w:rsidR="003C3212" w:rsidRPr="000D7D3D">
        <w:t xml:space="preserve"> a putative V</w:t>
      </w:r>
      <w:r w:rsidR="00CC5501" w:rsidRPr="000D7D3D">
        <w:t>AM</w:t>
      </w:r>
      <w:r w:rsidR="003C3212" w:rsidRPr="000D7D3D">
        <w:t>6/V</w:t>
      </w:r>
      <w:r w:rsidR="00CC5501" w:rsidRPr="000D7D3D">
        <w:t>PS</w:t>
      </w:r>
      <w:r w:rsidR="003C3212" w:rsidRPr="000D7D3D">
        <w:t xml:space="preserve">39-like protein, potentially involved in vesicles fusion </w:t>
      </w:r>
      <w:r w:rsidR="003C3212" w:rsidRPr="000D7D3D">
        <w:fldChar w:fldCharType="begin" w:fldLock="1"/>
      </w:r>
      <w:r w:rsidR="00EE33AB">
        <w:instrText>ADDIN CSL_CITATION {"citationItems":[{"id":"ITEM-1","itemData":{"DOI":"10.1016/S0378-1097(04)00039-4","ISBN":"0378-1097","ISSN":"03781097","PMID":"15019743","abstract":"It has been demonstrated that Saccharomyces cerevisiae Vam6p/Vps39p plays a critical role in the tethering steps of vacuolar membrane fusion by facilitating guanine nucleotide exchange on small guanosine triphosphatase (GTPase) Vam4p/Ypt7p. We report here the identification and characterization of a novel protein in Aspergillus nidulans, AvaB, that exhibits similarity to Vam6p/Vps39p and plays a critical role in vacuolar morphogenesis in A. nidulans. AvaB is comprised of 1058 amino acids with amino-terminal citron homology (CNH) and central clathrin homology (CLH) domains, as observed for other Vam6p/ Vps39p family proteins. Disruption of avaB in A. nidulans resulted in the fragmentation of vacuoles and reduced growth rate under various growth conditions, implying its importance in maintaining vacuolar morphology and function. Yeast two-hybrid analysis demonstrated the interaction of AvaB with AvaA, a Vam4p/Ypt7p homolog in A. nidulans, as well as the homooligomer formation of AvaB, suggesting that AvaB performs its function through hetero- or homophilic protein-protein interactions. ?? 2004 Federation of European Microbiological Societies. Published by Elsevier B.V. All rights reserved.","author":[{"dropping-particle":"","family":"Oka","given":"Masanao","non-dropping-particle":"","parse-names":false,"suffix":""},{"dropping-particle":"","family":"Maruyama","given":"Jun Ichi","non-dropping-particle":"","parse-names":false,"suffix":""},{"dropping-particle":"","family":"Arioka","given":"Manabu","non-dropping-particle":"","parse-names":false,"suffix":""},{"dropping-particle":"","family":"Nakajima","given":"Harushi","non-dropping-particle":"","parse-names":false,"suffix":""},{"dropping-particle":"","family":"Kitamoto","given":"Katsuhiko","non-dropping-particle":"","parse-names":false,"suffix":""}],"container-title":"FEMS Microbiology Letters","id":"ITEM-1","issue":"1","issued":{"date-parts":[["2004"]]},"page":"113-121","title":"Molecular cloning and functional characterization of avaB, a gene encoding Vam6p/Vps39p-like protein in Aspergillus nidulans","type":"article-journal","volume":"232"},"uris":["http://www.mendeley.com/documents/?uuid=3e40dc28-f7de-4d68-9122-5ae164d5db9e"]}],"mendeley":{"formattedCitation":"(Oka et al., 2004)","plainTextFormattedCitation":"(Oka et al., 2004)","previouslyFormattedCitation":"(Oka et al., 2004)"},"properties":{"noteIndex":0},"schema":"https://github.com/citation-style-language/schema/raw/master/csl-citation.json"}</w:instrText>
      </w:r>
      <w:r w:rsidR="003C3212" w:rsidRPr="000D7D3D">
        <w:fldChar w:fldCharType="separate"/>
      </w:r>
      <w:r w:rsidR="003C3212" w:rsidRPr="000D7D3D">
        <w:rPr>
          <w:noProof/>
        </w:rPr>
        <w:t>(Oka et al., 2004)</w:t>
      </w:r>
      <w:r w:rsidR="003C3212" w:rsidRPr="000D7D3D">
        <w:fldChar w:fldCharType="end"/>
      </w:r>
      <w:r w:rsidR="003C3212" w:rsidRPr="000D7D3D">
        <w:t>, a</w:t>
      </w:r>
      <w:r w:rsidR="00455A4B">
        <w:t>nother</w:t>
      </w:r>
      <w:r w:rsidR="003C3212" w:rsidRPr="000D7D3D">
        <w:t xml:space="preserve"> </w:t>
      </w:r>
      <w:r w:rsidR="00122F15">
        <w:t>putative</w:t>
      </w:r>
      <w:r w:rsidR="003C3212" w:rsidRPr="000D7D3D">
        <w:t xml:space="preserve"> </w:t>
      </w:r>
      <w:r w:rsidR="00455A4B" w:rsidRPr="000D7D3D">
        <w:t>ANTH domain</w:t>
      </w:r>
      <w:r w:rsidR="00455A4B">
        <w:t>-</w:t>
      </w:r>
      <w:r w:rsidR="00455A4B" w:rsidRPr="000D7D3D">
        <w:t xml:space="preserve">containing </w:t>
      </w:r>
      <w:r w:rsidR="003C3212" w:rsidRPr="000D7D3D">
        <w:t xml:space="preserve">protein, and a putative vesicle-associated membrane protein (VAMP), involved in vesicle fusion during exocytosis </w:t>
      </w:r>
      <w:r w:rsidR="003C3212" w:rsidRPr="000D7D3D">
        <w:fldChar w:fldCharType="begin" w:fldLock="1"/>
      </w:r>
      <w:r w:rsidR="00EE33AB">
        <w:instrText>ADDIN CSL_CITATION {"citationItems":[{"id":"ITEM-1","itemData":{"DOI":"10.1016/0092-8674(93)90465-3","ISBN":"0092-8674","ISSN":"00928674","PMID":"8374953","abstract":"The yeast S. cerevisiae possesses two genes, SNC1 and SNC2, that encode homologs of vertebrate synaptic vesicle-associated membrane proteins, also known as synaptobrevins. Here we describe the cloning of SNC2 and demonstrate that yeast lacking both SNC genes are deficient in normal bulk secretion, accumulate large numbers of post-Golgi vesicles, and display a variety of conditional lethal phenotypes. In addition, we show that yeast Snc proteins localize to post-Golgi transport vesicles that accumulate in a late-acting sec mutant. Our findings clearly place the Snc proteins on the late secretory pathway in S. cerevisiae and provide direct in vivo evidence that synaptobrevin-like proteins mediate the targeting and transport of secretory proteins. © 1993.","author":[{"dropping-particle":"","family":"Protopopov","given":"Vladimir","non-dropping-particle":"","parse-names":false,"suffix":""},{"dropping-particle":"","family":"Govindan","given":"Brinda","non-dropping-particle":"","parse-names":false,"suffix":""},{"dropping-particle":"","family":"Novick","given":"Peter","non-dropping-particle":"","parse-names":false,"suffix":""},{"dropping-particle":"","family":"Gerst","given":"Jeffrey E.","non-dropping-particle":"","parse-names":false,"suffix":""}],"container-title":"Cell","id":"ITEM-1","issue":"5","issued":{"date-parts":[["1993"]]},"page":"855-861","title":"Homologs of the synaptobrevin/VAMP family of synaptic vesicle proteins function on the late secretory pathway in S. cerevisiae","type":"article-journal","volume":"74"},"uris":["http://www.mendeley.com/documents/?uuid=fe3a7297-d922-4f8c-9468-0f4dd8211d3c"]}],"mendeley":{"formattedCitation":"(Protopopov et al., 1993)","plainTextFormattedCitation":"(Protopopov et al., 1993)","previouslyFormattedCitation":"(Protopopov et al., 1993)"},"properties":{"noteIndex":0},"schema":"https://github.com/citation-style-language/schema/raw/master/csl-citation.json"}</w:instrText>
      </w:r>
      <w:r w:rsidR="003C3212" w:rsidRPr="000D7D3D">
        <w:fldChar w:fldCharType="separate"/>
      </w:r>
      <w:r w:rsidR="003C3212" w:rsidRPr="000D7D3D">
        <w:rPr>
          <w:noProof/>
        </w:rPr>
        <w:t>(Protopopov et al., 1993)</w:t>
      </w:r>
      <w:r w:rsidR="003C3212" w:rsidRPr="000D7D3D">
        <w:fldChar w:fldCharType="end"/>
      </w:r>
      <w:r w:rsidR="00AD171F">
        <w:t xml:space="preserve">, were found to be upregulated by </w:t>
      </w:r>
      <w:r w:rsidR="00455A4B">
        <w:t>the presence of HAP</w:t>
      </w:r>
      <w:r w:rsidR="00AD171F">
        <w:t xml:space="preserve"> in both </w:t>
      </w:r>
      <w:r w:rsidR="00250CAF">
        <w:t xml:space="preserve">the </w:t>
      </w:r>
      <w:r w:rsidR="00AD171F">
        <w:t>NS and S condition (Figure 5.9)</w:t>
      </w:r>
      <w:r w:rsidR="003C3212" w:rsidRPr="000D7D3D">
        <w:t xml:space="preserve">. The upregulation of multiple components of a putative exocytosis pathway in both </w:t>
      </w:r>
      <w:r w:rsidR="00250CAF">
        <w:t xml:space="preserve">the </w:t>
      </w:r>
      <w:r w:rsidR="003C3212" w:rsidRPr="000D7D3D">
        <w:t>NS and S condition</w:t>
      </w:r>
      <w:r w:rsidR="00AD171F">
        <w:t>s</w:t>
      </w:r>
      <w:r w:rsidR="003C3212" w:rsidRPr="000D7D3D">
        <w:t xml:space="preserve"> supports the idea that extrusion of potentially toxic weathering agents may </w:t>
      </w:r>
      <w:r w:rsidR="00455A4B">
        <w:t>operate</w:t>
      </w:r>
      <w:r w:rsidR="00AD171F">
        <w:t xml:space="preserve"> in a vesicle-mediated manner.</w:t>
      </w:r>
    </w:p>
    <w:p w14:paraId="09A1F3CC" w14:textId="5EC675B8" w:rsidR="00FC7ED3" w:rsidRDefault="00AD171F" w:rsidP="001D48D3">
      <w:pPr>
        <w:ind w:firstLine="720"/>
      </w:pPr>
      <w:r>
        <w:t xml:space="preserve">As mentioned previously, </w:t>
      </w:r>
      <w:r w:rsidR="00D6294D" w:rsidRPr="00635993">
        <w:rPr>
          <w:i/>
        </w:rPr>
        <w:t>P. involutus</w:t>
      </w:r>
      <w:r>
        <w:t xml:space="preserve"> transcriptional response to </w:t>
      </w:r>
      <w:r w:rsidR="00FF5E43">
        <w:t>the presence of HAP</w:t>
      </w:r>
      <w:r>
        <w:t xml:space="preserve"> varies significantly </w:t>
      </w:r>
      <w:r w:rsidR="00D6294D">
        <w:t xml:space="preserve">when the fungus is growing </w:t>
      </w:r>
      <w:r w:rsidR="00295D30">
        <w:t xml:space="preserve">either </w:t>
      </w:r>
      <w:r w:rsidR="00122F15">
        <w:t>non-symbiotically</w:t>
      </w:r>
      <w:r w:rsidR="00D6294D">
        <w:t xml:space="preserve"> (NS condition) or in symbiosis with </w:t>
      </w:r>
      <w:r w:rsidR="00122F15" w:rsidRPr="00122F15">
        <w:rPr>
          <w:i/>
        </w:rPr>
        <w:t>P. sylvestris</w:t>
      </w:r>
      <w:r w:rsidR="00D6294D">
        <w:t xml:space="preserve"> </w:t>
      </w:r>
      <w:r w:rsidR="00295D30">
        <w:t xml:space="preserve">seedlings </w:t>
      </w:r>
      <w:r w:rsidR="00D6294D">
        <w:t xml:space="preserve">(S condition). In </w:t>
      </w:r>
      <w:r w:rsidR="00250CAF">
        <w:t xml:space="preserve">the </w:t>
      </w:r>
      <w:r w:rsidR="0093483F">
        <w:t>N</w:t>
      </w:r>
      <w:r w:rsidR="00D6294D">
        <w:t xml:space="preserve">S condition, </w:t>
      </w:r>
      <w:r w:rsidR="0093483F">
        <w:t>s</w:t>
      </w:r>
      <w:r w:rsidR="0093483F" w:rsidRPr="000D7D3D">
        <w:t xml:space="preserve">everal genes encoding putative redox enzymes were upregulated in response to </w:t>
      </w:r>
      <w:r w:rsidR="00295D30">
        <w:t>the presence of HAP</w:t>
      </w:r>
      <w:r w:rsidR="0093483F" w:rsidRPr="000D7D3D">
        <w:t xml:space="preserve">, such as </w:t>
      </w:r>
      <w:r w:rsidR="00295D30">
        <w:t xml:space="preserve">a </w:t>
      </w:r>
      <w:r w:rsidR="0093483F" w:rsidRPr="000D7D3D">
        <w:t xml:space="preserve">NADPH oxidase and </w:t>
      </w:r>
      <w:r w:rsidR="00295D30">
        <w:t xml:space="preserve">a </w:t>
      </w:r>
      <w:r w:rsidR="0093483F" w:rsidRPr="000D7D3D">
        <w:t>NADH-ubiquinone oxidoreductase</w:t>
      </w:r>
      <w:r w:rsidR="00A2196B">
        <w:t xml:space="preserve"> </w:t>
      </w:r>
      <w:r w:rsidR="00AA4DD1">
        <w:t>(Figure 5.4A</w:t>
      </w:r>
      <w:r w:rsidR="00A2196B">
        <w:t>)</w:t>
      </w:r>
      <w:r w:rsidR="0093483F" w:rsidRPr="000D7D3D">
        <w:t>. Interestingly, it has been previously shown that oxidoreductase activity-</w:t>
      </w:r>
      <w:r w:rsidR="0093483F" w:rsidRPr="000D7D3D">
        <w:lastRenderedPageBreak/>
        <w:t xml:space="preserve">associated genes are upregulated in response to </w:t>
      </w:r>
      <w:r w:rsidR="0093483F">
        <w:t>p</w:t>
      </w:r>
      <w:r w:rsidR="0093483F" w:rsidRPr="000D7D3D">
        <w:t>otassium</w:t>
      </w:r>
      <w:r w:rsidR="00EA3ED2">
        <w:t xml:space="preserve"> (K)</w:t>
      </w:r>
      <w:r w:rsidR="00295D30">
        <w:t xml:space="preserve"> feldspar</w:t>
      </w:r>
      <w:r w:rsidR="0093483F" w:rsidRPr="000D7D3D">
        <w:t xml:space="preserve"> weathering by </w:t>
      </w:r>
      <w:r w:rsidR="00615ECF">
        <w:rPr>
          <w:i/>
        </w:rPr>
        <w:t>Aspergillus</w:t>
      </w:r>
      <w:r w:rsidR="0093483F" w:rsidRPr="000D7D3D">
        <w:rPr>
          <w:i/>
        </w:rPr>
        <w:t xml:space="preserve"> niger </w:t>
      </w:r>
      <w:r w:rsidR="0093483F" w:rsidRPr="000D7D3D">
        <w:rPr>
          <w:i/>
        </w:rPr>
        <w:fldChar w:fldCharType="begin" w:fldLock="1"/>
      </w:r>
      <w:r w:rsidR="00EE33AB">
        <w:rPr>
          <w:i/>
        </w:rPr>
        <w:instrText>ADDIN CSL_CITATION {"citationItems":[{"id":"ITEM-1","itemData":{"DOI":"10.1080/01490451.2014.991812","ISBN":"0149-0451","ISSN":"15210529","abstract":"Microbial transformation of potassium feldspar to produce organic composite potassium fertilizer is recognized to be an important method of effective use of the huge reserves of low grade K+-bearing rock in China. The mechanism underlying microbial weathering of silicate minerals is still unclear, and this is an obstacle to practical methods of application. To thoroughly understand the molecular mechanism responsible for the weathering of potassium feldspar by Aspergillus niger at a molecular level, high-throughput RNA-sequencing (RNA-seq) and treatment with different potassium sources (cultured in Czapek medium with soluble K+ or potassium feldspar) were used to investigate the differentially expressed genes of A. niger associated with potassium feldspar weathering and the related metabolic pathways. A series of differentially expressed genes related to the synthesis and transportation of organic acids, polysaccharides, and proteins (enzymes) were found to be closely associated with the K+ released from minerals through bioinformatic analysis. In addition, 12 genes that showed apparent expression differences by RNA-seq analysis and are relevant to organic acid synthesis, protein modification, maintenance of cellular homeostasis, and material transportation, were selected to be further verified using RT-qPCR. Compared to the fungal samples cultured with soluble K+, those with potassium feldspar have certain genes that are more up-regulated, such as the genes for Na+,K+-ATPase (447.6 multiples), cystathionine beta-synthase (5.6 multiples), cysteine synthase (9 multiples), and glutathione synthase (3.5 multiples). The analysis indicates that A. niger weathering of potassium feldspar is due to the synergistic effect of many factors including the up-regulation of certain genes and activation of related metabolite pathways. The research improves our understanding of the mechanisms of microbial weathering of silicate minerals.","author":[{"dropping-particle":"","family":"Wang","given":"Weiying","non-dropping-particle":"","parse-names":false,"suffix":""},{"dropping-particle":"","family":"Lian","given":"Bin","non-dropping-particle":"","parse-names":false,"suffix":""},{"dropping-particle":"","family":"Pan","given":"Ling","non-dropping-particle":"","parse-names":false,"suffix":""}],"container-title":"Geomicrobiology Journal","id":"ITEM-1","issue":"8","issued":{"date-parts":[["2015"]]},"page":"689-700","title":"An RNA-Sequencing Study of the Genes and Metabolic Pathways Involved in Aspergillus niger Weathering of Potassium Feldspar","type":"article-journal","volume":"32"},"uris":["http://www.mendeley.com/documents/?uuid=fe1aa69e-8355-41f5-b0bb-77f1c600160f"]}],"mendeley":{"formattedCitation":"(Wang et al., 2015)","plainTextFormattedCitation":"(Wang et al., 2015)","previouslyFormattedCitation":"(Wang et al., 2015)"},"properties":{"noteIndex":0},"schema":"https://github.com/citation-style-language/schema/raw/master/csl-citation.json"}</w:instrText>
      </w:r>
      <w:r w:rsidR="0093483F" w:rsidRPr="000D7D3D">
        <w:rPr>
          <w:i/>
        </w:rPr>
        <w:fldChar w:fldCharType="separate"/>
      </w:r>
      <w:r w:rsidR="0093483F" w:rsidRPr="000D7D3D">
        <w:rPr>
          <w:noProof/>
        </w:rPr>
        <w:t>(Wang et al., 2015)</w:t>
      </w:r>
      <w:r w:rsidR="0093483F" w:rsidRPr="000D7D3D">
        <w:rPr>
          <w:i/>
        </w:rPr>
        <w:fldChar w:fldCharType="end"/>
      </w:r>
      <w:r w:rsidR="0093483F" w:rsidRPr="000D7D3D">
        <w:t>. Besides, oxidoreductases are very likely to be involved in amino acids and organic acid metabolism, where organic acids are further involved in the solubilisation of HAP.</w:t>
      </w:r>
      <w:r w:rsidR="0093483F">
        <w:t xml:space="preserve"> </w:t>
      </w:r>
      <w:r w:rsidR="00A2196B">
        <w:t xml:space="preserve">Indeed, metabolomics analysis of secreted compounds enriched by </w:t>
      </w:r>
      <w:r w:rsidR="00295D30">
        <w:t>the presence of HAP</w:t>
      </w:r>
      <w:r w:rsidR="00A2196B">
        <w:t xml:space="preserve"> in</w:t>
      </w:r>
      <w:r w:rsidR="00250CAF">
        <w:t xml:space="preserve"> the</w:t>
      </w:r>
      <w:r w:rsidR="00A2196B">
        <w:t xml:space="preserve"> NS condition identified oxaloacetate, a known precursor of oxalic acid, and glucuronic acid, derived from the oxidation of glucose (F</w:t>
      </w:r>
      <w:r w:rsidR="00295D30">
        <w:t>igure 5.12A, cluster I).</w:t>
      </w:r>
    </w:p>
    <w:p w14:paraId="0F9E9600" w14:textId="784489BB" w:rsidR="00AE55FB" w:rsidRPr="000D7D3D" w:rsidRDefault="001D48D3" w:rsidP="00AE55FB">
      <w:pPr>
        <w:ind w:firstLine="720"/>
      </w:pPr>
      <w:r>
        <w:t>I</w:t>
      </w:r>
      <w:r w:rsidR="00A2196B">
        <w:t xml:space="preserve">n </w:t>
      </w:r>
      <w:r w:rsidR="00250CAF">
        <w:t xml:space="preserve">the </w:t>
      </w:r>
      <w:r w:rsidR="00A2196B">
        <w:t>S condition, HAP</w:t>
      </w:r>
      <w:r w:rsidR="00D9111A">
        <w:t xml:space="preserve"> presence</w:t>
      </w:r>
      <w:r w:rsidR="00FC7ED3">
        <w:t xml:space="preserve"> also induces</w:t>
      </w:r>
      <w:r w:rsidR="00754712">
        <w:t xml:space="preserve"> putative redox protein-</w:t>
      </w:r>
      <w:r w:rsidR="00122F15">
        <w:t>encoding genes,</w:t>
      </w:r>
      <w:r w:rsidRPr="000D7D3D">
        <w:t xml:space="preserve"> such as multiple </w:t>
      </w:r>
      <w:r>
        <w:t>c</w:t>
      </w:r>
      <w:r w:rsidRPr="000D7D3D">
        <w:t>ytochromes P450 (Figure 5.5A)</w:t>
      </w:r>
      <w:r>
        <w:t>,</w:t>
      </w:r>
      <w:r w:rsidRPr="001D48D3">
        <w:t xml:space="preserve"> </w:t>
      </w:r>
      <w:r>
        <w:t xml:space="preserve">which </w:t>
      </w:r>
      <w:r w:rsidRPr="000D7D3D">
        <w:t>ha</w:t>
      </w:r>
      <w:r w:rsidR="00D9111A">
        <w:t>ve</w:t>
      </w:r>
      <w:r w:rsidRPr="000D7D3D">
        <w:t xml:space="preserve"> </w:t>
      </w:r>
      <w:r w:rsidR="00D9111A">
        <w:t xml:space="preserve">also </w:t>
      </w:r>
      <w:r w:rsidRPr="000D7D3D">
        <w:t xml:space="preserve">been found to be upregulated in </w:t>
      </w:r>
      <w:r w:rsidR="00EA3ED2">
        <w:t>K</w:t>
      </w:r>
      <w:r w:rsidRPr="000D7D3D">
        <w:t xml:space="preserve"> feldspar weathering by </w:t>
      </w:r>
      <w:r w:rsidR="00F11CCA">
        <w:rPr>
          <w:i/>
        </w:rPr>
        <w:t>Aspergillus</w:t>
      </w:r>
      <w:r w:rsidRPr="000D7D3D">
        <w:rPr>
          <w:i/>
        </w:rPr>
        <w:t xml:space="preserve"> fumigatus </w:t>
      </w:r>
      <w:r w:rsidRPr="000D7D3D">
        <w:rPr>
          <w:i/>
        </w:rPr>
        <w:fldChar w:fldCharType="begin" w:fldLock="1"/>
      </w:r>
      <w:r w:rsidR="00EE33AB">
        <w:rPr>
          <w:i/>
        </w:rPr>
        <w:instrText>ADDIN CSL_CITATION {"citationItems":[{"id":"ITEM-1","itemData":{"DOI":"10.1016/j.chemgeo.2012.02.014","ISBN":"0009-2541","ISSN":"00092541","abstract":"In order to determine the mechanisms by which fungi weather potassium-bearing minerals on a molecular level, we prepared differential expression cDNA libraries of Aspergillus fumigatus using suppression subtractive hybridization (SSH) technology. The specimens were cultured with and without potassium-bearing minerals. Among genes that were upregulated by the presence of these minerals, 24% were found to be involved in carbon source consumption. Of downregulated genes, 54% were found to code for membrane proteins. This study showed that the factors that could accelerate weathering of K-bearing minerals involved organic acids, carbonic acid, and redox participant molecules. K-bearing minerals were found to upregulate the expression of carbonic anhydrase (CA), implying that A. fumigatus was capable of converting CO 2 into carbonate to accelerate the weathering of potassium-bearing minerals, which fixed CO 2. During mineral weathering, the fungus changed its metabolism, produced more metal-binding proteins, and reduced membrane metal transporter expression, which can modulate ion absorption and disposal and promote acid production. The results of this study may improve our understanding of the mechanisms by which microorganisms weather silicate minerals. Because silicate weathering consumes CO 2, the current study provides molecular evidence for the participation of microorganisms in silicate weathering and carbonate formation. © 2012 Elsevier B.V.","author":[{"dropping-particle":"","family":"Xiao","given":"Bo","non-dropping-particle":"","parse-names":false,"suffix":""},{"dropping-particle":"","family":"Lian","given":"Bin","non-dropping-particle":"","parse-names":false,"suffix":""},{"dropping-particle":"","family":"Sun","given":"Leilei","non-dropping-particle":"","parse-names":false,"suffix":""},{"dropping-particle":"","family":"Shao","given":"Weilan","non-dropping-particle":"","parse-names":false,"suffix":""}],"container-title":"Chemical Geology","id":"ITEM-1","issued":{"date-parts":[["2012"]]},"page":"1-9","publisher":"Elsevier B.V.","title":"Gene transcription response to weathering of K-bearing minerals by Aspergillus fumigatus","type":"article-journal","volume":"306-307"},"uris":["http://www.mendeley.com/documents/?uuid=dfd0d7fb-57a5-4c5b-8318-68d054ab1459"]}],"mendeley":{"formattedCitation":"(Xiao et al., 2012)","plainTextFormattedCitation":"(Xiao et al., 2012)","previouslyFormattedCitation":"(Xiao et al., 2012)"},"properties":{"noteIndex":0},"schema":"https://github.com/citation-style-language/schema/raw/master/csl-citation.json"}</w:instrText>
      </w:r>
      <w:r w:rsidRPr="000D7D3D">
        <w:rPr>
          <w:i/>
        </w:rPr>
        <w:fldChar w:fldCharType="separate"/>
      </w:r>
      <w:r w:rsidRPr="000D7D3D">
        <w:rPr>
          <w:noProof/>
        </w:rPr>
        <w:t>(Xiao et al., 2012)</w:t>
      </w:r>
      <w:r w:rsidRPr="000D7D3D">
        <w:rPr>
          <w:i/>
        </w:rPr>
        <w:fldChar w:fldCharType="end"/>
      </w:r>
      <w:r>
        <w:t xml:space="preserve">. However, most notably, </w:t>
      </w:r>
      <w:r w:rsidR="00D9111A">
        <w:t xml:space="preserve">HAP presence </w:t>
      </w:r>
      <w:r>
        <w:t>in</w:t>
      </w:r>
      <w:r w:rsidR="00250CAF">
        <w:t xml:space="preserve"> the</w:t>
      </w:r>
      <w:r>
        <w:t xml:space="preserve"> S condition induced</w:t>
      </w:r>
      <w:r w:rsidR="00A2196B">
        <w:t xml:space="preserve"> multiple</w:t>
      </w:r>
      <w:r w:rsidR="00122F15">
        <w:t xml:space="preserve"> genes encoding for</w:t>
      </w:r>
      <w:r w:rsidR="00A2196B">
        <w:t xml:space="preserve"> </w:t>
      </w:r>
      <w:r w:rsidR="00122F15">
        <w:t>low molecular weight organic acids (</w:t>
      </w:r>
      <w:r w:rsidR="00A2196B">
        <w:t>LMWOA</w:t>
      </w:r>
      <w:r w:rsidR="00122F15">
        <w:t>)</w:t>
      </w:r>
      <w:r w:rsidR="00D9111A">
        <w:t>-related</w:t>
      </w:r>
      <w:r w:rsidR="00A2196B">
        <w:t xml:space="preserve"> metabolic </w:t>
      </w:r>
      <w:r w:rsidR="00D9111A">
        <w:t>enz</w:t>
      </w:r>
      <w:r w:rsidR="00122F15">
        <w:t>ymes</w:t>
      </w:r>
      <w:r>
        <w:t xml:space="preserve">, such as </w:t>
      </w:r>
      <w:r w:rsidRPr="000D7D3D">
        <w:t>formate dehydrogenase</w:t>
      </w:r>
      <w:r>
        <w:t xml:space="preserve">, oxalate dehydrogenases and isocitrate lyase (Figures 5.5A and 5.6A). </w:t>
      </w:r>
      <w:r w:rsidRPr="000D7D3D">
        <w:t xml:space="preserve">LMWOA secreted on mineral surfaces are widely accepted as the main agents of </w:t>
      </w:r>
      <w:r w:rsidR="00D9111A">
        <w:t>fungal mineral weathering</w:t>
      </w:r>
      <w:r w:rsidRPr="000D7D3D">
        <w:t xml:space="preserve">, and in particular </w:t>
      </w:r>
      <w:r w:rsidR="00D9111A">
        <w:t xml:space="preserve">by mycorrhiza, </w:t>
      </w:r>
      <w:r w:rsidRPr="000D7D3D">
        <w:t xml:space="preserve">which have access to </w:t>
      </w:r>
      <w:r w:rsidR="00F11CCA">
        <w:t>C</w:t>
      </w:r>
      <w:r w:rsidRPr="000D7D3D">
        <w:t xml:space="preserve"> sources from the </w:t>
      </w:r>
      <w:r w:rsidR="00D9111A">
        <w:t>host</w:t>
      </w:r>
      <w:r w:rsidRPr="000D7D3D">
        <w:t xml:space="preserve"> plant </w:t>
      </w:r>
      <w:r w:rsidRPr="000D7D3D">
        <w:fldChar w:fldCharType="begin" w:fldLock="1"/>
      </w:r>
      <w:r w:rsidR="00EE33AB">
        <w:instrText>ADDIN CSL_CITATION {"citationItems":[{"id":"ITEM-1","itemData":{"DOI":"10.2113/gselements.13.3.171","ISSN":"18115217","abstract":"Fungi are ubiquitous inhabitants of rock and mineral surfaces and are significant geoactive agents. Capable of numerous transformations of metals and minerals, fungi can prosper in the most adverse of environments, their activities underpinned by growth form and metabolism. Free-living filamentous species, microcolonial fungi and lichens can significantly change a rock's surficial structure and appearance, ranging from discolouration and staining to biodeterioration and the formation of new biogenic minerals and rock coatings. The presence and activity of fungi should be considered in any study of rock and mineral transformations that seeks to understand the biotic and abiotic processes that underpin geochemical change in the biosphere.","author":[{"dropping-particle":"","family":"Gadd","given":"Geoffrey M.","non-dropping-particle":"","parse-names":false,"suffix":""}],"container-title":"Elements","id":"ITEM-1","issue":"3","issued":{"date-parts":[["2017"]]},"page":"171-176","title":"Fungi, rocks, and minerals","type":"article-journal","volume":"13"},"uris":["http://www.mendeley.com/documents/?uuid=67f40e93-d721-411b-9d5d-67fc8c9a0b59"]}],"mendeley":{"formattedCitation":"(Gadd, 2017)","plainTextFormattedCitation":"(Gadd, 2017)","previouslyFormattedCitation":"(Gadd, 2017)"},"properties":{"noteIndex":0},"schema":"https://github.com/citation-style-language/schema/raw/master/csl-citation.json"}</w:instrText>
      </w:r>
      <w:r w:rsidRPr="000D7D3D">
        <w:fldChar w:fldCharType="separate"/>
      </w:r>
      <w:r w:rsidRPr="000D7D3D">
        <w:rPr>
          <w:noProof/>
        </w:rPr>
        <w:t>(Gadd, 2017)</w:t>
      </w:r>
      <w:r w:rsidRPr="000D7D3D">
        <w:fldChar w:fldCharType="end"/>
      </w:r>
      <w:r w:rsidRPr="000D7D3D">
        <w:t xml:space="preserve">. The identification of upregulated </w:t>
      </w:r>
      <w:r w:rsidR="00122F15">
        <w:t>LMWOA</w:t>
      </w:r>
      <w:r w:rsidR="00D9111A">
        <w:t>-related</w:t>
      </w:r>
      <w:r w:rsidRPr="000D7D3D">
        <w:t xml:space="preserve"> metabolic genes </w:t>
      </w:r>
      <w:r w:rsidR="00D9111A">
        <w:t>in response to the pres</w:t>
      </w:r>
      <w:r w:rsidR="00BA482C">
        <w:t>ence of HAP during EM symbiosis</w:t>
      </w:r>
      <w:r w:rsidR="00D9111A">
        <w:t xml:space="preserve"> stands as</w:t>
      </w:r>
      <w:r w:rsidRPr="000D7D3D">
        <w:t xml:space="preserve"> </w:t>
      </w:r>
      <w:r w:rsidR="00FC7ED3">
        <w:t xml:space="preserve">one of </w:t>
      </w:r>
      <w:r w:rsidRPr="000D7D3D">
        <w:t xml:space="preserve">the first molecular evidence of </w:t>
      </w:r>
      <w:r w:rsidR="00122F15">
        <w:t xml:space="preserve">the role of LMWOA in </w:t>
      </w:r>
      <w:r w:rsidR="00D9111A">
        <w:t xml:space="preserve">EM fungi </w:t>
      </w:r>
      <w:r w:rsidR="00122F15">
        <w:t>mineral weathering</w:t>
      </w:r>
      <w:r w:rsidRPr="000D7D3D">
        <w:t>.</w:t>
      </w:r>
      <w:r w:rsidR="00FC7ED3" w:rsidRPr="000D7D3D">
        <w:t xml:space="preserve"> In fungi, upregulation of</w:t>
      </w:r>
      <w:r w:rsidR="00FC7ED3" w:rsidRPr="00FC7ED3">
        <w:t xml:space="preserve"> </w:t>
      </w:r>
      <w:r w:rsidR="00FC7ED3">
        <w:t>formate and oxalate dehydrogenases</w:t>
      </w:r>
      <w:r w:rsidR="00FC7ED3" w:rsidRPr="000D7D3D">
        <w:t xml:space="preserve"> </w:t>
      </w:r>
      <w:r w:rsidR="00FC7ED3">
        <w:t>genes has</w:t>
      </w:r>
      <w:r w:rsidR="00FC7ED3" w:rsidRPr="000D7D3D">
        <w:t xml:space="preserve"> been linked with catabolism of oxalic acid, when present in high concentrations </w:t>
      </w:r>
      <w:r w:rsidR="00FC7ED3" w:rsidRPr="000D7D3D">
        <w:fldChar w:fldCharType="begin" w:fldLock="1"/>
      </w:r>
      <w:r w:rsidR="00EE33AB">
        <w:instrText>ADDIN CSL_CITATION {"citationItems":[{"id":"ITEM-1","itemData":{"DOI":"10.1111/j.1574-6968.2007.01022.x","ISBN":"0378-1097 (Print)\\r0378-1097 (Linking)","ISSN":"03781097","PMID":"18177307","abstract":"The authors have proposed previously that intracellular degradation of oxalic acid via formate to CO(2) occurs in the white-rot fungus Ceriporiopsis subvermispora. The formate degradation is catalyzed by NAD-dependent formate dehydrogenase (CsFDH). In this study, two cDNAs named CsFDH1 and CsFDH2 encoding CsFDH were cloned. Each cDNA consisting of 1077 bp encodes a mature protein composed of 358 amino acid residues. The amino acid sequences of the deduced CsFDH1 and CsFDH2 showed 99% identity to each other. The predicted molecular mass for each was 39.3 kDa, which was similar to that of CsFDH purified from the vegetative mycelia of Ceriporiopsis subvermispora (purified-CsFDH). The recombinant CsFDH1 and CsFDH2 expressed by Escherichia coli showed FDH activity with similar characteristics to the purified CsFDH. However, the amount of CsFDH1 transcript from the vegetative mycelia was 236-691 times greater than that of CsFDH2. Therefore, the results strongly suggest that CsFDH1, as compared with CsFDH2, predominantly contributes to the production of the purified CsFDH.","author":[{"dropping-particle":"","family":"Watanabe","given":"Tomoki","non-dropping-particle":"","parse-names":false,"suffix":""},{"dropping-particle":"","family":"Fujiwara","given":"Tadashi","non-dropping-particle":"","parse-names":false,"suffix":""},{"dropping-particle":"","family":"Umezawa","given":"Toshiaki","non-dropping-particle":"","parse-names":false,"suffix":""},{"dropping-particle":"","family":"Shimada","given":"Mikio","non-dropping-particle":"","parse-names":false,"suffix":""},{"dropping-particle":"","family":"Hattori","given":"Takefumi","non-dropping-particle":"","parse-names":false,"suffix":""}],"container-title":"FEMS Microbiology Letters","id":"ITEM-1","issue":"1","issued":{"date-parts":[["2008"]]},"page":"64-70","title":"Cloning of a cDNA encoding a NAD-dependent formate dehydrogenase involved in oxalic acid metabolism from the white-rot fungus Ceriporiopsis subvermispora and its gene expression analysis","type":"article-journal","volume":"279"},"uris":["http://www.mendeley.com/documents/?uuid=9c62d336-aec5-4113-bd75-b819490fe05e"]},{"id":"ITEM-2","itemData":{"DOI":"10.1016/j.micres.2017.03.002","ISSN":"09445013","abstract":"In this study, the transcriptomic-based response of the white rot fungus Abortiporus biennis to oxalic acid induction was reported. The whole transcriptome of A. biennis was analysed using the RNA-based sequencing technology and Solid 5500 platform. De novo assembly of reads generated 37,719 contigs. A molecular function for 26,280 unique transcripts was assigned. The analysis of the A. biennis transcriptome predicted 635 hypothetical open reading frames encoding carbohydrate active enzymes distributed in 122 families. 82 genes were identified, whose expression level was significantly changed after oxalic acid addition. Among them, 18 genes were up-regulated and 64 genes were down-regulated. Genes coding for putative cellulose and hemicellulose degrading enzymes were predominantly up-regulated in the mycelium induced with oxalic acid; it was in the case of cellulases and xylanases (hemicellulases), in particular, β-glucosidase and endo-1,4-β-xylanases. On the contrary, several genes coding for lignolytic enzymes were down-regulated, with the significant repression level in the case of versatile peroxidase. Finally, we identified putative genes involved in oxalate metabolism. Among the transcripts detected in the A. biennis transcriptome, one was annotated as coding for putative oxalate decarboxylase (ODC) and nine transcripts were annotated as formate dehydrogenases (FDH). The addition of oxalic acid to the culture caused upregulation of the gene coding for ODC and three genes for FDH. Amongst the transcripts of putative FDH genes, one designated as NODE_36057, demonstrated the highest induction level recorded in this study after the oxalic acid addition.","author":[{"dropping-particle":"","family":"Grąz","given":"Marcin","non-dropping-particle":"","parse-names":false,"suffix":""},{"dropping-particle":"","family":"Jarosz-Wilkołazka","given":"Anna","non-dropping-particle":"","parse-names":false,"suffix":""},{"dropping-particle":"","family":"Janusz","given":"Grzegorz","non-dropping-particle":"","parse-names":false,"suffix":""},{"dropping-particle":"","family":"Mazur","given":"Andrzej","non-dropping-particle":"","parse-names":false,"suffix":""},{"dropping-particle":"","family":"Wielbo","given":"Jerzy","non-dropping-particle":"","parse-names":false,"suffix":""},{"dropping-particle":"","family":"Koper","given":"Piotr","non-dropping-particle":"","parse-names":false,"suffix":""},{"dropping-particle":"","family":"Żebracki","given":"Kamil","non-dropping-particle":"","parse-names":false,"suffix":""},{"dropping-particle":"","family":"Kubik-Komar","given":"Agnieszka","non-dropping-particle":"","parse-names":false,"suffix":""}],"container-title":"Microbiological Research","id":"ITEM-2","issued":{"date-parts":[["2017"]]},"page":"79-88","title":"Transcriptome-based analysis of the saprophytic fungus Abortiporus biennis – response to oxalic acid","type":"article-journal","volume":"199"},"uris":["http://www.mendeley.com/documents/?uuid=0d35f426-df70-4b27-85f7-63351c26945a"]}],"mendeley":{"formattedCitation":"(Watanabe et al., 2008; Grąz et al., 2017)","plainTextFormattedCitation":"(Watanabe et al., 2008; Grąz et al., 2017)","previouslyFormattedCitation":"(Watanabe et al., 2008; Grąz et al., 2017)"},"properties":{"noteIndex":0},"schema":"https://github.com/citation-style-language/schema/raw/master/csl-citation.json"}</w:instrText>
      </w:r>
      <w:r w:rsidR="00FC7ED3" w:rsidRPr="000D7D3D">
        <w:fldChar w:fldCharType="separate"/>
      </w:r>
      <w:r w:rsidR="00FC7ED3" w:rsidRPr="000D7D3D">
        <w:rPr>
          <w:noProof/>
        </w:rPr>
        <w:t>(Watanabe et al., 2008; Grąz et al., 2017)</w:t>
      </w:r>
      <w:r w:rsidR="00FC7ED3" w:rsidRPr="000D7D3D">
        <w:fldChar w:fldCharType="end"/>
      </w:r>
      <w:r w:rsidR="00FC7ED3" w:rsidRPr="000D7D3D">
        <w:t xml:space="preserve">. </w:t>
      </w:r>
      <w:r w:rsidR="00AE55FB">
        <w:t>On the other hand,</w:t>
      </w:r>
      <w:r w:rsidR="00AE55FB" w:rsidRPr="000D7D3D">
        <w:t xml:space="preserve"> </w:t>
      </w:r>
      <w:r w:rsidR="00AE55FB">
        <w:t>the isocitrate lyase</w:t>
      </w:r>
      <w:r w:rsidR="00AE55FB" w:rsidRPr="000D7D3D">
        <w:t xml:space="preserve"> enzyme catalyses </w:t>
      </w:r>
      <w:r w:rsidR="00BA482C">
        <w:t xml:space="preserve">the </w:t>
      </w:r>
      <w:r w:rsidR="00AE55FB" w:rsidRPr="000D7D3D">
        <w:t xml:space="preserve">cleavage of isocitrate, producing succinate and glyoxylate </w:t>
      </w:r>
      <w:r w:rsidR="00AE55FB" w:rsidRPr="000D7D3D">
        <w:fldChar w:fldCharType="begin" w:fldLock="1"/>
      </w:r>
      <w:r w:rsidR="00EE33AB">
        <w:instrText>ADDIN CSL_CITATION {"citationItems":[{"id":"ITEM-1","itemData":{"DOI":"10.1016/S0969-2126(00)00117-9","ISBN":"0969-2126","ISSN":"0969-2126","PMID":"10801489","abstract":"BACKGROUND: Isocitrate lyase catalyses the first committed step of the carbon-conserving glyoxylate bypass, the Mg(2+)-dependent reversible cleavage of isocitrate into succinate and glyoxylate. This metabolic pathway is an inviting target for the control of a number of diseases, because the enzymes involved in this cycle have been identified in many pathogens including Mycobacterium leprae and Leishmania. RESULTS: As part of a programme of rational drug design the structure of the tetrameric Aspergillus nidulans isocitrate lyase and its complex with glyoxylate and a divalent cation have been solved to 2.8 A resolution using X-ray diffraction. Each subunit comprises two domains, one of which adopts a folding pattern highly reminiscent of the triose phosphate isomerase (TIM) barrel. A 'knot' between subunits observed in the three-dimensional structure, involving residues towards the C terminus, implies that tetramer assembly involves considerable flexibility in this part of the protein. CONCLUSIONS: Difference Fourier analysis together with the pattern of sequence conservation has led to the identification of both the glyoxylate and metal binding sites and implicates the C-terminal end of the TIM barrel as the active site, which is consistent with studies of other enzymes with this fold. Two disordered regions of the polypeptide chain lie close to the active site, one of which includes a critical cysteine residue suggesting that conformational rearrangements are essential for catalysis. Structural similarities between isocitrate lyase and both PEP mutase and enzymes belonging to the enolase superfamily suggest possible relationships in aspects of the mechanism.","author":[{"dropping-particle":"","family":"Britton","given":"K","non-dropping-particle":"","parse-names":false,"suffix":""},{"dropping-particle":"","family":"Langridge","given":"S","non-dropping-particle":"","parse-names":false,"suffix":""},{"dropping-particle":"","family":"Baker","given":"P J","non-dropping-particle":"","parse-names":false,"suffix":""},{"dropping-particle":"","family":"Weeradechapon","given":"K","non-dropping-particle":"","parse-names":false,"suffix":""},{"dropping-particle":"","family":"Sedelnikova","given":"S E","non-dropping-particle":"","parse-names":false,"suffix":""},{"dropping-particle":"","family":"Lucas","given":"J R","non-dropping-particle":"De","parse-names":false,"suffix":""},{"dropping-particle":"","family":"Rice","given":"D W","non-dropping-particle":"","parse-names":false,"suffix":""},{"dropping-particle":"","family":"Turner","given":"G","non-dropping-particle":"","parse-names":false,"suffix":""}],"container-title":"Structure (London, England : 1993)","id":"ITEM-1","issue":"4","issued":{"date-parts":[["2000"]]},"page":"349-362","title":"The crystal structure and active site location of isocitrate lyase from the fungus Aspergillus nidulans.","type":"article-journal","volume":"8"},"uris":["http://www.mendeley.com/documents/?uuid=e809b4f5-b1ea-4f52-809a-ac408d8bc166"]},{"id":"ITEM-2","itemData":{"DOI":"10.1111/j.1469-8137.2010.03520.x","ISBN":"1469-8137 (Electronic)\\n0028-646X (Linking)","ISSN":"1469-8137","PMID":"21039570","abstract":"• Primary carbohydrate metabolism plays a special role related to carbon/nitrogen exchange, as well as metabolic support of fruiting body development, in ectomycorrhizal macrofungi. In this study, we used information retrieved from the recently sequenced Tuber melanosporum genome, together with transcriptome analysis data and targeted validation experiments, to construct the first genome-wide catalogue of the proteins supporting carbohydrate metabolism in a plant-symbiotic ascomycete. • More than 100 genes coding for enzymes of the glycolysis, pentose phosphate, tricarboxylic acid, glyoxylate and methylcitrate pathways, glycogen, trehalose and mannitol metabolism and cell wall precursor were annotated. Transcriptional regulation of these pathways in different stages of the T. melanosporum lifecycle was investigated using whole-genome oligoarray expression data together with real-time reverse transcription-polymerase chain reaction analysis of selected genes. • The most significant results were the identification of methylcitrate cycle genes and of an acid invertase, the first enzyme of this kind to be described in a plant-symbiotic filamentous fungus. • A subset of transcripts coding for trehalose, glyoxylate and methylcitrate enzymes was up-regulated in fruiting bodies, whereas genes involved in mannitol and glycogen metabolism were preferentially expressed in mycelia and ectomycorrhizas, respectively. These data indicate a high degree of lifecycle stage specialization for particular branches of carbohydrate metabolism in T. melanosporum.","author":[{"dropping-particle":"","family":"Ceccaroli","given":"P","non-dropping-particle":"","parse-names":false,"suffix":""},{"dropping-particle":"","family":"Buffalini","given":"M","non-dropping-particle":"","parse-names":false,"suffix":""},{"dropping-particle":"","family":"Saltarelli","given":"R","non-dropping-particle":"","parse-names":false,"suffix":""},{"dropping-particle":"","family":"Barbieri","given":"E","non-dropping-particle":"","parse-names":false,"suffix":""},{"dropping-particle":"","family":"Polidori","given":"E","non-dropping-particle":"","parse-names":false,"suffix":""},{"dropping-particle":"","family":"Ottonello","given":"S","non-dropping-particle":"","parse-names":false,"suffix":""},{"dropping-particle":"","family":"Kohler","given":"A","non-dropping-particle":"","parse-names":false,"suffix":""},{"dropping-particle":"","family":"Tisserant","given":"E","non-dropping-particle":"","parse-names":false,"suffix":""},{"dropping-particle":"","family":"Martin","given":"F","non-dropping-particle":"","parse-names":false,"suffix":""},{"dropping-particle":"","family":"Stocchi","given":"V","non-dropping-particle":"","parse-names":false,"suffix":""}],"container-title":"The New phytologist","id":"ITEM-2","issue":"3","issued":{"date-parts":[["2011"]]},"page":"751-64","title":"Genomic profiling of carbohydrate metabolism in the ectomycorrhizal fungus Tuber melanosporum.","type":"article-journal","volume":"189"},"uris":["http://www.mendeley.com/documents/?uuid=54d3f796-4522-4fc9-872a-807945cf48f4"]}],"mendeley":{"formattedCitation":"(Britton et al., 2000; Ceccaroli et al., 2011)","plainTextFormattedCitation":"(Britton et al., 2000; Ceccaroli et al., 2011)","previouslyFormattedCitation":"(Britton et al., 2000; Ceccaroli et al., 2011)"},"properties":{"noteIndex":0},"schema":"https://github.com/citation-style-language/schema/raw/master/csl-citation.json"}</w:instrText>
      </w:r>
      <w:r w:rsidR="00AE55FB" w:rsidRPr="000D7D3D">
        <w:fldChar w:fldCharType="separate"/>
      </w:r>
      <w:r w:rsidR="00AE55FB" w:rsidRPr="000D7D3D">
        <w:rPr>
          <w:noProof/>
        </w:rPr>
        <w:t>(Britton et al., 2000; Ceccaroli et al., 2011)</w:t>
      </w:r>
      <w:r w:rsidR="00AE55FB" w:rsidRPr="000D7D3D">
        <w:fldChar w:fldCharType="end"/>
      </w:r>
      <w:r w:rsidR="00AE55FB" w:rsidRPr="000D7D3D">
        <w:t xml:space="preserve">. Glyoxylate has been shown to be used by </w:t>
      </w:r>
      <w:r w:rsidR="00AE55FB" w:rsidRPr="000D7D3D">
        <w:rPr>
          <w:i/>
        </w:rPr>
        <w:t>P. involutus</w:t>
      </w:r>
      <w:r w:rsidR="00AE55FB" w:rsidRPr="000D7D3D">
        <w:t xml:space="preserve"> as </w:t>
      </w:r>
      <w:r w:rsidR="00BA482C">
        <w:t xml:space="preserve">a </w:t>
      </w:r>
      <w:r w:rsidR="00AE55FB" w:rsidRPr="000D7D3D">
        <w:t xml:space="preserve">substrate for oxalic acid biosynthesis, in an alternative pathway from the oxaloacetate one </w:t>
      </w:r>
      <w:r w:rsidR="00AE55FB" w:rsidRPr="000D7D3D">
        <w:fldChar w:fldCharType="begin" w:fldLock="1"/>
      </w:r>
      <w:r w:rsidR="00EE33AB">
        <w:instrText>ADDIN CSL_CITATION {"citationItems":[{"id":"ITEM-1","itemData":{"DOI":"10.1111/j.1469-8137.1987.tb04797.x","ISSN":"0028-646X","author":[{"dropping-particle":"","family":"Lapeyrie","given":"F.","non-dropping-particle":"","parse-names":false,"suffix":""},{"dropping-particle":"","family":"Chilvers","given":"G. a.","non-dropping-particle":"","parse-names":false,"suffix":""},{"dropping-particle":"","family":"Bhem","given":"C. a.","non-dropping-particle":"","parse-names":false,"suffix":""}],"container-title":"New Phytologist","id":"ITEM-1","issue":"1","issued":{"date-parts":[["1987","5"]]},"page":"139-146","title":"Oxalic Acid Synthesis By the Mycorrhizal Fungus Paxillus Involutus (Batsch. Ex Fr.) Fr.","type":"article-journal","volume":"106"},"uris":["http://www.mendeley.com/documents/?uuid=af3301be-238a-4512-a82b-12216d1c74e8"]}],"mendeley":{"formattedCitation":"(Lapeyrie et al., 1987)","plainTextFormattedCitation":"(Lapeyrie et al., 1987)","previouslyFormattedCitation":"(Lapeyrie et al., 1987)"},"properties":{"noteIndex":0},"schema":"https://github.com/citation-style-language/schema/raw/master/csl-citation.json"}</w:instrText>
      </w:r>
      <w:r w:rsidR="00AE55FB" w:rsidRPr="000D7D3D">
        <w:fldChar w:fldCharType="separate"/>
      </w:r>
      <w:r w:rsidR="00AE55FB" w:rsidRPr="000D7D3D">
        <w:rPr>
          <w:noProof/>
        </w:rPr>
        <w:t>(Lapeyrie et al., 1987)</w:t>
      </w:r>
      <w:r w:rsidR="00AE55FB" w:rsidRPr="000D7D3D">
        <w:fldChar w:fldCharType="end"/>
      </w:r>
      <w:r w:rsidR="00AE55FB" w:rsidRPr="000D7D3D">
        <w:t>.</w:t>
      </w:r>
      <w:r w:rsidR="00BE33B1" w:rsidRPr="00BE33B1">
        <w:t xml:space="preserve"> </w:t>
      </w:r>
      <w:r w:rsidR="00BE33B1">
        <w:t>Lastly, s</w:t>
      </w:r>
      <w:r w:rsidR="00BE33B1" w:rsidRPr="000D7D3D">
        <w:t xml:space="preserve">uccinic acid has been shown to </w:t>
      </w:r>
      <w:r w:rsidR="00BE33B1">
        <w:t>act as</w:t>
      </w:r>
      <w:r w:rsidR="00BE33B1" w:rsidRPr="000D7D3D">
        <w:t xml:space="preserve"> a potential weathering agent in </w:t>
      </w:r>
      <w:r w:rsidR="00BE33B1">
        <w:t>various</w:t>
      </w:r>
      <w:r w:rsidR="00BE33B1" w:rsidRPr="000D7D3D">
        <w:t xml:space="preserve"> fungal species </w:t>
      </w:r>
      <w:r w:rsidR="00BE33B1" w:rsidRPr="000D7D3D">
        <w:fldChar w:fldCharType="begin" w:fldLock="1"/>
      </w:r>
      <w:r w:rsidR="00EE33AB">
        <w:instrText>ADDIN CSL_CITATION {"citationItems":[{"id":"ITEM-1","itemData":{"DOI":"10.1007/978-3-642-78356-2_6","ISBN":"978-3-642-78356-2","abstract":"The soluble organic acids in soils consist largely of complex mixtures of polymeric compounds referred to collectively as fulvic and humic acids. These compounds are relatively refractory, and are broken down only slowly by microorganisms. Low-molecular-mass acids (e.g., acetic, oxalic, formic) exist in dynamic balance: they are rapidly produced and consumed by microorganisms. Their concentrations may be quite high where rapid decomposition of plant material is taking place, and in microenvironments adjacent to roots and fungal hyphae, but are generally low (typically less than 1 mM) in bulk soil solution. Concentrations of organic acids are generally highest in the organic layer at the top of the soil profile and decrease with depth. Particularly high concentrations of dissolved organic acids occur in peatlands and waterlogged soils.","author":[{"dropping-particle":"","family":"Drever","given":"James I","non-dropping-particle":"","parse-names":false,"suffix":""},{"dropping-particle":"","family":"Vance","given":"George F","non-dropping-particle":"","parse-names":false,"suffix":""}],"editor":[{"dropping-particle":"","family":"Pittman","given":"Edward D","non-dropping-particle":"","parse-names":false,"suffix":""},{"dropping-particle":"","family":"Lewan","given":"Michael D","non-dropping-particle":"","parse-names":false,"suffix":""}],"id":"ITEM-1","issued":{"date-parts":[["1994"]]},"page":"138-161","publisher":"Springer Berlin Heidelberg","publisher-place":"Berlin, Heidelberg","title":"Role of Soil Organic Acids in Mineral Weathering Processes BT  - Organic Acids in Geological Processes","type":"chapter"},"uris":["http://www.mendeley.com/documents/?uuid=ac016ca4-cbaa-4dcb-bef4-756c0172733b"]},{"id":"ITEM-2","itemData":{"DOI":"10.1016/S0016-7061(00)00102-6","ISBN":"0016-7061","ISSN":"00167061","abstract":"Low-molecular-weight (LMW) carboxylic acids found in soils and soil solutions comprise mainly aliphatic mono-, di- and tricarboxylic acids and substituted benzoic and cinnamic acids. This review compiles current information on the content of LMW carboxylic acids in soil solutions collected by centrifugation and in lysimeters, and soil extracts in relation to type of vegetation, soil type and soil depth. Contents of LMW carboxylic acids are highest in soil solution from the upper soil layers where carbon in LMW carboxylic acids constitutes up to 10% of DOC. The concentrations of aliphatic LMW di-/tricarboxylic acids (oxalic, malonic, malic, succinic, tartaric and citric acid) are usually in the range 0–50 μM with the higher concentrations in soil solutions from meadow, permanent pasture and forest soils as compared to ley and cultivated soils. In contrast, the concentrations of aliphatic LMW monocarboxylic acids (formic, acetic, propionic, butyric, valeric and lactic acid) are commonly in the range 0–1 mM with high concentrations found in soil solutions from both cultivated and forested soils. Especially insence cedar (Calocedrus decurrens (Torr.) Florin), ponderosa pine (Pinus ponderosa Dougl.), Douglas fir (Pseudotsuga menziesii Franco) and Norway spruce (Picea abies (L.) Karst.) seem to cause higher contents of LMW carboxylic acids in soils and soil solutions as compared to other tree species. Soil solution concentrations of substituted benzoic and cinnamic acids are submicromolar for all vegetations, whereas similar amounts in the range 0–800 μmol kg−1 of aliphatic LMW carboxylic acids and substituted benzoic and cinnamic acids are extractable from mineral soils with alkaline and dilute acid extractants. Seasonal variations are observed in soil solutions isolated by centrifugation and soil extracts with highest concentrations in 2–4 months in a period from mid spring to early summer, minimum concentrations around early autumn, and increasing concentrations during autumn.","author":[{"dropping-particle":"","family":"Strobel","given":"Bjarne W","non-dropping-particle":"","parse-names":false,"suffix":""}],"container-title":"Geoderma","id":"ITEM-2","issue":"3-4","issued":{"date-parts":[["2001"]]},"page":"169-198","title":"Influence of vegetation on low-molecular-weight carboxylic acids in soil solution—a review","type":"article-journal","volume":"99"},"uris":["http://www.mendeley.com/documents/?uuid=803908b4-4056-4368-86d6-caf4ed52a17b"]},{"id":"ITEM-3","itemData":{"DOI":"10.1128/AEM.00918-16 4090-4099","ISSN":"10985336","PMID":"27129959","abstract":"Bacteria play important roles in mineral weathering, soil formation, and element cycling. However, little is known about the interaction between silicate minerals and rhizobia. In this study, Rhizobium yantingense H66 (a novel mineral-weathering rhizobium) and Rhizobium etli CFN42 were compared with respect to potash feldspar weathering, mineral surface adsorption, and metabolic activity during the mineral weathering process. Strain H66 showed significantly higher Si, Al, and K mobilization from the mineral and higher ratios of cell numbers on the mineral surface to total cell numbers than strain CFN42. Although the two strains produced gluconic acid, strain H66 also produced acetic, malic, and succinic acids during mineral weathering in low- and high-glucose media. Notably, higher Si, Al, and K releases, higher ratios of cell numbers on the mineral surface to total cell numbers, and a higher production of organic acids by strain H66 were observed in the low-glucose medium than in the high-glucose medium. Scanning electron microscope analyses of the mineral surfaces and redundancy analysis showed stronger positive correlations between the mineral surface cell adsorption and mineral weathering, indicated by the dissolved Al and K concentrations. The results showed that the two rhizobia behaved differently with respect to mineral weathering. The results suggested that Rhizobium yantingense H66 promoted potash feldspar weathering through increased adsorption of cells to the mineral surface and through differences in glucose metabolism at low and high nutrient concentrations, especially at low nutrient concentrations. IMPORTANCE This study reported the potash feldspar weathering, the cell adsorption capacity of the mineral surfaces, and the metabolic differences between the novel mineral-weathering Rhizobium yantingense H66 and Rhizobium etli CFN42 under different nutritional conditions. The results showed that Rhizobium yantingense H66 had a greater ability to weather the mineral in low- and high-glucose media, especially in the low-glucose medium. Furthermore, Rhizobium yantingense H66 promoted mineral weathering through the increased adsorption of cells to the mineral surface and through increased organic acid production. Our results allow us to better comprehend the roles of different rhizobia in silicate mineral weathering, element cycling, and soil formation in various soil environments, providing more insight into the geomicrobial contributions of rh…","author":[{"dropping-particle":"","family":"Chen","given":"Wei","non-dropping-particle":"","parse-names":false,"suffix":""},{"dropping-particle":"","family":"Luo","given":"Long","non-dropping-particle":"","parse-names":false,"suffix":""},{"dropping-particle":"","family":"He","given":"Lin Yan","non-dropping-particle":"","parse-names":false,"suffix":""},{"dropping-particle":"","family":"Wang","given":"Qi","non-dropping-particle":"","parse-names":false,"suffix":""},{"dropping-particle":"","family":"Sheng","given":"Xia Fang","non-dropping-particle":"","parse-names":false,"suffix":""}],"container-title":"Applied and Environmental Microbiology","id":"ITEM-3","issue":"14","issued":{"date-parts":[["2016"]]},"page":"4090-4099","title":"Distinct mineral weathering behaviors of the novel mineral- weathering strains Rhizobium yantingense H66 and Rhizobium etli CFN42","type":"article-journal","volume":"82"},"uris":["http://www.mendeley.com/documents/?uuid=5efa5f38-4684-4264-ae87-e53200457233"]}],"mendeley":{"formattedCitation":"(Drever and Vance, 1994; Strobel, 2001; Chen et al., 2016)","plainTextFormattedCitation":"(Drever and Vance, 1994; Strobel, 2001; Chen et al., 2016)","previouslyFormattedCitation":"(Drever and Vance, 1994; Strobel, 2001; Chen et al., 2016)"},"properties":{"noteIndex":0},"schema":"https://github.com/citation-style-language/schema/raw/master/csl-citation.json"}</w:instrText>
      </w:r>
      <w:r w:rsidR="00BE33B1" w:rsidRPr="000D7D3D">
        <w:fldChar w:fldCharType="separate"/>
      </w:r>
      <w:r w:rsidR="00BE33B1" w:rsidRPr="000D7D3D">
        <w:rPr>
          <w:noProof/>
        </w:rPr>
        <w:t>(Drever and Vance, 1994; Strobel, 2001; Chen et al., 2016)</w:t>
      </w:r>
      <w:r w:rsidR="00BE33B1" w:rsidRPr="000D7D3D">
        <w:fldChar w:fldCharType="end"/>
      </w:r>
      <w:r w:rsidR="00BE33B1" w:rsidRPr="000D7D3D">
        <w:t>.</w:t>
      </w:r>
    </w:p>
    <w:p w14:paraId="473F738C" w14:textId="683B0A75" w:rsidR="001D48D3" w:rsidRDefault="00FC7ED3" w:rsidP="001563DA">
      <w:pPr>
        <w:ind w:firstLine="720"/>
      </w:pPr>
      <w:r w:rsidRPr="000D7D3D">
        <w:t xml:space="preserve">Oxalic acid is </w:t>
      </w:r>
      <w:r w:rsidR="00FA6D9A">
        <w:t xml:space="preserve">considered </w:t>
      </w:r>
      <w:r w:rsidRPr="000D7D3D">
        <w:t>a key metabolite for fungal mineral weathering, both for its strong acid</w:t>
      </w:r>
      <w:r w:rsidR="00FA6D9A">
        <w:t>ifying</w:t>
      </w:r>
      <w:r w:rsidRPr="000D7D3D">
        <w:t xml:space="preserve"> and chelating properties and for its ability to form mineral oxalates, which </w:t>
      </w:r>
      <w:r w:rsidR="00BE33B1">
        <w:t>conjugate</w:t>
      </w:r>
      <w:r w:rsidRPr="000D7D3D">
        <w:t xml:space="preserve"> potentially toxic ions deriving from </w:t>
      </w:r>
      <w:r w:rsidR="00BE33B1">
        <w:t>mineral weathering</w:t>
      </w:r>
      <w:r w:rsidRPr="000D7D3D">
        <w:t xml:space="preserve"> </w:t>
      </w:r>
      <w:r w:rsidRPr="000D7D3D">
        <w:fldChar w:fldCharType="begin" w:fldLock="1"/>
      </w:r>
      <w:r w:rsidR="00EE33AB">
        <w:instrText>ADDIN CSL_CITATION {"citationItems":[{"id":"ITEM-1","itemData":{"DOI":"https://doi.org/10.1016/j.fbr.2014.05.001","ISSN":"1749-4613","author":[{"dropping-particle":"","family":"Gadd","given":"Geoffrey Michael","non-dropping-particle":"","parse-names":false,"suffix":""},{"dropping-particle":"","family":"Bahri-Esfahani","given":"Jaleh","non-dropping-particle":"","parse-names":false,"suffix":""},{"dropping-particle":"","family":"Li","given":"Qianwei","non-dropping-particle":"","parse-names":false,"suffix":""},{"dropping-particle":"","family":"Rhee","given":"Young Joon","non-dropping-particle":"","parse-names":false,"suffix":""},{"dropping-particle":"","family":"Wei","given":"Zhan","non-dropping-particle":"","parse-names":false,"suffix":""},{"dropping-particle":"","family":"Fomina","given":"Marina","non-dropping-particle":"","parse-names":false,"suffix":""},{"dropping-particle":"","family":"Liang","given":"Xinjin","non-dropping-particle":"","parse-names":false,"suffix":""}],"container-title":"Fungal Biology Reviews","id":"ITEM-1","issue":"2","issued":{"date-parts":[["2014"]]},"page":"36-55","title":"Oxalate production by fungi: significance in geomycology, biodeterioration and bioremediation","type":"article-journal","volume":"28"},"uris":["http://www.mendeley.com/documents/?uuid=175ec618-f4cf-43f6-870e-31cd14149a5d"]},{"id":"ITEM-2","itemData":{"DOI":"10.1038/srep12187","ISSN":"2045-2322","PMID":"26197714","abstract":"Trees and their associated rhizosphere organisms play a major role in mineral weathering driving calcium fluxes from the continents to the oceans that ultimately control long-term atmospheric CO2 and climate through the geochemical carbon cycle. Photosynthate allocation to tree roots and their mycorrhizal fungi is hypothesized to fuel the active secretion of protons and organic chelators that enhance calcium dissolution at fungal-mineral interfaces. This was tested using (14)CO2 supplied to shoots of Pinus sylvestris ectomycorrhizal with the widespread fungus Paxillus involutus in monoxenic microcosms, revealing preferential allocation by the fungus of plant photoassimilate to weather grains of limestone and silicates each with a combined calcium and magnesium content of over 10 wt.%. Hyphae had acidic surfaces and linear accumulation of weathered calcium with secreted oxalate, increasing significantly in sequence: quartz, granite &lt; basalt, olivine, limestone &lt; gabbro. These findings confirmed the role of mineral-specific oxalate exudation in ectomycorrhizal weathering to dissolve calcium bearing minerals, thus contributing to the geochemical carbon cycle.","author":[{"dropping-particle":"","family":"Schmalenberger","given":"A","non-dropping-particle":"","parse-names":false,"suffix":""},{"dropping-particle":"","family":"Duran","given":"A L","non-dropping-particle":"","parse-names":false,"suffix":""},{"dropping-particle":"","family":"Bray","given":"A W","non-dropping-particle":"","parse-names":false,"suffix":""},{"dropping-particle":"","family":"Bridge","given":"J","non-dropping-particle":"","parse-names":false,"suffix":""},{"dropping-particle":"","family":"Bonneville","given":"S","non-dropping-particle":"","parse-names":false,"suffix":""},{"dropping-particle":"","family":"Benning","given":"L G","non-dropping-particle":"","parse-names":false,"suffix":""},{"dropping-particle":"","family":"Romero-Gonzalez","given":"M E","non-dropping-particle":"","parse-names":false,"suffix":""},{"dropping-particle":"","family":"Leake","given":"J R","non-dropping-particle":"","parse-names":false,"suffix":""},{"dropping-particle":"","family":"Banwart","given":"S A","non-dropping-particle":"","parse-names":false,"suffix":""}],"container-title":"Scientific reports","id":"ITEM-2","issue":"January","issued":{"date-parts":[["2015"]]},"page":"12187","publisher":"Nature Publishing Group","title":"Oxalate secretion by ectomycorrhizal Paxillus involutus is mineral-specific and controls calcium weathering from minerals.","type":"article-journal","volume":"5"},"uris":["http://www.mendeley.com/documents/?uuid=9c31a0e1-dc7a-43a9-8089-3386c14f9039"]}],"mendeley":{"formattedCitation":"(Gadd et al., 2014; Schmalenberger et al., 2015)","plainTextFormattedCitation":"(Gadd et al., 2014; Schmalenberger et al., 2015)","previouslyFormattedCitation":"(Gadd et al., 2014; Schmalenberger et al., 2015)"},"properties":{"noteIndex":0},"schema":"https://github.com/citation-style-language/schema/raw/master/csl-citation.json"}</w:instrText>
      </w:r>
      <w:r w:rsidRPr="000D7D3D">
        <w:fldChar w:fldCharType="separate"/>
      </w:r>
      <w:r w:rsidRPr="000D7D3D">
        <w:rPr>
          <w:noProof/>
        </w:rPr>
        <w:t xml:space="preserve">(Gadd et al., 2014; </w:t>
      </w:r>
      <w:r w:rsidRPr="000D7D3D">
        <w:rPr>
          <w:noProof/>
        </w:rPr>
        <w:lastRenderedPageBreak/>
        <w:t>Schmalenberger et al., 2015)</w:t>
      </w:r>
      <w:r w:rsidRPr="000D7D3D">
        <w:fldChar w:fldCharType="end"/>
      </w:r>
      <w:r w:rsidRPr="000D7D3D">
        <w:t>. Excess oxalic acid</w:t>
      </w:r>
      <w:r w:rsidR="00BA482C">
        <w:t>,</w:t>
      </w:r>
      <w:r w:rsidRPr="000D7D3D">
        <w:t xml:space="preserve"> however</w:t>
      </w:r>
      <w:r w:rsidR="00BA482C">
        <w:t>, is toxic for the cell</w:t>
      </w:r>
      <w:r w:rsidRPr="000D7D3D">
        <w:t xml:space="preserve"> and needs to be degraded </w:t>
      </w:r>
      <w:r w:rsidRPr="000D7D3D">
        <w:fldChar w:fldCharType="begin" w:fldLock="1"/>
      </w:r>
      <w:r w:rsidR="00EE33AB">
        <w:instrText>ADDIN CSL_CITATION {"citationItems":[{"id":"ITEM-1","itemData":{"DOI":"10.1139/m96-114","ISBN":"0008-4166","ISSN":"0008-4166","abstract":"Oxalate secretion by fungi provides many advantages for their growth and colonization of substrates. The role of oxalic acid in pathogenesis is through acidification of host tissues and sequestration of calcium from host cell walls. The formation of calcium oxalate crystals weakens the cell walls, thereby allowing polygalacturonase to effect degradation more rapidly in a synergistic response. There is good correlation between pathogenesis, virulence, and oxalic acid secretion. Solubility of soil nutrients is achieved by soil-living species, when cations freed by oxalate diffusing in clay layers increases the effective solubility of Al and Fe. Oxalate retained in hyphal mats of mycorrhizal species increases phosphate and sulphate availability. The formation of calcium oxalate crystals provides a reservoir of calcium in the ecosystem. The ability of oxalate to bind divalent cations permits detoxification of copper, particularly evident in wood preserved with copper salts. Oxalate plays a unique role in lign...","author":[{"dropping-particle":"V.","family":"Dutton","given":"Martin","non-dropping-particle":"","parse-names":false,"suffix":""},{"dropping-particle":"","family":"Evans","given":"Christine S.","non-dropping-particle":"","parse-names":false,"suffix":""}],"container-title":"Canadian Journal of Microbiology","id":"ITEM-1","issue":"9","issued":{"date-parts":[["1996"]]},"page":"881-895","title":"Oxalate production by fungi: its role in pathogenicity and ecology in the soil environment","type":"article-journal","volume":"42"},"uris":["http://www.mendeley.com/documents/?uuid=911f4917-a740-4ffd-a8c0-30c25f6c66dc"]},{"id":"ITEM-2","itemData":{"DOI":"https://doi.org/10.1016/j.fbr.2014.05.001","ISSN":"1749-4613","author":[{"dropping-particle":"","family":"Gadd","given":"Geoffrey Michael","non-dropping-particle":"","parse-names":false,"suffix":""},{"dropping-particle":"","family":"Bahri-Esfahani","given":"Jaleh","non-dropping-particle":"","parse-names":false,"suffix":""},{"dropping-particle":"","family":"Li","given":"Qianwei","non-dropping-particle":"","parse-names":false,"suffix":""},{"dropping-particle":"","family":"Rhee","given":"Young Joon","non-dropping-particle":"","parse-names":false,"suffix":""},{"dropping-particle":"","family":"Wei","given":"Zhan","non-dropping-particle":"","parse-names":false,"suffix":""},{"dropping-particle":"","family":"Fomina","given":"Marina","non-dropping-particle":"","parse-names":false,"suffix":""},{"dropping-particle":"","family":"Liang","given":"Xinjin","non-dropping-particle":"","parse-names":false,"suffix":""}],"container-title":"Fungal Biology Reviews","id":"ITEM-2","issue":"2","issued":{"date-parts":[["2014"]]},"page":"36-55","title":"Oxalate production by fungi: significance in geomycology, biodeterioration and bioremediation","type":"article-journal","volume":"28"},"uris":["http://www.mendeley.com/documents/?uuid=175ec618-f4cf-43f6-870e-31cd14149a5d"]}],"mendeley":{"formattedCitation":"(Dutton and Evans, 1996; Gadd et al., 2014)","plainTextFormattedCitation":"(Dutton and Evans, 1996; Gadd et al., 2014)","previouslyFormattedCitation":"(Dutton and Evans, 1996; Gadd et al., 2014)"},"properties":{"noteIndex":0},"schema":"https://github.com/citation-style-language/schema/raw/master/csl-citation.json"}</w:instrText>
      </w:r>
      <w:r w:rsidRPr="000D7D3D">
        <w:fldChar w:fldCharType="separate"/>
      </w:r>
      <w:r w:rsidRPr="000D7D3D">
        <w:rPr>
          <w:noProof/>
        </w:rPr>
        <w:t>(Dutton and Evans, 1996; Gadd et al., 2014)</w:t>
      </w:r>
      <w:r w:rsidRPr="000D7D3D">
        <w:fldChar w:fldCharType="end"/>
      </w:r>
      <w:r>
        <w:t xml:space="preserve">. </w:t>
      </w:r>
      <w:r w:rsidR="00BA482C">
        <w:t>The m</w:t>
      </w:r>
      <w:r w:rsidR="00AE55FB">
        <w:t xml:space="preserve">etabolomic analysis identified </w:t>
      </w:r>
      <w:r w:rsidR="00BE33B1">
        <w:t xml:space="preserve">the presence of </w:t>
      </w:r>
      <w:r w:rsidR="00AE55FB">
        <w:t xml:space="preserve">oxaloacetate </w:t>
      </w:r>
      <w:r w:rsidR="00BE33B1">
        <w:t xml:space="preserve">in response to HAP, both </w:t>
      </w:r>
      <w:r w:rsidR="00AE55FB">
        <w:t>in</w:t>
      </w:r>
      <w:r w:rsidR="00250CAF">
        <w:t xml:space="preserve"> the</w:t>
      </w:r>
      <w:r w:rsidR="00BE33B1">
        <w:t xml:space="preserve"> NS</w:t>
      </w:r>
      <w:r w:rsidR="00AE55FB">
        <w:t xml:space="preserve"> </w:t>
      </w:r>
      <w:r w:rsidR="00BE33B1">
        <w:t xml:space="preserve">and S </w:t>
      </w:r>
      <w:r w:rsidR="00AE55FB">
        <w:t>conditions</w:t>
      </w:r>
      <w:r w:rsidR="00155C6A">
        <w:t xml:space="preserve"> </w:t>
      </w:r>
      <w:r w:rsidR="00BE33B1">
        <w:t>(</w:t>
      </w:r>
      <w:r w:rsidR="00155C6A">
        <w:t>Figure 5.12A, cluster I)</w:t>
      </w:r>
      <w:r w:rsidR="00AE55FB">
        <w:t>. L</w:t>
      </w:r>
      <w:r w:rsidR="00AE55FB" w:rsidRPr="000D7D3D">
        <w:t>ack of</w:t>
      </w:r>
      <w:r w:rsidR="00AE55FB">
        <w:t xml:space="preserve"> direct</w:t>
      </w:r>
      <w:r w:rsidR="00AE55FB" w:rsidRPr="000D7D3D">
        <w:t xml:space="preserve"> detection of oxalic acid</w:t>
      </w:r>
      <w:r w:rsidR="00155C6A">
        <w:t xml:space="preserve"> </w:t>
      </w:r>
      <w:r w:rsidR="00AE55FB">
        <w:t>through metabolomic analysis</w:t>
      </w:r>
      <w:r w:rsidR="00155C6A">
        <w:t xml:space="preserve"> (Figure 5.12)</w:t>
      </w:r>
      <w:r w:rsidR="00AE55FB">
        <w:t xml:space="preserve"> and strong upregulation of oxalic acid catabolic genes</w:t>
      </w:r>
      <w:r w:rsidR="00155C6A">
        <w:t xml:space="preserve"> in</w:t>
      </w:r>
      <w:r w:rsidR="00250CAF">
        <w:t xml:space="preserve"> the</w:t>
      </w:r>
      <w:r w:rsidR="00155C6A">
        <w:t xml:space="preserve"> S condition (Figures 5.5A and 5.6A)</w:t>
      </w:r>
      <w:r w:rsidR="00BE33B1">
        <w:t>, indicate</w:t>
      </w:r>
      <w:r w:rsidR="00AE55FB" w:rsidRPr="000D7D3D">
        <w:t xml:space="preserve"> that </w:t>
      </w:r>
      <w:r w:rsidR="00AE55FB" w:rsidRPr="000D7D3D">
        <w:rPr>
          <w:i/>
        </w:rPr>
        <w:t>P. involutus</w:t>
      </w:r>
      <w:r w:rsidR="00AE55FB" w:rsidRPr="000D7D3D">
        <w:t xml:space="preserve"> may rapidly cycle oxalic acid into formate and ultimately CO</w:t>
      </w:r>
      <w:r w:rsidR="00AE55FB" w:rsidRPr="000D7D3D">
        <w:rPr>
          <w:vertAlign w:val="subscript"/>
        </w:rPr>
        <w:t>2</w:t>
      </w:r>
      <w:r w:rsidR="00155C6A">
        <w:t>. This mechanism could protect</w:t>
      </w:r>
      <w:r w:rsidR="00AE55FB" w:rsidRPr="000D7D3D">
        <w:t xml:space="preserve"> against oxalic acid toxicity </w:t>
      </w:r>
      <w:r w:rsidR="00AE55FB" w:rsidRPr="000D7D3D">
        <w:fldChar w:fldCharType="begin" w:fldLock="1"/>
      </w:r>
      <w:r w:rsidR="00EE33AB">
        <w:instrText>ADDIN CSL_CITATION {"citationItems":[{"id":"ITEM-1","itemData":{"DOI":"https://doi.org/10.1016/j.fbr.2014.05.001","ISSN":"1749-4613","author":[{"dropping-particle":"","family":"Gadd","given":"Geoffrey Michael","non-dropping-particle":"","parse-names":false,"suffix":""},{"dropping-particle":"","family":"Bahri-Esfahani","given":"Jaleh","non-dropping-particle":"","parse-names":false,"suffix":""},{"dropping-particle":"","family":"Li","given":"Qianwei","non-dropping-particle":"","parse-names":false,"suffix":""},{"dropping-particle":"","family":"Rhee","given":"Young Joon","non-dropping-particle":"","parse-names":false,"suffix":""},{"dropping-particle":"","family":"Wei","given":"Zhan","non-dropping-particle":"","parse-names":false,"suffix":""},{"dropping-particle":"","family":"Fomina","given":"Marina","non-dropping-particle":"","parse-names":false,"suffix":""},{"dropping-particle":"","family":"Liang","given":"Xinjin","non-dropping-particle":"","parse-names":false,"suffix":""}],"container-title":"Fungal Biology Reviews","id":"ITEM-1","issue":"2","issued":{"date-parts":[["2014"]]},"page":"36-55","title":"Oxalate production by fungi: significance in geomycology, biodeterioration and bioremediation","type":"article-journal","volume":"28"},"uris":["http://www.mendeley.com/documents/?uuid=175ec618-f4cf-43f6-870e-31cd14149a5d"]}],"mendeley":{"formattedCitation":"(Gadd et al., 2014)","plainTextFormattedCitation":"(Gadd et al., 2014)","previouslyFormattedCitation":"(Gadd et al., 2014)"},"properties":{"noteIndex":0},"schema":"https://github.com/citation-style-language/schema/raw/master/csl-citation.json"}</w:instrText>
      </w:r>
      <w:r w:rsidR="00AE55FB" w:rsidRPr="000D7D3D">
        <w:fldChar w:fldCharType="separate"/>
      </w:r>
      <w:r w:rsidR="00AE55FB" w:rsidRPr="000D7D3D">
        <w:rPr>
          <w:noProof/>
        </w:rPr>
        <w:t>(Gadd et al., 2014)</w:t>
      </w:r>
      <w:r w:rsidR="00AE55FB" w:rsidRPr="000D7D3D">
        <w:fldChar w:fldCharType="end"/>
      </w:r>
      <w:r w:rsidR="00AE55FB" w:rsidRPr="000D7D3D">
        <w:t xml:space="preserve"> and</w:t>
      </w:r>
      <w:r w:rsidR="00AE55FB">
        <w:t xml:space="preserve"> potentially</w:t>
      </w:r>
      <w:r w:rsidR="00155C6A">
        <w:t xml:space="preserve"> further acidify</w:t>
      </w:r>
      <w:r w:rsidR="00AE55FB" w:rsidRPr="000D7D3D">
        <w:t xml:space="preserve"> the fungal-mineral interface through the production of carbonates </w:t>
      </w:r>
      <w:r w:rsidR="00AE55FB" w:rsidRPr="000D7D3D">
        <w:fldChar w:fldCharType="begin" w:fldLock="1"/>
      </w:r>
      <w:r w:rsidR="00EE33AB">
        <w:instrText>ADDIN CSL_CITATION {"citationItems":[{"id":"ITEM-1","itemData":{"author":[{"dropping-particle":"","family":"Hoffland","given":"Ellis","non-dropping-particle":"","parse-names":false,"suffix":""},{"dropping-particle":"","family":"Kuyper","given":"Thomas W.","non-dropping-particle":"","parse-names":false,"suffix":""},{"dropping-particle":"","family":"Wallander","given":"Håkan","non-dropping-particle":"","parse-names":false,"suffix":""},{"dropping-particle":"","family":"Plassard","given":"Claude","non-dropping-particle":"","parse-names":false,"suffix":""},{"dropping-particle":"","family":"Gorbushina","given":"Anna A.","non-dropping-particle":"","parse-names":false,"suffix":""},{"dropping-particle":"","family":"Haselwandter","given":"Kurt","non-dropping-particle":"","parse-names":false,"suffix":""},{"dropping-particle":"","family":"Holmström","given":"Sara","non-dropping-particle":"","parse-names":false,"suffix":""},{"dropping-particle":"","family":"Landeweert","given":"Renske","non-dropping-particle":"","parse-names":false,"suffix":""},{"dropping-particle":"","family":"Lundström","given":"Ulla S.","non-dropping-particle":"","parse-names":false,"suffix":""},{"dropping-particle":"","family":"Rosling","given":"Anna","non-dropping-particle":"","parse-names":false,"suffix":""},{"dropping-particle":"","family":"Sen","given":"Robin","non-dropping-particle":"","parse-names":false,"suffix":""},{"dropping-particle":"","family":"Smits","given":"Mark M.","non-dropping-particle":"","parse-names":false,"suffix":""},{"dropping-particle":"","family":"Hees","given":"Patrick A.W.","non-dropping-particle":"Van","parse-names":false,"suffix":""},{"dropping-particle":"","family":"Breemen","given":"Nico","non-dropping-particle":"Van","parse-names":false,"suffix":""}],"container-title":"Frontiers in Ecology and the Environment","id":"ITEM-1","issue":"5","issued":{"date-parts":[["2004"]]},"page":"258-264","title":"The role of fungi in weathering","type":"article-journal","volume":"2"},"uris":["http://www.mendeley.com/documents/?uuid=94459639-6319-4fbf-bddf-2ae3560640b0"]}],"mendeley":{"formattedCitation":"(Hoffland et al., 2004)","plainTextFormattedCitation":"(Hoffland et al., 2004)","previouslyFormattedCitation":"(Hoffland et al., 2004)"},"properties":{"noteIndex":0},"schema":"https://github.com/citation-style-language/schema/raw/master/csl-citation.json"}</w:instrText>
      </w:r>
      <w:r w:rsidR="00AE55FB" w:rsidRPr="000D7D3D">
        <w:fldChar w:fldCharType="separate"/>
      </w:r>
      <w:r w:rsidR="00AE55FB" w:rsidRPr="000D7D3D">
        <w:rPr>
          <w:noProof/>
        </w:rPr>
        <w:t>(Hoffland et al., 2004)</w:t>
      </w:r>
      <w:r w:rsidR="00AE55FB" w:rsidRPr="000D7D3D">
        <w:fldChar w:fldCharType="end"/>
      </w:r>
      <w:r w:rsidR="00AE55FB" w:rsidRPr="000D7D3D">
        <w:t>.</w:t>
      </w:r>
    </w:p>
    <w:p w14:paraId="22BD58DA" w14:textId="3C0D0CBC" w:rsidR="00155C6A" w:rsidRPr="000D7D3D" w:rsidRDefault="009B70EF" w:rsidP="001563DA">
      <w:pPr>
        <w:ind w:firstLine="720"/>
      </w:pPr>
      <w:r>
        <w:t xml:space="preserve">Similarly, </w:t>
      </w:r>
      <w:r w:rsidR="00BA482C">
        <w:t xml:space="preserve">the </w:t>
      </w:r>
      <w:r>
        <w:t xml:space="preserve">metabolomic analysis identified the presence of glucuronic acid in response to HAP, both in the NS and S conditions (Figure 5.12A, cluster I). </w:t>
      </w:r>
      <w:r w:rsidR="004960A1">
        <w:t>While the</w:t>
      </w:r>
      <w:r w:rsidR="004960A1" w:rsidRPr="000D7D3D">
        <w:t xml:space="preserve"> role for glucuronic acid in fungal mineral weathering has only been speculated so far </w:t>
      </w:r>
      <w:r w:rsidR="004960A1" w:rsidRPr="000D7D3D">
        <w:fldChar w:fldCharType="begin" w:fldLock="1"/>
      </w:r>
      <w:r w:rsidR="00EE33AB">
        <w:instrText>ADDIN CSL_CITATION {"citationItems":[{"id":"ITEM-1","itemData":{"DOI":"10.1007/978-3-642-78356-2_6","ISBN":"978-3-642-78356-2","abstract":"The soluble organic acids in soils consist largely of complex mixtures of polymeric compounds referred to collectively as fulvic and humic acids. These compounds are relatively refractory, and are broken down only slowly by microorganisms. Low-molecular-mass acids (e.g., acetic, oxalic, formic) exist in dynamic balance: they are rapidly produced and consumed by microorganisms. Their concentrations may be quite high where rapid decomposition of plant material is taking place, and in microenvironments adjacent to roots and fungal hyphae, but are generally low (typically less than 1 mM) in bulk soil solution. Concentrations of organic acids are generally highest in the organic layer at the top of the soil profile and decrease with depth. Particularly high concentrations of dissolved organic acids occur in peatlands and waterlogged soils.","author":[{"dropping-particle":"","family":"Drever","given":"James I","non-dropping-particle":"","parse-names":false,"suffix":""},{"dropping-particle":"","family":"Vance","given":"George F","non-dropping-particle":"","parse-names":false,"suffix":""}],"editor":[{"dropping-particle":"","family":"Pittman","given":"Edward D","non-dropping-particle":"","parse-names":false,"suffix":""},{"dropping-particle":"","family":"Lewan","given":"Michael D","non-dropping-particle":"","parse-names":false,"suffix":""}],"id":"ITEM-1","issued":{"date-parts":[["1994"]]},"page":"138-161","publisher":"Springer Berlin Heidelberg","publisher-place":"Berlin, Heidelberg","title":"Role of Soil Organic Acids in Mineral Weathering Processes BT  - Organic Acids in Geological Processes","type":"chapter"},"uris":["http://www.mendeley.com/documents/?uuid=ac016ca4-cbaa-4dcb-bef4-756c0172733b"]}],"mendeley":{"formattedCitation":"(Drever and Vance, 1994)","plainTextFormattedCitation":"(Drever and Vance, 1994)","previouslyFormattedCitation":"(Drever and Vance, 1994)"},"properties":{"noteIndex":0},"schema":"https://github.com/citation-style-language/schema/raw/master/csl-citation.json"}</w:instrText>
      </w:r>
      <w:r w:rsidR="004960A1" w:rsidRPr="000D7D3D">
        <w:fldChar w:fldCharType="separate"/>
      </w:r>
      <w:r w:rsidR="004960A1" w:rsidRPr="000D7D3D">
        <w:rPr>
          <w:noProof/>
        </w:rPr>
        <w:t>(Drever and Vance, 1994)</w:t>
      </w:r>
      <w:r w:rsidR="004960A1" w:rsidRPr="000D7D3D">
        <w:fldChar w:fldCharType="end"/>
      </w:r>
      <w:r w:rsidR="004960A1">
        <w:t>, its</w:t>
      </w:r>
      <w:r w:rsidR="004960A1" w:rsidRPr="000D7D3D">
        <w:t xml:space="preserve"> dissociation constant (pKa, 3.21) is lower than</w:t>
      </w:r>
      <w:r w:rsidR="004960A1">
        <w:t xml:space="preserve"> other organic acids</w:t>
      </w:r>
      <w:r w:rsidR="004960A1" w:rsidRPr="000D7D3D">
        <w:t xml:space="preserve"> </w:t>
      </w:r>
      <w:r>
        <w:t xml:space="preserve">which were </w:t>
      </w:r>
      <w:r w:rsidR="004960A1">
        <w:t>identified in</w:t>
      </w:r>
      <w:r w:rsidR="004960A1" w:rsidRPr="000D7D3D">
        <w:t xml:space="preserve"> </w:t>
      </w:r>
      <w:r>
        <w:t xml:space="preserve">previous fungal </w:t>
      </w:r>
      <w:r w:rsidR="004960A1" w:rsidRPr="000D7D3D">
        <w:t>weathering studies</w:t>
      </w:r>
      <w:r w:rsidR="004960A1" w:rsidRPr="000D7D3D">
        <w:rPr>
          <w:b/>
        </w:rPr>
        <w:t xml:space="preserve"> </w:t>
      </w:r>
      <w:r w:rsidR="004960A1" w:rsidRPr="000D7D3D">
        <w:rPr>
          <w:b/>
        </w:rPr>
        <w:fldChar w:fldCharType="begin" w:fldLock="1"/>
      </w:r>
      <w:r w:rsidR="00EE33AB">
        <w:rPr>
          <w:b/>
        </w:rPr>
        <w:instrText>ADDIN CSL_CITATION {"citationItems":[{"id":"ITEM-1","itemData":{"DOI":"10.1023/A:1004230525164","ISBN":"0032-079X","ISSN":"0032079X","abstract":"The objectives of the study are firstly to test the ability of ectomycorrhizal\\npine seedlings to use apatite as a P source in comparison with non-mycorrhizal\\npine seedlings and secondly, to determine if there is a relation\\nbetween exudation of organic acids and the ability to use apatite\\nas a P source. Non-mycorrhizal Pinus sylvestris (L.) seedlings and\\nseedlings ectomycorrhizal with 4 different isolates of ectomycorrhizal\\nfungi were grown for 220 days in sand/peat filled pots with apatite\\n(Ca-5(F,OH)(PO4)(3)) as the sole P source. In an additional experiment,\\nnon-mycorrhizal Pinus sylvestris (L.) seedlings and seedlings ectomycorrhizal\\nwith 2 different isolates of ectomycorrhizal fungi were grown without\\nany P source for 250 days. All other nutrients were supplied in a\\nbalanced nutrient solution. Ectomycorrhizal seedlings grew less than\\nnon-mycorrhizal seedlings but ectomycorrhizal seedlings produced\\na large external mycelium not included in the biomass estimates.\\nAll seedlings in the present study had low shoot:root ratios compared\\nto seedlings growing under optimal conditions. All seedlings grown\\nwith apatite as P source had higher foliar P concentrations (0.71-2.11\\nmg/g) than seedlings growing without any P source (0.57-0.75 mg/g)\\nindicating a significant ability to use apatite as a P source. Seedlings\\ncolonized by Suillus variegatus and Paxillus involutus had higher\\nconcentrations and total contents of P in shoots compared with non-mycorrhizal\\nseedlings, indicating significant improvement of P uptake by these\\nfungi in comparison with non-mycorrhizal seedlings or seedlings colonized\\nPiloderma croceum. No clear relationship between exudation of organic\\nacids and uptake of P was found. Seedlings colonized by S. variegatus\\nreduced the pH of the soil more than seedlings colonized by P. involutus\\nor non-mycorrhizal seedlings. It is suggested that S. variegatus\\ncolonization improves the P uptake by reducing the pH of the soil\\nwhile I? involutus improves P uptake by having a greater ability\\nto absorb dissolved phosphate than non-mycorrhizal roots or roots\\ncolonized by the other fungi used in the study.","author":[{"dropping-particle":"","family":"Wallander","given":"Håkan","non-dropping-particle":"","parse-names":false,"suffix":""},{"dropping-particle":"","family":"Wickman","given":"Tonie","non-dropping-particle":"","parse-names":false,"suffix":""},{"dropping-particle":"","family":"Jacks","given":"Gunnar","non-dropping-particle":"","parse-names":false,"suffix":""}],"container-title":"Plant and Soil","id":"ITEM-1","issue":"1","issued":{"date-parts":[["1997"]]},"page":"123-131","title":"Apatite as a P source in mycorrhizal and non-mycorrhizal Pinus sylvestris seedlings","type":"article-journal","volume":"196"},"uris":["http://www.mendeley.com/documents/?uuid=bee34ca2-e555-4658-9a7c-ba5e7d3d9bbc"]},{"id":"ITEM-2","itemData":{"DOI":"10.1080/01490450050023791","ISBN":"0149-0451","ISSN":"15210529","abstract":"Although many studies on fungi and geological processes have been published in recent years,books and congress proceedings on geomicrobiology focus mainly on prokaryotes and algae. Therefore, it istheaimof this reviewtosummarize data on the fungal impacton geological processes.These processes include the alteration and weathering of rock and minerals, the accumulation of metals, and the conversion of fossil organic carbon. Fossil records and fungi in subsurface environments are also discussed. This article especially emphasizes the role of epi- and endolithic black meristematic fungi, discussing their deteriorative potential on rock as well as their taxonomy and phylogeny. Moreover, the impact of fungi on weathering of monuments and building materials is describedand new methods to study fungi-material interactions are presented. The data summarized here show that “geomycology” is a highly interesting discipline in view of basic geological research, as well as biotechnological application.","author":[{"dropping-particle":"","family":"Sterflinger","given":"Katja","non-dropping-particle":"","parse-names":false,"suffix":""}],"container-title":"Geomicrobiology Journal","id":"ITEM-2","issue":"2","issued":{"date-parts":[["2000"]]},"page":"97-124","title":"Fungi as geologic agents","type":"article-journal","volume":"17"},"uris":["http://www.mendeley.com/documents/?uuid=6726828f-1c6a-409b-9c9f-239ff50a1d9c"]},{"id":"ITEM-3","itemData":{"DOI":"10.1016/j.soilbio.2004.10.013","ISBN":"0038-0717","ISSN":"00380717","PMID":"228242300006","abstract":"This work investigates the ability of ericoid mycorrhizal (ErM) and ectomycorrhizal (EcM) fungi to solubilize different toxic metal (Cd, Cu, Pb, Zn)-containing minerals. Minerals were incorporated into solidified agar media and solubilization assessed by measuring clearing of the agar after fungal growth. Measurement of radial growth and biomass dry weight provided indications of metal tolerance: accumulated metal in the biomass was measured by atomic absorption spectrophotometry. Metal tolerance and solubilizing ability varied widely between different mineral and fungal species, and strains derived from sites of differing degrees of metal pollution. Zinc phosphate exhibited the least toxicity and was the easiest to solubilize by the majority of tested fungal isolates. Solubilization of toxic metal minerals was connected with both the pH of the medium and growth and tolerance of fungi and it seems that acidification of the medium was the main mechanism of mineral dissolution for most of the mycorrhizal fungi studied. A very strong lethal effect was observed for ectomycorrhizal isolates (&gt;60% of strains) in the presence of Pb phosphate, carbonate, sulphide and tetraoxide. In contrast, ericoid mycorrhizal isolates were able to grow on Pb-mineral-amended media. A significant proportion of ericoid mycorrhizal cultures (70-90%) solubilized Cd and Cu phosphates and cuprite. None of the ericoid mycorrhizal and ectomycorrhizal fungi were able to produce a clear zone in Pb mineral-containing agar. However, many fungi were able to accumulate mobilized Pb in their mycelia. Differences in toxic metal mineral tolerance, mineral solubilization and metal uptake between populations isolated from metal-polluted and uncontaminated sites were related to the toxic metal which was the main pollutant in the original contaminated environment. In general, metal-tolerant fungi grew and solubilized toxic metal minerals better than non-tolerant isolates. ?? 2004 Elsevier Ltd. All rights reserved.","author":[{"dropping-particle":"","family":"Fomina","given":"M. A.","non-dropping-particle":"","parse-names":false,"suffix":""},{"dropping-particle":"","family":"Alexander","given":"I. J.","non-dropping-particle":"","parse-names":false,"suffix":""},{"dropping-particle":"V.","family":"Colpaert","given":"J.","non-dropping-particle":"","parse-names":false,"suffix":""},{"dropping-particle":"","family":"Gadd","given":"G. M.","non-dropping-particle":"","parse-names":false,"suffix":""}],"container-title":"Soil Biology and Biochemistry","id":"ITEM-3","issue":"5","issued":{"date-parts":[["2005"]]},"page":"851-866","title":"Solubilization of toxic metal minerals and metal tolerance of mycorrhizal fungi","type":"article-journal","volume":"37"},"uris":["http://www.mendeley.com/documents/?uuid=22e6638d-0a17-473d-8315-9fcbbe105745"]},{"id":"ITEM-4","itemData":{"DOI":"10.1007/s10534-005-1539-2","ISSN":"09660844","PMID":"15984571","abstract":"The aim of this study was to examine nutritional influence on the ability of selected filamentous fungi to mediate biogenic weathering of the minerals, apatite, galena and obsidian in order to provide further understanding of the roles of fungi as biogeochemical agents, particularly in relation to the cycling of metals and associated elements found in minerals. The impact of three organic acid producing fungi (Aspergillus niger, Serpula himantioides and Trametes versicolor) on apatite, galena and obsidian was examined in the absence and presence of a carbon and energy source (glucose). Manifestation of fungal weathering included corrosion of mineral surfaces, modification of the mineral substrate through transformation into secondary minerals (i.e. crystal formation) and hyphal penetration of the mineral substrate. Physicochemical interactions of fungal metabolites, e.g. H+ and organic acids, with the minerals are thought to be the primary driving forces responsible. All experimental fungi were capable of mineral surface colonization in the absence and presence of glucose but corrosion of the mineral surface and secondary mineral formation were affected by glucose availability. Only S. himantioides and T. versicolor were able to corrode apatite in the absence of glucose but none of the fungi were capable of doing so with the other minerals. In addition, crystal formation with galena was entirely dependent on the availability of glucose. Penetration of the mineral substrates by fungal hyphae occurred but this did not follow any particular pattern. Although the presence of glucose in the media appeared to influence positively the mineral penetrating abilities of the fungi, the results obtained also showed that some geochemical change(s) might occur under nutrient-limited conditions. It was, however, unclear whether the hyphae actively penetrated the minerals or were growing into pre-existing pores or cracks.","author":[{"dropping-particle":"","family":"Adeyemi","given":"Ademola O.","non-dropping-particle":"","parse-names":false,"suffix":""},{"dropping-particle":"","family":"Gadd","given":"Geoffrey M.","non-dropping-particle":"","parse-names":false,"suffix":""}],"container-title":"BioMetals","id":"ITEM-4","issue":"3","issued":{"date-parts":[["2005"]]},"page":"269-281","title":"Fungal degradation of calcium-, lead- and silicon-bearing minerals","type":"article-journal","volume":"18"},"uris":["http://www.mendeley.com/documents/?uuid=e3592673-6ff5-428e-9a18-6cd00fc1c868"]}],"mendeley":{"formattedCitation":"(Wallander et al., 1997; Sterflinger, 2000; Fomina et al., 2005; Adeyemi and Gadd, 2005)","plainTextFormattedCitation":"(Wallander et al., 1997; Sterflinger, 2000; Fomina et al., 2005; Adeyemi and Gadd, 2005)","previouslyFormattedCitation":"(Wallander et al., 1997; Sterflinger, 2000; Fomina et al., 2005; Adeyemi and Gadd, 2005)"},"properties":{"noteIndex":0},"schema":"https://github.com/citation-style-language/schema/raw/master/csl-citation.json"}</w:instrText>
      </w:r>
      <w:r w:rsidR="004960A1" w:rsidRPr="000D7D3D">
        <w:rPr>
          <w:b/>
        </w:rPr>
        <w:fldChar w:fldCharType="separate"/>
      </w:r>
      <w:r w:rsidR="004960A1" w:rsidRPr="000D7D3D">
        <w:rPr>
          <w:noProof/>
        </w:rPr>
        <w:t>(Wallander et al., 1997; Sterflinger, 2000; Fomina et al., 2005; Adeyemi and Gadd, 2005)</w:t>
      </w:r>
      <w:r w:rsidR="004960A1" w:rsidRPr="000D7D3D">
        <w:rPr>
          <w:b/>
        </w:rPr>
        <w:fldChar w:fldCharType="end"/>
      </w:r>
      <w:r w:rsidR="004960A1" w:rsidRPr="000D7D3D">
        <w:t xml:space="preserve">. The identification of glucuronic acid </w:t>
      </w:r>
      <w:r>
        <w:t>in response to HAP presence</w:t>
      </w:r>
      <w:r w:rsidR="004960A1" w:rsidRPr="000D7D3D">
        <w:t xml:space="preserve"> in both </w:t>
      </w:r>
      <w:r w:rsidR="00250CAF">
        <w:t xml:space="preserve">the </w:t>
      </w:r>
      <w:r w:rsidR="004960A1" w:rsidRPr="000D7D3D">
        <w:t>NS and S condition</w:t>
      </w:r>
      <w:r w:rsidR="00250CAF">
        <w:t>s</w:t>
      </w:r>
      <w:r>
        <w:t>,</w:t>
      </w:r>
      <w:r w:rsidR="004960A1" w:rsidRPr="000D7D3D">
        <w:t xml:space="preserve"> may constitute the first experimental evidence for </w:t>
      </w:r>
      <w:r>
        <w:t>its</w:t>
      </w:r>
      <w:r w:rsidR="004960A1" w:rsidRPr="000D7D3D">
        <w:t xml:space="preserve"> role </w:t>
      </w:r>
      <w:r>
        <w:t>in fungal</w:t>
      </w:r>
      <w:r w:rsidR="004960A1" w:rsidRPr="000D7D3D">
        <w:t xml:space="preserve"> mineral weathering.</w:t>
      </w:r>
    </w:p>
    <w:p w14:paraId="55FA41EC" w14:textId="7CC5DAF6" w:rsidR="00AD4A0C" w:rsidRDefault="00155C6A" w:rsidP="00AD4A0C">
      <w:pPr>
        <w:ind w:firstLine="720"/>
      </w:pPr>
      <w:r>
        <w:t xml:space="preserve">According </w:t>
      </w:r>
      <w:r w:rsidR="00F11CCA">
        <w:t>to transcriptomic</w:t>
      </w:r>
      <w:r>
        <w:t xml:space="preserve"> analysis in response to </w:t>
      </w:r>
      <w:r w:rsidR="00222392">
        <w:t>the presence of HAP</w:t>
      </w:r>
      <w:r>
        <w:t xml:space="preserve">, </w:t>
      </w:r>
      <w:r w:rsidR="00533830">
        <w:t xml:space="preserve">different </w:t>
      </w:r>
      <w:r>
        <w:t xml:space="preserve">genes involved in </w:t>
      </w:r>
      <w:r w:rsidR="00FA6D9A">
        <w:t>calcium (Ca)</w:t>
      </w:r>
      <w:r>
        <w:t xml:space="preserve"> homeostasis</w:t>
      </w:r>
      <w:r w:rsidR="00222392">
        <w:t xml:space="preserve"> were identified </w:t>
      </w:r>
      <w:r>
        <w:t>between</w:t>
      </w:r>
      <w:r w:rsidR="00250CAF">
        <w:t xml:space="preserve"> the</w:t>
      </w:r>
      <w:r>
        <w:t xml:space="preserve"> NS and S conditions. </w:t>
      </w:r>
      <w:r w:rsidR="003367CB">
        <w:t xml:space="preserve">In </w:t>
      </w:r>
      <w:r w:rsidR="00222392">
        <w:t xml:space="preserve">particular, in </w:t>
      </w:r>
      <w:r w:rsidR="00250CAF">
        <w:t xml:space="preserve">the </w:t>
      </w:r>
      <w:r w:rsidR="008010E8">
        <w:t>NS condition</w:t>
      </w:r>
      <w:r w:rsidR="00FA6D9A">
        <w:t>,</w:t>
      </w:r>
      <w:r w:rsidR="008010E8">
        <w:t xml:space="preserve"> </w:t>
      </w:r>
      <w:r w:rsidR="00FA6D9A">
        <w:t>two</w:t>
      </w:r>
      <w:r w:rsidR="003367CB" w:rsidRPr="000D7D3D">
        <w:t xml:space="preserve"> Ca-transporting ATPases</w:t>
      </w:r>
      <w:r w:rsidR="00533830">
        <w:t xml:space="preserve">, mediating Ca </w:t>
      </w:r>
      <w:r w:rsidR="008010E8">
        <w:t xml:space="preserve">extrusion </w:t>
      </w:r>
      <w:r w:rsidR="008010E8" w:rsidRPr="000D7D3D">
        <w:fldChar w:fldCharType="begin" w:fldLock="1"/>
      </w:r>
      <w:r w:rsidR="00EE33AB">
        <w:instrText>ADDIN CSL_CITATION {"citationItems":[{"id":"ITEM-1","itemData":{"ISSN":"0027-8424","abstract":"Cytosolic free calcium ([Ca2+]c) has been measured in the mycelial fungus Neurospora crassa with Ca2(+)-selective microelectrodes. The mean value of [Ca2+]c is 92 +/- 15 nM and it is insensitive to external pH values between 5.8 and 8.4. Simultaneous measurement of membrane potential enables the electrochemical potential difference for Ca2+ across the plasma membrane to be estimated as about -60 kJ.mol-1-a value that cannot be sustained either by a simple Ca2(+)-ATPase, or, in alkaline conditions, by straightforward H+/Ca2+ exchange with a stoichiometric ratio of less than 5 H+/Ca2+. We propose that the most likely alternative mechanism of Ca2+ efflux is ATP-driven H+/Ca2+. In accord with this proposal, depletion of the ATP level from 2.5 to 0.5 mM by CN- elicits an increase in [Ca2+]c, but only in alkaline conditions in which the putative H+/Ca2(+)-ATPase would be selectively stalled. The insensitivity of Ca2+ homeostasis to CN- in more acid conditions implies that the Km (ATP) of the transport system is 100 microM or less. The increase in [Ca2+]c in the presence of CN- at pH 8.4 (50 nM.min-1) is compared with 45Ca2+ influx (0.62 mM.min-1) under the same conditions. The proportion of entering Ca2+ remaining free in the cytosol is only 8 x 10(-5), and since the concentration of available chelation sites on Ca2(+)-binding proteins is unlikely to exceed 100 microM, a major role for the fungal vacuole in short-term Ca2+ homeostasis is indicated. This notion is supported by the observation that cytosolic Ca2+ homeostasis is disrupted by a protonophore, which rapidly abolishes the driving force (a transmembrane pH difference) for Ca2+ uptake into fungal vacuoles. ","author":[{"dropping-particle":"","family":"Miller","given":"A J","non-dropping-particle":"","parse-names":false,"suffix":""},{"dropping-particle":"","family":"Vogg","given":"G","non-dropping-particle":"","parse-names":false,"suffix":""},{"dropping-particle":"","family":"Sanders","given":"D","non-dropping-particle":"","parse-names":false,"suffix":""}],"container-title":"Proceedings of the National Academy of Sciences of the United States of America","id":"ITEM-1","issue":"23","issued":{"date-parts":[["1990","12"]]},"page":"9348-9352","title":"Cytosolic calcium homeostasis in fungi: roles of plasma membrane transport and intracellular sequestration of calcium.","type":"article-journal","volume":"87"},"uris":["http://www.mendeley.com/documents/?uuid=e5e74b99-f2a7-4015-a565-008868f9b734"]}],"mendeley":{"formattedCitation":"(Miller et al., 1990)","plainTextFormattedCitation":"(Miller et al., 1990)","previouslyFormattedCitation":"(Miller et al., 1990)"},"properties":{"noteIndex":0},"schema":"https://github.com/citation-style-language/schema/raw/master/csl-citation.json"}</w:instrText>
      </w:r>
      <w:r w:rsidR="008010E8" w:rsidRPr="000D7D3D">
        <w:fldChar w:fldCharType="separate"/>
      </w:r>
      <w:r w:rsidR="008010E8" w:rsidRPr="000D7D3D">
        <w:rPr>
          <w:noProof/>
        </w:rPr>
        <w:t>(Miller et al., 1990)</w:t>
      </w:r>
      <w:r w:rsidR="008010E8" w:rsidRPr="000D7D3D">
        <w:fldChar w:fldCharType="end"/>
      </w:r>
      <w:r w:rsidR="00533830">
        <w:t>,</w:t>
      </w:r>
      <w:r w:rsidR="003367CB" w:rsidRPr="000D7D3D">
        <w:t xml:space="preserve"> and the Ca-permeabl</w:t>
      </w:r>
      <w:r w:rsidR="008010E8">
        <w:t>e stress-gated channel 1 (CSC1</w:t>
      </w:r>
      <w:r w:rsidR="00533830">
        <w:t>)</w:t>
      </w:r>
      <w:r w:rsidR="008010E8">
        <w:t>,</w:t>
      </w:r>
      <w:r w:rsidR="00533830">
        <w:t xml:space="preserve"> mediating Ca</w:t>
      </w:r>
      <w:r w:rsidR="008010E8">
        <w:t xml:space="preserve"> uptake </w:t>
      </w:r>
      <w:r w:rsidR="008010E8" w:rsidRPr="000D7D3D">
        <w:fldChar w:fldCharType="begin" w:fldLock="1"/>
      </w:r>
      <w:r w:rsidR="00EE33AB">
        <w:instrText>ADDIN CSL_CITATION {"citationItems":[{"id":"ITEM-1","itemData":{"DOI":"10.1016/j.mycres.2006.12.001","ISBN":"0953-7562","ISSN":"09537562","PMID":"17307120","abstract":"The study of the role that fungi have played and are playing in fundamental geological processes can be termed 'geomycology' and this article seeks to emphasize the fundamental importance of fungi in several key areas. These include organic and inorganic transformations and element cycling, rock and mineral transformations, bioweathering, mycogenic mineral formation, fungal-clay interactions, metal-fungal interactions, and the significance of such processes in the environment and their relevance to areas of environmental biotechnology such as bioremediation. Fungi are intimately involved in biogeochemical transformations at local and global scales, and although such transformations occur in both aquatic and terrestrial habitats, it is the latter environment where fungi probably have the greatest influence. Within terrestrial aerobic ecosystems, fungi may exert an especially profound influence on biogeochemical processes, particularly when considering soil, rock and mineral surfaces, and the plant root-soil interface. The geochemical transformations that take place can influence plant productivity and the mobility of toxic elements and substances, and are therefore of considerable socio-economic relevance, including human health. Of special significance are the mutualistic symbioses, lichens and mycorrhizas. Some of the fungal transformations discussed have beneficial applications in environmental biotechnology, e.g. in metal leaching, recovery and detoxification, and xenobiotic and organic pollutant degradation. They may also result in adverse effects when these processes are associated with the degradation of foodstuffs, natural products, and building materials, including wood, stone and concrete. It is clear that a multidisciplinary approach is essential to understand fully all the phenomena encompassed within geomycology, and it is hoped that this review will serve to catalyse further research, as well as stimulate interest in an area of mycology of global significance. © 2007 The British Mycological Society.","author":[{"dropping-particle":"","family":"Gadd","given":"Geoffrey M.","non-dropping-particle":"","parse-names":false,"suffix":""}],"container-title":"Mycological Research","id":"ITEM-1","issue":"1","issued":{"date-parts":[["2007"]]},"page":"3-49","title":"Geomycology: biogeochemical transformations of rocks, minerals, metals and radionuclides by fungi, bioweathering and bioremediation","type":"article-journal","volume":"111"},"uris":["http://www.mendeley.com/documents/?uuid=0bdfed80-c309-4f0b-97cc-c1c9af30d999"]}],"mendeley":{"formattedCitation":"(Gadd, 2007)","plainTextFormattedCitation":"(Gadd, 2007)","previouslyFormattedCitation":"(Gadd, 2007)"},"properties":{"noteIndex":0},"schema":"https://github.com/citation-style-language/schema/raw/master/csl-citation.json"}</w:instrText>
      </w:r>
      <w:r w:rsidR="008010E8" w:rsidRPr="000D7D3D">
        <w:fldChar w:fldCharType="separate"/>
      </w:r>
      <w:r w:rsidR="008010E8" w:rsidRPr="000D7D3D">
        <w:rPr>
          <w:noProof/>
        </w:rPr>
        <w:t>(Gadd, 2007)</w:t>
      </w:r>
      <w:r w:rsidR="008010E8" w:rsidRPr="000D7D3D">
        <w:fldChar w:fldCharType="end"/>
      </w:r>
      <w:r w:rsidR="00533830">
        <w:t xml:space="preserve">, were </w:t>
      </w:r>
      <w:r w:rsidR="008010E8">
        <w:t xml:space="preserve">found to be upregulated (Figure 5.4A). </w:t>
      </w:r>
      <w:r w:rsidR="00222392">
        <w:t>While, i</w:t>
      </w:r>
      <w:r w:rsidR="00FA6D9A">
        <w:t xml:space="preserve">n </w:t>
      </w:r>
      <w:r w:rsidR="00250CAF">
        <w:t xml:space="preserve">the </w:t>
      </w:r>
      <w:r w:rsidR="00FA6D9A">
        <w:t>S condition</w:t>
      </w:r>
      <w:r w:rsidR="00222392">
        <w:t xml:space="preserve">, another </w:t>
      </w:r>
      <w:r w:rsidR="008010E8" w:rsidRPr="000D7D3D">
        <w:t>Ca-dependent ATPase was found to be upregulated</w:t>
      </w:r>
      <w:r w:rsidR="00222392">
        <w:t xml:space="preserve"> </w:t>
      </w:r>
      <w:r w:rsidR="008010E8">
        <w:t xml:space="preserve">(5.5A). </w:t>
      </w:r>
      <w:r w:rsidR="008010E8" w:rsidRPr="000D7D3D">
        <w:t>T</w:t>
      </w:r>
      <w:r w:rsidR="00222392">
        <w:t>aken t</w:t>
      </w:r>
      <w:r w:rsidR="008010E8" w:rsidRPr="000D7D3D">
        <w:t>o</w:t>
      </w:r>
      <w:r w:rsidR="00222392">
        <w:t xml:space="preserve">gether, these findings </w:t>
      </w:r>
      <w:r w:rsidR="008010E8" w:rsidRPr="000D7D3D">
        <w:t>suggest that</w:t>
      </w:r>
      <w:r w:rsidR="00533830">
        <w:t>, during HAP weathering,</w:t>
      </w:r>
      <w:r w:rsidR="008010E8" w:rsidRPr="000D7D3D">
        <w:t xml:space="preserve"> </w:t>
      </w:r>
      <w:r w:rsidR="008010E8" w:rsidRPr="000D7D3D">
        <w:rPr>
          <w:i/>
        </w:rPr>
        <w:t>P. involutus</w:t>
      </w:r>
      <w:r w:rsidR="008010E8" w:rsidRPr="000D7D3D">
        <w:t xml:space="preserve"> utilises different </w:t>
      </w:r>
      <w:r w:rsidR="00F11CCA">
        <w:t>Ca</w:t>
      </w:r>
      <w:r w:rsidR="008010E8" w:rsidRPr="000D7D3D">
        <w:t xml:space="preserve"> transporters </w:t>
      </w:r>
      <w:r w:rsidR="00FA6D9A">
        <w:t xml:space="preserve">to maintain </w:t>
      </w:r>
      <w:r w:rsidR="00533830">
        <w:t>Ca</w:t>
      </w:r>
      <w:r w:rsidR="00533830" w:rsidRPr="00FA6D9A">
        <w:t xml:space="preserve"> </w:t>
      </w:r>
      <w:r w:rsidR="008010E8" w:rsidRPr="00FA6D9A">
        <w:t>homeostasis</w:t>
      </w:r>
      <w:r w:rsidR="00FA6D9A">
        <w:t xml:space="preserve"> </w:t>
      </w:r>
      <w:r w:rsidR="00533830">
        <w:t>specific to</w:t>
      </w:r>
      <w:r w:rsidR="00222392">
        <w:t xml:space="preserve"> the NS or the S condition</w:t>
      </w:r>
      <w:r w:rsidR="008010E8" w:rsidRPr="000D7D3D">
        <w:t>.</w:t>
      </w:r>
    </w:p>
    <w:p w14:paraId="734A8357" w14:textId="4D29F287" w:rsidR="00551E19" w:rsidRDefault="00DE1F71" w:rsidP="00634533">
      <w:pPr>
        <w:ind w:firstLine="720"/>
      </w:pPr>
      <w:r>
        <w:t xml:space="preserve">A model of the molecular mechanisms of HAP weathering </w:t>
      </w:r>
      <w:r w:rsidR="00533830">
        <w:t xml:space="preserve">driven </w:t>
      </w:r>
      <w:r>
        <w:t xml:space="preserve">by </w:t>
      </w:r>
      <w:r w:rsidR="00533830">
        <w:t xml:space="preserve">the hyphae of </w:t>
      </w:r>
      <w:r w:rsidRPr="00635993">
        <w:rPr>
          <w:i/>
        </w:rPr>
        <w:t>P. involutus</w:t>
      </w:r>
      <w:r w:rsidR="00533830">
        <w:t xml:space="preserve"> </w:t>
      </w:r>
      <w:r w:rsidR="00634533">
        <w:t>is shown in Figure 6.1.</w:t>
      </w:r>
      <w:r w:rsidR="00AD4A0C">
        <w:br w:type="page"/>
      </w:r>
    </w:p>
    <w:p w14:paraId="7BCBF7C9" w14:textId="2D843B4F" w:rsidR="00E23F24" w:rsidRDefault="005C0CEC" w:rsidP="00F11CCA">
      <w:r>
        <w:rPr>
          <w:noProof/>
          <w:lang w:eastAsia="en-GB"/>
        </w:rPr>
        <w:lastRenderedPageBreak/>
        <w:drawing>
          <wp:inline distT="0" distB="0" distL="0" distR="0" wp14:anchorId="44E3FEB8" wp14:editId="366C0CCD">
            <wp:extent cx="5943600" cy="592950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6.1_NEW++.png"/>
                    <pic:cNvPicPr/>
                  </pic:nvPicPr>
                  <pic:blipFill rotWithShape="1">
                    <a:blip r:embed="rId55">
                      <a:extLst>
                        <a:ext uri="{28A0092B-C50C-407E-A947-70E740481C1C}">
                          <a14:useLocalDpi xmlns:a14="http://schemas.microsoft.com/office/drawing/2010/main" val="0"/>
                        </a:ext>
                      </a:extLst>
                    </a:blip>
                    <a:srcRect l="11393"/>
                    <a:stretch/>
                  </pic:blipFill>
                  <pic:spPr bwMode="auto">
                    <a:xfrm>
                      <a:off x="0" y="0"/>
                      <a:ext cx="5950952" cy="5936838"/>
                    </a:xfrm>
                    <a:prstGeom prst="rect">
                      <a:avLst/>
                    </a:prstGeom>
                    <a:ln>
                      <a:noFill/>
                    </a:ln>
                    <a:extLst>
                      <a:ext uri="{53640926-AAD7-44D8-BBD7-CCE9431645EC}">
                        <a14:shadowObscured xmlns:a14="http://schemas.microsoft.com/office/drawing/2010/main"/>
                      </a:ext>
                    </a:extLst>
                  </pic:spPr>
                </pic:pic>
              </a:graphicData>
            </a:graphic>
          </wp:inline>
        </w:drawing>
      </w:r>
    </w:p>
    <w:p w14:paraId="05835825" w14:textId="7B246F44" w:rsidR="003367CB" w:rsidRDefault="00E23F24" w:rsidP="00635993">
      <w:pPr>
        <w:spacing w:line="259" w:lineRule="auto"/>
        <w:jc w:val="left"/>
      </w:pPr>
      <w:r>
        <w:br w:type="page"/>
      </w:r>
    </w:p>
    <w:p w14:paraId="7CBFECD9" w14:textId="4CB841B9" w:rsidR="0044732D" w:rsidRPr="00B46FB7" w:rsidRDefault="00117D74" w:rsidP="002377C8">
      <w:pPr>
        <w:pStyle w:val="Subtitle"/>
        <w:pBdr>
          <w:top w:val="single" w:sz="4" w:space="1" w:color="auto"/>
        </w:pBdr>
      </w:pPr>
      <w:r w:rsidRPr="001563DA">
        <w:lastRenderedPageBreak/>
        <w:t>Figure 6.1</w:t>
      </w:r>
      <w:r>
        <w:t xml:space="preserve"> </w:t>
      </w:r>
      <w:r w:rsidR="007527B8" w:rsidRPr="00635993">
        <w:rPr>
          <w:b w:val="0"/>
        </w:rPr>
        <w:t>Putative</w:t>
      </w:r>
      <w:r w:rsidR="007527B8">
        <w:t xml:space="preserve"> </w:t>
      </w:r>
      <w:r w:rsidR="007527B8">
        <w:rPr>
          <w:b w:val="0"/>
        </w:rPr>
        <w:t>mechanism</w:t>
      </w:r>
      <w:r w:rsidRPr="00635993">
        <w:rPr>
          <w:b w:val="0"/>
        </w:rPr>
        <w:t xml:space="preserve"> of HAP weathering </w:t>
      </w:r>
      <w:r w:rsidR="009E6B96">
        <w:rPr>
          <w:b w:val="0"/>
        </w:rPr>
        <w:t>driven</w:t>
      </w:r>
      <w:r w:rsidR="007527B8">
        <w:rPr>
          <w:b w:val="0"/>
        </w:rPr>
        <w:t xml:space="preserve"> </w:t>
      </w:r>
      <w:r w:rsidRPr="00635993">
        <w:rPr>
          <w:b w:val="0"/>
        </w:rPr>
        <w:t xml:space="preserve">by </w:t>
      </w:r>
      <w:r w:rsidR="007527B8">
        <w:rPr>
          <w:b w:val="0"/>
        </w:rPr>
        <w:t xml:space="preserve">hyphae of the </w:t>
      </w:r>
      <w:r w:rsidR="00662F3C">
        <w:rPr>
          <w:b w:val="0"/>
        </w:rPr>
        <w:t>EM</w:t>
      </w:r>
      <w:r w:rsidR="00533830">
        <w:rPr>
          <w:b w:val="0"/>
        </w:rPr>
        <w:t xml:space="preserve"> fungus</w:t>
      </w:r>
      <w:r w:rsidR="007527B8">
        <w:rPr>
          <w:b w:val="0"/>
        </w:rPr>
        <w:t xml:space="preserve"> </w:t>
      </w:r>
      <w:r w:rsidRPr="00635993">
        <w:rPr>
          <w:b w:val="0"/>
          <w:i/>
        </w:rPr>
        <w:t>P. involutus</w:t>
      </w:r>
      <w:r w:rsidR="00662F3C">
        <w:rPr>
          <w:b w:val="0"/>
        </w:rPr>
        <w:t>,</w:t>
      </w:r>
      <w:r w:rsidRPr="00635993">
        <w:rPr>
          <w:b w:val="0"/>
        </w:rPr>
        <w:t xml:space="preserve"> based on transcriptomic and metabolomic</w:t>
      </w:r>
      <w:r w:rsidR="00533830">
        <w:rPr>
          <w:b w:val="0"/>
        </w:rPr>
        <w:t xml:space="preserve"> analyse</w:t>
      </w:r>
      <w:r w:rsidR="00E23F24" w:rsidRPr="00635993">
        <w:rPr>
          <w:b w:val="0"/>
        </w:rPr>
        <w:t>s</w:t>
      </w:r>
      <w:r w:rsidRPr="00635993">
        <w:rPr>
          <w:b w:val="0"/>
        </w:rPr>
        <w:t xml:space="preserve">. </w:t>
      </w:r>
      <w:r w:rsidR="00953A8C" w:rsidRPr="001563DA">
        <w:t>A.</w:t>
      </w:r>
      <w:r w:rsidR="00953A8C" w:rsidRPr="00635993">
        <w:rPr>
          <w:b w:val="0"/>
        </w:rPr>
        <w:t xml:space="preserve"> </w:t>
      </w:r>
      <w:r w:rsidR="00E23F24" w:rsidRPr="00635993">
        <w:rPr>
          <w:b w:val="0"/>
        </w:rPr>
        <w:t>I</w:t>
      </w:r>
      <w:r w:rsidR="00E23F24">
        <w:rPr>
          <w:b w:val="0"/>
        </w:rPr>
        <w:t xml:space="preserve">n </w:t>
      </w:r>
      <w:r w:rsidR="00250CAF">
        <w:rPr>
          <w:b w:val="0"/>
        </w:rPr>
        <w:t xml:space="preserve">the </w:t>
      </w:r>
      <w:r w:rsidRPr="00635993">
        <w:rPr>
          <w:b w:val="0"/>
        </w:rPr>
        <w:t xml:space="preserve">NS </w:t>
      </w:r>
      <w:r w:rsidR="00953A8C" w:rsidRPr="00635993">
        <w:rPr>
          <w:b w:val="0"/>
        </w:rPr>
        <w:t>condition</w:t>
      </w:r>
      <w:r w:rsidR="007527B8">
        <w:rPr>
          <w:b w:val="0"/>
        </w:rPr>
        <w:t>,</w:t>
      </w:r>
      <w:r w:rsidR="00953A8C" w:rsidRPr="00635993">
        <w:rPr>
          <w:b w:val="0"/>
        </w:rPr>
        <w:t xml:space="preserve"> oxalic acid</w:t>
      </w:r>
      <w:r w:rsidR="00662F3C">
        <w:rPr>
          <w:b w:val="0"/>
        </w:rPr>
        <w:t>,</w:t>
      </w:r>
      <w:r w:rsidR="007527B8" w:rsidRPr="00635993">
        <w:rPr>
          <w:b w:val="0"/>
        </w:rPr>
        <w:t xml:space="preserve"> </w:t>
      </w:r>
      <w:r w:rsidR="00953A8C" w:rsidRPr="00635993">
        <w:rPr>
          <w:b w:val="0"/>
        </w:rPr>
        <w:t xml:space="preserve">produced </w:t>
      </w:r>
      <w:r w:rsidR="006F524D" w:rsidRPr="00635993">
        <w:rPr>
          <w:b w:val="0"/>
        </w:rPr>
        <w:t>from</w:t>
      </w:r>
      <w:r w:rsidR="00953A8C" w:rsidRPr="00635993">
        <w:rPr>
          <w:b w:val="0"/>
        </w:rPr>
        <w:t xml:space="preserve"> oxaloacetate, and glucuronic acid are </w:t>
      </w:r>
      <w:r w:rsidR="007527B8">
        <w:rPr>
          <w:b w:val="0"/>
        </w:rPr>
        <w:t xml:space="preserve">both </w:t>
      </w:r>
      <w:r w:rsidR="00953A8C" w:rsidRPr="00635993">
        <w:rPr>
          <w:b w:val="0"/>
        </w:rPr>
        <w:t>released into the fungal-</w:t>
      </w:r>
      <w:r w:rsidR="007527B8" w:rsidRPr="00635993">
        <w:rPr>
          <w:b w:val="0"/>
        </w:rPr>
        <w:t xml:space="preserve">mineral interface </w:t>
      </w:r>
      <w:r w:rsidR="007527B8">
        <w:rPr>
          <w:b w:val="0"/>
        </w:rPr>
        <w:t>surrounded by</w:t>
      </w:r>
      <w:r w:rsidR="00953A8C" w:rsidRPr="00635993">
        <w:rPr>
          <w:b w:val="0"/>
        </w:rPr>
        <w:t xml:space="preserve"> extracellular </w:t>
      </w:r>
      <w:r w:rsidR="006F524D" w:rsidRPr="00635993">
        <w:rPr>
          <w:b w:val="0"/>
        </w:rPr>
        <w:t>polymeric substances (EPS). The</w:t>
      </w:r>
      <w:r w:rsidR="00953A8C" w:rsidRPr="00635993">
        <w:rPr>
          <w:b w:val="0"/>
        </w:rPr>
        <w:t xml:space="preserve"> acidification of the fungal-mineral interface results in </w:t>
      </w:r>
      <w:r w:rsidR="007527B8">
        <w:rPr>
          <w:b w:val="0"/>
        </w:rPr>
        <w:t xml:space="preserve">the </w:t>
      </w:r>
      <w:r w:rsidR="00953A8C" w:rsidRPr="00635993">
        <w:rPr>
          <w:b w:val="0"/>
        </w:rPr>
        <w:t xml:space="preserve">weathering of HAP, </w:t>
      </w:r>
      <w:r w:rsidR="00662F3C">
        <w:rPr>
          <w:b w:val="0"/>
        </w:rPr>
        <w:t>which</w:t>
      </w:r>
      <w:r w:rsidR="002B0B6A">
        <w:rPr>
          <w:b w:val="0"/>
        </w:rPr>
        <w:t xml:space="preserve"> </w:t>
      </w:r>
      <w:r w:rsidR="002B0B6A" w:rsidRPr="001563DA">
        <w:rPr>
          <w:b w:val="0"/>
        </w:rPr>
        <w:t>release</w:t>
      </w:r>
      <w:r w:rsidR="00662F3C">
        <w:rPr>
          <w:b w:val="0"/>
        </w:rPr>
        <w:t xml:space="preserve">s </w:t>
      </w:r>
      <w:r w:rsidR="007708AB">
        <w:rPr>
          <w:b w:val="0"/>
        </w:rPr>
        <w:t>Pi and Ca</w:t>
      </w:r>
      <w:r w:rsidR="00953A8C" w:rsidRPr="00635993">
        <w:rPr>
          <w:b w:val="0"/>
        </w:rPr>
        <w:t xml:space="preserve"> ions. Pi is </w:t>
      </w:r>
      <w:r w:rsidR="00533830">
        <w:rPr>
          <w:b w:val="0"/>
        </w:rPr>
        <w:t>taken up</w:t>
      </w:r>
      <w:r w:rsidR="00953A8C" w:rsidRPr="00635993">
        <w:rPr>
          <w:b w:val="0"/>
        </w:rPr>
        <w:t xml:space="preserve"> </w:t>
      </w:r>
      <w:r w:rsidR="00533830">
        <w:rPr>
          <w:b w:val="0"/>
        </w:rPr>
        <w:t>by</w:t>
      </w:r>
      <w:r w:rsidR="00953A8C" w:rsidRPr="00635993">
        <w:rPr>
          <w:b w:val="0"/>
        </w:rPr>
        <w:t xml:space="preserve"> the fungal cell</w:t>
      </w:r>
      <w:r w:rsidR="002B0B6A">
        <w:rPr>
          <w:b w:val="0"/>
        </w:rPr>
        <w:t>s</w:t>
      </w:r>
      <w:r w:rsidR="00953A8C" w:rsidRPr="00635993">
        <w:rPr>
          <w:b w:val="0"/>
        </w:rPr>
        <w:t xml:space="preserve"> through hi</w:t>
      </w:r>
      <w:r w:rsidR="00965EC4">
        <w:rPr>
          <w:b w:val="0"/>
        </w:rPr>
        <w:t>gh-affinity Pi transporters (PTs)</w:t>
      </w:r>
      <w:r w:rsidR="00953A8C" w:rsidRPr="00635993">
        <w:rPr>
          <w:b w:val="0"/>
        </w:rPr>
        <w:t xml:space="preserve">. </w:t>
      </w:r>
      <w:r w:rsidRPr="00635993">
        <w:rPr>
          <w:b w:val="0"/>
        </w:rPr>
        <w:t xml:space="preserve">Ca </w:t>
      </w:r>
      <w:r w:rsidR="002B0B6A" w:rsidRPr="00635993">
        <w:rPr>
          <w:b w:val="0"/>
        </w:rPr>
        <w:t>uptake is mediated via</w:t>
      </w:r>
      <w:r w:rsidRPr="00635993">
        <w:rPr>
          <w:b w:val="0"/>
        </w:rPr>
        <w:t xml:space="preserve"> the putative CSC1 channel</w:t>
      </w:r>
      <w:r w:rsidR="00971EBF">
        <w:rPr>
          <w:b w:val="0"/>
        </w:rPr>
        <w:t xml:space="preserve"> and</w:t>
      </w:r>
      <w:r w:rsidRPr="00635993">
        <w:rPr>
          <w:b w:val="0"/>
        </w:rPr>
        <w:t xml:space="preserve"> Ca</w:t>
      </w:r>
      <w:r w:rsidR="00953A8C" w:rsidRPr="00635993">
        <w:rPr>
          <w:b w:val="0"/>
        </w:rPr>
        <w:t>-</w:t>
      </w:r>
      <w:r w:rsidRPr="00635993">
        <w:rPr>
          <w:b w:val="0"/>
        </w:rPr>
        <w:t>ATPases</w:t>
      </w:r>
      <w:r w:rsidR="00953A8C" w:rsidRPr="00635993">
        <w:rPr>
          <w:b w:val="0"/>
        </w:rPr>
        <w:t xml:space="preserve"> </w:t>
      </w:r>
      <w:r w:rsidR="00662F3C">
        <w:rPr>
          <w:b w:val="0"/>
        </w:rPr>
        <w:t xml:space="preserve">to </w:t>
      </w:r>
      <w:r w:rsidR="00953A8C" w:rsidRPr="00635993">
        <w:rPr>
          <w:b w:val="0"/>
        </w:rPr>
        <w:t xml:space="preserve">maintain </w:t>
      </w:r>
      <w:r w:rsidR="00965EC4">
        <w:rPr>
          <w:b w:val="0"/>
        </w:rPr>
        <w:t xml:space="preserve">Ca </w:t>
      </w:r>
      <w:r w:rsidR="00953A8C" w:rsidRPr="00635993">
        <w:rPr>
          <w:b w:val="0"/>
        </w:rPr>
        <w:t>homeostasis.</w:t>
      </w:r>
      <w:r w:rsidR="006F524D" w:rsidRPr="00635993">
        <w:rPr>
          <w:b w:val="0"/>
        </w:rPr>
        <w:t xml:space="preserve"> Extracellular oxalate </w:t>
      </w:r>
      <w:r w:rsidR="00965EC4">
        <w:rPr>
          <w:b w:val="0"/>
        </w:rPr>
        <w:t>conjugates</w:t>
      </w:r>
      <w:r w:rsidR="006F524D" w:rsidRPr="00635993">
        <w:rPr>
          <w:b w:val="0"/>
        </w:rPr>
        <w:t xml:space="preserve"> with excess Ca ions to form secondary minerals</w:t>
      </w:r>
      <w:r w:rsidR="00683789" w:rsidRPr="00635993">
        <w:rPr>
          <w:b w:val="0"/>
        </w:rPr>
        <w:t xml:space="preserve"> along the fungal hyphae</w:t>
      </w:r>
      <w:r w:rsidR="006F524D" w:rsidRPr="00635993">
        <w:rPr>
          <w:b w:val="0"/>
        </w:rPr>
        <w:t xml:space="preserve">, such as calcium oxalates. </w:t>
      </w:r>
      <w:r w:rsidR="006F524D" w:rsidRPr="001563DA">
        <w:t>B.</w:t>
      </w:r>
      <w:r w:rsidR="006F524D" w:rsidRPr="00635993">
        <w:rPr>
          <w:b w:val="0"/>
        </w:rPr>
        <w:t xml:space="preserve"> In</w:t>
      </w:r>
      <w:r w:rsidR="00250CAF">
        <w:rPr>
          <w:b w:val="0"/>
        </w:rPr>
        <w:t xml:space="preserve"> the</w:t>
      </w:r>
      <w:r w:rsidR="006F524D" w:rsidRPr="00635993">
        <w:rPr>
          <w:b w:val="0"/>
        </w:rPr>
        <w:t xml:space="preserve"> S condition</w:t>
      </w:r>
      <w:r w:rsidR="00BA482C">
        <w:rPr>
          <w:b w:val="0"/>
        </w:rPr>
        <w:t>, higher amounts of oxalic acid</w:t>
      </w:r>
      <w:r w:rsidR="006F524D" w:rsidRPr="00635993">
        <w:rPr>
          <w:b w:val="0"/>
        </w:rPr>
        <w:t xml:space="preserve"> produced both </w:t>
      </w:r>
      <w:r w:rsidR="00965EC4" w:rsidRPr="00635993">
        <w:rPr>
          <w:b w:val="0"/>
        </w:rPr>
        <w:t xml:space="preserve">from </w:t>
      </w:r>
      <w:r w:rsidR="006F524D" w:rsidRPr="00635993">
        <w:rPr>
          <w:b w:val="0"/>
        </w:rPr>
        <w:t>oxaloacetate and glyoxylic acid, are released in</w:t>
      </w:r>
      <w:r w:rsidR="00971EBF" w:rsidRPr="00635993">
        <w:rPr>
          <w:b w:val="0"/>
        </w:rPr>
        <w:t xml:space="preserve">to the fungal-mineral interface together with </w:t>
      </w:r>
      <w:r w:rsidR="006F524D" w:rsidRPr="00635993">
        <w:rPr>
          <w:b w:val="0"/>
        </w:rPr>
        <w:t>succinic and glucuronic acid. Additionally, extracellular oxalate is degraded into formate by oxalate decarboxylases (OXDC), which is subsequently degraded into CO</w:t>
      </w:r>
      <w:r w:rsidR="006F524D" w:rsidRPr="00635993">
        <w:rPr>
          <w:b w:val="0"/>
          <w:vertAlign w:val="subscript"/>
        </w:rPr>
        <w:t>2</w:t>
      </w:r>
      <w:r w:rsidR="006F524D" w:rsidRPr="00635993">
        <w:rPr>
          <w:b w:val="0"/>
        </w:rPr>
        <w:t xml:space="preserve"> by formate dehydrogenase (FDH). CO</w:t>
      </w:r>
      <w:r w:rsidR="006F524D" w:rsidRPr="00635993">
        <w:rPr>
          <w:b w:val="0"/>
          <w:vertAlign w:val="subscript"/>
        </w:rPr>
        <w:t>2</w:t>
      </w:r>
      <w:r w:rsidR="006F524D" w:rsidRPr="00635993">
        <w:rPr>
          <w:b w:val="0"/>
        </w:rPr>
        <w:t xml:space="preserve"> </w:t>
      </w:r>
      <w:r w:rsidR="00965EC4">
        <w:rPr>
          <w:b w:val="0"/>
        </w:rPr>
        <w:t xml:space="preserve">which is </w:t>
      </w:r>
      <w:r w:rsidR="006F524D" w:rsidRPr="00635993">
        <w:rPr>
          <w:b w:val="0"/>
        </w:rPr>
        <w:t>released</w:t>
      </w:r>
      <w:r w:rsidR="00551E19">
        <w:rPr>
          <w:b w:val="0"/>
        </w:rPr>
        <w:t xml:space="preserve"> </w:t>
      </w:r>
      <w:r w:rsidR="006F524D" w:rsidRPr="00635993">
        <w:rPr>
          <w:b w:val="0"/>
        </w:rPr>
        <w:t>in</w:t>
      </w:r>
      <w:r w:rsidR="0012306E">
        <w:rPr>
          <w:b w:val="0"/>
        </w:rPr>
        <w:t>to</w:t>
      </w:r>
      <w:r w:rsidR="006F524D" w:rsidRPr="00635993">
        <w:rPr>
          <w:b w:val="0"/>
        </w:rPr>
        <w:t xml:space="preserve"> the fungal-mineral interface may react with water producing </w:t>
      </w:r>
      <w:r w:rsidR="00971EBF">
        <w:rPr>
          <w:b w:val="0"/>
        </w:rPr>
        <w:t>carbonic</w:t>
      </w:r>
      <w:r w:rsidR="00971EBF" w:rsidRPr="001563DA">
        <w:rPr>
          <w:b w:val="0"/>
        </w:rPr>
        <w:t xml:space="preserve"> </w:t>
      </w:r>
      <w:r w:rsidR="00971EBF">
        <w:rPr>
          <w:b w:val="0"/>
        </w:rPr>
        <w:t>acid</w:t>
      </w:r>
      <w:r w:rsidR="00551E19">
        <w:rPr>
          <w:b w:val="0"/>
        </w:rPr>
        <w:t xml:space="preserve"> (H</w:t>
      </w:r>
      <w:r w:rsidR="00551E19" w:rsidRPr="00635993">
        <w:rPr>
          <w:b w:val="0"/>
          <w:vertAlign w:val="subscript"/>
        </w:rPr>
        <w:t>2</w:t>
      </w:r>
      <w:r w:rsidR="00551E19">
        <w:rPr>
          <w:b w:val="0"/>
        </w:rPr>
        <w:t>CO</w:t>
      </w:r>
      <w:r w:rsidR="00551E19" w:rsidRPr="00635993">
        <w:rPr>
          <w:b w:val="0"/>
          <w:vertAlign w:val="subscript"/>
        </w:rPr>
        <w:t>3</w:t>
      </w:r>
      <w:r w:rsidR="00551E19">
        <w:rPr>
          <w:b w:val="0"/>
        </w:rPr>
        <w:t>)</w:t>
      </w:r>
      <w:r w:rsidR="006F524D" w:rsidRPr="00635993">
        <w:rPr>
          <w:b w:val="0"/>
        </w:rPr>
        <w:t xml:space="preserve">. </w:t>
      </w:r>
      <w:r w:rsidR="00662F3C">
        <w:rPr>
          <w:b w:val="0"/>
        </w:rPr>
        <w:t>Altogether, these mechanisms</w:t>
      </w:r>
      <w:r w:rsidR="00551E19" w:rsidRPr="001563DA">
        <w:rPr>
          <w:b w:val="0"/>
        </w:rPr>
        <w:t xml:space="preserve"> </w:t>
      </w:r>
      <w:r w:rsidR="006F524D" w:rsidRPr="00635993">
        <w:rPr>
          <w:b w:val="0"/>
        </w:rPr>
        <w:t>result in enhanced acidification of the fungal-mineral interface, releasing higher amounts of Pi and Ca</w:t>
      </w:r>
      <w:r w:rsidR="00965EC4">
        <w:rPr>
          <w:b w:val="0"/>
        </w:rPr>
        <w:t xml:space="preserve"> </w:t>
      </w:r>
      <w:r w:rsidR="00683789" w:rsidRPr="00635993">
        <w:rPr>
          <w:b w:val="0"/>
        </w:rPr>
        <w:t>from HAP</w:t>
      </w:r>
      <w:r w:rsidR="00662F3C">
        <w:rPr>
          <w:b w:val="0"/>
        </w:rPr>
        <w:t xml:space="preserve"> compared to </w:t>
      </w:r>
      <w:r w:rsidR="00250CAF">
        <w:rPr>
          <w:b w:val="0"/>
        </w:rPr>
        <w:t xml:space="preserve">the </w:t>
      </w:r>
      <w:r w:rsidR="00965EC4">
        <w:rPr>
          <w:b w:val="0"/>
        </w:rPr>
        <w:t>NS</w:t>
      </w:r>
      <w:r w:rsidR="00662F3C">
        <w:rPr>
          <w:b w:val="0"/>
        </w:rPr>
        <w:t xml:space="preserve"> condition</w:t>
      </w:r>
      <w:r w:rsidR="006F524D" w:rsidRPr="00635993">
        <w:rPr>
          <w:b w:val="0"/>
        </w:rPr>
        <w:t xml:space="preserve">. Pi is absorbed into the fungal cell through high-affinity </w:t>
      </w:r>
      <w:r w:rsidR="00662F3C">
        <w:rPr>
          <w:b w:val="0"/>
        </w:rPr>
        <w:t>PT</w:t>
      </w:r>
      <w:r w:rsidR="00965EC4">
        <w:rPr>
          <w:b w:val="0"/>
        </w:rPr>
        <w:t>s</w:t>
      </w:r>
      <w:r w:rsidR="00662F3C">
        <w:rPr>
          <w:b w:val="0"/>
        </w:rPr>
        <w:t>,</w:t>
      </w:r>
      <w:r w:rsidR="00551E19" w:rsidRPr="00635993">
        <w:rPr>
          <w:b w:val="0"/>
        </w:rPr>
        <w:t xml:space="preserve"> and some of the Pi is</w:t>
      </w:r>
      <w:r w:rsidR="00683789" w:rsidRPr="00635993">
        <w:rPr>
          <w:b w:val="0"/>
        </w:rPr>
        <w:t xml:space="preserve"> </w:t>
      </w:r>
      <w:r w:rsidR="00551E19">
        <w:rPr>
          <w:b w:val="0"/>
        </w:rPr>
        <w:t xml:space="preserve">ultimately </w:t>
      </w:r>
      <w:r w:rsidR="00683789" w:rsidRPr="00635993">
        <w:rPr>
          <w:b w:val="0"/>
        </w:rPr>
        <w:t>transferred to the plant</w:t>
      </w:r>
      <w:r w:rsidR="00551E19">
        <w:rPr>
          <w:b w:val="0"/>
        </w:rPr>
        <w:t xml:space="preserve"> host</w:t>
      </w:r>
      <w:r w:rsidR="006F524D" w:rsidRPr="00635993">
        <w:rPr>
          <w:b w:val="0"/>
        </w:rPr>
        <w:t xml:space="preserve">. Ca-ATPases maintain </w:t>
      </w:r>
      <w:r w:rsidR="007A4140" w:rsidRPr="00720F46">
        <w:rPr>
          <w:b w:val="0"/>
        </w:rPr>
        <w:t>Ca</w:t>
      </w:r>
      <w:r w:rsidR="007A4140" w:rsidRPr="00635993">
        <w:rPr>
          <w:b w:val="0"/>
        </w:rPr>
        <w:t xml:space="preserve"> </w:t>
      </w:r>
      <w:r w:rsidR="006F524D" w:rsidRPr="00635993">
        <w:rPr>
          <w:b w:val="0"/>
        </w:rPr>
        <w:t xml:space="preserve">cellular homeostasis. </w:t>
      </w:r>
      <w:r w:rsidR="00683789" w:rsidRPr="00635993">
        <w:rPr>
          <w:b w:val="0"/>
        </w:rPr>
        <w:t>Higher amounts of e</w:t>
      </w:r>
      <w:r w:rsidR="006F524D" w:rsidRPr="00635993">
        <w:rPr>
          <w:b w:val="0"/>
        </w:rPr>
        <w:t>xtracellular oxalate</w:t>
      </w:r>
      <w:r w:rsidR="00683789" w:rsidRPr="00635993">
        <w:rPr>
          <w:b w:val="0"/>
        </w:rPr>
        <w:t xml:space="preserve"> and Ca ions</w:t>
      </w:r>
      <w:r w:rsidR="006F524D" w:rsidRPr="00635993">
        <w:rPr>
          <w:b w:val="0"/>
        </w:rPr>
        <w:t xml:space="preserve"> </w:t>
      </w:r>
      <w:r w:rsidR="00683789" w:rsidRPr="00635993">
        <w:rPr>
          <w:b w:val="0"/>
        </w:rPr>
        <w:t>r</w:t>
      </w:r>
      <w:r w:rsidR="00E23F24" w:rsidRPr="00635993">
        <w:rPr>
          <w:b w:val="0"/>
        </w:rPr>
        <w:t>esults</w:t>
      </w:r>
      <w:r w:rsidR="00683789" w:rsidRPr="00635993">
        <w:rPr>
          <w:b w:val="0"/>
        </w:rPr>
        <w:t xml:space="preserve"> </w:t>
      </w:r>
      <w:r w:rsidR="00E23F24">
        <w:rPr>
          <w:b w:val="0"/>
        </w:rPr>
        <w:t>i</w:t>
      </w:r>
      <w:r w:rsidR="00683789" w:rsidRPr="00635993">
        <w:rPr>
          <w:b w:val="0"/>
        </w:rPr>
        <w:t>n increased deposition of</w:t>
      </w:r>
      <w:r w:rsidR="006F524D" w:rsidRPr="00635993">
        <w:rPr>
          <w:b w:val="0"/>
        </w:rPr>
        <w:t xml:space="preserve"> secondary minerals</w:t>
      </w:r>
      <w:r w:rsidR="00683789" w:rsidRPr="00635993">
        <w:rPr>
          <w:b w:val="0"/>
        </w:rPr>
        <w:t xml:space="preserve"> along the fungal hyphae</w:t>
      </w:r>
      <w:r w:rsidR="006F524D" w:rsidRPr="00635993">
        <w:rPr>
          <w:b w:val="0"/>
        </w:rPr>
        <w:t>, such as calcium oxalates.</w:t>
      </w:r>
    </w:p>
    <w:p w14:paraId="4B77FF60" w14:textId="558CD48C" w:rsidR="0044732D" w:rsidRDefault="00E23F24" w:rsidP="00635993">
      <w:pPr>
        <w:spacing w:line="259" w:lineRule="auto"/>
        <w:jc w:val="left"/>
      </w:pPr>
      <w:r>
        <w:br w:type="page"/>
      </w:r>
    </w:p>
    <w:p w14:paraId="0DE9CC28" w14:textId="37702F3D" w:rsidR="00B046D9" w:rsidRDefault="007A0D8D" w:rsidP="00635993">
      <w:pPr>
        <w:pStyle w:val="Heading1"/>
      </w:pPr>
      <w:bookmarkStart w:id="558" w:name="_Toc507604094"/>
      <w:bookmarkStart w:id="559" w:name="_Toc507604361"/>
      <w:bookmarkStart w:id="560" w:name="_Toc519017063"/>
      <w:bookmarkStart w:id="561" w:name="_Toc520837976"/>
      <w:r>
        <w:lastRenderedPageBreak/>
        <w:t>6.2</w:t>
      </w:r>
      <w:r w:rsidR="00B046D9">
        <w:t xml:space="preserve"> Main conclusions</w:t>
      </w:r>
      <w:bookmarkEnd w:id="558"/>
      <w:bookmarkEnd w:id="559"/>
      <w:bookmarkEnd w:id="560"/>
      <w:bookmarkEnd w:id="561"/>
    </w:p>
    <w:p w14:paraId="7D3CC61D" w14:textId="5A37691E" w:rsidR="00851A73" w:rsidRDefault="00940DD0">
      <w:r>
        <w:t>Coming to the end of this research its central aim has been reached</w:t>
      </w:r>
      <w:r w:rsidR="00C80054">
        <w:t>,</w:t>
      </w:r>
      <w:r>
        <w:t xml:space="preserve"> and new candidate </w:t>
      </w:r>
      <w:r w:rsidRPr="00940DD0">
        <w:rPr>
          <w:i/>
        </w:rPr>
        <w:t>P. involutus</w:t>
      </w:r>
      <w:r>
        <w:t xml:space="preserve"> genes essential for HAP weathering have been identified. Besides</w:t>
      </w:r>
      <w:r w:rsidR="00F41F6D">
        <w:t>,</w:t>
      </w:r>
      <w:r>
        <w:t xml:space="preserve"> novel metabolites </w:t>
      </w:r>
      <w:r w:rsidR="00F41F6D">
        <w:t xml:space="preserve">as HAP-promoting weathering agents </w:t>
      </w:r>
      <w:r>
        <w:t xml:space="preserve">have been </w:t>
      </w:r>
      <w:r w:rsidR="00E67EBC">
        <w:t xml:space="preserve">also </w:t>
      </w:r>
      <w:r w:rsidR="00F41F6D">
        <w:t>found</w:t>
      </w:r>
      <w:r>
        <w:t>.</w:t>
      </w:r>
    </w:p>
    <w:p w14:paraId="7F812FA9" w14:textId="0C51544B" w:rsidR="005E53C5" w:rsidRDefault="003C6AED" w:rsidP="003C6AED">
      <w:pPr>
        <w:ind w:firstLine="720"/>
      </w:pPr>
      <w:r>
        <w:t>In respect</w:t>
      </w:r>
      <w:r w:rsidR="00940DD0">
        <w:t xml:space="preserve"> </w:t>
      </w:r>
      <w:r w:rsidR="00F41F6D">
        <w:t xml:space="preserve">to the </w:t>
      </w:r>
      <w:r>
        <w:t xml:space="preserve">three initial </w:t>
      </w:r>
      <w:r w:rsidR="00F41F6D">
        <w:t>hypothese</w:t>
      </w:r>
      <w:r w:rsidR="00940DD0">
        <w:t>s posed</w:t>
      </w:r>
      <w:r w:rsidR="00851A73">
        <w:t>,</w:t>
      </w:r>
      <w:r>
        <w:t xml:space="preserve"> the first one was </w:t>
      </w:r>
      <w:r w:rsidR="00554256">
        <w:t>confirmed,</w:t>
      </w:r>
      <w:r>
        <w:t xml:space="preserve"> since the majority of the </w:t>
      </w:r>
      <w:r w:rsidR="007E64A2" w:rsidRPr="00720F46">
        <w:rPr>
          <w:i/>
        </w:rPr>
        <w:t>P. involutus</w:t>
      </w:r>
      <w:r w:rsidR="007E64A2">
        <w:t xml:space="preserve"> high-affinity Pi transporter genes</w:t>
      </w:r>
      <w:r w:rsidR="00456350" w:rsidRPr="000D7D3D">
        <w:t xml:space="preserve">, </w:t>
      </w:r>
      <w:r w:rsidR="00456350" w:rsidRPr="00FB36B8">
        <w:rPr>
          <w:i/>
        </w:rPr>
        <w:t>PiPT1</w:t>
      </w:r>
      <w:r w:rsidR="00456350" w:rsidRPr="000D7D3D">
        <w:t xml:space="preserve">, </w:t>
      </w:r>
      <w:r w:rsidR="00456350" w:rsidRPr="00FB36B8">
        <w:rPr>
          <w:i/>
        </w:rPr>
        <w:t>PiPT2</w:t>
      </w:r>
      <w:r w:rsidR="00456350" w:rsidRPr="000D7D3D">
        <w:t>,</w:t>
      </w:r>
      <w:r w:rsidR="00F60C82">
        <w:t xml:space="preserve"> </w:t>
      </w:r>
      <w:r w:rsidR="00F60C82">
        <w:rPr>
          <w:i/>
        </w:rPr>
        <w:t>PiPT3,</w:t>
      </w:r>
      <w:r w:rsidR="00456350" w:rsidRPr="000D7D3D">
        <w:t xml:space="preserve"> </w:t>
      </w:r>
      <w:r w:rsidR="00456350" w:rsidRPr="00FB36B8">
        <w:rPr>
          <w:i/>
        </w:rPr>
        <w:t>PiPT4</w:t>
      </w:r>
      <w:r w:rsidR="00456350" w:rsidRPr="000D7D3D">
        <w:t xml:space="preserve"> and </w:t>
      </w:r>
      <w:r w:rsidR="00456350" w:rsidRPr="00FB36B8">
        <w:rPr>
          <w:i/>
        </w:rPr>
        <w:t>PiPT7</w:t>
      </w:r>
      <w:r w:rsidR="00F02713">
        <w:t xml:space="preserve">, </w:t>
      </w:r>
      <w:r>
        <w:t>were regulated</w:t>
      </w:r>
      <w:r w:rsidR="00456350" w:rsidRPr="000D7D3D">
        <w:t xml:space="preserve"> in an inversely proportional manner </w:t>
      </w:r>
      <w:r>
        <w:t xml:space="preserve">in response </w:t>
      </w:r>
      <w:r w:rsidR="00456350" w:rsidRPr="000D7D3D">
        <w:t>to Pi availability.</w:t>
      </w:r>
      <w:r>
        <w:t xml:space="preserve"> Importantly, at low Pi availability, EM symbiosis can </w:t>
      </w:r>
      <w:r w:rsidRPr="000D7D3D">
        <w:t xml:space="preserve">affect certain Pi-responsive fungal genes. A key example </w:t>
      </w:r>
      <w:r>
        <w:t xml:space="preserve">is the </w:t>
      </w:r>
      <w:r w:rsidRPr="003D31BA">
        <w:rPr>
          <w:i/>
        </w:rPr>
        <w:t>P. involutus</w:t>
      </w:r>
      <w:r w:rsidRPr="000D7D3D">
        <w:t xml:space="preserve"> high-affinity Pi transporter </w:t>
      </w:r>
      <w:r>
        <w:t xml:space="preserve">gene </w:t>
      </w:r>
      <w:r w:rsidRPr="00FB36B8">
        <w:rPr>
          <w:i/>
        </w:rPr>
        <w:t>PiPT4</w:t>
      </w:r>
      <w:r>
        <w:t>, which provides</w:t>
      </w:r>
      <w:r w:rsidRPr="000D7D3D">
        <w:t xml:space="preserve"> a possible mechanism </w:t>
      </w:r>
      <w:r>
        <w:t xml:space="preserve">of </w:t>
      </w:r>
      <w:r w:rsidR="000E4364">
        <w:t>mediating</w:t>
      </w:r>
      <w:r>
        <w:t xml:space="preserve"> fungal Pi uptake during </w:t>
      </w:r>
      <w:r w:rsidRPr="000D7D3D">
        <w:t>EM symbiosis</w:t>
      </w:r>
      <w:r>
        <w:t xml:space="preserve"> when Pi is in low availability</w:t>
      </w:r>
      <w:r w:rsidRPr="000D7D3D">
        <w:t>.</w:t>
      </w:r>
    </w:p>
    <w:p w14:paraId="4937BCBF" w14:textId="74F0F17D" w:rsidR="00283650" w:rsidRDefault="00851A73" w:rsidP="00283650">
      <w:pPr>
        <w:pStyle w:val="ListParagraph"/>
        <w:ind w:left="0" w:firstLine="720"/>
        <w:contextualSpacing w:val="0"/>
      </w:pPr>
      <w:r>
        <w:t>In re</w:t>
      </w:r>
      <w:r w:rsidR="005A4676">
        <w:t>spect to the second hypothesis, this was found partially true</w:t>
      </w:r>
      <w:r w:rsidR="009D5203">
        <w:t>,</w:t>
      </w:r>
      <w:r w:rsidR="005A4676">
        <w:t xml:space="preserve"> since t</w:t>
      </w:r>
      <w:r w:rsidR="00456350" w:rsidRPr="000D7D3D">
        <w:t xml:space="preserve">ranscriptomic analysis revealed that </w:t>
      </w:r>
      <w:r w:rsidR="00CE7039">
        <w:t xml:space="preserve">the </w:t>
      </w:r>
      <w:r w:rsidR="00456350" w:rsidRPr="000D7D3D">
        <w:t xml:space="preserve">presence of </w:t>
      </w:r>
      <w:r w:rsidR="00456350">
        <w:t>HAP</w:t>
      </w:r>
      <w:r w:rsidR="00456350" w:rsidRPr="000D7D3D">
        <w:t xml:space="preserve"> had </w:t>
      </w:r>
      <w:r w:rsidR="00CE7039">
        <w:t>large</w:t>
      </w:r>
      <w:r w:rsidR="00456350" w:rsidRPr="000D7D3D">
        <w:t xml:space="preserve"> effect</w:t>
      </w:r>
      <w:r w:rsidR="00CE7039">
        <w:t>s</w:t>
      </w:r>
      <w:r w:rsidR="00456350" w:rsidRPr="000D7D3D">
        <w:t xml:space="preserve"> on </w:t>
      </w:r>
      <w:r w:rsidR="00395815" w:rsidRPr="000D7D3D">
        <w:t xml:space="preserve">fungal </w:t>
      </w:r>
      <w:r w:rsidR="00456350" w:rsidRPr="000D7D3D">
        <w:t>primary and secondary metabolism</w:t>
      </w:r>
      <w:r w:rsidR="00395815">
        <w:t xml:space="preserve"> components</w:t>
      </w:r>
      <w:r w:rsidR="00456350" w:rsidRPr="000D7D3D">
        <w:t xml:space="preserve">. Significantly, EM symbiosis was found to induce a completely different set of </w:t>
      </w:r>
      <w:r w:rsidR="00456350">
        <w:t>HAP</w:t>
      </w:r>
      <w:r w:rsidR="00456350" w:rsidRPr="000D7D3D">
        <w:t xml:space="preserve"> weathering genes in </w:t>
      </w:r>
      <w:r w:rsidR="00456350" w:rsidRPr="00FB36B8">
        <w:rPr>
          <w:i/>
        </w:rPr>
        <w:t>P. involutus</w:t>
      </w:r>
      <w:r w:rsidR="00456350" w:rsidRPr="000D7D3D">
        <w:t xml:space="preserve"> hyphae compared to the fungus growing </w:t>
      </w:r>
      <w:r w:rsidR="00395815">
        <w:t>non-symbiotically.</w:t>
      </w:r>
      <w:r w:rsidR="00456350" w:rsidRPr="000D7D3D">
        <w:t xml:space="preserve"> </w:t>
      </w:r>
      <w:r w:rsidR="00395815">
        <w:t>These include</w:t>
      </w:r>
      <w:r w:rsidR="00456350" w:rsidRPr="000D7D3D">
        <w:t xml:space="preserve"> </w:t>
      </w:r>
      <w:r w:rsidR="00364782">
        <w:t xml:space="preserve">multiple </w:t>
      </w:r>
      <w:r w:rsidR="00456350" w:rsidRPr="000D7D3D">
        <w:t>organic acid</w:t>
      </w:r>
      <w:r w:rsidR="00395815">
        <w:t>-related</w:t>
      </w:r>
      <w:r w:rsidR="00456350" w:rsidRPr="000D7D3D">
        <w:t xml:space="preserve"> metabolic genes</w:t>
      </w:r>
      <w:r w:rsidR="00283650">
        <w:t>,</w:t>
      </w:r>
      <w:r w:rsidR="00554256">
        <w:t xml:space="preserve"> putative LMWOA transporter genes, but not genes involved in H</w:t>
      </w:r>
      <w:r w:rsidR="00554256" w:rsidRPr="00AC75B9">
        <w:rPr>
          <w:vertAlign w:val="superscript"/>
        </w:rPr>
        <w:t>+</w:t>
      </w:r>
      <w:r w:rsidR="00554256">
        <w:t xml:space="preserve"> extrusion</w:t>
      </w:r>
      <w:r w:rsidR="00456350" w:rsidRPr="000D7D3D">
        <w:t xml:space="preserve">. </w:t>
      </w:r>
    </w:p>
    <w:p w14:paraId="4E1A285C" w14:textId="2E386D35" w:rsidR="00456350" w:rsidRPr="00FB36B8" w:rsidRDefault="007B396B" w:rsidP="007B396B">
      <w:pPr>
        <w:pStyle w:val="ListParagraph"/>
        <w:ind w:left="0" w:firstLine="720"/>
        <w:contextualSpacing w:val="0"/>
      </w:pPr>
      <w:r>
        <w:t>Lastly, the third main hypothesis was validated</w:t>
      </w:r>
      <w:r w:rsidR="009D5203">
        <w:t>,</w:t>
      </w:r>
      <w:r>
        <w:t xml:space="preserve"> since </w:t>
      </w:r>
      <w:r w:rsidR="007F7C7E">
        <w:t>m</w:t>
      </w:r>
      <w:r w:rsidR="005E53C5">
        <w:t>etabolomic</w:t>
      </w:r>
      <w:r w:rsidR="006748B2">
        <w:t xml:space="preserve"> analysis </w:t>
      </w:r>
      <w:r>
        <w:t xml:space="preserve">identified </w:t>
      </w:r>
      <w:r w:rsidR="00456350" w:rsidRPr="000D7D3D">
        <w:t xml:space="preserve">multiple metabolites </w:t>
      </w:r>
      <w:r>
        <w:t xml:space="preserve">produced </w:t>
      </w:r>
      <w:r w:rsidR="00456350" w:rsidRPr="000D7D3D">
        <w:t xml:space="preserve">in </w:t>
      </w:r>
      <w:r w:rsidR="00395815">
        <w:t xml:space="preserve">response </w:t>
      </w:r>
      <w:r>
        <w:t xml:space="preserve">to </w:t>
      </w:r>
      <w:r w:rsidR="00456350">
        <w:t>HAP</w:t>
      </w:r>
      <w:r w:rsidR="00456350" w:rsidRPr="000D7D3D">
        <w:t xml:space="preserve"> </w:t>
      </w:r>
      <w:r w:rsidR="00CE7039">
        <w:t xml:space="preserve">in </w:t>
      </w:r>
      <w:r w:rsidR="00250CAF">
        <w:t xml:space="preserve">the </w:t>
      </w:r>
      <w:r w:rsidR="00CE7039">
        <w:t xml:space="preserve">NS or </w:t>
      </w:r>
      <w:r w:rsidR="00250CAF">
        <w:t>the</w:t>
      </w:r>
      <w:r w:rsidR="00CE7039">
        <w:t xml:space="preserve"> S</w:t>
      </w:r>
      <w:r w:rsidR="00395815">
        <w:t xml:space="preserve"> condition</w:t>
      </w:r>
      <w:r w:rsidR="00CE7039">
        <w:t xml:space="preserve">, or </w:t>
      </w:r>
      <w:r w:rsidR="00395815">
        <w:t xml:space="preserve">in </w:t>
      </w:r>
      <w:r w:rsidR="00CE7039">
        <w:t>both</w:t>
      </w:r>
      <w:r w:rsidR="00456350">
        <w:t>.</w:t>
      </w:r>
      <w:r w:rsidR="00825A65">
        <w:t xml:space="preserve"> The analysis led to the identification of </w:t>
      </w:r>
      <w:r w:rsidR="000E4364">
        <w:t xml:space="preserve">known LMWOA but also of </w:t>
      </w:r>
      <w:r w:rsidR="00364782">
        <w:t>putatively novel</w:t>
      </w:r>
      <w:r w:rsidR="00825A65">
        <w:t xml:space="preserve"> </w:t>
      </w:r>
      <w:r w:rsidR="000E4364">
        <w:t>weathering</w:t>
      </w:r>
      <w:r w:rsidR="00395815">
        <w:t xml:space="preserve"> </w:t>
      </w:r>
      <w:r w:rsidR="007F7C7E">
        <w:t>agents</w:t>
      </w:r>
      <w:r w:rsidR="00825A65">
        <w:t xml:space="preserve"> such as glucuronic acid</w:t>
      </w:r>
      <w:r w:rsidR="0029603A">
        <w:t>.</w:t>
      </w:r>
      <w:r w:rsidR="009077C5">
        <w:br w:type="page"/>
      </w:r>
    </w:p>
    <w:p w14:paraId="7497B99E" w14:textId="11BCB5CF" w:rsidR="00B046D9" w:rsidRDefault="007A0D8D" w:rsidP="00635993">
      <w:pPr>
        <w:pStyle w:val="Heading1"/>
      </w:pPr>
      <w:bookmarkStart w:id="562" w:name="_Toc507604095"/>
      <w:bookmarkStart w:id="563" w:name="_Toc507604362"/>
      <w:bookmarkStart w:id="564" w:name="_Toc519017064"/>
      <w:bookmarkStart w:id="565" w:name="_Toc520837977"/>
      <w:r>
        <w:lastRenderedPageBreak/>
        <w:t>6.3</w:t>
      </w:r>
      <w:r w:rsidR="00B046D9">
        <w:t xml:space="preserve"> Future work</w:t>
      </w:r>
      <w:bookmarkEnd w:id="562"/>
      <w:bookmarkEnd w:id="563"/>
      <w:bookmarkEnd w:id="564"/>
      <w:bookmarkEnd w:id="565"/>
    </w:p>
    <w:p w14:paraId="6869C004" w14:textId="541E777E" w:rsidR="00C06212" w:rsidRDefault="00B221DF" w:rsidP="00F13445">
      <w:r>
        <w:t>The results obtained during this study could be used in further genetic engineering studies</w:t>
      </w:r>
      <w:r w:rsidR="0029603A">
        <w:t>,</w:t>
      </w:r>
      <w:r>
        <w:t xml:space="preserve"> with the purpose to develop fungal species able to accelerate</w:t>
      </w:r>
      <w:r w:rsidR="00825A65">
        <w:t xml:space="preserve"> the rate of </w:t>
      </w:r>
      <w:r>
        <w:t xml:space="preserve">mineral weathering. </w:t>
      </w:r>
      <w:r w:rsidR="00D37705">
        <w:t>Potential applications of f</w:t>
      </w:r>
      <w:r w:rsidR="0029603A">
        <w:t>ungal mineral weathering</w:t>
      </w:r>
      <w:r w:rsidR="00E924B9">
        <w:t xml:space="preserve"> range from rare earth minerals bioextraction</w:t>
      </w:r>
      <w:r w:rsidR="00727CCF">
        <w:t xml:space="preserve"> </w:t>
      </w:r>
      <w:r w:rsidR="00727CCF">
        <w:fldChar w:fldCharType="begin" w:fldLock="1"/>
      </w:r>
      <w:r w:rsidR="00EE33AB">
        <w:instrText>ADDIN CSL_CITATION {"citationItems":[{"id":"ITEM-1","itemData":{"DOI":"https://doi.org/10.1016/j.soilbio.2013.10.041","ISSN":"0038-0717","author":[{"dropping-particle":"","family":"Koele","given":"Nina","non-dropping-particle":"","parse-names":false,"suffix":""},{"dropping-particle":"","family":"Dickie","given":"Ian A","non-dropping-particle":"","parse-names":false,"suffix":""},{"dropping-particle":"","family":"Blum","given":"Joel D","non-dropping-particle":"","parse-names":false,"suffix":""},{"dropping-particle":"","family":"Gleason","given":"James D","non-dropping-particle":"","parse-names":false,"suffix":""},{"dropping-particle":"","family":"Graaf","given":"Lenka","non-dropping-particle":"de","parse-names":false,"suffix":""}],"container-title":"Soil Biology and Biochemistry","id":"ITEM-1","issued":{"date-parts":[["2014"]]},"page":"63-70","title":"Ecological significance of mineral weathering in ectomycorrhizal and arbuscular mycorrhizal ecosystems from a field-based comparison","type":"article-journal","volume":"69"},"uris":["http://www.mendeley.com/documents/?uuid=c2e546d5-72ec-4fc3-935b-ef042afbd51a"]},{"id":"ITEM-2","itemData":{"DOI":"10.1038/srep43208","ISSN":"20452322","PMID":"28230202","abstract":"The rare earth elements (REE) are increasingly important in a variety of science and economic fields, including (bio)geosciences, paleoecology, astrobiology, and mining. However, REE distribution in early rock-microbe-plant systems has remained elusive. We tested the hypothesis that REE mass-partitioning during incipient weathering of basalt, rhyolite, granite and schist depends on the activity of microbes, vascular plants (Buffalo grass), and arbuscular mycorrhiza. Pore-water element abundances revealed a rapid transition from abiotic to biotic signatures of weathering, the latter associated with smaller aqueous loss and larger plant uptake. Abiotic dissolution was 39% of total denudation in plant-microbes-mycorrhiza treatment. Microbes incremented denudation, particularly in rhyolite, and this resulted in decreased bioavailable solid pools in this rock. Total mobilization (aqueous + uptake) was ten times greater in planted compared to abiotic treatments, REE masses in plant generally exceeding those in water. Larger plants increased bioavailable solid pools, consistent with enhanced soil genesis. Mycorrhiza generally had a positive effect on total mobilization. The main mechanism behind incipient REE weathering was carbonation enhanced by biotic respiration, the denudation patterns being largely dictated by mineralogy. A consistent biotic signature was observed in La:phosphate and mobilization: solid pool ratios, and in the pattern of denudation and uptake. The transformation of upper crust to soil supports Earth's terrestrial life. Soil genesis and evolution have been under scientific scrutiny for over a century. With recent advances in analytical chemistry, molecular and evolu-tionary biology, hydrology, ecology and remote sensing we are only now beginning to understand how different components of geosphere, hydrosphere, atmosphere, and biosphere work together at different scales to shape Earth's surface and transform parent rock into soil that sustains ecosystems 1–3","author":[{"dropping-particle":"","family":"Zaharescu","given":"Dragos G.","non-dropping-particle":"","parse-names":false,"suffix":""},{"dropping-particle":"","family":"Burghelea","given":"Carmen I.","non-dropping-particle":"","parse-names":false,"suffix":""},{"dropping-particle":"","family":"Dontsova","given":"Katerina","non-dropping-particle":"","parse-names":false,"suffix":""},{"dropping-particle":"","family":"Presler","given":"Jennifer K.","non-dropping-particle":"","parse-names":false,"suffix":""},{"dropping-particle":"","family":"Maier","given":"Raina M.","non-dropping-particle":"","parse-names":false,"suffix":""},{"dropping-particle":"","family":"Huxman","given":"Travis","non-dropping-particle":"","parse-names":false,"suffix":""},{"dropping-particle":"","family":"Domanik","given":"Kenneth J.","non-dropping-particle":"","parse-names":false,"suffix":""},{"dropping-particle":"","family":"Hunt","given":"Edward A.","non-dropping-particle":"","parse-names":false,"suffix":""},{"dropping-particle":"","family":"Amistadi","given":"Mary K.","non-dropping-particle":"","parse-names":false,"suffix":""},{"dropping-particle":"","family":"Gaddis","given":"Emily E.","non-dropping-particle":"","parse-names":false,"suffix":""},{"dropping-particle":"","family":"Palacios-Menendez","given":"Maria A.","non-dropping-particle":"","parse-names":false,"suffix":""},{"dropping-particle":"","family":"Vaquera-Ibarra","given":"Maria O.","non-dropping-particle":"","parse-names":false,"suffix":""},{"dropping-particle":"","family":"Chorover","given":"Jon","non-dropping-particle":"","parse-names":false,"suffix":""}],"container-title":"Scientific Reports","id":"ITEM-2","issue":"July 2016","issued":{"date-parts":[["2017"]]},"page":"1-15","publisher":"Nature Publishing Group","title":"Ecosystem Composition Controls the Fate of Rare Earth Elements during Incipient Soil Genesis","type":"article-journal","volume":"7"},"uris":["http://www.mendeley.com/documents/?uuid=baa29d61-7162-4120-a277-6d72be6a60f5"]}],"mendeley":{"formattedCitation":"(Koele et al., 2014; Zaharescu et al., 2017)","plainTextFormattedCitation":"(Koele et al., 2014; Zaharescu et al., 2017)","previouslyFormattedCitation":"(Koele et al., 2014; Zaharescu et al., 2017)"},"properties":{"noteIndex":0},"schema":"https://github.com/citation-style-language/schema/raw/master/csl-citation.json"}</w:instrText>
      </w:r>
      <w:r w:rsidR="00727CCF">
        <w:fldChar w:fldCharType="separate"/>
      </w:r>
      <w:r w:rsidR="00727CCF" w:rsidRPr="00727CCF">
        <w:rPr>
          <w:noProof/>
        </w:rPr>
        <w:t>(Koele et al., 2014; Zaharescu et al., 2017)</w:t>
      </w:r>
      <w:r w:rsidR="00727CCF">
        <w:fldChar w:fldCharType="end"/>
      </w:r>
      <w:r w:rsidR="00E924B9">
        <w:t>, n</w:t>
      </w:r>
      <w:r w:rsidR="006D2E7D">
        <w:t>utrients extraction fro</w:t>
      </w:r>
      <w:r w:rsidR="00E924B9">
        <w:t xml:space="preserve">m soil minerals for plant nutrition </w:t>
      </w:r>
      <w:r w:rsidR="006D2E7D">
        <w:fldChar w:fldCharType="begin" w:fldLock="1"/>
      </w:r>
      <w:r w:rsidR="00EE33AB">
        <w:instrText>ADDIN CSL_CITATION {"citationItems":[{"id":"ITEM-1","itemData":{"DOI":"10.1080/01490451003702958","ISBN":"0149-0451","ISSN":"01490451","abstract":"This review addresses the significance and the mechanisms of mineral weathering by mycorrhizal fungi, and the role of this process in plant nutrition and protection from metal toxicity. The fact that mycorrhizal mycelia may actively release nutrients from mineral particles through weathering is raising an increasing interest and the uptake of mineral-derived nutrients by the host plants has been reported. Both chemical dissolution (protonation, chelation) and physical mechanisms (high hyphal pressures) are involved in the weathering process. Mineral solubilization can result in the release of the associated toxic metals. Organic acid exudation and metal complexation may represent a host plant protection mechanism.","author":[{"dropping-particle":"","family":"Martino","given":"Elena","non-dropping-particle":"","parse-names":false,"suffix":""},{"dropping-particle":"","family":"Perotto","given":"Silvia","non-dropping-particle":"","parse-names":false,"suffix":""}],"container-title":"Geomicrobiology Journal","id":"ITEM-1","issue":"6-7","issued":{"date-parts":[["2010"]]},"page":"609-623","title":"Mineral transformations by mycorrhizal fungi","type":"article-journal","volume":"27"},"uris":["http://www.mendeley.com/documents/?uuid=9ace3d2f-59d5-4bc4-a216-a07b8573ef42"]}],"mendeley":{"formattedCitation":"(Martino and Perotto, 2010)","plainTextFormattedCitation":"(Martino and Perotto, 2010)","previouslyFormattedCitation":"(Martino and Perotto, 2010)"},"properties":{"noteIndex":0},"schema":"https://github.com/citation-style-language/schema/raw/master/csl-citation.json"}</w:instrText>
      </w:r>
      <w:r w:rsidR="006D2E7D">
        <w:fldChar w:fldCharType="separate"/>
      </w:r>
      <w:r w:rsidR="006D2E7D" w:rsidRPr="006D2E7D">
        <w:rPr>
          <w:noProof/>
        </w:rPr>
        <w:t>(Martino and Perotto, 2010)</w:t>
      </w:r>
      <w:r w:rsidR="006D2E7D">
        <w:fldChar w:fldCharType="end"/>
      </w:r>
      <w:r w:rsidR="006D2E7D">
        <w:t xml:space="preserve"> </w:t>
      </w:r>
      <w:r w:rsidR="00E924B9">
        <w:t>and bioremediation</w:t>
      </w:r>
      <w:r w:rsidR="00D579F1">
        <w:t xml:space="preserve"> applications</w:t>
      </w:r>
      <w:r w:rsidR="00E924B9">
        <w:t xml:space="preserve"> </w:t>
      </w:r>
      <w:r w:rsidR="006D2E7D">
        <w:fldChar w:fldCharType="begin" w:fldLock="1"/>
      </w:r>
      <w:r w:rsidR="00EE33AB">
        <w:instrText>ADDIN CSL_CITATION {"citationItems":[{"id":"ITEM-1","itemData":{"DOI":"https://doi.org/10.1016/j.ecoenv.2015.10.022","ISSN":"0147-6513","author":[{"dropping-particle":"","family":"Bhattacharya","given":"Shabori","non-dropping-particle":"","parse-names":false,"suffix":""},{"dropping-particle":"","family":"John","given":"P J","non-dropping-particle":"","parse-names":false,"suffix":""},{"dropping-particle":"","family":"Ledwani","given":"Lalita","non-dropping-particle":"","parse-names":false,"suffix":""}],"container-title":"Ecotoxicology and Environmental Safety","id":"ITEM-1","issued":{"date-parts":[["2016"]]},"page":"186-192","title":"Fungal weathering of asbestos in semi arid regions of India","type":"article-journal","volume":"124"},"uris":["http://www.mendeley.com/documents/?uuid=a3eab4b7-4fb5-4445-ac4d-74cb99212f61"]},{"id":"ITEM-2","itemData":{"DOI":"10.1111/1462-2920.12771","ISBN":"1462-2920 (Electronic)\r1462-2912 (Linking)","ISSN":"14622920","PMID":"25580878","abstract":"Geoactive soil fungi were investigated for phosphatase-mediated uranium precipitation during growth on an organic phosphorus source. Aspergillus niger and Paecilomyces javanicus were grown on modified Czapek-Dox medium amended with glycerol 2-phosphate (G2P) as sole P source and uranium nitrate. Both organisms showed reduced growth on uranium-containing media but were able to extensively precipitate uranium and phosphorus-containing minerals on hyphal surfaces, and these were identified by X-ray powder diffraction as uranyl phosphate species, including potassium uranyl phosphate hydrate (KPUO6 .3H2 O), meta-ankoleite [(K1.7 Ba0.2 )(UO2 )2 (PO4 )2 .6H2 O], uranyl phosphate hydrate [(UO2 )3 (PO4 )2 .4H2 O], meta-ankoleite (K(UO2 )(PO4 ).3H2 O), uramphite (NH4 UO2 PO4 .3H2 O) and chernikovite [(H3 O)2 (UO2 )2 (PO4 )2 .6H2 O]. Some minerals with a morphology similar to bacterial hydrogen uranyl phosphate were detected on A. niger biomass. Geochemical modelling confirmed the complexity of uranium speciation, and the presence of meta-ankoleite, uramphite and uranyl phosphate hydrate between pH 3 and 8 closely matched the experimental data, with potassium as the dominant cation. We have therefore demonstrated that fungi can precipitate U-containing phosphate biominerals when grown with an organic source of P, with the hyphal matrix serving to localize the resultant uranium minerals. The findings throw further light on potential fungal roles in U and P biogeochemistry as well as the application of these mechanisms for element recovery or bioremediation.","author":[{"dropping-particle":"","family":"Liang","given":"Xinjin","non-dropping-particle":"","parse-names":false,"suffix":""},{"dropping-particle":"","family":"Hillier","given":"Stephen","non-dropping-particle":"","parse-names":false,"suffix":""},{"dropping-particle":"","family":"Pendlowski","given":"Helen","non-dropping-particle":"","parse-names":false,"suffix":""},{"dropping-particle":"","family":"Gray","given":"Nia","non-dropping-particle":"","parse-names":false,"suffix":""},{"dropping-particle":"","family":"Ceci","given":"Andrea","non-dropping-particle":"","parse-names":false,"suffix":""},{"dropping-particle":"","family":"Gadd","given":"Geoffrey Michael","non-dropping-particle":"","parse-names":false,"suffix":""}],"container-title":"Environmental Microbiology","id":"ITEM-2","issue":"6","issued":{"date-parts":[["2015"]]},"page":"2064-2075","title":"Uranium phosphate biomineralization by fungi","type":"article-journal","volume":"17"},"uris":["http://www.mendeley.com/documents/?uuid=ac94327e-63e2-45fa-93a8-5f5c7bfd9d5b"]},{"id":"ITEM-3","itemData":{"DOI":"10.1128/AEM.00726-15","ISBN":"1098-5336 (Electronic)\r0099-2240 (Linking)","ISSN":"10985336","PMID":"25979898","abstract":"Fungi play important roles in biogeochemical processes such as organic matter decomposition, bioweathering of minerals and rocks, and metal transformations, and therefore influence elemental cycles for essential and potentially-toxic elements, e.g. P, S, Pb, and As. Arsenic is a potentially-toxic metalloid for most organisms, and naturally occurs in trace quantities in soil, rocks, water, air and living organisms. Among more than 300 arsenic minerals occurring in nature, mimetite [Pb5(AsO4)3Cl] is the most stable lead arsenate and holds considerable promise in metal stabilization for in situ and ex situ sequestration and remediation through precipitation, as do other insoluble lead apatites, such as pyromorphite [Pb5(PO4)3Cl] and vanadinite [Pb5(VO4)3Cl]. Despite the insolubility of mimetite, the organic acid-producing soil fungus Aspergillus niger was able to solubilize mimetite with simultaneous precipitation of lead oxalate as a new mycogenic biomineral. Since fungal biotransformation of both pyromorphite and vanadinite have been previously documented a new biogeochemical model for the biogenic transformation of lead apatites (mimetite, pyromorphite and vanadinite) by fungi is hypothesised in this study by application of geochemical modelling together with experimental data. The models closely agreed with experimental data and provided accurate simulation of As and Pb complexation and biomineral formation dependent on, e.g. pH, cation-anion composition and concentration. A general pattern for fungal biotransformation of lead apatite minerals is proposed, proving new understanding of ecological implications of the biogeochemical cycling of component elements as well as industrial applications in metal stabilization, bioremediation and biorecovery.","author":[{"dropping-particle":"","family":"Ceci","given":"Andrea","non-dropping-particle":"","parse-names":false,"suffix":""},{"dropping-particle":"","family":"Kierans","given":"Martin","non-dropping-particle":"","parse-names":false,"suffix":""},{"dropping-particle":"","family":"Hillier","given":"Stephen","non-dropping-particle":"","parse-names":false,"suffix":""},{"dropping-particle":"","family":"Persiani","given":"Anna Maria","non-dropping-particle":"","parse-names":false,"suffix":""},{"dropping-particle":"","family":"Gadd","given":"Geoffrey Michael","non-dropping-particle":"","parse-names":false,"suffix":""}],"container-title":"Applied and Environmental Microbiology","id":"ITEM-3","issue":"15","issued":{"date-parts":[["2015"]]},"page":"4955-4964","title":"Fungal bioweathering of mimetite and a general geomycological model for lead apatite mineral biotransformations","type":"article-journal","volume":"81"},"uris":["http://www.mendeley.com/documents/?uuid=45400dcb-95a6-40b1-a6a6-0d1e8f77b765"]},{"id":"ITEM-4","itemData":{"DOI":"10.1016/j.cub.2008.03.011","ISBN":"0960-9822 (Print)\\r0960-9822 (Linking)","ISSN":"09609822","PMID":"18460315","abstract":"The testing of depleted uranium (DU; a 97.25% U:0.75% Ti alloy) ammunition and its use in recent war campaigns in Iraq (1991 and 2003) and the Balkans (1995 and 1999) has led to dispersion of thermodynamically unstable DU metal into the environment [1-3]. Although less radioactive, DU has the same chemotoxicity as natural uranium and poses a threat to human populations [1]. Uranium tends to form stable aqueous complexes and precipitates with organic ligands [4], suggesting that living organisms could play an important role in geochemical transformations and cycling. Fungi are one of the most biogeochemically active components of the soil microbiota [5], particularly in the aerobic plant-root zone. Although the mutualistic symbiotic associations (mycorrhizas) of fungi with plants are particularly important in mineral transformations [5], fungal effects on metallic DU have not been studied. Here, we report that free-living and plant symbiotic (mycorrhizal) fungi can colonize DU surfaces and transform metallic DU into uranyl phosphate minerals. ?? 2008 Elsevier Ltd. All rights reserved.","author":[{"dropping-particle":"","family":"Fomina","given":"Marina","non-dropping-particle":"","parse-names":false,"suffix":""},{"dropping-particle":"","family":"Charnock","given":"John M.","non-dropping-particle":"","parse-names":false,"suffix":""},{"dropping-particle":"","family":"Hillier","given":"Stephen","non-dropping-particle":"","parse-names":false,"suffix":""},{"dropping-particle":"","family":"Alvarez","given":"Rebeca","non-dropping-particle":"","parse-names":false,"suffix":""},{"dropping-particle":"","family":"Livens","given":"Francis","non-dropping-particle":"","parse-names":false,"suffix":""},{"dropping-particle":"","family":"Gadd","given":"Geoffrey M.","non-dropping-particle":"","parse-names":false,"suffix":""}],"container-title":"Current Biology","id":"ITEM-4","issue":"9","issued":{"date-parts":[["2008"]]},"page":"375-377","title":"Role of fungi in the biogeochemical fate of depleted uranium","type":"article-journal","volume":"18"},"uris":["http://www.mendeley.com/documents/?uuid=5ab204e6-3086-41a6-b866-2f01ce292e8f"]}],"mendeley":{"formattedCitation":"(Bhattacharya et al., 2016; Liang et al., 2015; Ceci et al., 2015; Fomina et al., 2008)","plainTextFormattedCitation":"(Bhattacharya et al., 2016; Liang et al., 2015; Ceci et al., 2015; Fomina et al., 2008)","previouslyFormattedCitation":"(Bhattacharya et al., 2016; Liang et al., 2015; Ceci et al., 2015; Fomina et al., 2008)"},"properties":{"noteIndex":0},"schema":"https://github.com/citation-style-language/schema/raw/master/csl-citation.json"}</w:instrText>
      </w:r>
      <w:r w:rsidR="006D2E7D">
        <w:fldChar w:fldCharType="separate"/>
      </w:r>
      <w:r w:rsidR="006D2E7D" w:rsidRPr="006D2E7D">
        <w:rPr>
          <w:noProof/>
        </w:rPr>
        <w:t>(Bhattacharya et al., 2016; Liang et al., 2015; Ceci et al., 2015; Fomina et al., 2008)</w:t>
      </w:r>
      <w:r w:rsidR="006D2E7D">
        <w:fldChar w:fldCharType="end"/>
      </w:r>
      <w:r w:rsidR="00C06212">
        <w:t>.</w:t>
      </w:r>
    </w:p>
    <w:p w14:paraId="516E2FC1" w14:textId="50D5DD00" w:rsidR="00F13445" w:rsidRDefault="001563DA" w:rsidP="00C06212">
      <w:pPr>
        <w:ind w:firstLine="720"/>
      </w:pPr>
      <w:r>
        <w:t>Mycorrhizal fungi, and in particular EM</w:t>
      </w:r>
      <w:r w:rsidR="0092180D">
        <w:t xml:space="preserve"> fungi</w:t>
      </w:r>
      <w:r>
        <w:t xml:space="preserve">, </w:t>
      </w:r>
      <w:r w:rsidR="0092180D">
        <w:t xml:space="preserve">may </w:t>
      </w:r>
      <w:r w:rsidR="00FA5B9B">
        <w:t>naturally</w:t>
      </w:r>
      <w:r w:rsidR="00E924B9">
        <w:t xml:space="preserve"> achieve </w:t>
      </w:r>
      <w:r w:rsidR="00CE7039">
        <w:t>h</w:t>
      </w:r>
      <w:r w:rsidR="00D37705">
        <w:t>i</w:t>
      </w:r>
      <w:r w:rsidR="00CE7039">
        <w:t>gher</w:t>
      </w:r>
      <w:r w:rsidR="00FA5B9B">
        <w:t xml:space="preserve"> mineral</w:t>
      </w:r>
      <w:r w:rsidR="00E924B9">
        <w:t xml:space="preserve"> weathering</w:t>
      </w:r>
      <w:r w:rsidR="00CE7039">
        <w:t xml:space="preserve"> rates</w:t>
      </w:r>
      <w:r w:rsidR="00E924B9">
        <w:t xml:space="preserve"> compared to other fungal species, thanks to the exploitation of additional carbohydrates</w:t>
      </w:r>
      <w:r w:rsidR="00FA5B9B">
        <w:t xml:space="preserve"> received</w:t>
      </w:r>
      <w:r w:rsidR="00E924B9">
        <w:t xml:space="preserve"> in form of </w:t>
      </w:r>
      <w:r w:rsidR="006D2E7D">
        <w:t>photosynthates</w:t>
      </w:r>
      <w:r w:rsidR="00E924B9">
        <w:t xml:space="preserve"> from their</w:t>
      </w:r>
      <w:r w:rsidR="00FA5B9B">
        <w:t xml:space="preserve"> host plant</w:t>
      </w:r>
      <w:r w:rsidR="006D2E7D">
        <w:t xml:space="preserve"> </w:t>
      </w:r>
      <w:r w:rsidR="006D2E7D" w:rsidRPr="00B12E33">
        <w:fldChar w:fldCharType="begin" w:fldLock="1"/>
      </w:r>
      <w:r w:rsidR="00EE33AB">
        <w:instrText>ADDIN CSL_CITATION {"citationItems":[{"id":"ITEM-1","itemData":{"ISSN":"0829-318X","PMID":"11303651","abstract":"We used a novel digital autoradiographic technique that enabled, for the first time, simultaneous visualization and quantification of spatial and temporal changes in carbon allocation patterns in ectomycorrhizal mycelia. Mycorrhizal plants of Pinus sylvestris L. were grown in microcosms containing non-sterile peat. The time course and spatial distribution of carbon allocation by P. sylvestris to mycelia of its mycorrhizal partners, Paxillus involutus (Batsch) Fr. and Suillus bovinus (L.): Kuntze, were quantified following 14C pulse labeling of the plants. Litter patches were used to investigate the effects of nutrient resource quality on carbon allocation. The wood-decomposer fungus Phanerochaete velutina (D.C.: Pers.) Parmasto was introduced to evaluate competitive and territorial interactions between its mycelial cords and the mycelial system of S. bovinus. Growth of ectomycorrhizal mycelium was stimulated in the litter patches. Nearly 60% of the C transferred from host plant to external mycorrhizal mycelium (&gt; 2 mm from root surfaces) was allocated to mycelium in the patches, which comprised only 12% of the soil area available for mycelial colonization. Mycelia in the litter patch most recently colonized by mycorrhizal mycelium received the largest investment of carbon, amounting to 27 to 50% of the total 14C in external mycorrhizal mycelium. The amount of C transfer to external mycelium of S. bovinus following pulse labeling was reduced from a maximum of 167 nmol in systems with no saprotroph to a maximum of 61 nmol in systems interacting with P. velutina. The 14C content of S. bovinus mycelium reached a maximum 24-36 h after labeling in control microcosms, but allocation did not reach a peak until 56 h after labeling, when S. bovinus interacted with mycelium of P. velutina. The mycelium of S. bovinus contained 9% of the total 14C in the plants (including mycorrhizae) at the end of the experiment, but this was reduced to 4% in the presence of P. velutina. The results demonstrate the dynamic manner in which mycorrhizal mycelia deploy C when foraging for nutrients. The inhibitory effect of the wood-decomposer fungus P. velutina on C allocation to external mycorrhizal mycelium has important implications for nutrient cycling in forest ecosystems.","author":[{"dropping-particle":"","family":"Leake","given":"J R","non-dropping-particle":"","parse-names":false,"suffix":""},{"dropping-particle":"","family":"Donnelly","given":"D P","non-dropping-particle":"","parse-names":false,"suffix":""},{"dropping-particle":"","family":"Saunders","given":"E M","non-dropping-particle":"","parse-names":false,"suffix":""},{"dropping-particle":"","family":"Boddy","given":"L","non-dropping-particle":"","parse-names":false,"suffix":""},{"dropping-particle":"","family":"Read","given":"D J","non-dropping-particle":"","parse-names":false,"suffix":""}],"container-title":"Tree physiology","id":"ITEM-1","issue":"2-3","issued":{"date-parts":[["2001","2"]]},"page":"71-82","title":"Rates and quantities of carbon flux to ectomycorrhizal mycelium following 14C pulse labeling of Pinus sylvestris seedlings: effects of litter patches and interaction with a wood-decomposer fungus.","type":"article","volume":"21"},"uris":["http://www.mendeley.com/documents/?uuid=cc6d6483-3d86-4a26-86eb-7fc4c4ae6bfa"]},{"id":"ITEM-2","itemData":{"DOI":"10.1098/rsbl.2012.0503","ISSN":"1744-957X","PMID":"22859556","abstract":"Forested ecosystems diversified more than 350 Ma to become major engines of continental silicate weathering, regulating the Earth's atmospheric carbon dioxide concentration by driving calcium export into ocean carbonates. Our field experiments with mature trees demonstrate intensification of this weathering engine as tree lineages diversified in concert with their symbiotic mycorrhizal fungi. Preferential hyphal colonization of the calcium silicate-bearing rock, basalt, progressively increased with advancement from arbuscular mycorrhizal (AM) to later, independently evolved ectomycorrhizal (EM) fungi, and from gymnosperm to angiosperm hosts with both fungal groups. This led to 'trenching' of silicate mineral surfaces by AM and EM fungi, with EM gymnosperms and angiosperms releasing calcium from basalt at twice the rate of AM gymnosperms. Our findings indicate mycorrhiza-driven weathering may have originated hundreds of millions of years earlier than previously recognized and subsequently intensified with the evolution of trees and mycorrhizas to affect the Earth's long-term CO(2) and climate history.","author":[{"dropping-particle":"","family":"Quirk","given":"Joe","non-dropping-particle":"","parse-names":false,"suffix":""},{"dropping-particle":"","family":"Beerling","given":"David J","non-dropping-particle":"","parse-names":false,"suffix":""},{"dropping-particle":"","family":"Banwart","given":"Steve a","non-dropping-particle":"","parse-names":false,"suffix":""},{"dropping-particle":"","family":"Kakonyi","given":"Gabriella","non-dropping-particle":"","parse-names":false,"suffix":""},{"dropping-particle":"","family":"Romero-Gonzalez","given":"Maria E","non-dropping-particle":"","parse-names":false,"suffix":""},{"dropping-particle":"","family":"Leake","given":"Jonathan R","non-dropping-particle":"","parse-names":false,"suffix":""}],"container-title":"Biology letters","id":"ITEM-2","issue":"6","issued":{"date-parts":[["2012","12","23"]]},"page":"1006-11","title":"Evolution of trees and mycorrhizal fungi intensifies silicate mineral weathering.","type":"article-journal","volume":"8"},"uris":["http://www.mendeley.com/documents/?uuid=323dcc0d-1e4e-4082-a6c9-5b6e9f84e09a"]},{"id":"ITEM-3","itemData":{"DOI":"10.1111/pce.12444","ISBN":"0140-7791","ISSN":"01407791","PMID":"25211602","abstract":"On million-year timescales, carbonate rock weathering exerts no net effect on atmospheric CO2 concentration. However, on timescales of decades-to-centuries, it can contribute to sequestration of anthropogenic CO2 and increase land-ocean alkalinity flux, counteracting ocean acidification. Historical evidence indicates this flux is sensitive to land use change, and recent experimental evidence suggests that trees and their associated soil microbial communities are major drivers of continental mineral weathering. Here, we review key physical and chemical mechanisms by which the symbiotic mycorrhizal fungi of forest tree roots potentially enhance carbonate rock weathering. Evidence from our ongoing field study at the UK's national pinetum confirms increased weathering of carbonate rocks by a wide range of gymnosperm and angiosperm tree species that form arbuscular (AM) or ectomycorrhizal (EM) fungal partnerships. We demonstrate that calcite-containing rock grains under EM tree species weather significantly faster than those under AM trees, an effect linked to greater soil acidification by EM trees. Weathering and corresponding alkalinity export are likely to increase with rising atmospheric CO2 and associated climate change. Our analyses suggest that strategic planting of fast-growing EM angiosperm taxa on calcite- and dolomite-rich terrain might accelerate the transient sink for atmospheric CO2 and slow rates of ocean acidification.","author":[{"dropping-particle":"","family":"Thorley","given":"Rachel M. S.","non-dropping-particle":"","parse-names":false,"suffix":""},{"dropping-particle":"","family":"Taylor","given":"Lyla L.","non-dropping-particle":"","parse-names":false,"suffix":""},{"dropping-particle":"","family":"Banwart","given":"Steve A.","non-dropping-particle":"","parse-names":false,"suffix":""},{"dropping-particle":"","family":"Leake","given":"Jonathan R.","non-dropping-particle":"","parse-names":false,"suffix":""},{"dropping-particle":"","family":"Beerling","given":"David J.","non-dropping-particle":"","parse-names":false,"suffix":""}],"container-title":"Plant, Cell &amp; Environment","id":"ITEM-3","issue":"9","issued":{"date-parts":[["2015"]]},"page":"1947-1961","title":"The role of forest trees and their mycorrhizal fungi in carbonate rock weathering and its significance for global carbon cycling","type":"article-journal","volume":"38"},"uris":["http://www.mendeley.com/documents/?uuid=ca667e3a-9fff-4599-87bd-32966a02491d"]}],"mendeley":{"formattedCitation":"(Leake et al., 2001; Quirk et al., 2012; Thorley et al., 2015)","plainTextFormattedCitation":"(Leake et al., 2001; Quirk et al., 2012; Thorley et al., 2015)","previouslyFormattedCitation":"(Leake et al., 2001; Quirk et al., 2012; Thorley et al., 2015)"},"properties":{"noteIndex":0},"schema":"https://github.com/citation-style-language/schema/raw/master/csl-citation.json"}</w:instrText>
      </w:r>
      <w:r w:rsidR="006D2E7D" w:rsidRPr="00B12E33">
        <w:fldChar w:fldCharType="separate"/>
      </w:r>
      <w:r w:rsidR="006D2E7D" w:rsidRPr="00266DAC">
        <w:rPr>
          <w:noProof/>
        </w:rPr>
        <w:t>(Leake et al., 2001; Quirk et al., 2012; Thorley et al., 2015)</w:t>
      </w:r>
      <w:r w:rsidR="006D2E7D" w:rsidRPr="00B12E33">
        <w:fldChar w:fldCharType="end"/>
      </w:r>
      <w:r w:rsidR="0029603A" w:rsidRPr="00266DAC">
        <w:t>.</w:t>
      </w:r>
      <w:r w:rsidR="0029603A">
        <w:t xml:space="preserve"> </w:t>
      </w:r>
      <w:r w:rsidR="00825A65">
        <w:t xml:space="preserve">Isolating and </w:t>
      </w:r>
      <w:r w:rsidR="00FA5B9B">
        <w:t xml:space="preserve">genetically </w:t>
      </w:r>
      <w:r w:rsidR="00825A65">
        <w:t xml:space="preserve">manipulating </w:t>
      </w:r>
      <w:r w:rsidR="00E924B9">
        <w:t>key compone</w:t>
      </w:r>
      <w:r w:rsidR="00266DAC">
        <w:t xml:space="preserve">nts of mineral weathering in EMF </w:t>
      </w:r>
      <w:r w:rsidR="00E924B9">
        <w:t xml:space="preserve">may </w:t>
      </w:r>
      <w:r w:rsidR="00FA5B9B">
        <w:t>yield</w:t>
      </w:r>
      <w:r w:rsidR="00E924B9">
        <w:t xml:space="preserve"> </w:t>
      </w:r>
      <w:r w:rsidR="0092180D">
        <w:t>enhanced</w:t>
      </w:r>
      <w:r w:rsidR="00E924B9">
        <w:t xml:space="preserve"> weathering rates for</w:t>
      </w:r>
      <w:r w:rsidR="001E3230">
        <w:t xml:space="preserve"> the</w:t>
      </w:r>
      <w:r w:rsidR="00E924B9">
        <w:t xml:space="preserve"> applications listed above</w:t>
      </w:r>
      <w:r>
        <w:t>.</w:t>
      </w:r>
      <w:r w:rsidR="00E924B9">
        <w:t xml:space="preserve"> </w:t>
      </w:r>
      <w:r w:rsidR="00C06212">
        <w:t>Additionally, biotechnological approaches based on fundamental fungal weathering mechanisms could potentially apply in other than EM fungal species. For instance, in wood-rotting</w:t>
      </w:r>
      <w:r w:rsidR="00C06212" w:rsidRPr="00AC4EE9">
        <w:t xml:space="preserve"> </w:t>
      </w:r>
      <w:r w:rsidR="00C06212">
        <w:t>fungi or fungal species that are able of deteriorating building materials, genetic engineering of key weathering components could prove useful</w:t>
      </w:r>
      <w:r w:rsidR="000F5D36">
        <w:t xml:space="preserve"> to prevent</w:t>
      </w:r>
      <w:r w:rsidR="00C06212">
        <w:t xml:space="preserve"> </w:t>
      </w:r>
      <w:r w:rsidR="002D6240">
        <w:t xml:space="preserve">their </w:t>
      </w:r>
      <w:r w:rsidR="00C06212">
        <w:t>destructive activities</w:t>
      </w:r>
      <w:r w:rsidR="00F13445">
        <w:t xml:space="preserve"> </w:t>
      </w:r>
      <w:r w:rsidR="00F13445">
        <w:fldChar w:fldCharType="begin" w:fldLock="1"/>
      </w:r>
      <w:r w:rsidR="00EE33AB">
        <w:instrText>ADDIN CSL_CITATION {"citationItems":[{"id":"ITEM-1","itemData":{"DOI":"https://doi.org/10.1016/S0168-1656(97)01679-9","ISSN":"0168-1656","author":[{"dropping-particle":"","family":"Shimada","given":"Mikio","non-dropping-particle":"","parse-names":false,"suffix":""},{"dropping-particle":"","family":"Akamtsu","given":"Yasumi","non-dropping-particle":"","parse-names":false,"suffix":""},{"dropping-particle":"","family":"Tokimatsu","given":"Toshiaki","non-dropping-particle":"","parse-names":false,"suffix":""},{"dropping-particle":"","family":"Mii","given":"Kayoko","non-dropping-particle":"","parse-names":false,"suffix":""},{"dropping-particle":"","family":"Hattori","given":"Takefumi","non-dropping-particle":"","parse-names":false,"suffix":""}],"container-title":"Journal of Biotechnology","id":"ITEM-1","issue":"2","issued":{"date-parts":[["1997"]]},"page":"103-113","title":"Possible biochemical roles of oxalic acid as a low molecular weight compound involved in brown-rot and white-rot wood decays","type":"article-journal","volume":"53"},"uris":["http://www.mendeley.com/documents/?uuid=97a04c89-8b1e-4ee7-8f88-8778ef4f3b13"]},{"id":"ITEM-2","itemData":{"author":[{"dropping-particle":"","family":"Sharma","given":"Kavita","non-dropping-particle":"","parse-names":false,"suffix":""},{"dropping-particle":"","family":"Verma","given":"K P","non-dropping-particle":"","parse-names":false,"suffix":""}],"id":"ITEM-2","issue":"4","issued":{"date-parts":[["2011"]]},"page":"15-17","title":"Fungal Involvement in Biodeterioration of Ancient Monuments : Problem and Prospects","type":"article-journal","volume":"3"},"uris":["http://www.mendeley.com/documents/?uuid=9aa7eb0d-c019-412c-90ea-0aafa6b89096"]},{"id":"ITEM-3","itemData":{"DOI":"10.15406/jmen.2015.02.00036","ISSN":"2373437X","author":[{"dropping-particle":"","family":"Farooq","given":"Muhammad","non-dropping-particle":"","parse-names":false,"suffix":""},{"dropping-particle":"","family":"Hassan","given":"Mukhtiar","non-dropping-particle":"","parse-names":false,"suffix":""},{"dropping-particle":"","family":"Gull","given":"Farzana","non-dropping-particle":"","parse-names":false,"suffix":""}],"container-title":"Journal of Microbiology and Experimentation","id":"ITEM-3","issue":"1","issued":{"date-parts":[["2015"]]},"page":"1-6","title":"Mycobial Deterioration of Stone Monuments of Dharmarajika, Taxila","type":"article-journal","volume":"2"},"uris":["http://www.mendeley.com/documents/?uuid=1bce41d9-0358-442a-92fd-e1f18965fa76"]}],"mendeley":{"formattedCitation":"(Shimada et al., 1997; Sharma and Verma, 2011; Farooq et al., 2015)","plainTextFormattedCitation":"(Shimada et al., 1997; Sharma and Verma, 2011; Farooq et al., 2015)","previouslyFormattedCitation":"(Shimada et al., 1997; Sharma and Verma, 2011; Farooq et al., 2015)"},"properties":{"noteIndex":0},"schema":"https://github.com/citation-style-language/schema/raw/master/csl-citation.json"}</w:instrText>
      </w:r>
      <w:r w:rsidR="00F13445">
        <w:fldChar w:fldCharType="separate"/>
      </w:r>
      <w:r w:rsidR="00F13445" w:rsidRPr="00F13445">
        <w:rPr>
          <w:noProof/>
        </w:rPr>
        <w:t>(Shimada et al., 1997; Sharma and Verma, 2011; Farooq et al., 2015)</w:t>
      </w:r>
      <w:r w:rsidR="00F13445">
        <w:fldChar w:fldCharType="end"/>
      </w:r>
      <w:r w:rsidR="00F13445">
        <w:t>.</w:t>
      </w:r>
    </w:p>
    <w:p w14:paraId="70FC2368" w14:textId="48F3E03C" w:rsidR="00F2503F" w:rsidRPr="007F746A" w:rsidRDefault="007445E7" w:rsidP="00C06212">
      <w:pPr>
        <w:ind w:firstLine="720"/>
      </w:pPr>
      <w:r>
        <w:t xml:space="preserve">One of the main limitations of studying transcriptional responses of </w:t>
      </w:r>
      <w:r w:rsidRPr="00635993">
        <w:rPr>
          <w:i/>
        </w:rPr>
        <w:t>P. involutus</w:t>
      </w:r>
      <w:r>
        <w:t xml:space="preserve"> at the global scale </w:t>
      </w:r>
      <w:r w:rsidR="00F13445">
        <w:t xml:space="preserve">level </w:t>
      </w:r>
      <w:r>
        <w:t>is that</w:t>
      </w:r>
      <w:r w:rsidR="00F13445">
        <w:t>, currently</w:t>
      </w:r>
      <w:r w:rsidR="00922430">
        <w:t>,</w:t>
      </w:r>
      <w:r>
        <w:t xml:space="preserve"> </w:t>
      </w:r>
      <w:r w:rsidR="00F13445">
        <w:t xml:space="preserve">the reference genome of </w:t>
      </w:r>
      <w:r w:rsidR="00F13445" w:rsidRPr="00635993">
        <w:rPr>
          <w:i/>
        </w:rPr>
        <w:t>P. involutus</w:t>
      </w:r>
      <w:r w:rsidR="00BA7887">
        <w:t xml:space="preserve"> </w:t>
      </w:r>
      <w:r w:rsidR="00BA7887" w:rsidRPr="000D7D3D">
        <w:rPr>
          <w:i/>
        </w:rPr>
        <w:t>ATCC 200175</w:t>
      </w:r>
      <w:r w:rsidR="00BA7887">
        <w:t xml:space="preserve"> is at its first draft iteration (</w:t>
      </w:r>
      <w:r w:rsidR="00922430">
        <w:t xml:space="preserve">scaffold, </w:t>
      </w:r>
      <w:r w:rsidR="00BA7887">
        <w:t>JGI</w:t>
      </w:r>
      <w:r w:rsidR="00922430">
        <w:t xml:space="preserve"> 2011</w:t>
      </w:r>
      <w:r w:rsidR="00BA7887">
        <w:t>). For a large number of genes, the gene model of their genomic features is incomplete. Most importantly, the available predicted function</w:t>
      </w:r>
      <w:r w:rsidR="00922430">
        <w:t xml:space="preserve"> of each protein-coding gene is </w:t>
      </w:r>
      <w:r w:rsidR="00727CCF">
        <w:t xml:space="preserve">either </w:t>
      </w:r>
      <w:r w:rsidR="00922430">
        <w:t xml:space="preserve">lacking or inaccurate in </w:t>
      </w:r>
      <w:r w:rsidR="00F13445">
        <w:t xml:space="preserve">many </w:t>
      </w:r>
      <w:r w:rsidR="00922430">
        <w:t xml:space="preserve">cases. Hence, global </w:t>
      </w:r>
      <w:r w:rsidR="00727CCF">
        <w:t xml:space="preserve">downstream </w:t>
      </w:r>
      <w:r w:rsidR="00922430">
        <w:t xml:space="preserve">analysis of </w:t>
      </w:r>
      <w:r w:rsidR="00D37705">
        <w:t xml:space="preserve">differentially expressed genes for </w:t>
      </w:r>
      <w:r w:rsidR="00922430">
        <w:t>specific biological pathways</w:t>
      </w:r>
      <w:r w:rsidR="00272F4F">
        <w:t>,</w:t>
      </w:r>
      <w:r w:rsidR="00922430">
        <w:t xml:space="preserve"> </w:t>
      </w:r>
      <w:r w:rsidR="00F13445">
        <w:t>base</w:t>
      </w:r>
      <w:r w:rsidR="00272F4F">
        <w:t>d</w:t>
      </w:r>
      <w:r w:rsidR="00F13445">
        <w:t xml:space="preserve"> on</w:t>
      </w:r>
      <w:r w:rsidR="00272F4F" w:rsidRPr="00272F4F">
        <w:t xml:space="preserve"> </w:t>
      </w:r>
      <w:r w:rsidR="00272F4F">
        <w:t xml:space="preserve">the </w:t>
      </w:r>
      <w:r w:rsidR="00272F4F" w:rsidRPr="00272F4F">
        <w:t>Kyoto Encyclopedia of Genes and Genomes</w:t>
      </w:r>
      <w:r w:rsidR="00F13445">
        <w:t xml:space="preserve"> </w:t>
      </w:r>
      <w:r w:rsidR="00922430">
        <w:t>(KEGG)</w:t>
      </w:r>
      <w:r w:rsidR="00272F4F">
        <w:t>,</w:t>
      </w:r>
      <w:r w:rsidR="00922430">
        <w:t xml:space="preserve"> o</w:t>
      </w:r>
      <w:r>
        <w:t xml:space="preserve">r gene </w:t>
      </w:r>
      <w:r w:rsidR="006D2E7D">
        <w:t>ontology</w:t>
      </w:r>
      <w:r w:rsidR="00D37705">
        <w:t xml:space="preserve"> (GO) enrichment</w:t>
      </w:r>
      <w:r w:rsidR="00922430">
        <w:t xml:space="preserve"> </w:t>
      </w:r>
      <w:r w:rsidR="00272F4F">
        <w:t>is</w:t>
      </w:r>
      <w:r>
        <w:t xml:space="preserve"> not feasible at this stage.</w:t>
      </w:r>
      <w:r w:rsidR="00922430">
        <w:t xml:space="preserve"> For this reason</w:t>
      </w:r>
      <w:r w:rsidR="00727CCF">
        <w:t>, downstream analysis of transcriptomic data was limited to the most significantly up- or down-regulated genes</w:t>
      </w:r>
      <w:r w:rsidR="00922430">
        <w:t xml:space="preserve"> </w:t>
      </w:r>
      <w:r w:rsidR="00272F4F">
        <w:t xml:space="preserve">(top 50). </w:t>
      </w:r>
      <w:r w:rsidR="00922430">
        <w:t xml:space="preserve">Most likely, </w:t>
      </w:r>
      <w:r w:rsidR="00727CCF">
        <w:t xml:space="preserve">future </w:t>
      </w:r>
      <w:r w:rsidR="00922430">
        <w:t xml:space="preserve">iterations of </w:t>
      </w:r>
      <w:r w:rsidR="00922430" w:rsidRPr="00635993">
        <w:rPr>
          <w:i/>
        </w:rPr>
        <w:t>P. involutus</w:t>
      </w:r>
      <w:r w:rsidR="00922430">
        <w:t xml:space="preserve"> </w:t>
      </w:r>
      <w:r w:rsidR="00922430" w:rsidRPr="000D7D3D">
        <w:rPr>
          <w:i/>
        </w:rPr>
        <w:t xml:space="preserve">ATCC </w:t>
      </w:r>
      <w:r w:rsidR="00922430" w:rsidRPr="00266DAC">
        <w:rPr>
          <w:i/>
        </w:rPr>
        <w:t>200175</w:t>
      </w:r>
      <w:r w:rsidR="00922430">
        <w:t xml:space="preserve"> genome </w:t>
      </w:r>
      <w:r w:rsidR="00727CCF">
        <w:t xml:space="preserve">will result in </w:t>
      </w:r>
      <w:r w:rsidR="005B5ADD">
        <w:t xml:space="preserve">a </w:t>
      </w:r>
      <w:r w:rsidR="00727CCF">
        <w:t xml:space="preserve">more exhaustive </w:t>
      </w:r>
      <w:r w:rsidR="00272F4F">
        <w:t>analysis of transcriptomic-derived data</w:t>
      </w:r>
      <w:r w:rsidR="00C06212">
        <w:t>.</w:t>
      </w:r>
      <w:r w:rsidR="00F2503F">
        <w:br w:type="page"/>
      </w:r>
    </w:p>
    <w:p w14:paraId="4B622136" w14:textId="6DDF0719" w:rsidR="000D7D3D" w:rsidRDefault="000D7D3D" w:rsidP="00CA78C5">
      <w:pPr>
        <w:pStyle w:val="Title"/>
      </w:pPr>
      <w:bookmarkStart w:id="566" w:name="_Toc507604096"/>
      <w:bookmarkStart w:id="567" w:name="_Toc507604363"/>
      <w:bookmarkStart w:id="568" w:name="_Toc519017065"/>
      <w:bookmarkStart w:id="569" w:name="_Toc520837978"/>
      <w:r w:rsidRPr="003F7054">
        <w:lastRenderedPageBreak/>
        <w:t>Appendix</w:t>
      </w:r>
      <w:bookmarkEnd w:id="566"/>
      <w:bookmarkEnd w:id="567"/>
      <w:bookmarkEnd w:id="568"/>
      <w:bookmarkEnd w:id="569"/>
    </w:p>
    <w:p w14:paraId="792CE130" w14:textId="77777777" w:rsidR="009B625F" w:rsidRPr="003F7054" w:rsidRDefault="009B625F" w:rsidP="00635993"/>
    <w:p w14:paraId="0EA101F1" w14:textId="7710C4A2" w:rsidR="000D7D3D" w:rsidRPr="000D7D3D" w:rsidRDefault="0054124D">
      <w:r>
        <w:rPr>
          <w:noProof/>
          <w:lang w:eastAsia="en-GB"/>
        </w:rPr>
        <w:drawing>
          <wp:inline distT="0" distB="0" distL="0" distR="0" wp14:anchorId="59547608" wp14:editId="4C87954A">
            <wp:extent cx="5943600" cy="20275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ppendix Fig 1+.png"/>
                    <pic:cNvPicPr/>
                  </pic:nvPicPr>
                  <pic:blipFill>
                    <a:blip r:embed="rId56">
                      <a:extLst>
                        <a:ext uri="{28A0092B-C50C-407E-A947-70E740481C1C}">
                          <a14:useLocalDpi xmlns:a14="http://schemas.microsoft.com/office/drawing/2010/main" val="0"/>
                        </a:ext>
                      </a:extLst>
                    </a:blip>
                    <a:stretch>
                      <a:fillRect/>
                    </a:stretch>
                  </pic:blipFill>
                  <pic:spPr>
                    <a:xfrm>
                      <a:off x="0" y="0"/>
                      <a:ext cx="5943600" cy="2027555"/>
                    </a:xfrm>
                    <a:prstGeom prst="rect">
                      <a:avLst/>
                    </a:prstGeom>
                  </pic:spPr>
                </pic:pic>
              </a:graphicData>
            </a:graphic>
          </wp:inline>
        </w:drawing>
      </w:r>
    </w:p>
    <w:p w14:paraId="51D42E8D" w14:textId="3287A4CE" w:rsidR="004076A3" w:rsidRDefault="000D7D3D" w:rsidP="002322CB">
      <w:pPr>
        <w:pStyle w:val="Heading2"/>
        <w:pBdr>
          <w:top w:val="single" w:sz="4" w:space="1" w:color="auto"/>
        </w:pBdr>
        <w:rPr>
          <w:b w:val="0"/>
          <w:sz w:val="22"/>
        </w:rPr>
      </w:pPr>
      <w:bookmarkStart w:id="570" w:name="_Toc507604097"/>
      <w:bookmarkStart w:id="571" w:name="_Toc507604364"/>
      <w:bookmarkStart w:id="572" w:name="_Toc519017066"/>
      <w:bookmarkStart w:id="573" w:name="_Toc520837979"/>
      <w:r w:rsidRPr="00635993">
        <w:rPr>
          <w:rStyle w:val="Heading2Char"/>
          <w:b/>
          <w:sz w:val="22"/>
        </w:rPr>
        <w:t>Figure 1.</w:t>
      </w:r>
      <w:r w:rsidRPr="00635993">
        <w:rPr>
          <w:b w:val="0"/>
          <w:sz w:val="22"/>
        </w:rPr>
        <w:t xml:space="preserve"> Pi content analysis of pine seedlings an</w:t>
      </w:r>
      <w:r w:rsidR="00690984">
        <w:rPr>
          <w:b w:val="0"/>
          <w:sz w:val="22"/>
        </w:rPr>
        <w:t>d fungal hyphae at the mycorrhiz</w:t>
      </w:r>
      <w:r w:rsidRPr="00635993">
        <w:rPr>
          <w:b w:val="0"/>
          <w:sz w:val="22"/>
        </w:rPr>
        <w:t xml:space="preserve">ation stage. 10% MMN labels denote </w:t>
      </w:r>
      <w:r w:rsidR="00957508" w:rsidRPr="00957508">
        <w:rPr>
          <w:b w:val="0"/>
          <w:sz w:val="22"/>
        </w:rPr>
        <w:t>needle</w:t>
      </w:r>
      <w:r w:rsidRPr="00635993">
        <w:rPr>
          <w:b w:val="0"/>
          <w:sz w:val="22"/>
        </w:rPr>
        <w:t>, root and hyphae Pi content, which was measured after seedlings and fun</w:t>
      </w:r>
      <w:r w:rsidR="00690984">
        <w:rPr>
          <w:b w:val="0"/>
          <w:sz w:val="22"/>
        </w:rPr>
        <w:t>gal hyphae were in the mycorrhiz</w:t>
      </w:r>
      <w:r w:rsidRPr="00635993">
        <w:rPr>
          <w:b w:val="0"/>
          <w:sz w:val="22"/>
        </w:rPr>
        <w:t xml:space="preserve">ation stage for 12 weeks before transfer </w:t>
      </w:r>
      <w:r w:rsidR="0037099C">
        <w:rPr>
          <w:b w:val="0"/>
          <w:sz w:val="22"/>
        </w:rPr>
        <w:t>to</w:t>
      </w:r>
      <w:r w:rsidRPr="00635993">
        <w:rPr>
          <w:b w:val="0"/>
          <w:sz w:val="22"/>
        </w:rPr>
        <w:t xml:space="preserve"> the MMN</w:t>
      </w:r>
      <w:r w:rsidRPr="0037099C">
        <w:rPr>
          <w:b w:val="0"/>
          <w:sz w:val="22"/>
          <w:vertAlign w:val="subscript"/>
        </w:rPr>
        <w:t>S</w:t>
      </w:r>
      <w:r w:rsidRPr="00635993">
        <w:rPr>
          <w:b w:val="0"/>
          <w:sz w:val="22"/>
        </w:rPr>
        <w:t xml:space="preserve"> Pi-varying experiment. Pi content is shown together with that obtained for each tissue after transfer </w:t>
      </w:r>
      <w:r w:rsidR="0037099C">
        <w:rPr>
          <w:b w:val="0"/>
          <w:sz w:val="22"/>
        </w:rPr>
        <w:t>to</w:t>
      </w:r>
      <w:r w:rsidRPr="00635993">
        <w:rPr>
          <w:b w:val="0"/>
          <w:sz w:val="22"/>
        </w:rPr>
        <w:t xml:space="preserve"> the MMN</w:t>
      </w:r>
      <w:r w:rsidRPr="0037099C">
        <w:rPr>
          <w:b w:val="0"/>
          <w:sz w:val="22"/>
          <w:vertAlign w:val="subscript"/>
        </w:rPr>
        <w:t>S</w:t>
      </w:r>
      <w:r w:rsidRPr="00635993">
        <w:rPr>
          <w:b w:val="0"/>
          <w:sz w:val="22"/>
        </w:rPr>
        <w:t xml:space="preserve"> Pi-varying experiment at each Pi concentration</w:t>
      </w:r>
      <w:r w:rsidR="0037099C">
        <w:rPr>
          <w:b w:val="0"/>
          <w:sz w:val="22"/>
        </w:rPr>
        <w:t xml:space="preserve"> (data same as in Figure 2.6B and C).</w:t>
      </w:r>
      <w:r w:rsidRPr="00635993">
        <w:rPr>
          <w:b w:val="0"/>
          <w:sz w:val="22"/>
        </w:rPr>
        <w:t xml:space="preserve"> Statistically significant differences in Pi content were assessed by one-way ANOVA followed by Tukey’s post-hoc test for multiple comparisons (letters; </w:t>
      </w:r>
      <w:r w:rsidRPr="00CE7039">
        <w:rPr>
          <w:b w:val="0"/>
          <w:i/>
          <w:sz w:val="22"/>
        </w:rPr>
        <w:t>α</w:t>
      </w:r>
      <w:r w:rsidRPr="00635993">
        <w:rPr>
          <w:b w:val="0"/>
          <w:sz w:val="22"/>
        </w:rPr>
        <w:t>=0.0</w:t>
      </w:r>
      <w:r w:rsidR="00690984">
        <w:rPr>
          <w:b w:val="0"/>
          <w:sz w:val="22"/>
        </w:rPr>
        <w:t>5). For tissues at the mycorrhiz</w:t>
      </w:r>
      <w:r w:rsidRPr="00635993">
        <w:rPr>
          <w:b w:val="0"/>
          <w:sz w:val="22"/>
        </w:rPr>
        <w:t xml:space="preserve">ation stage in 10% MMN media, error bars represent standard error of the mean of six, </w:t>
      </w:r>
      <w:r w:rsidR="00FF6ACA">
        <w:rPr>
          <w:b w:val="0"/>
          <w:sz w:val="22"/>
        </w:rPr>
        <w:t>15</w:t>
      </w:r>
      <w:r w:rsidRPr="00635993">
        <w:rPr>
          <w:b w:val="0"/>
          <w:sz w:val="22"/>
        </w:rPr>
        <w:t xml:space="preserve"> and nine biological replicates for the Pi content of </w:t>
      </w:r>
      <w:r w:rsidR="00957508" w:rsidRPr="00957508">
        <w:rPr>
          <w:b w:val="0"/>
          <w:sz w:val="22"/>
        </w:rPr>
        <w:t>needles</w:t>
      </w:r>
      <w:r w:rsidRPr="00635993">
        <w:rPr>
          <w:b w:val="0"/>
          <w:sz w:val="22"/>
        </w:rPr>
        <w:t>, roots and fungal hyphae, respectively. For tissues during the MMN</w:t>
      </w:r>
      <w:r w:rsidRPr="0037099C">
        <w:rPr>
          <w:b w:val="0"/>
          <w:sz w:val="22"/>
          <w:vertAlign w:val="subscript"/>
        </w:rPr>
        <w:t>S</w:t>
      </w:r>
      <w:r w:rsidRPr="00635993">
        <w:rPr>
          <w:b w:val="0"/>
          <w:sz w:val="22"/>
        </w:rPr>
        <w:t xml:space="preserve"> Pi-varying experiment, error bars represent standard error of the mean of three biological replicates, except for the Pi content of fungal hyphae under S conditions for which two biological replicates were used.</w:t>
      </w:r>
      <w:bookmarkEnd w:id="570"/>
      <w:bookmarkEnd w:id="571"/>
      <w:bookmarkEnd w:id="572"/>
      <w:bookmarkEnd w:id="573"/>
    </w:p>
    <w:p w14:paraId="540AB34F" w14:textId="33E4D137" w:rsidR="000D7D3D" w:rsidRDefault="004076A3" w:rsidP="00635993">
      <w:pPr>
        <w:spacing w:line="259" w:lineRule="auto"/>
        <w:jc w:val="left"/>
      </w:pPr>
      <w:r>
        <w:rPr>
          <w:b/>
          <w:sz w:val="22"/>
        </w:rPr>
        <w:br w:type="page"/>
      </w:r>
    </w:p>
    <w:p w14:paraId="398DC09B" w14:textId="3E40AB52" w:rsidR="000D7D3D" w:rsidRPr="00635993" w:rsidRDefault="000D7D3D" w:rsidP="00635993">
      <w:pPr>
        <w:pStyle w:val="Heading2"/>
        <w:rPr>
          <w:sz w:val="22"/>
        </w:rPr>
      </w:pPr>
      <w:bookmarkStart w:id="574" w:name="_Toc507604098"/>
      <w:bookmarkStart w:id="575" w:name="_Toc507604365"/>
      <w:bookmarkStart w:id="576" w:name="_Toc519017067"/>
      <w:bookmarkStart w:id="577" w:name="_Toc520837980"/>
      <w:r w:rsidRPr="00635993">
        <w:rPr>
          <w:sz w:val="22"/>
        </w:rPr>
        <w:lastRenderedPageBreak/>
        <w:t xml:space="preserve">Figure 2. </w:t>
      </w:r>
      <w:r w:rsidR="00F532A3" w:rsidRPr="00F532A3">
        <w:rPr>
          <w:sz w:val="22"/>
        </w:rPr>
        <w:t>A.</w:t>
      </w:r>
      <w:r w:rsidR="00F532A3">
        <w:rPr>
          <w:b w:val="0"/>
          <w:sz w:val="22"/>
        </w:rPr>
        <w:t xml:space="preserve"> </w:t>
      </w:r>
      <w:r w:rsidR="00381DF6" w:rsidRPr="00635993">
        <w:rPr>
          <w:b w:val="0"/>
          <w:sz w:val="22"/>
        </w:rPr>
        <w:t>H</w:t>
      </w:r>
      <w:r w:rsidR="00381DF6">
        <w:rPr>
          <w:b w:val="0"/>
          <w:sz w:val="22"/>
        </w:rPr>
        <w:t>AP</w:t>
      </w:r>
      <w:r w:rsidRPr="00635993">
        <w:rPr>
          <w:b w:val="0"/>
          <w:sz w:val="22"/>
        </w:rPr>
        <w:t xml:space="preserve">-coated and </w:t>
      </w:r>
      <w:r w:rsidR="00F532A3" w:rsidRPr="00F532A3">
        <w:rPr>
          <w:sz w:val="22"/>
        </w:rPr>
        <w:t>B.</w:t>
      </w:r>
      <w:r w:rsidR="00F532A3">
        <w:rPr>
          <w:b w:val="0"/>
          <w:sz w:val="22"/>
        </w:rPr>
        <w:t xml:space="preserve"> Un</w:t>
      </w:r>
      <w:r w:rsidRPr="00635993">
        <w:rPr>
          <w:b w:val="0"/>
          <w:sz w:val="22"/>
        </w:rPr>
        <w:t>coated polystyrene discs</w:t>
      </w:r>
      <w:r w:rsidR="00381DF6">
        <w:rPr>
          <w:b w:val="0"/>
          <w:sz w:val="22"/>
        </w:rPr>
        <w:t>.</w:t>
      </w:r>
      <w:bookmarkEnd w:id="574"/>
      <w:bookmarkEnd w:id="575"/>
      <w:bookmarkEnd w:id="576"/>
      <w:bookmarkEnd w:id="577"/>
    </w:p>
    <w:p w14:paraId="0E22CB29" w14:textId="77777777" w:rsidR="000D7D3D" w:rsidRDefault="000D7D3D" w:rsidP="003F7054">
      <w:r w:rsidRPr="000D7D3D">
        <w:rPr>
          <w:noProof/>
          <w:lang w:eastAsia="en-GB"/>
        </w:rPr>
        <w:drawing>
          <wp:inline distT="0" distB="0" distL="0" distR="0" wp14:anchorId="6EE4D977" wp14:editId="39984661">
            <wp:extent cx="4635500" cy="230685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e 1 Appendix.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738219" cy="2357971"/>
                    </a:xfrm>
                    <a:prstGeom prst="rect">
                      <a:avLst/>
                    </a:prstGeom>
                  </pic:spPr>
                </pic:pic>
              </a:graphicData>
            </a:graphic>
          </wp:inline>
        </w:drawing>
      </w:r>
    </w:p>
    <w:p w14:paraId="67D896FE" w14:textId="77777777" w:rsidR="000D7D3D" w:rsidRPr="000D7D3D" w:rsidRDefault="000D7D3D" w:rsidP="007F746A">
      <w:r w:rsidRPr="000D7D3D">
        <w:br w:type="page"/>
      </w:r>
    </w:p>
    <w:p w14:paraId="3B780FA6" w14:textId="41A85EB9" w:rsidR="00D66DE2" w:rsidRDefault="000D7D3D" w:rsidP="00635993">
      <w:pPr>
        <w:pStyle w:val="Heading2"/>
      </w:pPr>
      <w:bookmarkStart w:id="578" w:name="_Toc507604099"/>
      <w:bookmarkStart w:id="579" w:name="_Toc507604366"/>
      <w:bookmarkStart w:id="580" w:name="_Toc519017068"/>
      <w:bookmarkStart w:id="581" w:name="_Toc520837981"/>
      <w:r w:rsidRPr="003F7054">
        <w:lastRenderedPageBreak/>
        <w:t xml:space="preserve">Supplementary data 1. </w:t>
      </w:r>
      <w:r w:rsidRPr="00635993">
        <w:rPr>
          <w:b w:val="0"/>
        </w:rPr>
        <w:t xml:space="preserve">Genomic sequences of the </w:t>
      </w:r>
      <w:r w:rsidRPr="00635993">
        <w:rPr>
          <w:b w:val="0"/>
          <w:i/>
        </w:rPr>
        <w:t>P. involutus ATCC 200175</w:t>
      </w:r>
      <w:r w:rsidRPr="00635993">
        <w:rPr>
          <w:b w:val="0"/>
        </w:rPr>
        <w:t xml:space="preserve"> </w:t>
      </w:r>
      <w:r w:rsidR="00381DF6">
        <w:rPr>
          <w:b w:val="0"/>
          <w:i/>
        </w:rPr>
        <w:t>P</w:t>
      </w:r>
      <w:r w:rsidRPr="00635993">
        <w:rPr>
          <w:b w:val="0"/>
          <w:i/>
        </w:rPr>
        <w:t>T</w:t>
      </w:r>
      <w:r w:rsidRPr="00635993">
        <w:rPr>
          <w:b w:val="0"/>
        </w:rPr>
        <w:t xml:space="preserve"> genes</w:t>
      </w:r>
      <w:bookmarkEnd w:id="578"/>
      <w:bookmarkEnd w:id="579"/>
      <w:bookmarkEnd w:id="580"/>
      <w:bookmarkEnd w:id="581"/>
      <w:r w:rsidRPr="00635993">
        <w:rPr>
          <w:b w:val="0"/>
        </w:rPr>
        <w:t xml:space="preserve"> </w:t>
      </w:r>
    </w:p>
    <w:p w14:paraId="67491AFE" w14:textId="77777777" w:rsidR="00D66DE2" w:rsidRPr="003F7054" w:rsidRDefault="00D66DE2" w:rsidP="00635993"/>
    <w:p w14:paraId="6A257802" w14:textId="77777777" w:rsidR="000D7D3D" w:rsidRPr="00635993" w:rsidRDefault="000D7D3D" w:rsidP="00635993">
      <w:pPr>
        <w:spacing w:line="240" w:lineRule="auto"/>
        <w:rPr>
          <w:rFonts w:ascii="Courier New" w:hAnsi="Courier New" w:cs="Courier New"/>
          <w:b/>
          <w:i/>
          <w:sz w:val="22"/>
          <w:lang w:eastAsia="en-GB"/>
        </w:rPr>
      </w:pPr>
      <w:r w:rsidRPr="00635993">
        <w:rPr>
          <w:rFonts w:ascii="Courier New" w:hAnsi="Courier New" w:cs="Courier New"/>
          <w:b/>
          <w:sz w:val="22"/>
          <w:lang w:eastAsia="en-GB"/>
        </w:rPr>
        <w:t>&gt;</w:t>
      </w:r>
      <w:r w:rsidRPr="00635993">
        <w:rPr>
          <w:rFonts w:ascii="Courier New" w:hAnsi="Courier New" w:cs="Courier New"/>
          <w:b/>
          <w:i/>
          <w:sz w:val="22"/>
          <w:lang w:eastAsia="en-GB"/>
        </w:rPr>
        <w:t>PiPT1_</w:t>
      </w:r>
      <w:r w:rsidRPr="00635993">
        <w:rPr>
          <w:rFonts w:ascii="Courier New" w:hAnsi="Courier New" w:cs="Courier New"/>
          <w:b/>
          <w:sz w:val="22"/>
          <w:lang w:eastAsia="en-GB"/>
        </w:rPr>
        <w:t xml:space="preserve"> fgenesh1_kg.22_#_22_#_isotig08265</w:t>
      </w:r>
    </w:p>
    <w:p w14:paraId="3A79D771" w14:textId="4672654C" w:rsidR="000D7D3D" w:rsidRPr="00635993" w:rsidRDefault="00381DF6" w:rsidP="00635993">
      <w:pPr>
        <w:spacing w:line="240" w:lineRule="auto"/>
        <w:rPr>
          <w:rFonts w:ascii="Courier New" w:hAnsi="Courier New" w:cs="Courier New"/>
          <w:sz w:val="22"/>
          <w:lang w:eastAsia="en-GB"/>
        </w:rPr>
      </w:pPr>
      <w:r w:rsidRPr="003F7054">
        <w:rPr>
          <w:rFonts w:ascii="Courier New" w:hAnsi="Courier New" w:cs="Courier New"/>
          <w:sz w:val="22"/>
          <w:lang w:eastAsia="en-GB"/>
        </w:rPr>
        <w:t>TGGCAGAGGCCAAGTAGTTGCGACGACGCGCAAGGTCCCTGGCAGATGTGCACGTTCTCAACGAAAGTAACTGATTTCGGAACACGGGAGGCGGGTCAACAAATGAAAGGAAGAGCATTCGTCGGTAAGTTTTTTGGGGTCGGACGACGTTTATCACGGTGACTGATGGGCCGGGTACGATTACCGAGGGAAAGCAGGGGCAAATCTTTG</w:t>
      </w:r>
      <w:r w:rsidRPr="007F746A">
        <w:rPr>
          <w:rFonts w:ascii="Courier New" w:hAnsi="Courier New" w:cs="Courier New"/>
          <w:sz w:val="22"/>
          <w:lang w:eastAsia="en-GB"/>
        </w:rPr>
        <w:t>ACCTGATCAGACTGCACATTGCAGAAAGAAGACGCCTTAAACGTGCAACGAGAATCTTGTATTAGTCAGCATCATTCTCACTCCGATTGGCCAATGGCCACAAACGTGCAAGGGGATGGTTCCTTAGCCAAGCCGAGTGGTTCATTGATCAGAGTTTGATCAGGGGCACGCTCATTTCGGTATCCGGTTATAAAGCTTCGATGAACTTTGTACATCCTAAGCGCTCTGTCCTCCCCTCACTTCCCTTGCCTATCCT</w:t>
      </w:r>
      <w:r w:rsidRPr="00FB36B8">
        <w:rPr>
          <w:rFonts w:ascii="Courier New" w:hAnsi="Courier New" w:cs="Courier New"/>
          <w:sz w:val="22"/>
          <w:lang w:eastAsia="en-GB"/>
        </w:rPr>
        <w:t>CGAGGTTTCTAGGGATCAATGGCTTCCAACGCTGACAGACTCTCTGACCGCGCCTCATATGAGAAGAACCTCACACCTGCTAACCTCAATGAGCGTCGTCGCGCGGCTTTGCAAGAGATCGACAATGCTCCATTCTC</w:t>
      </w:r>
      <w:r w:rsidRPr="007C3C15">
        <w:rPr>
          <w:rFonts w:ascii="Courier New" w:hAnsi="Courier New" w:cs="Courier New"/>
          <w:sz w:val="22"/>
          <w:lang w:eastAsia="en-GB"/>
        </w:rPr>
        <w:t>GTATGTTCCATTCGACCACCAACCGTTCATCTCACCTATTTCTTCTCCCCCCCTCTCAGGTGGTTCCACGTAAAGGTCTGTTTGGTCGCAGGTGTCGGCTTCTTCACCGATGCGTGAGTCCATAAAATTTATTTCAATCAAACGTTCCTCGTAACATGGTCATCCTTCTAGCTACGATATCTTCGCTATCAACATCGCTGTCACCATGTTGGGCTACGTATACGGTAAAAACGGTATGTCGCCAGACAATATTTTTAATCTCCTCCGTCCTTTTCATCAAACAATCTTTCCGTTTCTAGCCGCCCTTACCCCCTGGCAGTCGACCGGTCTCAAGGCTGCCACTCCCGTTGGAAACTTGGTTGGTCAGCTGGTGTTCGGATGGCTGGCCGATGTCCTTGGTCGTAAGCGCATGTGTGAGTAATCGAATTCCCCCATAACAAATGTCCACCGCTCACCGTAACAATCTTTAGATGGTATCGAGTTGATGATCATGATCATCGCCACCTTCGCACAGGCTGTATCTGGTGAGGCCCCTGCTATCAGCATTGTCGGCGTCCTCATTGTATGGCGTTTCCTGGTGAGTCCCCCCTTAC</w:t>
      </w:r>
      <w:r w:rsidRPr="00D9161C">
        <w:rPr>
          <w:rFonts w:ascii="Courier New" w:hAnsi="Courier New" w:cs="Courier New"/>
          <w:sz w:val="22"/>
          <w:lang w:eastAsia="en-GB"/>
        </w:rPr>
        <w:t>CTCAAATCCCCCAGGAAATCTGATCATGGCCTCATTAGATGGGTATCGGTATTGGAGGTGACTACCCTCTTAGTGCCATCATCACGTCCGAGTTTGCAGCTACACGCTCCCGTGGTCGTCTCATGACCGCTGTCTTCGCTGCACAGGGTTGGGGTCAATTAGGTATGCTCAGCAT</w:t>
      </w:r>
      <w:r w:rsidRPr="001B51CA">
        <w:rPr>
          <w:rFonts w:ascii="Courier New" w:hAnsi="Courier New" w:cs="Courier New"/>
          <w:sz w:val="22"/>
          <w:lang w:eastAsia="en-GB"/>
        </w:rPr>
        <w:t>CCCTTTCAGGTCTCTAGTCTGATTAACCGCGAATTAGCTGCTGCCCTTGTTGCTCTCGTCGTTGTTTCTGCATACAAGGAGGCCATCCTCGCTGGTCCATTCCCTTCCGCT</w:t>
      </w:r>
      <w:r w:rsidRPr="001563DA">
        <w:rPr>
          <w:rFonts w:ascii="Courier New" w:hAnsi="Courier New" w:cs="Courier New"/>
          <w:sz w:val="22"/>
          <w:lang w:eastAsia="en-GB"/>
        </w:rPr>
        <w:t>CTCCCTATTGATCATGCCTGGCGTCTGCTCATCGGTCTTGGATGCGTCCCCGGAGTTGTCGCTCTTTACTTCCGTCTTACCATCCCCGAGACTCCTCGTT</w:t>
      </w:r>
      <w:r w:rsidRPr="00C27AA2">
        <w:rPr>
          <w:rFonts w:ascii="Courier New" w:hAnsi="Courier New" w:cs="Courier New"/>
          <w:sz w:val="22"/>
          <w:lang w:eastAsia="en-GB"/>
        </w:rPr>
        <w:t>TCACAATGGATGTCGAGCGAAATGTTGCTCAGGCTTCGCAGGATATTGAGAACGTACTCACAATTGGCAAACACGTCGAGGCCGAGGACGCTGTTGTGGAGCGTGCCAAGGCACCCAGGGCAACCCGTGCCGACTTCGTCGCTTACTTCTCCAAATGGGAGAACTCGAAGGTTCTCGTCGGAACGGCCTACTCCTGGTTTGCCCTCGACGTCAGTGTGATCCGTTGCTTTGTTCTACTCTGTGTCATCTGAGATGTTTCCAGATCGCGTTCTACGGCCTTGGACTTAACAGCTCCATCATCTTGAGTGCCATCAAATTCGGTGGATCTACCGCAAAGAAAGGCACTACTCTCAATGTCTACGAGAGTCTCCACAATATCTGTATCGGAAACATCATCCTTTCCGTTGCTGGGCTTATCCCCGGTTACTGGGTTTCCTTCCTTTTCATTGATACCTGGGGTCGCAAGCCCATCCAGCTCATGGGCTTCACTGCCCTGACCATCTTGTTTGTCATCATGGGTATATCTATCACCTGTCGTTTTCAGACAACACAGCTGACTCCTCCCCTCAGGCTTCGCATATGACAAGCTGGTCGCAACGACCTCTGGCACCAATGTTTTCGTCTTCCTCTATTGTCTCACCAACTTTTTCCAGAACTTCGGTCCTAACACTACCACATTCATTGTCCCCGGAGAGGCTTTCCCCACGCGTTACCGTTCGACCGCGCACGGTATCTCCGCTGCAGCTGGCAAACTCGGTGCCGTCGTTGCGCAGCTCGGTTTCGGTCAACTGGTTAACATCGGAGGCACGAATAAATTTGTGAAACACATGTGAGCATCATATCTGTTCCCTACCTTGAATACCATTCTGAAAGATCGCTCTCGCACAGCATGGAAATTTTCGCGTTTTTCATGTTGACCGGTATCTTCTCGACTCTGCTCATCCCCGAGACCAAGCAGAAGAGCCTTGAAGATCTCTCAAACGAAGACCAGGCGGAATACATAACCGATTCTTAAGGCAATGGAAAAATAGCCAGTATTTATGTAATACGCTGTGCACTTTTCGTTTTCTCATCTTGGAGGGCTACATTTTGCTGTTGTAATTACATTTTGTGCGCCACTATTAAGGAGGCGCACATCGGACTATAATATTCCGAATAGTCACGGTGAACCTAGTGTGTTAGCGATGACGTAGTTATTTAAGTCATCCTCTTGTGTCACGGTGTACCTTTGCCAAGACTGTTGTATCCCGACGGTGACTAGTGTCGTTCTTAGCGTCGAAGAAAAGATATTCATCATGACACCCAAAGGCAAGGATCTTCCGCCCCCAAGTTTCCCAGCGCCCACTGAACCTAGCGAAACAGTCCCAAACCCAGGCGACAAGCAGGCCAGAAAGTC</w:t>
      </w:r>
    </w:p>
    <w:p w14:paraId="6F4AE769" w14:textId="77777777" w:rsidR="000D7D3D" w:rsidRPr="00635993" w:rsidRDefault="000D7D3D" w:rsidP="00635993">
      <w:pPr>
        <w:spacing w:line="240" w:lineRule="auto"/>
        <w:rPr>
          <w:rFonts w:ascii="Courier New" w:hAnsi="Courier New" w:cs="Courier New"/>
          <w:sz w:val="22"/>
        </w:rPr>
      </w:pPr>
    </w:p>
    <w:p w14:paraId="279C8D6C" w14:textId="77777777" w:rsidR="000D7D3D" w:rsidRPr="00635993" w:rsidRDefault="000D7D3D" w:rsidP="00635993">
      <w:pPr>
        <w:spacing w:line="240" w:lineRule="auto"/>
        <w:rPr>
          <w:rFonts w:ascii="Courier New" w:hAnsi="Courier New" w:cs="Courier New"/>
          <w:b/>
          <w:i/>
          <w:sz w:val="22"/>
          <w:lang w:eastAsia="en-GB"/>
        </w:rPr>
      </w:pPr>
      <w:r w:rsidRPr="00635993">
        <w:rPr>
          <w:rFonts w:ascii="Courier New" w:hAnsi="Courier New" w:cs="Courier New"/>
          <w:b/>
          <w:sz w:val="22"/>
          <w:lang w:eastAsia="en-GB"/>
        </w:rPr>
        <w:lastRenderedPageBreak/>
        <w:t>&gt;</w:t>
      </w:r>
      <w:r w:rsidRPr="00635993">
        <w:rPr>
          <w:rFonts w:ascii="Courier New" w:hAnsi="Courier New" w:cs="Courier New"/>
          <w:b/>
          <w:i/>
          <w:sz w:val="22"/>
          <w:lang w:eastAsia="en-GB"/>
        </w:rPr>
        <w:t>PiPT2_</w:t>
      </w:r>
      <w:r w:rsidRPr="00635993">
        <w:rPr>
          <w:rFonts w:ascii="Courier New" w:hAnsi="Courier New" w:cs="Courier New"/>
          <w:b/>
          <w:sz w:val="22"/>
          <w:lang w:eastAsia="en-GB"/>
        </w:rPr>
        <w:t xml:space="preserve"> gm1.13401_g</w:t>
      </w:r>
    </w:p>
    <w:p w14:paraId="3BEA3FD3" w14:textId="42BB6407" w:rsidR="000D7D3D" w:rsidRPr="00635993" w:rsidRDefault="00381DF6" w:rsidP="00635993">
      <w:pPr>
        <w:spacing w:line="240" w:lineRule="auto"/>
        <w:rPr>
          <w:rFonts w:ascii="Courier New" w:hAnsi="Courier New" w:cs="Courier New"/>
          <w:sz w:val="22"/>
          <w:lang w:eastAsia="en-GB"/>
        </w:rPr>
      </w:pPr>
      <w:r w:rsidRPr="003F7054">
        <w:rPr>
          <w:rFonts w:ascii="Courier New" w:hAnsi="Courier New" w:cs="Courier New"/>
          <w:sz w:val="22"/>
          <w:lang w:eastAsia="en-GB"/>
        </w:rPr>
        <w:t>GACTCTTCTGATGACTTTCCTGACGT</w:t>
      </w:r>
      <w:r w:rsidRPr="007F746A">
        <w:rPr>
          <w:rFonts w:ascii="Courier New" w:hAnsi="Courier New" w:cs="Courier New"/>
          <w:sz w:val="22"/>
          <w:lang w:eastAsia="en-GB"/>
        </w:rPr>
        <w:t>CTTTCTCCGCACCCAGGTCGGATTCTTCCTAGATGGTTCGTTCATCATACTTTCATCAAACTAACAGACACGTTAACGAAGCCCAACCAGCCTATGACTTGTTCATCATCAACGTAAGCGGGGTTCTTAGCGTCCGCTCCATCGCCATCCATTTGACCGTTTCCATAGCCCGTTGCGACCATGTTGCAATACAGGCTTTACGGAGGACAAAGTCTTCCCAACAACCTTCAAGGTGTCCTGAAAGCTTCTGCGAACA</w:t>
      </w:r>
      <w:r w:rsidRPr="00FB36B8">
        <w:rPr>
          <w:rFonts w:ascii="Courier New" w:hAnsi="Courier New" w:cs="Courier New"/>
          <w:sz w:val="22"/>
          <w:lang w:eastAsia="en-GB"/>
        </w:rPr>
        <w:t>TTGGCAGTGTCATTGGTCAATTCCTTTTCGGTAAGTAAATATACAGAGGTGTATCACTCCACAGCCTTACCAGTTCTGCTCAGGCTACTGCGCCGACGCTTTCGGCCGGAAGGCCATTTGTATGTACCTTCGTTCCG</w:t>
      </w:r>
      <w:r w:rsidRPr="007C3C15">
        <w:rPr>
          <w:rFonts w:ascii="Courier New" w:hAnsi="Courier New" w:cs="Courier New"/>
          <w:sz w:val="22"/>
          <w:lang w:eastAsia="en-GB"/>
        </w:rPr>
        <w:t>TCTCCTAAATTGATGAAGGGCTGACGTTTATCCGAAGACGGAAAAGAGCTGATGCTGATTATCCTTGCGACTATCCTCTGTATCTCATGCCCAACAAGTAAGCACGGGCATCAACCCTATAGCCACGGAAGCACTGAATGAAGTTATTTCATAGATCTTCTCTCCCCCGACGGATCTTTGATATACTTATCTATCTTTCGCATTCTCCTCGGAGTCGGTGTTGGAGGGGATTACCCCATGTCAGCTTCCATCACCAGTGATCGCGCCGTCCTCCGCAAGCGAGGGACCCTTCTAGCGTACATTTTTGCTAATCAAGGATGGGGCAGTTTAGTCGGAAGCTTGGCGACAATCATCGTTCTGGCGTGTTACAAACATGTTATGAACGATGAGGGTGAGACCTCGAAAGTCGATGGGGGTAGGTGGCGCTTTAGCATTTTTGCCTCACGTTGTCTAAGCTCATACTTGTCCCATAGTGTGGCGAATCGTCGTTGGTCTCTCGCTCATCCCCGCCTTCGGAACTTTATACCAGCGGTTAACGTTGCCCGAATCTGTACGCTTCGAAGAATCGCGAAAGCTGACCGCGGGAGAACTCG</w:t>
      </w:r>
      <w:r w:rsidRPr="00D9161C">
        <w:rPr>
          <w:rFonts w:ascii="Courier New" w:hAnsi="Courier New" w:cs="Courier New"/>
          <w:sz w:val="22"/>
          <w:lang w:eastAsia="en-GB"/>
        </w:rPr>
        <w:t>ACGATTTAAAAGCAAAGAACGATGTCGAAATCACTGTTTCAAGCAAGAACTCCAATGAGGGTCACGTCAAAGAACCCTTGGAGAAGAAAGCCCACTTCAAAGGTGACTTCTTCCCGCATATCACAGGGGTAGTTGCTCACTCGCTTCGTCCACAGAGTTTGTCGAGTACTTCTCC</w:t>
      </w:r>
      <w:r w:rsidRPr="001B51CA">
        <w:rPr>
          <w:rFonts w:ascii="Courier New" w:hAnsi="Courier New" w:cs="Courier New"/>
          <w:sz w:val="22"/>
          <w:lang w:eastAsia="en-GB"/>
        </w:rPr>
        <w:t>GAGTGGCGTCACGCGAAAATATTGATTGGGACGTGCACGTGTTGGTTCTTGTTGGACGTTGCGTAAGTTCTTGCTCCTGTCACGTCTAGCAGTGTCTGATTTGTTGGTTTG</w:t>
      </w:r>
      <w:r w:rsidRPr="001563DA">
        <w:rPr>
          <w:rFonts w:ascii="Courier New" w:hAnsi="Courier New" w:cs="Courier New"/>
          <w:sz w:val="22"/>
          <w:lang w:eastAsia="en-GB"/>
        </w:rPr>
        <w:t>TCCCAGGTTCTATGGCATCAACTTGAATCAAAACGTGGTACTTCAACAAATTGGGTACGCTGGTAAGACAGGTACAGCATGGGAAAAACTTTTCAAAGTG</w:t>
      </w:r>
      <w:r w:rsidRPr="00C27AA2">
        <w:rPr>
          <w:rFonts w:ascii="Courier New" w:hAnsi="Courier New" w:cs="Courier New"/>
          <w:sz w:val="22"/>
          <w:lang w:eastAsia="en-GB"/>
        </w:rPr>
        <w:t>TCTACTGGAAACATTATCATCACCGCTCTTGGTTTCGTTCCTGGTACGTACGGCTTGTAGCTGACCCACCACATCAACCTTCTAACTCCCGCTCTACTACTACAGGTTACTATGTGACCGTCCTCACCATCGAGAAGTTGGGCCGCAAGTACATTCAGATCCAGGGATTCCTTATGACTTCCCTCTTCTGTAAGTTTCGACTCGCTCGACCCCATCCCAAATCCTAAATCTCAAATCATCTTCTTCGAAAGTGGGCATATTGGCAGGGAAGTTTCACACCTTCGACAATGCGTCGTTCATAGTCTGCTTTTCGTTCCTGCAGGTGAGCCCGCCTTTCATTTCTTCGCGTTCAGCCACTCTAACACGAGACCAGTTCTTCTTCAACTTTGGAGCCAATGCGTAAGTAGCTGAGCACACCGTCTTGCAGTTCGTCCAACTGACTGTCTCTGCCCCCACCGATAGAACCACATATGTAAGCAACGCTCTCATGGATGACTGTAACCTTGTCTTAATCGCACGCTCAGTGTTACCCCGCCGAAGTATTCCCTACAAAATACCGTGCATCTGCACACGGTCTCTCTGCTGCCTGCGGGAAAGCAGGCGCCATCATATCTGCTCTCGGTTTCAACACGTTAACCGCCAAGATCGGAACGCCAGCCGTTCTATGGAGTCAGTACACTTCTTGCTAACCGCCTTTGACACCGTATCTAACCCACACACTCGTGTTATAGTCTTTTTCGGGTGTAGCATCGCAGGAGCAGGTTCGTCACGTCCATTGGACACGTGTTGAACCATCATTCATGTGATTTCCGTTCACAGGATTCACGCTCCTCCTTCCGGAAGTCGCTGGACGCGATCCCGACGCGATCCTTGCGGAAGAACTCAGGGAACGATAAACGACGGATCGTCCCTCGAGCTCCGTTCTAAATCGAGAACGAAGAAGTCACCAGTCACCCATGTCCTCTTTTCTTACTATCTCAGAAATCATATTTGACTCATCCCTAGTATCTATCCGTTATTCGAAATCATGTGGTCTAATCGTGGCCTGCTGTTGTTGTGGGAATGGGTGGTGGTGGGAAGTCCGAGTCGTCGCTAG</w:t>
      </w:r>
    </w:p>
    <w:p w14:paraId="249F6875" w14:textId="77777777" w:rsidR="000D7D3D" w:rsidRPr="00635993" w:rsidRDefault="000D7D3D" w:rsidP="003F7054">
      <w:pPr>
        <w:spacing w:line="240" w:lineRule="auto"/>
        <w:rPr>
          <w:rFonts w:ascii="Courier New" w:hAnsi="Courier New" w:cs="Courier New"/>
          <w:sz w:val="22"/>
        </w:rPr>
      </w:pPr>
    </w:p>
    <w:p w14:paraId="12770C13" w14:textId="77777777" w:rsidR="000D7D3D" w:rsidRPr="00635993" w:rsidRDefault="000D7D3D" w:rsidP="00635993">
      <w:pPr>
        <w:spacing w:line="240" w:lineRule="auto"/>
        <w:rPr>
          <w:rFonts w:ascii="Courier New" w:hAnsi="Courier New" w:cs="Courier New"/>
          <w:b/>
          <w:sz w:val="22"/>
          <w:lang w:eastAsia="en-GB"/>
        </w:rPr>
      </w:pPr>
      <w:r w:rsidRPr="00635993">
        <w:rPr>
          <w:rFonts w:ascii="Courier New" w:hAnsi="Courier New" w:cs="Courier New"/>
          <w:b/>
          <w:sz w:val="22"/>
          <w:lang w:eastAsia="en-GB"/>
        </w:rPr>
        <w:t>&gt;</w:t>
      </w:r>
      <w:r w:rsidRPr="00635993">
        <w:rPr>
          <w:rFonts w:ascii="Courier New" w:hAnsi="Courier New" w:cs="Courier New"/>
          <w:b/>
          <w:i/>
          <w:sz w:val="22"/>
          <w:lang w:eastAsia="en-GB"/>
        </w:rPr>
        <w:t>PiPT3_</w:t>
      </w:r>
      <w:r w:rsidRPr="00635993">
        <w:rPr>
          <w:rFonts w:ascii="Courier New" w:hAnsi="Courier New" w:cs="Courier New"/>
          <w:b/>
          <w:sz w:val="22"/>
          <w:lang w:eastAsia="en-GB"/>
        </w:rPr>
        <w:t xml:space="preserve"> fgenesh1_kg.1_#_253_#_isotig09075</w:t>
      </w:r>
    </w:p>
    <w:p w14:paraId="7C16F7E3" w14:textId="69EFFF5A" w:rsidR="000D7D3D" w:rsidRPr="00635993" w:rsidRDefault="00381DF6" w:rsidP="00635993">
      <w:pPr>
        <w:spacing w:line="240" w:lineRule="auto"/>
        <w:rPr>
          <w:rFonts w:ascii="Courier New" w:hAnsi="Courier New" w:cs="Courier New"/>
          <w:sz w:val="22"/>
          <w:lang w:eastAsia="en-GB"/>
        </w:rPr>
      </w:pPr>
      <w:r w:rsidRPr="003F7054">
        <w:rPr>
          <w:rFonts w:ascii="Courier New" w:hAnsi="Courier New" w:cs="Courier New"/>
          <w:sz w:val="22"/>
          <w:lang w:eastAsia="en-GB"/>
        </w:rPr>
        <w:t>ATGCCGCCGAACATCAATGTGATCCATGGCGGATCTTAACAGCGCTAA</w:t>
      </w:r>
      <w:r w:rsidRPr="007F746A">
        <w:rPr>
          <w:rFonts w:ascii="Courier New" w:hAnsi="Courier New" w:cs="Courier New"/>
          <w:sz w:val="22"/>
          <w:lang w:eastAsia="en-GB"/>
        </w:rPr>
        <w:t>TCGCTGTCTATTAGTTCCCTACATACTCCCGATAGCACGTGCGTCCCCTCTATAAAACGCATTCCCAGTAGCATGGATGGACGTCCTTGTCTTACGAGAACCCCCCTCCCTTCTGTTCTCGGCCTTCCCTGGATAACTCTCAAAGTTTAATTTTCTGGTACACTTTTCTCTCATGTCGGCCGAGAAAGACGTCCCCACCCTGGAGGCGGAACAGACCACTGATCCCCGAAATGTCTCTGTCAAGCCTCGCGAGACT</w:t>
      </w:r>
      <w:r w:rsidRPr="00FB36B8">
        <w:rPr>
          <w:rFonts w:ascii="Courier New" w:hAnsi="Courier New" w:cs="Courier New"/>
          <w:sz w:val="22"/>
          <w:lang w:eastAsia="en-GB"/>
        </w:rPr>
        <w:t>AATCTCATTATTGCACCTAACAATCTTGCCAAACGAGAATCTCTTAGCGCTTGGCTTACTATCTGTGCAGCGGGCTTTGGCTTAATCAGTGATGGCTGTAAGTCACAGAGTTTCGTGTCAGCGCCGGATTCAAGTTA</w:t>
      </w:r>
      <w:r w:rsidRPr="007C3C15">
        <w:rPr>
          <w:rFonts w:ascii="Courier New" w:hAnsi="Courier New" w:cs="Courier New"/>
          <w:sz w:val="22"/>
          <w:lang w:eastAsia="en-GB"/>
        </w:rPr>
        <w:t>ATATCCGTCCTTTAGATCAAAACAACCTGATGACCATGTCAAATGTAGGCCCATCCCATCCCCCCCTGCTTGTACTCGTCCTAGAGTAGTTCTCTAGGTCATCTTCAAGACACTTTACCCCAAGGACTATACTTCCGCGGTCTCTACGCGGGTATCCAATGCTCTTCTTGTCGGTCAGTTCTTATATACACAGATGCTTCTTTGTAAGTTTGTCTAAACTACACCTCTACCAGGCGCCGTCATCGGGCAAATCTTCGTT</w:t>
      </w:r>
      <w:r w:rsidRPr="007C3C15">
        <w:rPr>
          <w:rFonts w:ascii="Courier New" w:hAnsi="Courier New" w:cs="Courier New"/>
          <w:sz w:val="22"/>
          <w:lang w:eastAsia="en-GB"/>
        </w:rPr>
        <w:lastRenderedPageBreak/>
        <w:t>GGCTTGATTTGCGACAGAGCCGGTCGCAAGGTTGCCCTTGTTGCCACTACCTTGTTCATCGTTCTCGGTAGTACTCTCGGAACTGCCGCCCATGGTGCTAACGGAAGTGCACAAGGCCTCTTTTGGTTTTTGACTTTCGCCCGTGGAATCACTGGCATCGTAGGTCATTCATCCATTGCACGTGTTTCAGTTGCTCAAATAATTTTTGCAGGGTGTCGGTGGAGAATACCCCGCTTCGTCAACAAGCGCTAGTGAAGCCGCAAACGAGAAAACACAGAAGAATCGCGGTCCAGGTATCCTTACCATTGTTATTTTCCGCCTCAACCATTCACTGCTAACATTCCTCCCAGTCTTTATCATGGTCACAAATTTCGTGCTCTCTGTACGACCTTCATTCTTTCGGGGTCTCTGCGAACTAATGAAACACCTCTGAATTAGTTTGGTGGCCCATTGGCTGTTTCAGTGTTCTTGATCGCACTCTCAGCAGCCGGGGAAAATCACCTTCAGACTGTCTGGCGCGTTTGCTTCGGCGTCGGTATACTCTTGCCTTTGACAGTGCTCGTCTTTCGTTTACGGATGTTGAGCTCCAA</w:t>
      </w:r>
      <w:r w:rsidRPr="00D9161C">
        <w:rPr>
          <w:rFonts w:ascii="Courier New" w:hAnsi="Courier New" w:cs="Courier New"/>
          <w:sz w:val="22"/>
          <w:lang w:eastAsia="en-GB"/>
        </w:rPr>
        <w:t>ACTCTACCGGAAGGGTGCCATTAAACGTAATCTGACATTCAAACTTCGCCTTGGAAGTAGCACTCATCTGTGAGCCAGGTGACGTTCCCTACGGGTTGGTGATAAAACGCTACTGGCGTCCTCTCATCGGTACCTGTGGAGCGTGGTGCGAACACATGTTTGTACAACTAAATGA</w:t>
      </w:r>
      <w:r w:rsidRPr="001B51CA">
        <w:rPr>
          <w:rFonts w:ascii="Courier New" w:hAnsi="Courier New" w:cs="Courier New"/>
          <w:sz w:val="22"/>
          <w:lang w:eastAsia="en-GB"/>
        </w:rPr>
        <w:t>TGGCTAATATGTTGGTCAGGTTCCTTTATGACTTTGTATGCCTTCACTCCCGAGTTCCTGAACTTTTCAATGGCTTGACTGATCTCTTAGGTCACTTTTCCGAACGGCGTG</w:t>
      </w:r>
      <w:r w:rsidRPr="001563DA">
        <w:rPr>
          <w:rFonts w:ascii="Courier New" w:hAnsi="Courier New" w:cs="Courier New"/>
          <w:sz w:val="22"/>
          <w:lang w:eastAsia="en-GB"/>
        </w:rPr>
        <w:t>TTCTCGGGAACTATCATCTCCAGTGTGATCCACAACGGCGATATCAAGAAAACTGCTGAATGGCAGCTTTTACTCGGAGCAATAGCCCTGCCTGGCGTCC</w:t>
      </w:r>
      <w:r w:rsidRPr="00C27AA2">
        <w:rPr>
          <w:rFonts w:ascii="Courier New" w:hAnsi="Courier New" w:cs="Courier New"/>
          <w:sz w:val="22"/>
          <w:lang w:eastAsia="en-GB"/>
        </w:rPr>
        <w:t>TCGTCGGCGCTTGGCTCTGCAACCGACTGGGGAGAAGGAACACAGTATGCGACACACGACCCGCATTCATTCAAGCTACTCATCCTCTACCCCTTAGATGATTTTAGGATTCTCTGGATACCTAGTATTTGTAGGTCTTTCTCCTGCTTCCAGCTCATCATTTGCTACAATTGGCACGCCAGGGCCTCATAATTGGTCTCGCATACGATGAAATAACCAACATTATACCCCTCTTTGTAATTTTGTGGGTGTCATCAAAAATCCTTCACTAAACTGAGCTGAGAGCTGTCTTGTAGCTATGGGCTGATGCAGTCGTTTGGTAACCTGGTGCGTCACACTCGAGGTCGATCAGCTTAGTTGTTCAGATGATTACAGGGACCTGGTGATATGCTGGGCCTGACGAGTTCTGAGTAAGTCCATCGCAACTCCCTATTTACCTTGAAACTTAGGGGCCACACCACAGGTCGTATGCAACGCCCGTTCGGTATGACGCTAGCTCACGTTGAGTTGAAGAGACTCAATTTGATTGTCAGTGGAACATGTTACGGCCTTTCTGCAGCCATCGGTAAAACTGGCGCTGCTATTGGGACCCAAGCATTCACGCCTATCCAGAATAATCTCGGAAAACGGTACGAGTACTTCCCTTGCTTTCTTCCTTCTTGCTGATCCAGACAATGAAGTTGGACTTTCATCATCGCCGCTATTTGCGGTATTGCTGGAATCCTTGTGACGTACTTCTTCGTGCCTGACATGACTGGCATTGACCTCGCGGACGAAGATGCCAAATTCATGAAGTACCTCGCAGAGAATGGTTGGCAGGGCGAGGTTGGAGAGGACGACGACAAGGCGTTGATTGGCACATATGCCAGTGAAGACGCCCTGGAGGAGAAGATCTGATATGAGATTAGTATATGTCCGTCACGATGGTATCATATGGGTAGTTCACCGTCTTTGCAACTTTTGAATTGGCGGAGGGTTGAAGATCACGTGCGCACTGAGGATTTCGCGTATTACTACTATTAGACTACAGTTGCTCAGCACATCTTGCCTTGAATGTCTGCTCAGGTTCTCCGGCAGTGCGCGTCTCGTCGTTCTTTGTGTTTCTCGTGTCTACAGTTTCGCCGCGCCAAAGCATACTACTCGCAATCAGCTCTCGCTTTTTCCTCCACCA</w:t>
      </w:r>
    </w:p>
    <w:p w14:paraId="1830A824" w14:textId="77777777" w:rsidR="000D7D3D" w:rsidRPr="00635993" w:rsidRDefault="000D7D3D" w:rsidP="003F7054">
      <w:pPr>
        <w:spacing w:line="240" w:lineRule="auto"/>
        <w:rPr>
          <w:rFonts w:ascii="Courier New" w:hAnsi="Courier New" w:cs="Courier New"/>
          <w:sz w:val="22"/>
        </w:rPr>
      </w:pPr>
    </w:p>
    <w:p w14:paraId="1DAF3D7B" w14:textId="77777777" w:rsidR="000D7D3D" w:rsidRPr="00635993" w:rsidRDefault="000D7D3D" w:rsidP="00635993">
      <w:pPr>
        <w:spacing w:line="240" w:lineRule="auto"/>
        <w:rPr>
          <w:rFonts w:ascii="Courier New" w:hAnsi="Courier New" w:cs="Courier New"/>
          <w:b/>
          <w:sz w:val="22"/>
          <w:lang w:eastAsia="en-GB"/>
        </w:rPr>
      </w:pPr>
      <w:r w:rsidRPr="00635993">
        <w:rPr>
          <w:rFonts w:ascii="Courier New" w:hAnsi="Courier New" w:cs="Courier New"/>
          <w:b/>
          <w:sz w:val="22"/>
          <w:lang w:eastAsia="en-GB"/>
        </w:rPr>
        <w:t>&gt;</w:t>
      </w:r>
      <w:r w:rsidRPr="00635993">
        <w:rPr>
          <w:rFonts w:ascii="Courier New" w:hAnsi="Courier New" w:cs="Courier New"/>
          <w:b/>
          <w:i/>
          <w:sz w:val="22"/>
          <w:lang w:eastAsia="en-GB"/>
        </w:rPr>
        <w:t>PiPT4_</w:t>
      </w:r>
      <w:r w:rsidRPr="00635993">
        <w:rPr>
          <w:rFonts w:ascii="Courier New" w:hAnsi="Courier New" w:cs="Courier New"/>
          <w:b/>
          <w:sz w:val="22"/>
          <w:lang w:eastAsia="en-GB"/>
        </w:rPr>
        <w:t xml:space="preserve"> estExt_Genewise1.C_14990003</w:t>
      </w:r>
    </w:p>
    <w:p w14:paraId="66D64756" w14:textId="5FF29B66" w:rsidR="000D7D3D" w:rsidRPr="00635993" w:rsidRDefault="00381DF6" w:rsidP="00635993">
      <w:pPr>
        <w:spacing w:line="240" w:lineRule="auto"/>
        <w:rPr>
          <w:rFonts w:ascii="Courier New" w:hAnsi="Courier New" w:cs="Courier New"/>
          <w:sz w:val="22"/>
          <w:lang w:eastAsia="en-GB"/>
        </w:rPr>
      </w:pPr>
      <w:r w:rsidRPr="003F7054">
        <w:rPr>
          <w:rFonts w:ascii="Courier New" w:hAnsi="Courier New" w:cs="Courier New"/>
          <w:sz w:val="22"/>
          <w:lang w:eastAsia="en-GB"/>
        </w:rPr>
        <w:t>AATTGATGGGCGTGCGATGCGCCCGCTCCTGCCGTGCGAGTCGACAAACGTGCAATGAGCGTTTGATGAACCTGGCGAAGGGCAATCAAGGTTCATGAACGTTCGACCTGACTTTGGACAGAGCCATGGCACATGTCAATTGCACGCCACACGTGCAACCGGGCCAAACCCATCTTTATCCTACTCCCCATGCTCGTGTGATCACTCTTTCCAGCTTCCCTGACTCTGCCCTCAG</w:t>
      </w:r>
      <w:r w:rsidRPr="007F746A">
        <w:rPr>
          <w:rFonts w:ascii="Courier New" w:hAnsi="Courier New" w:cs="Courier New"/>
          <w:sz w:val="22"/>
          <w:lang w:eastAsia="en-GB"/>
        </w:rPr>
        <w:t>TCACCGCAATTTGGTCTACCCTTAGATTGTCATCGGGACAGTGGAACACGCGGAGATTCCCCGTTTCGAGTTTGGGCCGTTCTCCGTTAACGACCTTGCCGAAGAAGTCGGCCGTCTATTTGCTCCATGGTGCCCATAGTGCAATCTTATAAATTGAAGAGCTGACACCATATCTTTACCTGTCTCGTCCTTCTTCTCCAAGTCTGCCATGGCTAGTCACATCGAGGAAAAACCAATCTCTTCTGCTGAGACTGGG</w:t>
      </w:r>
      <w:r w:rsidRPr="00FB36B8">
        <w:rPr>
          <w:rFonts w:ascii="Courier New" w:hAnsi="Courier New" w:cs="Courier New"/>
          <w:sz w:val="22"/>
          <w:lang w:eastAsia="en-GB"/>
        </w:rPr>
        <w:t>ACCCCGTCGGCCCCTTTTCGCTCAGAGCTTCAGGCGTATGAGCGCGATGCTGGGGATAGGCCCCCATACGTTTTGACCTATCCTGAAATCAAGCTCTTGGGTATTGCCGGGGTGAGTACACCTAGTGACTCTTCTGA</w:t>
      </w:r>
      <w:r w:rsidRPr="007C3C15">
        <w:rPr>
          <w:rFonts w:ascii="Courier New" w:hAnsi="Courier New" w:cs="Courier New"/>
          <w:sz w:val="22"/>
          <w:lang w:eastAsia="en-GB"/>
        </w:rPr>
        <w:t>ATGACTTTCCTGACGTCTTTCTCCGCACCCAGGTCGGATTCTTCCTAGATGGTTCGTTCATCATACTTTCATCAAACTAACAGACACGTTAACGAAGCCCAACCAGCCTATGACTTGTTCATCATCAACGTAAGCGGGGTTCTTAGCGTCCGCTCCATCGCCATCCATTTGACCGTTTCCATAGCCCGTTGCGACCATGTTGCAATACAGGCTTTACGGAGGACAAAGTCTTCCCAACAACCTTCAAGGTGTCCTGAAAGCTTCTGCGAACATTGGCAGTGTCATTGGTCAATTCCTTTTCGGTAAGTAAATATACAGAGGTGTATCACTCCACAGCCTTACCAGTTCTGCTCAGGCTACTGCGCCGACGCTTTCGGCCGGAAGGCCATTTGTATGTACCTTCGTTCCGTCTCCTAAATTGATGAAGGGCTGACGTTTATCCGAAGACGGAAAAGAGCTGATGCTGATTATCCTTGCGACTATCCTCTGTATCTCATGCCCAACAAGTAAGCACGGGCATCAACCCTATAGCCACGGAAGCACTGAATGAAGTTATTTCATA</w:t>
      </w:r>
      <w:r w:rsidRPr="007C3C15">
        <w:rPr>
          <w:rFonts w:ascii="Courier New" w:hAnsi="Courier New" w:cs="Courier New"/>
          <w:sz w:val="22"/>
          <w:lang w:eastAsia="en-GB"/>
        </w:rPr>
        <w:lastRenderedPageBreak/>
        <w:t>GATCTTCTCTCCCCCGACGGATCTTTGATATACTTATCTATCTTTCGCATTCTCCTCGGAGTCGGTGTTGGAGGGGATTACCCCATGTCAGCTTCCATCACCAGTGATCGCGCCGTCCTCCGCAAGCGAGGGACCCTTCTAGCGTACATTTTTGCTAATCAAGGATGGGGCAGTTTAGTCGGAAGCTTGGCGACAATCATCGTTCTGGCGTGTTACAAACAT</w:t>
      </w:r>
    </w:p>
    <w:p w14:paraId="457B9C29" w14:textId="77777777" w:rsidR="000D7D3D" w:rsidRPr="00635993" w:rsidRDefault="000D7D3D" w:rsidP="00635993">
      <w:pPr>
        <w:spacing w:line="240" w:lineRule="auto"/>
        <w:rPr>
          <w:rFonts w:ascii="Courier New" w:hAnsi="Courier New" w:cs="Courier New"/>
          <w:sz w:val="22"/>
          <w:lang w:eastAsia="en-GB"/>
        </w:rPr>
      </w:pPr>
    </w:p>
    <w:p w14:paraId="3222BCA5" w14:textId="77777777" w:rsidR="000D7D3D" w:rsidRPr="00635993" w:rsidRDefault="000D7D3D" w:rsidP="00635993">
      <w:pPr>
        <w:spacing w:line="240" w:lineRule="auto"/>
        <w:rPr>
          <w:rFonts w:ascii="Courier New" w:hAnsi="Courier New" w:cs="Courier New"/>
          <w:b/>
          <w:sz w:val="22"/>
          <w:lang w:eastAsia="en-GB"/>
        </w:rPr>
      </w:pPr>
      <w:r w:rsidRPr="00635993">
        <w:rPr>
          <w:rFonts w:ascii="Courier New" w:hAnsi="Courier New" w:cs="Courier New"/>
          <w:b/>
          <w:sz w:val="22"/>
          <w:lang w:eastAsia="en-GB"/>
        </w:rPr>
        <w:t>&gt;</w:t>
      </w:r>
      <w:r w:rsidRPr="00635993">
        <w:rPr>
          <w:rFonts w:ascii="Courier New" w:hAnsi="Courier New" w:cs="Courier New"/>
          <w:b/>
          <w:i/>
          <w:sz w:val="22"/>
          <w:lang w:eastAsia="en-GB"/>
        </w:rPr>
        <w:t>PiPT5_</w:t>
      </w:r>
      <w:r w:rsidRPr="00635993">
        <w:rPr>
          <w:rFonts w:ascii="Courier New" w:hAnsi="Courier New" w:cs="Courier New"/>
          <w:b/>
          <w:sz w:val="22"/>
          <w:lang w:eastAsia="en-GB"/>
        </w:rPr>
        <w:t xml:space="preserve"> fgenesh1_pm.14_#_104</w:t>
      </w:r>
    </w:p>
    <w:p w14:paraId="24C47F9A" w14:textId="6201CA9B" w:rsidR="00207753" w:rsidRDefault="00381DF6" w:rsidP="00635993">
      <w:pPr>
        <w:spacing w:line="240" w:lineRule="auto"/>
        <w:rPr>
          <w:rFonts w:ascii="Courier New" w:hAnsi="Courier New" w:cs="Courier New"/>
          <w:sz w:val="22"/>
          <w:lang w:eastAsia="en-GB"/>
        </w:rPr>
      </w:pPr>
      <w:r w:rsidRPr="003F7054">
        <w:rPr>
          <w:rFonts w:ascii="Courier New" w:hAnsi="Courier New" w:cs="Courier New"/>
          <w:sz w:val="22"/>
          <w:lang w:eastAsia="en-GB"/>
        </w:rPr>
        <w:t>AAAGGTCAGGTGAGTTAGCGAATCTGCTGAGTGCTCATCCCCTGAAATTGTAAATGAGATTTACCACACCCT</w:t>
      </w:r>
      <w:r w:rsidRPr="007F746A">
        <w:rPr>
          <w:rFonts w:ascii="Courier New" w:hAnsi="Courier New" w:cs="Courier New"/>
          <w:sz w:val="22"/>
          <w:lang w:eastAsia="en-GB"/>
        </w:rPr>
        <w:t>GGTTACGCCCTTAAAGATTCTTGAAGCAAAGCATGACCCCCGGAAACGGTTATAAGAAGCAGCCATGTTGGACGCGACCACTCGCTCCTCGCTCCTCTGTTCAGTGTTGACTTTGCTATCCACCAGAGATGCCTGGCTTGAAGGATCTATCCAGCGTTTCCCACATCTTTGCGTAACCTAGTCCTCCTTCTGCAGTGTTGTCAATTCTTGTCATTATTGAACTCCCCGCGCGCTCAAACAGTTGCGGAACAGCCTT</w:t>
      </w:r>
      <w:r w:rsidRPr="00FB36B8">
        <w:rPr>
          <w:rFonts w:ascii="Courier New" w:hAnsi="Courier New" w:cs="Courier New"/>
          <w:sz w:val="22"/>
          <w:lang w:eastAsia="en-GB"/>
        </w:rPr>
        <w:t>ATTTTCTGATGGTGCCCAGGTTTCTCCTTGTACTCGTGTAGAGTGATGCGACTTACTTTCTGTGTCCAAACAGGCTACGCTAACAGTGTCATCGGAGCGGGTATGTTTTCAGCCTCCTTATGTTCCTTCCCGTCTCA</w:t>
      </w:r>
      <w:r w:rsidRPr="007C3C15">
        <w:rPr>
          <w:rFonts w:ascii="Courier New" w:hAnsi="Courier New" w:cs="Courier New"/>
          <w:sz w:val="22"/>
          <w:lang w:eastAsia="en-GB"/>
        </w:rPr>
        <w:t>TCTTTCCAACTATAGTCAATACTCGTAAGAATACCCACTGAATCGCCTGCTATCTAGGCTAATCACACCACTTCAGTTTTGGAACGTATCTACGGTTCCGATGTCATGACGGCGAATAACCATAGCAAGGCTTTCACTAGCGTCACCTTCGCAGGTTCAGTCATCTATGCCCTGGTTCTTCCATCATTGCCAACTCACAACCATAGGCACTGTTGTGGGCATGCTTATATTTGGTTGGGTATCCGACAAGATCGGCCGCAAGTTTGGAATGGTGAGCATACCCGTTACAAGTCACTTGGTATCCCTCTTTCCCTTACTCTATGAATTCCCTTAGATATCAGCAACCGGTATTGTTGCTCTCTTCATCCTGTCTGCTGCTTCTGCCGGCGCAAACAACAGTGTGGCTGGAATGTTGGCTATGCTTGCCGCCTGTCGGTAAATATACATTTTGTATGTCAGGCACCATCTCATCATTTTTTTGTTTCTTTTGTTTTTCATCTATAGCTTCTTGATCGGCATCGGCATCGGCGCAGGATACCCCTGTGGAACTGTTTCTGCCTCGGAACAGTCAGAGGAAGGCGCCATCGCCAAGA</w:t>
      </w:r>
      <w:r w:rsidRPr="00D9161C">
        <w:rPr>
          <w:rFonts w:ascii="Courier New" w:hAnsi="Courier New" w:cs="Courier New"/>
          <w:sz w:val="22"/>
          <w:lang w:eastAsia="en-GB"/>
        </w:rPr>
        <w:t>ATGCTCAGCATCGGTGATTGGTACTTGCTACAAGTTCGTAATTCGCAGCTCTACCCCGACTCTCAATAAACATGCTGAACATGATTCTAGATACGATGATGGATGTTGGTTACGTGATTGGGGCATTTGTACCTCTCGTTTTGTGTTGGACGTAAGTCGTATTGCATCCCTGAGA</w:t>
      </w:r>
      <w:r w:rsidRPr="001B51CA">
        <w:rPr>
          <w:rFonts w:ascii="Courier New" w:hAnsi="Courier New" w:cs="Courier New"/>
          <w:sz w:val="22"/>
          <w:lang w:eastAsia="en-GB"/>
        </w:rPr>
        <w:t>CAGGAGCGCTCGAGCCCACTACAGCTCACCAGCTTTGGAAACAATCACATTCGGGCTGTCTGGCGCCTCTCTCTCGGTCTAGGAGTCGTTCCAGCTCTGGCCGTACTTCTT</w:t>
      </w:r>
      <w:r w:rsidRPr="001563DA">
        <w:rPr>
          <w:rFonts w:ascii="Courier New" w:hAnsi="Courier New" w:cs="Courier New"/>
          <w:sz w:val="22"/>
          <w:lang w:eastAsia="en-GB"/>
        </w:rPr>
        <w:t>TGGCGGCTACGCATGACGGAGCCACTGAGCTACAAGGACTCCATGAAATCTGCGCGGATCCCATACTGGCTCGTCGTGAAGCGTTATTGGAAAGGCCTCT</w:t>
      </w:r>
      <w:r w:rsidRPr="00C27AA2">
        <w:rPr>
          <w:rFonts w:ascii="Courier New" w:hAnsi="Courier New" w:cs="Courier New"/>
          <w:sz w:val="22"/>
          <w:lang w:eastAsia="en-GB"/>
        </w:rPr>
        <w:t>TTGCACCTTCGCCTTCTTGGTGAGTTGGAAAAGTACCTCGCGGATGGATACCACATTAAACGTGCGCAAAACACAGGTTCACCTATGATTTCATCTCGTACGTGCGCTTGCTTTGTCTTGCAACGGTGGTTCTGAGACCTACATATCTTCCACGATCACCAACAAGTGAGATGTCTCTTACACTCGATAGGTAATTGCATTACTGAGGCCATGGATCTTACAGTGTCACTGGAAACAACACCTCTTCGATAGTCGTGTTCGGCTGGAGTGTTGTTGTCAAGTCACCTCCTAGTCTTCTTGCCTGTATCGTAAAACTCACGCATCTGGCTCCAGTTTGTTCTACATGTCAAGTTCGTTTTTAATCAACCTCATTCTTCCGTATATTCAAGGATATCGCAGGCACCATCATCGGTGCCTTCTTAGTCGACTACTGGGGCCCAAAAGCAACGATGGTAGTCGTTCATATTTCGTAGCAATAATGACAACCCAGACGCTCATTCTAGATCGCTGGTCTACTTGCTCAAGCTGTCACGGGTTCATTGTGAGTGATATATACACTCAACTCACCAGCAACATCGCTGCGTTCGCAGTAAGTTACGACTAGAACGTACAATCGCTATTCTCAATTGAACCTTAATCGCAGATCGTCTATGGGATATTCTTGAGCTTTGGAGAGTTTGGTAGGTCACTCATCGAAATCGTCAAAGCGAATAGTCTGGCCCGACATCATCGCCGGTAATTACTTGTGATAATTGAATCTAACTCGGCCGAGCTCACAGGTTATATGCAGACTTGGGTGGCGATAAGACGGCGAAAGGTAACACGGGTCCCTTCTTGGTCGGAAGTGGACTCGCCATCCTCAGTGCCTTGGTCGTATTCTTCCTTGTTAGGCCTCTCTCCTATGACGGAATGAAGGAAGAAGATGTGAAGGTACTTCCTCGGTCAAGGTTCATCGATGAGATGTATCTGTTCTGACATCTGATGGCGCAGTTCCGTATGCATCTCGAGGGGCCCGGATTTGACACTTCATTAATGGGTGTTCCTGACTCCGAGGTTTCGTCCACGATCTCCGAGGAAGAGAAAGCAGCTCAGACTGCTTGATGAATTGGGCAAAGGGCCCGGCATAGCAAGATCTCACACTTTGGACGATGATTCACGATCAAAAGCAATGTAGGTTGTCTCGGTAGATGCAATTATCTTGTGCTTTCAGCTCTCTGGCACGTACCCGTAGCACTTGGTTAATAAATGGGTATATTGTTCTTGGCTGGCTGGCTCGAGTGAACAATCGACTTTTGATTGCT</w:t>
      </w:r>
    </w:p>
    <w:p w14:paraId="315D43E1" w14:textId="4E6FF8D0" w:rsidR="00207753" w:rsidRPr="00635993" w:rsidRDefault="00207753" w:rsidP="00207753">
      <w:pPr>
        <w:spacing w:line="259" w:lineRule="auto"/>
        <w:jc w:val="left"/>
        <w:rPr>
          <w:rFonts w:ascii="Courier New" w:hAnsi="Courier New" w:cs="Courier New"/>
          <w:sz w:val="22"/>
          <w:lang w:eastAsia="en-GB"/>
        </w:rPr>
      </w:pPr>
      <w:r>
        <w:rPr>
          <w:rFonts w:ascii="Courier New" w:hAnsi="Courier New" w:cs="Courier New"/>
          <w:sz w:val="22"/>
          <w:lang w:eastAsia="en-GB"/>
        </w:rPr>
        <w:br w:type="page"/>
      </w:r>
    </w:p>
    <w:p w14:paraId="037051BD" w14:textId="77777777" w:rsidR="000D7D3D" w:rsidRPr="00635993" w:rsidRDefault="000D7D3D" w:rsidP="00635993">
      <w:pPr>
        <w:spacing w:line="240" w:lineRule="auto"/>
        <w:rPr>
          <w:rFonts w:ascii="Courier New" w:hAnsi="Courier New" w:cs="Courier New"/>
          <w:b/>
          <w:sz w:val="22"/>
          <w:lang w:eastAsia="en-GB"/>
        </w:rPr>
      </w:pPr>
      <w:r w:rsidRPr="00635993">
        <w:rPr>
          <w:rFonts w:ascii="Courier New" w:hAnsi="Courier New" w:cs="Courier New"/>
          <w:b/>
          <w:sz w:val="22"/>
          <w:lang w:eastAsia="en-GB"/>
        </w:rPr>
        <w:lastRenderedPageBreak/>
        <w:t>&gt;</w:t>
      </w:r>
      <w:r w:rsidRPr="00635993">
        <w:rPr>
          <w:rFonts w:ascii="Courier New" w:hAnsi="Courier New" w:cs="Courier New"/>
          <w:b/>
          <w:i/>
          <w:sz w:val="22"/>
          <w:lang w:eastAsia="en-GB"/>
        </w:rPr>
        <w:t>PiPT6_</w:t>
      </w:r>
      <w:r w:rsidRPr="00635993">
        <w:rPr>
          <w:rFonts w:ascii="Courier New" w:hAnsi="Courier New" w:cs="Courier New"/>
          <w:b/>
          <w:sz w:val="22"/>
          <w:lang w:eastAsia="en-GB"/>
        </w:rPr>
        <w:t xml:space="preserve"> fgenesh1_pg.404_#_2</w:t>
      </w:r>
    </w:p>
    <w:p w14:paraId="06FC6760" w14:textId="68BA4B1B" w:rsidR="000D7D3D" w:rsidRPr="00635993" w:rsidRDefault="00381DF6" w:rsidP="00635993">
      <w:pPr>
        <w:spacing w:line="240" w:lineRule="auto"/>
        <w:rPr>
          <w:rFonts w:ascii="Courier New" w:hAnsi="Courier New" w:cs="Courier New"/>
          <w:sz w:val="22"/>
          <w:lang w:eastAsia="en-GB"/>
        </w:rPr>
      </w:pPr>
      <w:r w:rsidRPr="003F7054">
        <w:rPr>
          <w:rFonts w:ascii="Courier New" w:hAnsi="Courier New" w:cs="Courier New"/>
          <w:sz w:val="22"/>
          <w:lang w:eastAsia="en-GB"/>
        </w:rPr>
        <w:t>ATGCCGCCGAACATCAATGTGATCCATGGCGGATCTTAACAGCGCTAATCGCTGTCTATTAGTTCCCTACATACTCCCGATAGCACGTGCGTCCCCTCTATAAAACGCATTCC</w:t>
      </w:r>
      <w:r w:rsidRPr="007F746A">
        <w:rPr>
          <w:rFonts w:ascii="Courier New" w:hAnsi="Courier New" w:cs="Courier New"/>
          <w:sz w:val="22"/>
          <w:lang w:eastAsia="en-GB"/>
        </w:rPr>
        <w:t>CAGTAGCATGGATGGACGTCCTTGTCTTACGAGAACCCCCCTCCCTTCTGTTCTCGGCCTTCCCTGGATAACTCTCAAAGTTTAATTTTCTGGTACACTTTTCTCTCATGTCGGCCGAGAAAGACGTCCCCACCCTGGAGGCGGAACAGACCACTGATCCCCGAAATGTCTCTGTCAAGCCTCGCGAGACTAATCTCATTATTGCACCTAACAATCTTGCCAAACGAGAATCTCTTAGCGCTTGGCTTACTATCTG</w:t>
      </w:r>
      <w:r w:rsidRPr="00FB36B8">
        <w:rPr>
          <w:rFonts w:ascii="Courier New" w:hAnsi="Courier New" w:cs="Courier New"/>
          <w:sz w:val="22"/>
          <w:lang w:eastAsia="en-GB"/>
        </w:rPr>
        <w:t>TGCAGCGGGCTTTGGCTTAATCAGTGATGGCTGTAAGTCACAGAGTTTCGTGTCAGCGCCGGATTCAAGTTAATATCCGTCCTTTAGATCAAAACAACCTGATGACCATGTCAAATGTAGGCCCATCCCATCCCCCC</w:t>
      </w:r>
      <w:r w:rsidRPr="007C3C15">
        <w:rPr>
          <w:rFonts w:ascii="Courier New" w:hAnsi="Courier New" w:cs="Courier New"/>
          <w:sz w:val="22"/>
          <w:lang w:eastAsia="en-GB"/>
        </w:rPr>
        <w:t>CTGCTTGTACTCGTCCTAGAGTAGTTCTCTAGGTCATCTTCAAGACACTTTACCCCAAGGACTATACTTCCGCGGTCTCTACGCGGGTATCCAATGCTCTTCTTGTCGGTCAGTTCTTATATACACAGATGCTTCTTTGTAAGTTTGTCTAAACTACACCTCTACCAGGCGCCGTCATCGGGCAAATCTTCGTTGGCTTGATTTGCGACAGAGCCGGTCGCAAGGTTGCCCTTGTTGCCACTACCTTGTTCATCGTTCTCGGTAGTACTCTCGGAACTGCCGCCCATGGTGCTAACGGAAGTGCACAAGGCCTCTTTTGGTTTTTGACTTTCGCCCGTGGAATCACTGGCATCGTAGGTCATTCATCCATTGCACGTGTTTCAGTTGCTCAAATAATTTTTGCAGGGTGTCGGTGGAGAATACCCCGCTTCGTCAACAAGCGCTAGTGAAGCCGCAAACGAGAAAACACAGAAGAATCGCGGTCCAGGTATCCTTACCATTGTTATTTTCCGCCTCAACCATTCACTGCTAACATTCCTCCCAGTCTTTATCATGGTCACAAATTTCGTGCTCTCTGTACGACCTTCATTCTT</w:t>
      </w:r>
      <w:r w:rsidRPr="00D9161C">
        <w:rPr>
          <w:rFonts w:ascii="Courier New" w:hAnsi="Courier New" w:cs="Courier New"/>
          <w:sz w:val="22"/>
          <w:lang w:eastAsia="en-GB"/>
        </w:rPr>
        <w:t>TCGGGGTCTCTGCGAACTAATGAAACACCTCTGAATTAGTTTGGTGGCCCATTGGCTGTTTCAGTGTTCTTGATCGCACTCTCAGCAGCCGGGGAAAATCACCTTCAGACTGTCTGGCGCGTTTGCTTCGGCGTCGGTATACTCTTGCCTTTGACAGTGCTCGTCTTTCGTTTAC</w:t>
      </w:r>
      <w:r w:rsidRPr="001B51CA">
        <w:rPr>
          <w:rFonts w:ascii="Courier New" w:hAnsi="Courier New" w:cs="Courier New"/>
          <w:sz w:val="22"/>
          <w:lang w:eastAsia="en-GB"/>
        </w:rPr>
        <w:t>GGATGTTGAGCTCCAAACTCTACCGGAAGGGTGCCATTAAACGTAATCTGACATTCAAACTTCGCCTTGGAAGTAGCACTCATCTGTGAGCCAGGTGACGTTCCCTACGGG</w:t>
      </w:r>
      <w:r w:rsidRPr="001563DA">
        <w:rPr>
          <w:rFonts w:ascii="Courier New" w:hAnsi="Courier New" w:cs="Courier New"/>
          <w:sz w:val="22"/>
          <w:lang w:eastAsia="en-GB"/>
        </w:rPr>
        <w:t>TTGGTGATAAAACGCTACTGGCGTCCTCTCATCGGTACCTGTGGAGCGTGGTGCGAACACATGTTTGTACAACTAAATGATGGCTAATATGTTGGTCAGG</w:t>
      </w:r>
      <w:r w:rsidRPr="00C27AA2">
        <w:rPr>
          <w:rFonts w:ascii="Courier New" w:hAnsi="Courier New" w:cs="Courier New"/>
          <w:sz w:val="22"/>
          <w:lang w:eastAsia="en-GB"/>
        </w:rPr>
        <w:t>TTCCTTTATGACTTTGTATGCCTTCACTCCCGAGTTCCTGAACTTTTCAATGGCTTGACTGATCTCTTAGGTCACTTTTCCGAACGGCGTGTTCTCGGGAACTATCATCTCCAGTGTGATCCACAACGGCGATATCAAGAAAACTGCTGAATGGCAGCTTTTACTCGGAGCAATAGCCCTGCCTGGCGTCCTCGTCGGCGCTTGGCTCTGCAACCGACTGGGGAGAAGGAACACAGTATGCGACACACGACCCGCATTCATTCAAGCTACTCATCCTCTACCCCTTAGATGATTTTAGGATTCTCTGGATACCTAGTATTTGTAGGTCTTTCTCCTGCTTCCAGCTCATCATTTGCTACAATTGGCACGCCAGGGCCTCATAATTGGTCTCGCATACGATGAAATAACCAACATTATACCCCTCTTTGTAATTTTGTGGGTGTCATCAAAAATCCTTCACTAAACTGAGCTGAGAGCTGTCTTGTAGCTATGGGCTGATGCAGTCGTTTGGTAACCTGGTGCGTCACACTCGAGGTCGATCAGCTTAGTTGTTCAGATGATTACAGGGACCTGGTGATATGCTGGGCCTGACGAGTTCTGAGTAAGTCCATCGCAACTCCCTATTTACCTTGAAACTTAGGGGCCACACCACAGGTCGTATGCAACGCCCGTTCGGTATGACGCTAGCTCACGTTGAGTTGAAGAGACTCAATTTGATTGTCAGTGGAACATGTTACGGCCTTTCTGCAGCCATCGGTAAAACTGGCGCTGCTATTGGGACCCAAGCATTCACGCCTATCCAGAATAATCTCGGAAAACGGTACGAGTACTTCCCTTGCTTTCTTCCTTCTTGCTGATCCAGACAATGAAGTTGGACTTTCATCATCGCCGCTATTTGCGGTATTGCTGGAATCCTTGTGACGTACTTCTTCGTGCCTGACATGACTGGCATTGACCTCGCGGACGAAGATGCCAAATTCATGAAGTACCTCGCAGAGAATGGTTGGCAGGGCGAGGTTGGAGAGGACGACGACAAGGCGTTGATTGGCACATATGCCAGTGAAGACGCCCTGGAGGAGAAGATCTGATATGAGATTAGTATATGTCCGTCACGATGGTATCATATGGGTAGTTCACCGTCTTTGCAACTTTTGAATTGGCGGAGGGTTGAAGATCACGTGCGCACTGAGGATTTCGCGTATTACTACTATTAGACTACAGTTGCTCAGCACATCTTGCCTTGAATGTCTGCTCAGGTTCTCCGGCAGTGCGCGTCTCGTCGTTCTTTGTGTTTCTCGTGTCTACAGTTTCGCCGCGCCAAAGCATACTACTCGCAATCAGCTCTCGCTTTTTCCTCCACCA</w:t>
      </w:r>
    </w:p>
    <w:p w14:paraId="1C168BB2" w14:textId="77777777" w:rsidR="000D7D3D" w:rsidRPr="00635993" w:rsidRDefault="000D7D3D" w:rsidP="003F7054">
      <w:pPr>
        <w:spacing w:line="240" w:lineRule="auto"/>
        <w:rPr>
          <w:rFonts w:ascii="Courier New" w:hAnsi="Courier New" w:cs="Courier New"/>
          <w:sz w:val="22"/>
        </w:rPr>
      </w:pPr>
    </w:p>
    <w:p w14:paraId="27F9D986" w14:textId="77777777" w:rsidR="000D7D3D" w:rsidRPr="00635993" w:rsidRDefault="000D7D3D" w:rsidP="00635993">
      <w:pPr>
        <w:spacing w:line="240" w:lineRule="auto"/>
        <w:rPr>
          <w:rFonts w:ascii="Courier New" w:hAnsi="Courier New" w:cs="Courier New"/>
          <w:b/>
          <w:sz w:val="22"/>
          <w:lang w:eastAsia="en-GB"/>
        </w:rPr>
      </w:pPr>
      <w:r w:rsidRPr="00635993">
        <w:rPr>
          <w:rFonts w:ascii="Courier New" w:hAnsi="Courier New" w:cs="Courier New"/>
          <w:b/>
          <w:sz w:val="22"/>
          <w:lang w:eastAsia="en-GB"/>
        </w:rPr>
        <w:t>&gt;</w:t>
      </w:r>
      <w:r w:rsidRPr="00635993">
        <w:rPr>
          <w:rFonts w:ascii="Courier New" w:hAnsi="Courier New" w:cs="Courier New"/>
          <w:b/>
          <w:i/>
          <w:sz w:val="22"/>
          <w:lang w:eastAsia="en-GB"/>
        </w:rPr>
        <w:t>PiPT7_</w:t>
      </w:r>
      <w:r w:rsidRPr="00635993">
        <w:rPr>
          <w:rFonts w:ascii="Courier New" w:hAnsi="Courier New" w:cs="Courier New"/>
          <w:b/>
          <w:sz w:val="22"/>
          <w:lang w:eastAsia="en-GB"/>
        </w:rPr>
        <w:t xml:space="preserve"> gm1.7522_g</w:t>
      </w:r>
    </w:p>
    <w:p w14:paraId="13FD4E58" w14:textId="3B5E01A6" w:rsidR="000D7D3D" w:rsidRPr="000D7D3D" w:rsidRDefault="00381DF6" w:rsidP="00635993">
      <w:pPr>
        <w:spacing w:line="240" w:lineRule="auto"/>
      </w:pPr>
      <w:r w:rsidRPr="003F7054">
        <w:rPr>
          <w:rFonts w:ascii="Courier New" w:hAnsi="Courier New" w:cs="Courier New"/>
          <w:sz w:val="22"/>
          <w:lang w:eastAsia="en-GB"/>
        </w:rPr>
        <w:t>ATTTCTTTGGCGGCTACGCATGACGGAACCACCAAGCTACAAGAAGAACTCCATGAAGGCT</w:t>
      </w:r>
      <w:r w:rsidRPr="007F746A">
        <w:rPr>
          <w:rFonts w:ascii="Courier New" w:hAnsi="Courier New" w:cs="Courier New"/>
          <w:sz w:val="22"/>
          <w:lang w:eastAsia="en-GB"/>
        </w:rPr>
        <w:t>GTGCGAATCCCATACTGGCTTATCGTCAAGCGTTACTGGAAAGGCCTCTTCGGACTTTCGCTAGCTTGGTGAGTTGGGAAGTACTTCGCGGATGGATACCACGTTAAACGTGCGCAAAACACAGGTTCATCTATGATTTCATCACGTACGTACGCTTGCTTAGTCTTCCAATGGTGGTTCTGAGATGTGCATACTCAGGTACCCGGTAAGATAGCCATCGCCACTACCAGCGCAATCCGCTCATAATGTTTGCAGT</w:t>
      </w:r>
      <w:r w:rsidRPr="00FB36B8">
        <w:rPr>
          <w:rFonts w:ascii="Courier New" w:hAnsi="Courier New" w:cs="Courier New"/>
          <w:sz w:val="22"/>
          <w:lang w:eastAsia="en-GB"/>
        </w:rPr>
        <w:t>TCGGGATCTACTCTTCCACGATCACCAACAAGT</w:t>
      </w:r>
      <w:r w:rsidRPr="00FB36B8">
        <w:rPr>
          <w:rFonts w:ascii="Courier New" w:hAnsi="Courier New" w:cs="Courier New"/>
          <w:sz w:val="22"/>
          <w:lang w:eastAsia="en-GB"/>
        </w:rPr>
        <w:lastRenderedPageBreak/>
        <w:t>GAGATGTCTCTGACACTCGACAGGTAATTGCATTACTGAGGCCATGACTCTTACAGCGTCACTGGAGGCAGCACCTCTTTGACAGTCGTGTTCGGCTGGAGTGT</w:t>
      </w:r>
      <w:r w:rsidRPr="007C3C15">
        <w:rPr>
          <w:rFonts w:ascii="Courier New" w:hAnsi="Courier New" w:cs="Courier New"/>
          <w:sz w:val="22"/>
          <w:lang w:eastAsia="en-GB"/>
        </w:rPr>
        <w:t>TGTTATTAAGTCAGTTGCCATTCTTCTTGCCGTATATTGTAAAACTCACGCATCTGGCCCAAGCTTGTTCTACATACCAGGTTCGTTTTTAACCAATTTCACCCTTGCGTGTATTCAAGGATATCGCAGGGACCGTCATCGGTGCCTTCGCGGTCGACTACCTGGGCCCAAAAACAACGATGGTAGTTTTGCATGTTTCGTGACAGTAACGACAACCCTGACGGTTGTTTTTAGATCTCTGGTCTACTTGCGCAATCTGTCATGGGTTTCATTATGAGTGGTCTATACACTCACCTCACCAAAAACATCGCTGCGTTCGCAGTAAGTTACTAGAACGTACAATCGCTATTCTCAATTGAGCCTTAAGCACAGGTCGTCTATGGGATCTTCTTGAGCTTTGGAGAGTTTGGTATGTCACTCGTCGAAATCGTCAAAACTCTTTCTTATAGGTGCACAGGACCCGGGAACTGTCTTGGTGTACTTGCTTCGAAGAGCGGACCCACTGCCGTTCGTGGCCAATACTACGGTGTCGCTGCGGCCGTCGGAAAGATTGGCGCATTCATTGGTACATGGTGTACGTGGAACATGCTGGT</w:t>
      </w:r>
      <w:r w:rsidRPr="00D9161C">
        <w:rPr>
          <w:rFonts w:ascii="Courier New" w:hAnsi="Courier New" w:cs="Courier New"/>
          <w:sz w:val="22"/>
          <w:lang w:eastAsia="en-GB"/>
        </w:rPr>
        <w:t>CTTTGCCATCATTAACTCATGTGATCATTGGTGAAATAGTCTTGCCTAACATCATCGCTGGTAACTAGTTACCATAACCGAATAAACGCCTGAGCTCACAGACTTTACGCAGACTTTGGCGGCGCCGATACGGCGAAGGGTAACACAGGCCCCTTCTGGATTGGAAGTGGCCTTG</w:t>
      </w:r>
      <w:r w:rsidRPr="001B51CA">
        <w:rPr>
          <w:rFonts w:ascii="Courier New" w:hAnsi="Courier New" w:cs="Courier New"/>
          <w:sz w:val="22"/>
          <w:lang w:eastAsia="en-GB"/>
        </w:rPr>
        <w:t>CCATCCTCAGTGCCCTGCTCATATTCTTCCTTGTTAGGCCTCTGTCGCATGACGGAATGAAGGAGGAAGACGAGAAGGTATGTTCCTGGTCAGAATCCATCCGGATGTGCC</w:t>
      </w:r>
      <w:r w:rsidRPr="001563DA">
        <w:rPr>
          <w:rFonts w:ascii="Courier New" w:hAnsi="Courier New" w:cs="Courier New"/>
          <w:sz w:val="22"/>
          <w:lang w:eastAsia="en-GB"/>
        </w:rPr>
        <w:t>TGCTCTGACGTCGGATGACGCAGTTCCGTTTGTATCTGGAGGAGCACGGGTTTGACACATCATTGATGGGTATCCCTGACTCGGAAGTTTCGTCCACGAT</w:t>
      </w:r>
      <w:r w:rsidRPr="00C27AA2">
        <w:rPr>
          <w:rFonts w:ascii="Courier New" w:hAnsi="Courier New" w:cs="Courier New"/>
          <w:sz w:val="22"/>
          <w:lang w:eastAsia="en-GB"/>
        </w:rPr>
        <w:t>CTCCGAGGAAGAGAAAGTAGCTGCTTAATGAATGGGACATTGGGTCCTACAGCAAGATATCACACTTTTGACGATGATGAAAGATTACAAGCAATGTTGGGTCTTAGTAAATACGATGATCTTGTGCTTCTGGCTCTGCGTACCTGTAGCAAGTACTTGGCTAATGAATTTGTACGATGTTCTTGTTTGGCTCGCGTGAACAAACGCAGTGTTTCAGTTTGCTTTGGT</w:t>
      </w:r>
    </w:p>
    <w:p w14:paraId="77B33818" w14:textId="77777777" w:rsidR="000D7D3D" w:rsidRPr="000D7D3D" w:rsidRDefault="000D7D3D" w:rsidP="00635993">
      <w:pPr>
        <w:spacing w:line="240" w:lineRule="auto"/>
      </w:pPr>
      <w:r w:rsidRPr="000D7D3D">
        <w:br w:type="page"/>
      </w:r>
    </w:p>
    <w:p w14:paraId="07FD27C1" w14:textId="5E13EC7C" w:rsidR="00D66DE2" w:rsidRPr="00B46FB7" w:rsidRDefault="000D7D3D" w:rsidP="00635993">
      <w:pPr>
        <w:pStyle w:val="Heading2"/>
      </w:pPr>
      <w:bookmarkStart w:id="582" w:name="_Toc507604100"/>
      <w:bookmarkStart w:id="583" w:name="_Toc507604367"/>
      <w:bookmarkStart w:id="584" w:name="_Toc519017069"/>
      <w:bookmarkStart w:id="585" w:name="_Toc520837982"/>
      <w:r>
        <w:lastRenderedPageBreak/>
        <w:t>Supplementary d</w:t>
      </w:r>
      <w:r w:rsidRPr="000D7D3D">
        <w:t xml:space="preserve">ata 2. </w:t>
      </w:r>
      <w:r w:rsidRPr="00635993">
        <w:rPr>
          <w:b w:val="0"/>
        </w:rPr>
        <w:t xml:space="preserve">Amino acid sequences of the </w:t>
      </w:r>
      <w:r w:rsidRPr="00635993">
        <w:rPr>
          <w:b w:val="0"/>
          <w:i/>
        </w:rPr>
        <w:t>P. involutus</w:t>
      </w:r>
      <w:r w:rsidRPr="00635993">
        <w:rPr>
          <w:b w:val="0"/>
        </w:rPr>
        <w:t xml:space="preserve"> </w:t>
      </w:r>
      <w:r w:rsidRPr="00635993">
        <w:rPr>
          <w:b w:val="0"/>
          <w:i/>
        </w:rPr>
        <w:t xml:space="preserve">ATCC 200175 </w:t>
      </w:r>
      <w:r w:rsidR="00BA5074">
        <w:rPr>
          <w:b w:val="0"/>
        </w:rPr>
        <w:t>putative PT</w:t>
      </w:r>
      <w:r w:rsidRPr="00635993">
        <w:rPr>
          <w:b w:val="0"/>
        </w:rPr>
        <w:t>s</w:t>
      </w:r>
      <w:bookmarkEnd w:id="582"/>
      <w:bookmarkEnd w:id="583"/>
      <w:bookmarkEnd w:id="584"/>
      <w:bookmarkEnd w:id="585"/>
    </w:p>
    <w:p w14:paraId="78105F59" w14:textId="20721892" w:rsidR="000D7D3D" w:rsidRPr="00635993" w:rsidRDefault="000D7D3D" w:rsidP="00635993">
      <w:pPr>
        <w:spacing w:line="240" w:lineRule="auto"/>
        <w:rPr>
          <w:rFonts w:ascii="Courier New" w:hAnsi="Courier New" w:cs="Courier New"/>
          <w:sz w:val="22"/>
          <w:lang w:eastAsia="en-GB"/>
        </w:rPr>
      </w:pPr>
      <w:r w:rsidRPr="00635993">
        <w:rPr>
          <w:rFonts w:ascii="Courier New" w:hAnsi="Courier New" w:cs="Courier New"/>
          <w:b/>
          <w:sz w:val="22"/>
          <w:lang w:eastAsia="en-GB"/>
        </w:rPr>
        <w:t>&gt;PiPT1_169850</w:t>
      </w:r>
      <w:r w:rsidRPr="00635993">
        <w:rPr>
          <w:rFonts w:ascii="Courier New" w:hAnsi="Courier New" w:cs="Courier New"/>
          <w:sz w:val="22"/>
          <w:lang w:eastAsia="en-GB"/>
        </w:rPr>
        <w:br/>
        <w:t>MASNADRLSDRASYEKNLTPANLNERRRAALQEIDNAPFSWFHVKVCLVAGVGFFTDAYD</w:t>
      </w:r>
      <w:r w:rsidRPr="00635993">
        <w:rPr>
          <w:rFonts w:ascii="Courier New" w:hAnsi="Courier New" w:cs="Courier New"/>
          <w:sz w:val="22"/>
          <w:lang w:eastAsia="en-GB"/>
        </w:rPr>
        <w:br/>
        <w:t>IFAINIAVTMLGYVYGKNAALTPWQSTGLKAATPVGNLVGQLVFGWLADVLGRKRMYGIE</w:t>
      </w:r>
      <w:r w:rsidRPr="00635993">
        <w:rPr>
          <w:rFonts w:ascii="Courier New" w:hAnsi="Courier New" w:cs="Courier New"/>
          <w:sz w:val="22"/>
          <w:lang w:eastAsia="en-GB"/>
        </w:rPr>
        <w:br/>
        <w:t>LMIMIIATFAQAVSGEAPAISIVGVLIVWRFLMGIGIGGDYPLSAIITSEFAATRSRGRL</w:t>
      </w:r>
      <w:r w:rsidRPr="00635993">
        <w:rPr>
          <w:rFonts w:ascii="Courier New" w:hAnsi="Courier New" w:cs="Courier New"/>
          <w:sz w:val="22"/>
          <w:lang w:eastAsia="en-GB"/>
        </w:rPr>
        <w:br/>
        <w:t>MTAVFAAQGWGQLAAALVALVVVSAYKEAILAGPFPSALPIDHAWRLLIGLGCVPGVVAL</w:t>
      </w:r>
      <w:r w:rsidRPr="00635993">
        <w:rPr>
          <w:rFonts w:ascii="Courier New" w:hAnsi="Courier New" w:cs="Courier New"/>
          <w:sz w:val="22"/>
          <w:lang w:eastAsia="en-GB"/>
        </w:rPr>
        <w:br/>
        <w:t>YFRLTIPETPRFTMDVERNVAQASQDIENVLTIGKHVEAEDAVVERAKAPRATRADFVAY</w:t>
      </w:r>
      <w:r w:rsidRPr="00635993">
        <w:rPr>
          <w:rFonts w:ascii="Courier New" w:hAnsi="Courier New" w:cs="Courier New"/>
          <w:sz w:val="22"/>
          <w:lang w:eastAsia="en-GB"/>
        </w:rPr>
        <w:br/>
        <w:t>FSKWENSKVLVGTAYSWFALDIAFYGLGLNSSIILSAIKFGGSTAKKGTTLNVYESLHNI</w:t>
      </w:r>
      <w:r w:rsidRPr="00635993">
        <w:rPr>
          <w:rFonts w:ascii="Courier New" w:hAnsi="Courier New" w:cs="Courier New"/>
          <w:sz w:val="22"/>
          <w:lang w:eastAsia="en-GB"/>
        </w:rPr>
        <w:br/>
        <w:t>CIGNIILSVAGLIPGYWVSFLFIDTWGRKPIQLMGFTALTILFVIMGFAYDKLVATTSGT</w:t>
      </w:r>
      <w:r w:rsidRPr="00635993">
        <w:rPr>
          <w:rFonts w:ascii="Courier New" w:hAnsi="Courier New" w:cs="Courier New"/>
          <w:sz w:val="22"/>
          <w:lang w:eastAsia="en-GB"/>
        </w:rPr>
        <w:br/>
        <w:t>NVFVFLYCLTNFFQNFGPNTTTFIVPGEAFPTRYRSTAHGISAAAGKLGAVVAQLGFGQL</w:t>
      </w:r>
      <w:r w:rsidRPr="00635993">
        <w:rPr>
          <w:rFonts w:ascii="Courier New" w:hAnsi="Courier New" w:cs="Courier New"/>
          <w:sz w:val="22"/>
          <w:lang w:eastAsia="en-GB"/>
        </w:rPr>
        <w:br/>
        <w:t>VNIGGTNKFVKHIMEIFAFFMLTGIFSTLLIPETKQKSLEDLSNEDQAEYITDS*</w:t>
      </w:r>
    </w:p>
    <w:p w14:paraId="2726C72E" w14:textId="77777777" w:rsidR="000D7D3D" w:rsidRPr="00635993" w:rsidRDefault="000D7D3D" w:rsidP="00635993">
      <w:pPr>
        <w:spacing w:line="240" w:lineRule="auto"/>
        <w:rPr>
          <w:rFonts w:ascii="Courier New" w:hAnsi="Courier New" w:cs="Courier New"/>
          <w:sz w:val="22"/>
          <w:lang w:eastAsia="en-GB"/>
        </w:rPr>
      </w:pPr>
    </w:p>
    <w:p w14:paraId="15B3EE47" w14:textId="77777777" w:rsidR="000D7D3D" w:rsidRPr="00635993" w:rsidRDefault="000D7D3D" w:rsidP="00635993">
      <w:pPr>
        <w:spacing w:line="240" w:lineRule="auto"/>
        <w:rPr>
          <w:rFonts w:ascii="Courier New" w:hAnsi="Courier New" w:cs="Courier New"/>
          <w:sz w:val="22"/>
          <w:lang w:eastAsia="en-GB"/>
        </w:rPr>
      </w:pPr>
      <w:r w:rsidRPr="00635993">
        <w:rPr>
          <w:rFonts w:ascii="Courier New" w:hAnsi="Courier New" w:cs="Courier New"/>
          <w:b/>
          <w:sz w:val="22"/>
          <w:lang w:eastAsia="en-GB"/>
        </w:rPr>
        <w:t>&gt;PiPT2_18830</w:t>
      </w:r>
      <w:r w:rsidRPr="00635993">
        <w:rPr>
          <w:rFonts w:ascii="Courier New" w:hAnsi="Courier New" w:cs="Courier New"/>
          <w:sz w:val="22"/>
          <w:lang w:eastAsia="en-GB"/>
        </w:rPr>
        <w:br/>
        <w:t>MTFLTSFSAPRHVNEAQPAYDLFIINPVATMLQYRLYGGQSLPNNLQGVLKASANIGSVI</w:t>
      </w:r>
      <w:r w:rsidRPr="00635993">
        <w:rPr>
          <w:rFonts w:ascii="Courier New" w:hAnsi="Courier New" w:cs="Courier New"/>
          <w:sz w:val="22"/>
          <w:lang w:eastAsia="en-GB"/>
        </w:rPr>
        <w:br/>
        <w:t>GQFLFGYCADAFGRKAIYGKELMLIILATILCISCPTNLLSPDGSLIYLSIFRILLGVGV</w:t>
      </w:r>
      <w:r w:rsidRPr="00635993">
        <w:rPr>
          <w:rFonts w:ascii="Courier New" w:hAnsi="Courier New" w:cs="Courier New"/>
          <w:sz w:val="22"/>
          <w:lang w:eastAsia="en-GB"/>
        </w:rPr>
        <w:br/>
        <w:t>GGDYPMSASITSDRAVLRKRGTLLAYIFANQGWGSLVGSLATIIVLACYKHVMNDEGETS</w:t>
      </w:r>
      <w:r w:rsidRPr="00635993">
        <w:rPr>
          <w:rFonts w:ascii="Courier New" w:hAnsi="Courier New" w:cs="Courier New"/>
          <w:sz w:val="22"/>
          <w:lang w:eastAsia="en-GB"/>
        </w:rPr>
        <w:br/>
        <w:t>KVDGVWRIVVGLSLIPAFGTLYQRLTLPESVRFEESRKLTAGELDDLKAKNDVEITVSSK</w:t>
      </w:r>
      <w:r w:rsidRPr="00635993">
        <w:rPr>
          <w:rFonts w:ascii="Courier New" w:hAnsi="Courier New" w:cs="Courier New"/>
          <w:sz w:val="22"/>
          <w:lang w:eastAsia="en-GB"/>
        </w:rPr>
        <w:br/>
        <w:t>NSNEGHVKEPLEKKAHFKEFVEYFSEWRHAKILIGTCTCWFLLDVAFYGINLNQNVVLQQ</w:t>
      </w:r>
      <w:r w:rsidRPr="00635993">
        <w:rPr>
          <w:rFonts w:ascii="Courier New" w:hAnsi="Courier New" w:cs="Courier New"/>
          <w:sz w:val="22"/>
          <w:lang w:eastAsia="en-GB"/>
        </w:rPr>
        <w:br/>
        <w:t>IGYAGKTGTAWEKLFKVSTGNIIITALGFVPGYYVTVLTIEKLGRKYIQIQGFLMTSLFL</w:t>
      </w:r>
      <w:r w:rsidRPr="00635993">
        <w:rPr>
          <w:rFonts w:ascii="Courier New" w:hAnsi="Courier New" w:cs="Courier New"/>
          <w:sz w:val="22"/>
          <w:lang w:eastAsia="en-GB"/>
        </w:rPr>
        <w:br/>
        <w:t>GILAGKFHTFDNASFIVCFSFLQFFFNFGANATTYCYPAEVFPTKYRASAHGLSAACGKA</w:t>
      </w:r>
      <w:r w:rsidRPr="00635993">
        <w:rPr>
          <w:rFonts w:ascii="Courier New" w:hAnsi="Courier New" w:cs="Courier New"/>
          <w:sz w:val="22"/>
          <w:lang w:eastAsia="en-GB"/>
        </w:rPr>
        <w:br/>
        <w:t>GAIISALGFNTLTAKIGTPAVLWIFFGCSIAGAGFTLLLPEVAGRDPDAILAEELRER*</w:t>
      </w:r>
    </w:p>
    <w:p w14:paraId="32C8E6F8" w14:textId="77777777" w:rsidR="000D7D3D" w:rsidRPr="00635993" w:rsidRDefault="000D7D3D" w:rsidP="00635993">
      <w:pPr>
        <w:spacing w:line="240" w:lineRule="auto"/>
        <w:rPr>
          <w:rFonts w:ascii="Courier New" w:hAnsi="Courier New" w:cs="Courier New"/>
          <w:sz w:val="22"/>
          <w:lang w:eastAsia="en-GB"/>
        </w:rPr>
      </w:pPr>
    </w:p>
    <w:p w14:paraId="60519561" w14:textId="77777777" w:rsidR="000D7D3D" w:rsidRDefault="000D7D3D" w:rsidP="00635993">
      <w:pPr>
        <w:spacing w:line="240" w:lineRule="auto"/>
        <w:rPr>
          <w:rFonts w:ascii="Courier New" w:hAnsi="Courier New" w:cs="Courier New"/>
          <w:sz w:val="22"/>
          <w:lang w:eastAsia="en-GB"/>
        </w:rPr>
      </w:pPr>
      <w:r w:rsidRPr="00635993">
        <w:rPr>
          <w:rFonts w:ascii="Courier New" w:hAnsi="Courier New" w:cs="Courier New"/>
          <w:b/>
          <w:sz w:val="22"/>
          <w:lang w:eastAsia="en-GB"/>
        </w:rPr>
        <w:t>&gt;PiPT3_165085</w:t>
      </w:r>
      <w:r w:rsidRPr="00635993">
        <w:rPr>
          <w:rFonts w:ascii="Courier New" w:hAnsi="Courier New" w:cs="Courier New"/>
          <w:sz w:val="22"/>
          <w:lang w:eastAsia="en-GB"/>
        </w:rPr>
        <w:br/>
        <w:t>MSAEKDVPTLEAEQTTDPRNVSVKPRETNLIIAPNNLAKRESLSAWLTICAAGFGLISDG</w:t>
      </w:r>
      <w:r w:rsidRPr="00635993">
        <w:rPr>
          <w:rFonts w:ascii="Courier New" w:hAnsi="Courier New" w:cs="Courier New"/>
          <w:sz w:val="22"/>
          <w:lang w:eastAsia="en-GB"/>
        </w:rPr>
        <w:br/>
        <w:t>YQNNLMTMSNVIFKTLYPKDYTSAVSTRVSNALLVGAVIGQIFVGLICDRAGRKVALVAT</w:t>
      </w:r>
      <w:r w:rsidRPr="00635993">
        <w:rPr>
          <w:rFonts w:ascii="Courier New" w:hAnsi="Courier New" w:cs="Courier New"/>
          <w:sz w:val="22"/>
          <w:lang w:eastAsia="en-GB"/>
        </w:rPr>
        <w:br/>
        <w:t>TLFIVLGSTLGTAAHGANGSAQGLFWFLTFARGITGIGVGGEYPASSTSASEAANEKTQK</w:t>
      </w:r>
      <w:r w:rsidRPr="00635993">
        <w:rPr>
          <w:rFonts w:ascii="Courier New" w:hAnsi="Courier New" w:cs="Courier New"/>
          <w:sz w:val="22"/>
          <w:lang w:eastAsia="en-GB"/>
        </w:rPr>
        <w:br/>
        <w:t>NRGPVFIMVTNFVLSFGGPLAVSVFLIALSAAGENHLQTVWRVCFGVGILLPLTVLVFRL</w:t>
      </w:r>
      <w:r w:rsidRPr="00635993">
        <w:rPr>
          <w:rFonts w:ascii="Courier New" w:hAnsi="Courier New" w:cs="Courier New"/>
          <w:sz w:val="22"/>
          <w:lang w:eastAsia="en-GB"/>
        </w:rPr>
        <w:br/>
        <w:t>RMLSSKLYRKGAIKRDVPYGLVIKRYWRPLIGTCGAWFLYDFVTFPNGVFSGTIISSVIH</w:t>
      </w:r>
      <w:r w:rsidRPr="00635993">
        <w:rPr>
          <w:rFonts w:ascii="Courier New" w:hAnsi="Courier New" w:cs="Courier New"/>
          <w:sz w:val="22"/>
          <w:lang w:eastAsia="en-GB"/>
        </w:rPr>
        <w:br/>
        <w:t>NGDIKKTAEWQLLLGAIALPGVLVGAWLCNRLGRRNTMILGFSGYLVFGLIIGLAYDEIT</w:t>
      </w:r>
      <w:r w:rsidRPr="00635993">
        <w:rPr>
          <w:rFonts w:ascii="Courier New" w:hAnsi="Courier New" w:cs="Courier New"/>
          <w:sz w:val="22"/>
          <w:lang w:eastAsia="en-GB"/>
        </w:rPr>
        <w:br/>
        <w:t>NIIPLFVIFYGLMQSFGNLGPGDMLGLTSSESYATPVRGTCYGLSAAIGKTGAAIGTQAF</w:t>
      </w:r>
      <w:r w:rsidRPr="00635993">
        <w:rPr>
          <w:rFonts w:ascii="Courier New" w:hAnsi="Courier New" w:cs="Courier New"/>
          <w:sz w:val="22"/>
          <w:lang w:eastAsia="en-GB"/>
        </w:rPr>
        <w:br/>
        <w:t>TPIQNNLGKRWTFIIAAICGIAGILVTYFFVPDMTGIDLADEDAKFMKYLAENGWQGEVG</w:t>
      </w:r>
      <w:r w:rsidRPr="00635993">
        <w:rPr>
          <w:rFonts w:ascii="Courier New" w:hAnsi="Courier New" w:cs="Courier New"/>
          <w:sz w:val="22"/>
          <w:lang w:eastAsia="en-GB"/>
        </w:rPr>
        <w:br/>
        <w:t>EDDDKALIGTYASEDALEEKI*</w:t>
      </w:r>
    </w:p>
    <w:p w14:paraId="4D6C76B9" w14:textId="77777777" w:rsidR="00D66DE2" w:rsidRPr="00635993" w:rsidRDefault="00D66DE2" w:rsidP="00635993">
      <w:pPr>
        <w:spacing w:line="240" w:lineRule="auto"/>
        <w:rPr>
          <w:rFonts w:ascii="Courier New" w:hAnsi="Courier New" w:cs="Courier New"/>
          <w:sz w:val="22"/>
          <w:lang w:eastAsia="en-GB"/>
        </w:rPr>
      </w:pPr>
    </w:p>
    <w:p w14:paraId="34DC898C" w14:textId="77777777" w:rsidR="000D7D3D" w:rsidRDefault="000D7D3D" w:rsidP="00635993">
      <w:pPr>
        <w:spacing w:line="240" w:lineRule="auto"/>
        <w:rPr>
          <w:rFonts w:ascii="Courier New" w:hAnsi="Courier New" w:cs="Courier New"/>
          <w:sz w:val="22"/>
          <w:lang w:eastAsia="en-GB"/>
        </w:rPr>
      </w:pPr>
      <w:r w:rsidRPr="00635993">
        <w:rPr>
          <w:rFonts w:ascii="Courier New" w:hAnsi="Courier New" w:cs="Courier New"/>
          <w:b/>
          <w:sz w:val="22"/>
          <w:lang w:eastAsia="en-GB"/>
        </w:rPr>
        <w:t>&gt;PiPT4_141142</w:t>
      </w:r>
      <w:r w:rsidRPr="00635993">
        <w:rPr>
          <w:rFonts w:ascii="Courier New" w:hAnsi="Courier New" w:cs="Courier New"/>
          <w:sz w:val="22"/>
          <w:lang w:eastAsia="en-GB"/>
        </w:rPr>
        <w:br/>
        <w:t>MASHIEEKPISSAETGTPSAPFRSELQAYERDAGDRPPYVLTYPEIKLLGIAGVGFFLDA</w:t>
      </w:r>
      <w:r w:rsidRPr="00635993">
        <w:rPr>
          <w:rFonts w:ascii="Courier New" w:hAnsi="Courier New" w:cs="Courier New"/>
          <w:sz w:val="22"/>
          <w:lang w:eastAsia="en-GB"/>
        </w:rPr>
        <w:br/>
        <w:t>YDLFIINPVATMLQYRLYGGQSLPNNLQGVLKASANIGSVIGQFLFGYCADAFGRKAIYG</w:t>
      </w:r>
      <w:r w:rsidRPr="00635993">
        <w:rPr>
          <w:rFonts w:ascii="Courier New" w:hAnsi="Courier New" w:cs="Courier New"/>
          <w:sz w:val="22"/>
          <w:lang w:eastAsia="en-GB"/>
        </w:rPr>
        <w:br/>
        <w:t>KELMLIILATILCISCPTNLLSPDGSLIYLSIFRILLGVGVGGDYPMSASITSDRAVLRK</w:t>
      </w:r>
      <w:r w:rsidRPr="00635993">
        <w:rPr>
          <w:rFonts w:ascii="Courier New" w:hAnsi="Courier New" w:cs="Courier New"/>
          <w:sz w:val="22"/>
          <w:lang w:eastAsia="en-GB"/>
        </w:rPr>
        <w:br/>
        <w:t>RGTLLAYIFANQGWGSLVGSLATIIVLACYK*</w:t>
      </w:r>
    </w:p>
    <w:p w14:paraId="55137A56" w14:textId="77777777" w:rsidR="00D66DE2" w:rsidRPr="00635993" w:rsidRDefault="00D66DE2" w:rsidP="00635993">
      <w:pPr>
        <w:spacing w:line="240" w:lineRule="auto"/>
        <w:rPr>
          <w:rFonts w:ascii="Courier New" w:hAnsi="Courier New" w:cs="Courier New"/>
          <w:sz w:val="22"/>
          <w:lang w:eastAsia="en-GB"/>
        </w:rPr>
      </w:pPr>
    </w:p>
    <w:p w14:paraId="0B959B80" w14:textId="77777777" w:rsidR="000D7D3D" w:rsidRPr="00635993" w:rsidRDefault="000D7D3D" w:rsidP="00635993">
      <w:pPr>
        <w:spacing w:line="240" w:lineRule="auto"/>
        <w:rPr>
          <w:rFonts w:ascii="Courier New" w:hAnsi="Courier New" w:cs="Courier New"/>
          <w:sz w:val="22"/>
          <w:lang w:eastAsia="en-GB"/>
        </w:rPr>
      </w:pPr>
      <w:r w:rsidRPr="00635993">
        <w:rPr>
          <w:rFonts w:ascii="Courier New" w:hAnsi="Courier New" w:cs="Courier New"/>
          <w:b/>
          <w:sz w:val="22"/>
          <w:lang w:eastAsia="en-GB"/>
        </w:rPr>
        <w:t>&gt;PiPT5_163069</w:t>
      </w:r>
      <w:r w:rsidRPr="00635993">
        <w:rPr>
          <w:rFonts w:ascii="Courier New" w:hAnsi="Courier New" w:cs="Courier New"/>
          <w:sz w:val="22"/>
          <w:lang w:eastAsia="en-GB"/>
        </w:rPr>
        <w:br/>
        <w:t>MPGLKDLSSVSHIFACGTALFSDGYANSVIGAVLERIYGSDVMTANNHSKAFTSVTFAGT</w:t>
      </w:r>
      <w:r w:rsidRPr="00635993">
        <w:rPr>
          <w:rFonts w:ascii="Courier New" w:hAnsi="Courier New" w:cs="Courier New"/>
          <w:sz w:val="22"/>
          <w:lang w:eastAsia="en-GB"/>
        </w:rPr>
        <w:br/>
        <w:t>VVGMLIFGWVSDKIGRKFGMISATGIVALFILSAASAGANNSVAGMLAMLAACRFLIGIG</w:t>
      </w:r>
      <w:r w:rsidRPr="00635993">
        <w:rPr>
          <w:rFonts w:ascii="Courier New" w:hAnsi="Courier New" w:cs="Courier New"/>
          <w:sz w:val="22"/>
          <w:lang w:eastAsia="en-GB"/>
        </w:rPr>
        <w:br/>
        <w:t>IGAGYPCGTVSASEQSEEGAIAKNAQHRFGNNHIRAVWRLSLGLGVVPALAVLLWRLRMT</w:t>
      </w:r>
      <w:r w:rsidRPr="00635993">
        <w:rPr>
          <w:rFonts w:ascii="Courier New" w:hAnsi="Courier New" w:cs="Courier New"/>
          <w:sz w:val="22"/>
          <w:lang w:eastAsia="en-GB"/>
        </w:rPr>
        <w:br/>
      </w:r>
      <w:r w:rsidRPr="00635993">
        <w:rPr>
          <w:rFonts w:ascii="Courier New" w:hAnsi="Courier New" w:cs="Courier New"/>
          <w:sz w:val="22"/>
          <w:lang w:eastAsia="en-GB"/>
        </w:rPr>
        <w:lastRenderedPageBreak/>
        <w:t>EPLSYKDSMKSARIPYWLVVKRYWKGLFAPSPSWFTYDFISYTYISSTITNNVTGNNTSS</w:t>
      </w:r>
      <w:r w:rsidRPr="00635993">
        <w:rPr>
          <w:rFonts w:ascii="Courier New" w:hAnsi="Courier New" w:cs="Courier New"/>
          <w:sz w:val="22"/>
          <w:lang w:eastAsia="en-GB"/>
        </w:rPr>
        <w:br/>
        <w:t>IVVFGWSVVVNLFYMSSTIIGAFLVDYWGPKATMIAGLLAQAIVYGIFLSFGEFDLGGDK</w:t>
      </w:r>
      <w:r w:rsidRPr="00635993">
        <w:rPr>
          <w:rFonts w:ascii="Courier New" w:hAnsi="Courier New" w:cs="Courier New"/>
          <w:sz w:val="22"/>
          <w:lang w:eastAsia="en-GB"/>
        </w:rPr>
        <w:br/>
        <w:t>TAKGNTGPFLVGSGLAILSALVVFFLVRPLSYDGMKEEDVKFRMHLEGPGFDTSLMGVPD</w:t>
      </w:r>
      <w:r w:rsidRPr="00635993">
        <w:rPr>
          <w:rFonts w:ascii="Courier New" w:hAnsi="Courier New" w:cs="Courier New"/>
          <w:sz w:val="22"/>
          <w:lang w:eastAsia="en-GB"/>
        </w:rPr>
        <w:br/>
        <w:t>SEVSSTISEEEKAAQTA*</w:t>
      </w:r>
    </w:p>
    <w:p w14:paraId="057B3699" w14:textId="77777777" w:rsidR="000D7D3D" w:rsidRPr="00635993" w:rsidRDefault="000D7D3D" w:rsidP="00635993">
      <w:pPr>
        <w:spacing w:line="240" w:lineRule="auto"/>
        <w:rPr>
          <w:rFonts w:ascii="Courier New" w:hAnsi="Courier New" w:cs="Courier New"/>
          <w:sz w:val="22"/>
          <w:lang w:eastAsia="en-GB"/>
        </w:rPr>
      </w:pPr>
    </w:p>
    <w:p w14:paraId="62EA4ECA" w14:textId="77777777" w:rsidR="000D7D3D" w:rsidRPr="00635993" w:rsidRDefault="000D7D3D" w:rsidP="00635993">
      <w:pPr>
        <w:spacing w:line="240" w:lineRule="auto"/>
        <w:rPr>
          <w:rFonts w:ascii="Courier New" w:hAnsi="Courier New" w:cs="Courier New"/>
          <w:sz w:val="22"/>
          <w:lang w:eastAsia="en-GB"/>
        </w:rPr>
      </w:pPr>
      <w:r w:rsidRPr="00635993">
        <w:rPr>
          <w:rFonts w:ascii="Courier New" w:hAnsi="Courier New" w:cs="Courier New"/>
          <w:b/>
          <w:sz w:val="22"/>
          <w:lang w:eastAsia="en-GB"/>
        </w:rPr>
        <w:t>&gt;PiPT6_158250</w:t>
      </w:r>
      <w:r w:rsidRPr="00635993">
        <w:rPr>
          <w:rFonts w:ascii="Courier New" w:hAnsi="Courier New" w:cs="Courier New"/>
          <w:sz w:val="22"/>
          <w:lang w:eastAsia="en-GB"/>
        </w:rPr>
        <w:br/>
        <w:t>MSAMASHIGEKPNSPGETGTSSAPLRSGLQAYERNVGDRPPFILTYSEIKLLGIAGVVWR</w:t>
      </w:r>
      <w:r w:rsidRPr="00635993">
        <w:rPr>
          <w:rFonts w:ascii="Courier New" w:hAnsi="Courier New" w:cs="Courier New"/>
          <w:sz w:val="22"/>
          <w:lang w:eastAsia="en-GB"/>
        </w:rPr>
        <w:br/>
        <w:t>IVVGLSLIPAFGTLYQRLTLPESVRFEESRKLATGELDDLKAKNDVEIIVSGENSNEGDL</w:t>
      </w:r>
      <w:r w:rsidRPr="00635993">
        <w:rPr>
          <w:rFonts w:ascii="Courier New" w:hAnsi="Courier New" w:cs="Courier New"/>
          <w:sz w:val="22"/>
          <w:lang w:eastAsia="en-GB"/>
        </w:rPr>
        <w:br/>
        <w:t>KERTEKKAHFKEFVEYFSEWRHAKILIGTCTCWFLLDVAFYGINLNQNVVLQQIGYAGDT</w:t>
      </w:r>
      <w:r w:rsidRPr="00635993">
        <w:rPr>
          <w:rFonts w:ascii="Courier New" w:hAnsi="Courier New" w:cs="Courier New"/>
          <w:sz w:val="22"/>
          <w:lang w:eastAsia="en-GB"/>
        </w:rPr>
        <w:br/>
        <w:t>ATAWEQIFKVSTGNIIITALGFVPGYYVTVLTIEKLGRKYIQIQGFLMTALFCEPASYFF</w:t>
      </w:r>
      <w:r w:rsidRPr="00635993">
        <w:rPr>
          <w:rFonts w:ascii="Courier New" w:hAnsi="Courier New" w:cs="Courier New"/>
          <w:sz w:val="22"/>
          <w:lang w:eastAsia="en-GB"/>
        </w:rPr>
        <w:br/>
        <w:t>AFSHSNTRPVLLQLWSQCFVQLTVSTPTDRTTYCYPAEVFPTKYRASAHGLSAACGKAGA</w:t>
      </w:r>
      <w:r w:rsidRPr="00635993">
        <w:rPr>
          <w:rFonts w:ascii="Courier New" w:hAnsi="Courier New" w:cs="Courier New"/>
          <w:sz w:val="22"/>
          <w:lang w:eastAsia="en-GB"/>
        </w:rPr>
        <w:br/>
        <w:t>IISALGFNTLTAKIGTPAVLWIFFGCCIAGAGFTLILPEVAGRDPDAILAEELRER*</w:t>
      </w:r>
    </w:p>
    <w:p w14:paraId="51DD98F6" w14:textId="77777777" w:rsidR="000D7D3D" w:rsidRPr="00635993" w:rsidRDefault="000D7D3D" w:rsidP="00635993">
      <w:pPr>
        <w:spacing w:line="240" w:lineRule="auto"/>
        <w:rPr>
          <w:rFonts w:ascii="Courier New" w:hAnsi="Courier New" w:cs="Courier New"/>
          <w:sz w:val="22"/>
          <w:lang w:eastAsia="en-GB"/>
        </w:rPr>
      </w:pPr>
    </w:p>
    <w:p w14:paraId="3D41FFB1" w14:textId="77777777" w:rsidR="000D7D3D" w:rsidRPr="00635993" w:rsidRDefault="000D7D3D" w:rsidP="00635993">
      <w:pPr>
        <w:spacing w:line="240" w:lineRule="auto"/>
        <w:rPr>
          <w:rFonts w:ascii="Courier New" w:hAnsi="Courier New" w:cs="Courier New"/>
          <w:sz w:val="22"/>
          <w:lang w:eastAsia="en-GB"/>
        </w:rPr>
      </w:pPr>
      <w:r w:rsidRPr="00635993">
        <w:rPr>
          <w:rFonts w:ascii="Courier New" w:hAnsi="Courier New" w:cs="Courier New"/>
          <w:b/>
          <w:sz w:val="22"/>
          <w:lang w:eastAsia="en-GB"/>
        </w:rPr>
        <w:t>&gt;PiPT7_12951</w:t>
      </w:r>
      <w:r w:rsidRPr="00635993">
        <w:rPr>
          <w:rFonts w:ascii="Courier New" w:hAnsi="Courier New" w:cs="Courier New"/>
          <w:sz w:val="22"/>
          <w:lang w:eastAsia="en-GB"/>
        </w:rPr>
        <w:br/>
        <w:t>MTEPPSYKKNSMKAVRIPYWLIVKRYWKGLFGLSLAWFIYDFITYPFGIYSSTITNNVTG</w:t>
      </w:r>
      <w:r w:rsidRPr="00635993">
        <w:rPr>
          <w:rFonts w:ascii="Courier New" w:hAnsi="Courier New" w:cs="Courier New"/>
          <w:sz w:val="22"/>
          <w:lang w:eastAsia="en-GB"/>
        </w:rPr>
        <w:br/>
        <w:t>GSTSLTVVFGWSVVINLFYIPGTVIGAFAVDYLGPKTTMISGLLAQSVMGFIMSGLYTHL</w:t>
      </w:r>
      <w:r w:rsidRPr="00635993">
        <w:rPr>
          <w:rFonts w:ascii="Courier New" w:hAnsi="Courier New" w:cs="Courier New"/>
          <w:sz w:val="22"/>
          <w:lang w:eastAsia="en-GB"/>
        </w:rPr>
        <w:br/>
        <w:t>TKNIAAFAVVYGIFLSFGEFGPGNCLGVLASKSGPTAVRGQYYGVAAAVGKIGAFIGTWF</w:t>
      </w:r>
      <w:r w:rsidRPr="00635993">
        <w:rPr>
          <w:rFonts w:ascii="Courier New" w:hAnsi="Courier New" w:cs="Courier New"/>
          <w:sz w:val="22"/>
          <w:lang w:eastAsia="en-GB"/>
        </w:rPr>
        <w:br/>
        <w:t>LPNIIADFGGADTAKGNTGPFWIGSGLAILSALLIFFLVRPLSHDGMKEEDEKFRLYLEE</w:t>
      </w:r>
      <w:r w:rsidRPr="00635993">
        <w:rPr>
          <w:rFonts w:ascii="Courier New" w:hAnsi="Courier New" w:cs="Courier New"/>
          <w:sz w:val="22"/>
          <w:lang w:eastAsia="en-GB"/>
        </w:rPr>
        <w:br/>
        <w:t>HGFDTSLMGIPDSEVSSTISEEEKVAA*</w:t>
      </w:r>
    </w:p>
    <w:p w14:paraId="62417E6E" w14:textId="77777777" w:rsidR="000D7D3D" w:rsidRPr="000D7D3D" w:rsidRDefault="000D7D3D" w:rsidP="00635993">
      <w:pPr>
        <w:spacing w:line="240" w:lineRule="auto"/>
        <w:rPr>
          <w:rFonts w:eastAsia="Times New Roman"/>
          <w:sz w:val="20"/>
          <w:szCs w:val="20"/>
          <w:lang w:eastAsia="en-GB"/>
        </w:rPr>
      </w:pPr>
      <w:r w:rsidRPr="000D7D3D">
        <w:br w:type="page"/>
      </w:r>
    </w:p>
    <w:p w14:paraId="059C3C3F" w14:textId="29E30A5E" w:rsidR="000D7D3D" w:rsidRPr="00B46FB7" w:rsidRDefault="000D7D3D" w:rsidP="00635993">
      <w:pPr>
        <w:pStyle w:val="Heading2"/>
      </w:pPr>
      <w:bookmarkStart w:id="586" w:name="_Toc507604101"/>
      <w:bookmarkStart w:id="587" w:name="_Toc507604368"/>
      <w:bookmarkStart w:id="588" w:name="_Toc519017070"/>
      <w:bookmarkStart w:id="589" w:name="_Toc520837983"/>
      <w:r w:rsidRPr="000D7D3D">
        <w:lastRenderedPageBreak/>
        <w:t xml:space="preserve">Supplementary data 3. </w:t>
      </w:r>
      <w:r w:rsidRPr="00635993">
        <w:rPr>
          <w:b w:val="0"/>
        </w:rPr>
        <w:t xml:space="preserve">Genomic sequences of the </w:t>
      </w:r>
      <w:r w:rsidRPr="00635993">
        <w:rPr>
          <w:b w:val="0"/>
          <w:i/>
        </w:rPr>
        <w:t>P. involutus</w:t>
      </w:r>
      <w:r w:rsidRPr="00635993">
        <w:rPr>
          <w:b w:val="0"/>
        </w:rPr>
        <w:t xml:space="preserve"> </w:t>
      </w:r>
      <w:r w:rsidRPr="00635993">
        <w:rPr>
          <w:b w:val="0"/>
          <w:i/>
        </w:rPr>
        <w:t xml:space="preserve">ATCC 200175 </w:t>
      </w:r>
      <w:r w:rsidRPr="00635993">
        <w:rPr>
          <w:b w:val="0"/>
        </w:rPr>
        <w:t>putative weathering genes</w:t>
      </w:r>
      <w:bookmarkEnd w:id="586"/>
      <w:bookmarkEnd w:id="587"/>
      <w:bookmarkEnd w:id="588"/>
      <w:bookmarkEnd w:id="589"/>
    </w:p>
    <w:p w14:paraId="55C00125" w14:textId="77777777" w:rsidR="000D7D3D" w:rsidRPr="00635993" w:rsidRDefault="000D7D3D" w:rsidP="00635993">
      <w:pPr>
        <w:spacing w:line="240" w:lineRule="auto"/>
        <w:rPr>
          <w:rFonts w:ascii="Courier New" w:hAnsi="Courier New" w:cs="Courier New"/>
          <w:b/>
          <w:sz w:val="22"/>
          <w:szCs w:val="22"/>
          <w:lang w:eastAsia="en-GB"/>
        </w:rPr>
      </w:pPr>
      <w:r w:rsidRPr="00635993">
        <w:rPr>
          <w:rFonts w:ascii="Courier New" w:hAnsi="Courier New" w:cs="Courier New"/>
          <w:b/>
          <w:sz w:val="22"/>
          <w:szCs w:val="22"/>
          <w:lang w:eastAsia="en-GB"/>
        </w:rPr>
        <w:t>&gt;</w:t>
      </w:r>
      <w:r w:rsidRPr="00635993">
        <w:rPr>
          <w:rFonts w:ascii="Courier New" w:hAnsi="Courier New" w:cs="Courier New"/>
          <w:b/>
          <w:i/>
          <w:sz w:val="22"/>
          <w:szCs w:val="22"/>
          <w:lang w:eastAsia="en-GB"/>
        </w:rPr>
        <w:t>PiPMA</w:t>
      </w:r>
      <w:r w:rsidRPr="00635993">
        <w:rPr>
          <w:rFonts w:ascii="Courier New" w:hAnsi="Courier New" w:cs="Courier New"/>
          <w:b/>
          <w:sz w:val="22"/>
          <w:szCs w:val="22"/>
          <w:lang w:eastAsia="en-GB"/>
        </w:rPr>
        <w:t>_fgenesh1_kg.22_#_22_#_isotig08265</w:t>
      </w:r>
    </w:p>
    <w:p w14:paraId="41F8D47D"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ACTCGGATCTGACAGACGGCGCGGCAGGGTTGTTGCCGAGGTTTCCAAGGTTTCGTGGGG</w:t>
      </w:r>
    </w:p>
    <w:p w14:paraId="01FC9668"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GTCTCATTGCGATTCTGACCAACAAGTGTGATAAGCCGTCACAGCTGACTGTTTGGTTCT</w:t>
      </w:r>
    </w:p>
    <w:p w14:paraId="5222C2D6"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ATTTGTTTGGTTTGATCTCTTGAATTTTGAGCCAAATATAAAGTCCGTTGGTCGACGCGA</w:t>
      </w:r>
    </w:p>
    <w:p w14:paraId="1A996849"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CTAACACTTCCCACTCCTTCATCATATCGACCTTGCACCTCGTCTCTCTTCACTGTCAAA</w:t>
      </w:r>
    </w:p>
    <w:p w14:paraId="0A426927"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AAGCCCGCTCGTCTATAGATCTATTCTGTAGGGCTTCCCTCCCGCCTTCCCCCACCTCCC</w:t>
      </w:r>
    </w:p>
    <w:p w14:paraId="30C8AC39"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TCGCACCCTTCAATCATGTCGGAACCTAACGTCGAAAAGGAGCCCGGTCCGCAGGGCGAC</w:t>
      </w:r>
    </w:p>
    <w:p w14:paraId="1D83E33F"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GAGCCCGCTATCACTCAGACACCGTTTGAAAAGAAGAAAAGAGAGTACAAGGACTTTGGT</w:t>
      </w:r>
    </w:p>
    <w:p w14:paraId="67B1A7E0"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CACGAGGAGGAGAAACCTACCCGTATGCACCTATCGCTTTCCCGATAAATTCGAGAGTTT</w:t>
      </w:r>
    </w:p>
    <w:p w14:paraId="25821ADD"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GACCTGGCTTGCTTGCAGATGCCAACGTCGACATGTCTTTGGTTTGTGGTGTTCCGAAAA</w:t>
      </w:r>
    </w:p>
    <w:p w14:paraId="0B4D45A3"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TATCTTGCCGTATAGCTAATCATGGTGCCTGAAAGATTGAGCTCAAGGCGGAAGACCTGT</w:t>
      </w:r>
    </w:p>
    <w:p w14:paraId="2E753E48"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ACGACAAGGAGAAGGTCGACCTAGAAACCATTGTCATTGACGATGTCTTCAAACTCCTTC</w:t>
      </w:r>
    </w:p>
    <w:p w14:paraId="62E30F3E"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AGTGCGATGAAATCGGTTTGACCTCTGAAGAAGCTACCCGTCGTATCGAGCTCTTCGGGC</w:t>
      </w:r>
    </w:p>
    <w:p w14:paraId="3BCCBB7A"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CGAACAAGCTTGAGCAGGAAGAACAGAACGCGTTCCTCCAGGTAAGCGCCTCAGTTTGTG</w:t>
      </w:r>
    </w:p>
    <w:p w14:paraId="38411E1F"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TATTGTTCATCGCTGATTTTGATATATGCTGCTAGTTCTTGAGTTTCATGTGGAACCCCT</w:t>
      </w:r>
    </w:p>
    <w:p w14:paraId="352D6D32"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TGTCTTGGGTCATGGAGGGCGCTGCTCTTGTGGCTATTGTACTTTCGAACGGTGACCATC</w:t>
      </w:r>
    </w:p>
    <w:p w14:paraId="2AC2DA27"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AACCGCCAGATTGGCCAGATTTCCTCGGTATTGTCCTCTTGTTGTTCATCAACTCCACAA</w:t>
      </w:r>
    </w:p>
    <w:p w14:paraId="1037CC7C"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TCGGTTTCTACGAGGAACGGAATGCCGGTAACGCAGTCAAGGCACTCATGGACTCCCTTG</w:t>
      </w:r>
    </w:p>
    <w:p w14:paraId="47AC5B02"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CTCCGAAGGCAAAAGTCAAGCGCAATGGTACATGGTCTGAGATCGAATCCTCGGACCTAG</w:t>
      </w:r>
    </w:p>
    <w:p w14:paraId="3A2C2AC7"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TCCCCGGTGATATGGTTTCCTTCAAAATCGGTGATATTGTTCCTGCAGACTGTCGTCTCA</w:t>
      </w:r>
    </w:p>
    <w:p w14:paraId="4B71DFF8"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CTGAGGCCATCAACGTTTCCATCGACCAAGCTGCATTGACTGGTGAATCGTTGCCCCAGA</w:t>
      </w:r>
    </w:p>
    <w:p w14:paraId="6AAA1877"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GCAAGAAGGTCGGGGATCAGTGCTTCTCGTAAGTCTTTATTGGTGGTTCCTGGGTTTCAT</w:t>
      </w:r>
    </w:p>
    <w:p w14:paraId="1A79723D"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TACAAAACTTACATAAAAATGTCAGTGGCTCCACATGTAAACAGGGCGAAGCTGAGGGTG</w:t>
      </w:r>
    </w:p>
    <w:p w14:paraId="40203BF1"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TTGTCATCTCCACTGGTGCGAACACGTTTTTCGGTCGTGCTGCTTCCCTCGTTGGCCAGG</w:t>
      </w:r>
    </w:p>
    <w:p w14:paraId="2FA865B7"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ATGACGACACTACTGGGCACTTGCAGAAGATTCTTGCCCAGATCGGTTCTTTCTGCTTGG</w:t>
      </w:r>
    </w:p>
    <w:p w14:paraId="6A52FD29"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TTTCCATTGGTATCTTCGTCCTTGCCGAAATTCTCGTCCTCTACGCGGGCTTCCGTTACA</w:t>
      </w:r>
    </w:p>
    <w:p w14:paraId="0CC70C60"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GTTATCGTCGCGGTCTTAACAACATCCTGGTCCTTTTGATCGGTGGTATCCCCATTGCTA</w:t>
      </w:r>
    </w:p>
    <w:p w14:paraId="4B3289BA"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TGCCCACAGTTTTGTCCGTCACTCTCGCCGTTGGTGCCCAGCAACTTGCCAAGCACAAGG</w:t>
      </w:r>
    </w:p>
    <w:p w14:paraId="6CDA9004"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CTATCGTAACGCGTATCACCGCCATCGAAGAGTTGGCTGGTGTCACCATCCTTTGCTCCG</w:t>
      </w:r>
    </w:p>
    <w:p w14:paraId="17D3D56D"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ACAAGACTGGTACTCTCACCACCAACAAGCTCACCATTGATAGGGCTACCATCCGCACCT</w:t>
      </w:r>
    </w:p>
    <w:p w14:paraId="34AF86B2"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ATGGTCCCTTTTCTGCTGATGACGTCATGCTCCTTGCTGCCTACGCCTCTCGCACTGAGA</w:t>
      </w:r>
    </w:p>
    <w:p w14:paraId="4CCF3B2C"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ACCAAGATGCCATCGATGCCTCTGTCGTCACAGCACTTGGTGATGTGTCTCGTGCTCGCG</w:t>
      </w:r>
    </w:p>
    <w:p w14:paraId="451DDF06"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CTGGTATCAAACTCTTGGACTTCAAGCCTTTCAACCCCGTTGACAAGCGCACGGAGATCA</w:t>
      </w:r>
    </w:p>
    <w:p w14:paraId="2601D36E"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CCTACCTCGAAGAGTCGTCTGGAAAGCTCAAGCGAGTTACCAAGGGCATGACGGGTATCA</w:t>
      </w:r>
    </w:p>
    <w:p w14:paraId="2F18EC2B"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TCATCGAGCTCTGCACTCGCAACAAGACTGAAGAAATCGAAAACAAGCTGGAGGCGGATG</w:t>
      </w:r>
    </w:p>
    <w:p w14:paraId="6A28F2DA"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TTGAAGAGTTCGCTACCCGTGGTCTGCGCGCCCTCGCTGTTGCTTACGAGGAGTTGGATG</w:t>
      </w:r>
    </w:p>
    <w:p w14:paraId="3FF98F1B"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GTGACGACCCGGAGGCTGAGGGTAACGGTTTCGAGTTGATCGGTCTCCTTGCCATCTTCG</w:t>
      </w:r>
    </w:p>
    <w:p w14:paraId="63F3C697"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ATCCTCCCCGTGAGGACACCAAGCAGACAATCGACGATGCTCAAGCCCTTGGTGTCAAGG</w:t>
      </w:r>
    </w:p>
    <w:p w14:paraId="1A166926"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TCAAGATGGTTACTGGCGACCAGCTCGCTATCGCAAAGGAAACTGGTCGTCGTCTCGGTC</w:t>
      </w:r>
    </w:p>
    <w:p w14:paraId="68CC858F"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TTGGTGATCACATGTACCCTGCCAAAGTGCTCAAAGACGGACCTGCTCCTGGTGGCAAAC</w:t>
      </w:r>
    </w:p>
    <w:p w14:paraId="092CA5FB"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ACATGAACCTAGATGAGATGATCCTGGACGCAGATGGTTTCGCTGGTGTCTTCCCCGAGC</w:t>
      </w:r>
    </w:p>
    <w:p w14:paraId="10E8384C"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ATAAGTATGAGATTGTCAAACGTCTCCAGGGTCTTGGTCACCTGTGTGCCATGACTGGTG</w:t>
      </w:r>
    </w:p>
    <w:p w14:paraId="37C4723C"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ATGGTGCTAACGACGCTCCCGCTCTTTCCCGTGCCAATGTCGGTATTGCTGTCGAGGGTG</w:t>
      </w:r>
    </w:p>
    <w:p w14:paraId="065F2B3C"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CCACAGATGCCGCTCGTGGTGCTGCCGACATTGTGTTAACCGAGCCCGGTCTCTCCACCA</w:t>
      </w:r>
    </w:p>
    <w:p w14:paraId="0C0A628F"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TCGTCCATGCTATCCGCGGTTCGCGTATCATCTTCCAACGTATGCGCAATTACTCCATCT</w:t>
      </w:r>
    </w:p>
    <w:p w14:paraId="0573BF8D"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ACGCGTGCGCTGTAACCATTCGTATCGTCGTCTGCTTCGCCATCCTCGCTTTCGCGTTCC</w:t>
      </w:r>
    </w:p>
    <w:p w14:paraId="44882F28"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GCTTCGACTTCCCTCCCTTCATGGTGCTGATTATCGCCTTGTTGAATGACGGCACTATCA</w:t>
      </w:r>
    </w:p>
    <w:p w14:paraId="3785EE71"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lastRenderedPageBreak/>
        <w:t>TGACTCTGTCGGTCGACCGTGTCTTGCCCTCGATGACACCCGATGCTTGGGATTTGGCTG</w:t>
      </w:r>
    </w:p>
    <w:p w14:paraId="281947E2"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AGATCTTTTCCTACGCTGTGGCGTACGGCTTGTACTTGACCGCGTCCACGTAAGTAAACC</w:t>
      </w:r>
    </w:p>
    <w:p w14:paraId="6CE772FA"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CTCGGATACTTTTAAAAGCTTTTATTGATGTCTCTTCAGCGTCGCCCTTGTTGCCATCAT</w:t>
      </w:r>
    </w:p>
    <w:p w14:paraId="0632E4C6"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CCTGAAGACCTCGTTCTTCCACGACAACTTCGGTGTTACCTTCAACGGTTCAGTCTACCC</w:t>
      </w:r>
    </w:p>
    <w:p w14:paraId="697F2E75"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CTCGAGCTCCAACGACGCGCAGCTCCACACGATCGTCTACCTGCAGGTGGCCATTATCTC</w:t>
      </w:r>
    </w:p>
    <w:p w14:paraId="4F2636FD"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ACAGGCACTCATCTTCGTCACCCGTTCGCATGGGTTCTTTTTTATGGAGCGTCCTTCTGT</w:t>
      </w:r>
    </w:p>
    <w:p w14:paraId="081864C0"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TGCTCTCATGGTTGCTTTCTGCATCGCTCAGCTCATCTCTTCGATTATCGCTGCCTACGG</w:t>
      </w:r>
    </w:p>
    <w:p w14:paraId="2ADDCF40"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CAACTGGGGCTTCACTCAGATTCAGGGTATCTCGGGCGGTTGGATTGGTATTATCTGGAT</w:t>
      </w:r>
    </w:p>
    <w:p w14:paraId="1A649841"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TTGGGTGCGTGTCTTGGGAAATGCTCTCCTTTCGTGAAGTGCTCATTTGTTCTTTGTAGA</w:t>
      </w:r>
    </w:p>
    <w:p w14:paraId="2031AC77"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ACATTGTCTGGTTCGCACCTCTGGACTGGATCAAGTTCGCCATGAAGGCTACCGTCATCA</w:t>
      </w:r>
    </w:p>
    <w:p w14:paraId="2CB20336"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AGAGGATGCGCGAACGTCATGACCGCAAAGCTGCTGCTGCTGCTCAAGAGGCATCCCAGG</w:t>
      </w:r>
    </w:p>
    <w:p w14:paraId="4431E803"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GTGGTTTCCCCATTACACGCACACAATCTCGTGCCGCGTCGATTCACGAGTCGATGTACT</w:t>
      </w:r>
    </w:p>
    <w:p w14:paraId="499E9A2C"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CGAACCGTGTGTCTTTCATTCGTCGTGCGGCTCGCAAGGTTGGGTTTGGACGCAAGATTG</w:t>
      </w:r>
    </w:p>
    <w:p w14:paraId="648D7714"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CGATGAAGCCAGAGGAGTTGCAACGTTTCAGCAGTATCCAAGCCCAGCGAACGGGTGCTA</w:t>
      </w:r>
    </w:p>
    <w:p w14:paraId="221E2617"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CATTGGCTCGCAACCCGAGCCGGACTGGAGCATAGATGACGGGGGTCCAAGCCGCAACGA</w:t>
      </w:r>
    </w:p>
    <w:p w14:paraId="79A80270"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TGTGGATGGGTGCCGACTTCCTGACTCACCACAGCTTGCAACTTCGCGGAGAGACAGGTC</w:t>
      </w:r>
    </w:p>
    <w:p w14:paraId="3D728AD5"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AATTATCAAACACAATCGAATATCCACTTGTAATCTAGATTTTTTAACATGCTTACCTTC</w:t>
      </w:r>
    </w:p>
    <w:p w14:paraId="6E44E8DD"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CTTCCGCCCACCGCGCGCCTGACTGGTTCCCGCCTCGCATTCTTTCCTTTCACATCTCTC</w:t>
      </w:r>
    </w:p>
    <w:p w14:paraId="64A65E2B"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TACCTGCTTCTCAGGTACATACAGCGCAATTGTTCTTAAATATGCATCGCACTGCCTATC</w:t>
      </w:r>
    </w:p>
    <w:p w14:paraId="5D778970" w14:textId="77777777" w:rsidR="000D7D3D" w:rsidRPr="00635993" w:rsidRDefault="000D7D3D" w:rsidP="00CA78C5">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GATTTCGTTGGTATTGGATGGCAAT</w:t>
      </w:r>
    </w:p>
    <w:p w14:paraId="4DE06427" w14:textId="77777777" w:rsidR="000D7D3D" w:rsidRPr="00635993" w:rsidRDefault="000D7D3D" w:rsidP="00635993">
      <w:pPr>
        <w:spacing w:line="240" w:lineRule="auto"/>
        <w:rPr>
          <w:rFonts w:ascii="Courier New" w:hAnsi="Courier New" w:cs="Courier New"/>
          <w:sz w:val="22"/>
          <w:szCs w:val="22"/>
        </w:rPr>
      </w:pPr>
    </w:p>
    <w:p w14:paraId="346F1D89" w14:textId="77777777" w:rsidR="000D7D3D" w:rsidRPr="00635993" w:rsidRDefault="000D7D3D" w:rsidP="00635993">
      <w:pPr>
        <w:spacing w:line="240" w:lineRule="auto"/>
        <w:rPr>
          <w:rFonts w:ascii="Courier New" w:hAnsi="Courier New" w:cs="Courier New"/>
          <w:b/>
          <w:sz w:val="22"/>
          <w:szCs w:val="22"/>
          <w:lang w:eastAsia="en-GB"/>
        </w:rPr>
      </w:pPr>
      <w:r w:rsidRPr="00635993">
        <w:rPr>
          <w:rFonts w:ascii="Courier New" w:hAnsi="Courier New" w:cs="Courier New"/>
          <w:b/>
          <w:sz w:val="22"/>
          <w:szCs w:val="22"/>
          <w:lang w:eastAsia="en-GB"/>
        </w:rPr>
        <w:t>&gt;</w:t>
      </w:r>
      <w:r w:rsidRPr="00635993">
        <w:rPr>
          <w:rFonts w:ascii="Courier New" w:hAnsi="Courier New" w:cs="Courier New"/>
          <w:b/>
          <w:i/>
          <w:sz w:val="22"/>
          <w:szCs w:val="22"/>
          <w:lang w:eastAsia="en-GB"/>
        </w:rPr>
        <w:t>PiBEST_</w:t>
      </w:r>
      <w:r w:rsidRPr="00635993">
        <w:rPr>
          <w:rFonts w:ascii="Courier New" w:hAnsi="Courier New" w:cs="Courier New"/>
          <w:b/>
          <w:sz w:val="22"/>
          <w:szCs w:val="22"/>
          <w:lang w:eastAsia="en-GB"/>
        </w:rPr>
        <w:t>fgenesh1_kg.13_#_50_#_isotig08800</w:t>
      </w:r>
    </w:p>
    <w:p w14:paraId="25CCE3CB"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AAAATAAAAGATCGCAACACGCGTCAGGCCCGCTCGACAGTGCCATATTGTTCATCCAAC</w:t>
      </w:r>
    </w:p>
    <w:p w14:paraId="404BA01D"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ACACCACTAACACACCTTCCTTAGTCCTCGTGTAATATCCCCTTTCTCTCTACACGTTGT</w:t>
      </w:r>
    </w:p>
    <w:p w14:paraId="304A494F"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TCTGATGCTGCATCTCCCAGTGCCATCGCGGCCCTCGGTAAGTCATCTCCACATCTACCT</w:t>
      </w:r>
    </w:p>
    <w:p w14:paraId="2CEB2E32"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ACTTCTACGACCTAGGGTGTTCTCTTTTCCATCTCCTTTGCTTGAATCCTCTTTTCTGAC</w:t>
      </w:r>
    </w:p>
    <w:p w14:paraId="55580D7A"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ATCCCAGCAAATCTCATGCCGAACGATTCCGATCAGGTTGACATAACCCGCGAGGCAGTC</w:t>
      </w:r>
    </w:p>
    <w:p w14:paraId="2E09EEF1"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CCGAGGGACCCATTTGAGCTCCTTCCCGCATCGCAATGGTCGACCTTTGTCAACGCACTC</w:t>
      </w:r>
    </w:p>
    <w:p w14:paraId="4E20636C"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CTTGCCACTGCGCTATTCAGATGCTGGCACATCTTGATTTTCTTCGTCATGTGGTCAACA</w:t>
      </w:r>
    </w:p>
    <w:p w14:paraId="4B931833"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ATGGTCTGCGTAGTTAGCAGCCACGTACACAGCCTAGCAATACAGCCTACCCTCATCACT</w:t>
      </w:r>
    </w:p>
    <w:p w14:paraId="651440EE"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GTGTATGTCGTGTTTTTCGTATCTCCATGGGACCTCCTGAGCAATCTTGTGGTGTAGGTT</w:t>
      </w:r>
    </w:p>
    <w:p w14:paraId="550BD396"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CGGTACAGTGCTTGGTTTCGTCATTTCATATCGCACGACATCAAGTTTCGAACGTTACAA</w:t>
      </w:r>
    </w:p>
    <w:p w14:paraId="41C0F543"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TGAAGGACGGAGGCTGTGGTCACAGATTGTCCTCGGAAGTCGTGTGTTCGCTCGCACAAT</w:t>
      </w:r>
    </w:p>
    <w:p w14:paraId="228DE807"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CTGGTTCCACGTCCCAGGTACGTCCTGTCCAAAACCTCTCAAGTGGTCAAGTCCAGAAAC</w:t>
      </w:r>
    </w:p>
    <w:p w14:paraId="390B2278"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GCCACTTTCAAATTACATAGATAACACCATGCCCAATGCCGGCGGCCTATCAGAAGATGA</w:t>
      </w:r>
    </w:p>
    <w:p w14:paraId="7B362BD5"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ACGTAGAGCCAGAACACTGGTTGAGAAAAAGACGATCATCAATCTTCTTGAAGCTTATGC</w:t>
      </w:r>
    </w:p>
    <w:p w14:paraId="683C8D34"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AGTTTCTGTGAAACACTATCTGCGCGGTGAAGACGGCATCTTCTACGCTGACCTTTATCC</w:t>
      </w:r>
    </w:p>
    <w:p w14:paraId="7601E36C"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GCTCGTCAAGTTTCTGCCTCCCTATGCACTTCCGGCGAGCATCCCGTCATCTGCTGATCT</w:t>
      </w:r>
    </w:p>
    <w:p w14:paraId="417E96C7"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ACCCGGAGATATGAGGGCCGAGAGGGTCAGTCAGAGTGAAGACGGGGACGTACCTGCATC</w:t>
      </w:r>
    </w:p>
    <w:p w14:paraId="306B238A"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ACCGCGGTCTGTCCAGTTCCCCGCTTCGGTGATGCACAGGAGAACGACGGAGGCTACAAT</w:t>
      </w:r>
    </w:p>
    <w:p w14:paraId="193F3768"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CTCTGAGCTTCCTTTGCCATCTACAACGCCTGGCACACGAGCAAACACATTGGTGGGGCC</w:t>
      </w:r>
    </w:p>
    <w:p w14:paraId="293D5531"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TATCCTCCAAGTGAACGGCCGACCTCAAGGTGGCAAAAAAGTCTCAACAGAGCCTAATGA</w:t>
      </w:r>
    </w:p>
    <w:p w14:paraId="30FA0C6C"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CGAGTTATATATATTACCGGCTCAAATCCCTCCCAAGTACTCTATGTTCGACTTGTTCCC</w:t>
      </w:r>
    </w:p>
    <w:p w14:paraId="03BB59FD"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CTTTTCGCTACTTGTCAAGATGTTAACCAAACGGGGTCACGATGTGAAAGGGAAGAAAGC</w:t>
      </w:r>
    </w:p>
    <w:p w14:paraId="4577EEB7"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GGCAAGGTTGAGAGCACAAATGCGCAATCACCGAGGAGGCATGTCTCACAACATACCTTT</w:t>
      </w:r>
    </w:p>
    <w:p w14:paraId="250DB7FA"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GGAGATATCACTGTATCTGGTCGGTGTTTGGCTTCCGTGTCCCTCGGAGTGAGATGTTTA</w:t>
      </w:r>
    </w:p>
    <w:p w14:paraId="1A57AEF7"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CGCCTATGGCTGCACAGAGCTCCTATATTTCCGCTTTGCAGACACGTAAAGCTAATGTGG</w:t>
      </w:r>
    </w:p>
    <w:p w14:paraId="30DFF599"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ACACACCCACCATCGGTGAGCTCATCTCCCCGTGTTAATCGATCAGGCGGACTGAAGTAC</w:t>
      </w:r>
    </w:p>
    <w:p w14:paraId="1ADDCD72"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TGCCGTTTCACAGGTTTGTTATTTGGGACTTTGAACCAACTCGTGGATGCCCTCACGGGT</w:t>
      </w:r>
    </w:p>
    <w:p w14:paraId="4A1F403E"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TTGGAAAGGATCCTTACCACCCCCATTCCGTTCTCGTACGTGATAGAGTCCTGTTGCAGC</w:t>
      </w:r>
    </w:p>
    <w:p w14:paraId="2BF05C59"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lastRenderedPageBreak/>
        <w:t>GATCCCATCTCACATGCCTCCAGGTACTCGATCCATCTTTGGTTGGTGACCGCCATATAC</w:t>
      </w:r>
    </w:p>
    <w:p w14:paraId="3F13834C"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TGCCTGGCGCTGGTATGATAACGTACCCCGCAAATTTTGATTTCAACTCATCAAACCTTG</w:t>
      </w:r>
    </w:p>
    <w:p w14:paraId="6AA0C097"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CTATTCTGGTCATTCCCAATAGCCATTCCAGATCTGGTCTGCTTTGAAGTGGCTCACGAT</w:t>
      </w:r>
    </w:p>
    <w:p w14:paraId="340953B9"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CCCTGCCACTGTTTTCGCTGTAAGACCCTATCGTTATATAGACCTATGTCACAATCGCCT</w:t>
      </w:r>
    </w:p>
    <w:p w14:paraId="64DDA524"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GAATGGTTATCTCTGGTGCTAGAGTTTCGCATTCTTTGGCTTCCTCGTTGCTGGCGAGGA</w:t>
      </w:r>
    </w:p>
    <w:p w14:paraId="2615341D"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GATAGAAAGTGAGTGCCAACGTACATGATGTTCTCCCGTCACTCATATCACCCCTCATAG</w:t>
      </w:r>
    </w:p>
    <w:p w14:paraId="167D14CE"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ATCCTTTTGGTGAGTTTTAGAATTTGAAGATAAGAACAGAATTCAATAACTTTTTATCAG</w:t>
      </w:r>
    </w:p>
    <w:p w14:paraId="5793D543"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GTTACGACAAGAATGACCTGGTGAGTCATTTTTCCGGGTTCTCTGAGGCACTCGGCGATT</w:t>
      </w:r>
    </w:p>
    <w:p w14:paraId="5D694E8B"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TGTCCCGCGAAGCCTCGGGCCTTCTCTCTGATTCAATTCAATTCAACCTCATGGCTAATC</w:t>
      </w:r>
    </w:p>
    <w:p w14:paraId="2BF71738"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AATTTGAAATCTTTAAACTCCAGAATATGGATCTCTTCGTTCACAACATCATACGTAAAT</w:t>
      </w:r>
    </w:p>
    <w:p w14:paraId="41428853"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CTCTATCTCTGTCGAGCATCCTTTCACGTACTCATTGACGGCCCTTGATACAGGCAAGGA</w:t>
      </w:r>
    </w:p>
    <w:p w14:paraId="3074AED8"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GCTCCGTGCTCTCACTACGACCCCTACACCTGATCCTGGTGTTTGGGCGTTCTCCTCGGA</w:t>
      </w:r>
    </w:p>
    <w:p w14:paraId="07647461"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GAACGATTTGTTACTCGCTTCTCGCGCTCATGGTGAGCGTATCTCGCCTACGGAATGGGT</w:t>
      </w:r>
    </w:p>
    <w:p w14:paraId="33D173E6"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CCGTAGGGGCGTCCCGAAAATGCAGGACGCCCTGGCGTTATACTAGCCCCGGCGTGACTT</w:t>
      </w:r>
    </w:p>
    <w:p w14:paraId="0557FD0C"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GGTCGCTGGCCTGCACCACGGCACCAATAGCATGAAGCAGGCATGTCAATACCGCATGTC</w:t>
      </w:r>
    </w:p>
    <w:p w14:paraId="1B937B92"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AACGTTGATATCGTACGGCGTACACGAGCGTACACGTCATTGTTATCTGGACACTACTTT</w:t>
      </w:r>
    </w:p>
    <w:p w14:paraId="03F84B16"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TACCGCTGAAAACCTTGTATTTAATTTGTCGTCAGCATCTGGGGCCACGGGTCAAAAAAT</w:t>
      </w:r>
    </w:p>
    <w:p w14:paraId="67654390"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GCATTGCTCGGACATTGTCCATATGTGAGTTTGGTTGCCTCTTCTATCAGTGTCCAGTCA</w:t>
      </w:r>
    </w:p>
    <w:p w14:paraId="32DDCA79"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GAGTCCTCCGACGTTCAACTGCAGAGCCGTCAATCAAGGACGAGCCTTAGTTAGAGACGC</w:t>
      </w:r>
    </w:p>
    <w:p w14:paraId="01AD51A9"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TTTGCGGACCTGAGGGCGTCGTCG</w:t>
      </w:r>
    </w:p>
    <w:p w14:paraId="712281BB" w14:textId="77777777" w:rsidR="000D7D3D" w:rsidRPr="00635993" w:rsidRDefault="000D7D3D" w:rsidP="00635993">
      <w:pPr>
        <w:spacing w:line="240" w:lineRule="auto"/>
        <w:rPr>
          <w:rFonts w:ascii="Courier New" w:hAnsi="Courier New" w:cs="Courier New"/>
          <w:sz w:val="22"/>
          <w:szCs w:val="22"/>
        </w:rPr>
      </w:pPr>
    </w:p>
    <w:p w14:paraId="53D7CBC2" w14:textId="77777777" w:rsidR="000D7D3D" w:rsidRPr="00635993" w:rsidRDefault="000D7D3D" w:rsidP="00635993">
      <w:pPr>
        <w:spacing w:line="240" w:lineRule="auto"/>
        <w:rPr>
          <w:rFonts w:ascii="Courier New" w:hAnsi="Courier New" w:cs="Courier New"/>
          <w:b/>
          <w:sz w:val="22"/>
          <w:szCs w:val="22"/>
          <w:lang w:eastAsia="en-GB"/>
        </w:rPr>
      </w:pPr>
      <w:r w:rsidRPr="00635993">
        <w:rPr>
          <w:rFonts w:ascii="Courier New" w:hAnsi="Courier New" w:cs="Courier New"/>
          <w:b/>
          <w:sz w:val="22"/>
          <w:szCs w:val="22"/>
          <w:lang w:eastAsia="en-GB"/>
        </w:rPr>
        <w:t>&gt;</w:t>
      </w:r>
      <w:r w:rsidRPr="00635993">
        <w:rPr>
          <w:rFonts w:ascii="Courier New" w:hAnsi="Courier New" w:cs="Courier New"/>
          <w:b/>
          <w:i/>
          <w:sz w:val="22"/>
          <w:szCs w:val="22"/>
          <w:lang w:eastAsia="en-GB"/>
        </w:rPr>
        <w:t>PiOAR</w:t>
      </w:r>
      <w:r w:rsidRPr="00635993">
        <w:rPr>
          <w:rFonts w:ascii="Courier New" w:hAnsi="Courier New" w:cs="Courier New"/>
          <w:b/>
          <w:sz w:val="22"/>
          <w:szCs w:val="22"/>
          <w:lang w:eastAsia="en-GB"/>
        </w:rPr>
        <w:t>_estExt_fgenesh1_pg.C_220011</w:t>
      </w:r>
    </w:p>
    <w:p w14:paraId="18B0C6BE"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ATTGTATACATAATATTTTTGACAAAATTGGCCCAAAGCCACGATGCCAACGCCAAGTAC</w:t>
      </w:r>
    </w:p>
    <w:p w14:paraId="50C524C3"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ATAGCAAAGCACTACTACGTAGTACTGACCAGGTAGTACCACTGATGGTATCCAACTCGC</w:t>
      </w:r>
    </w:p>
    <w:p w14:paraId="36204075"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TTCAAGATATGTTACACCCAAACACATCCCAATATACGCTAGAAACATTACAGTACCACG</w:t>
      </w:r>
    </w:p>
    <w:p w14:paraId="0E558666"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ACGACCTTCACCCTGACACTACCCCTCTCCTTCACCCAGCATCTGCAACAAGCTCTGTCT</w:t>
      </w:r>
    </w:p>
    <w:p w14:paraId="0211ABE2"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ATGGAGCCACGCCTGTGCATTCACATGATCCACGTCCCTCTTCGTCTGGCTTGCTGTTCA</w:t>
      </w:r>
    </w:p>
    <w:p w14:paraId="7AFBB2BF"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CCGCTGCTATCAGGATGGCAGCTGTGTTCACAGTCAGTTCCCTCCTGCTGGGAGGCACCC</w:t>
      </w:r>
    </w:p>
    <w:p w14:paraId="25054BB1"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TTTGGCTAGCCCTCCCGACTTTACAAGAGTAAGTATACACTCCCACTTTCCTCGTTTATA</w:t>
      </w:r>
    </w:p>
    <w:p w14:paraId="57358AE8"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TGCTCAAACTGTCAATTCCTAGTGATGACCGGCCTTTCTTGCGCGTTCCCAAGTCGTTTG</w:t>
      </w:r>
    </w:p>
    <w:p w14:paraId="3C1EDCAB"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ATGATCTACAGGGACTTAACGGGCTCCTTAAGAAGTATCGCGATATCTATCCATACCGCA</w:t>
      </w:r>
    </w:p>
    <w:p w14:paraId="070465AA"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TTCTCATCTGTTACGTCATTACTTACTTATTGTAAGGTTCTTTCTGTCCCTCGCAGCGAT</w:t>
      </w:r>
    </w:p>
    <w:p w14:paraId="4EBCE08E"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GACCTTACCCTCTCTAGCCTCCAGGCTTTCTCCCTTCCTGGGTCCATGTACCTCTCCATC</w:t>
      </w:r>
    </w:p>
    <w:p w14:paraId="3EFF9176"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CTCGCCGGGGCGATGTGGGGTGTCCCCCGTGCCCTCCTCCTTGCCTGTACCTGCGTCGCA</w:t>
      </w:r>
    </w:p>
    <w:p w14:paraId="6D7C2897"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ACCGGAGCCACCCTCTGCTACCTCATTAGTGCTGCCTTTGGACCCGCCCTTCTCACTGTC</w:t>
      </w:r>
    </w:p>
    <w:p w14:paraId="4F2E290F"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CCCAGGTGGAAATCCCGTCTTGATGAATGGTCCGAAAAACTTCGCGCCCAAAAAGATAAC</w:t>
      </w:r>
    </w:p>
    <w:p w14:paraId="38E9F632"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ATTATATCCTTCCTCATTGTTCTCCGCATTGCCCCCCTCCCTCCACACTGGGTCATCAAT</w:t>
      </w:r>
    </w:p>
    <w:p w14:paraId="0296BC87"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GTCGTCTGTCCACACGTCGGGATTGGGCTCATCCCGTTCTGGACAAGCACGTGGTTGGGT</w:t>
      </w:r>
    </w:p>
    <w:p w14:paraId="6BCB2AC8"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ATCTTTGGCGTAACAGTCATACATACGACGATTGGGGGAGGGTTGGACGAGATGACGTCG</w:t>
      </w:r>
    </w:p>
    <w:p w14:paraId="6C352D26"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GCCGCAGATTTCCATTTGATCTCGTGGAAGAACTTCTTTTTGTTGTCGGCGGTCGTTGTA</w:t>
      </w:r>
    </w:p>
    <w:p w14:paraId="4F11EA56"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GGGGTGCTGATCCCCGTGGGCATGCGGTATTACTTCAAGCGGGAAACGGCCTCCACCACA</w:t>
      </w:r>
    </w:p>
    <w:p w14:paraId="7D57D5DB"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GACGCTGAACGAGGGGAACTGTTAGGGGAGTTTTTGGAAGAAGAGGATCAGATCCTCACC</w:t>
      </w:r>
    </w:p>
    <w:p w14:paraId="2DB432FD"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GTTGGCCCCATGCCTCGCTCCAAGAAACCCACAGCCTCTCCAGTAGCGAATCTCTTCGGC</w:t>
      </w:r>
    </w:p>
    <w:p w14:paraId="7514D445"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CAGGACAATGATCCGTTCCTCGACGATGAAGGAGATGGTGACGATGACGATGACGACGTG</w:t>
      </w:r>
    </w:p>
    <w:p w14:paraId="3B205C65"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ATATTAGAGGCAGGACCTGCCATCGTGATCAAGTCACCTTCAGAGCCAAGCGACTTGGGA</w:t>
      </w:r>
    </w:p>
    <w:p w14:paraId="638555F2"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AGCGCAGGCAATTAATGGTAGAAGTAGCAGTCTGCCTGCCATTTCGTGATTGGTAGATTT</w:t>
      </w:r>
    </w:p>
    <w:p w14:paraId="0D3F1B28"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GATATCACTCCATCGTTAGATTAGGGGATCCGGACTGGAAGTTCACATGTACATCATATG</w:t>
      </w:r>
    </w:p>
    <w:p w14:paraId="490172C5"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TATCGCTTAAATGATTCAGAGGTAGAATGGAGCACTACACAACCTGGTCAACACACGAAC</w:t>
      </w:r>
    </w:p>
    <w:p w14:paraId="579CD3F8"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TCGTTAGTAATTCCATATGTATGTATGTAGCTCGCGTCTACAAGGTGTTAACAGTACTAG</w:t>
      </w:r>
    </w:p>
    <w:p w14:paraId="367CBA38"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t>TGCGATAGTAGTACTAGCTAGTACACTTAGTGGGTACTAGTTAGCAGCACCACGTTGAAA</w:t>
      </w:r>
    </w:p>
    <w:p w14:paraId="6A00CA1D" w14:textId="77777777" w:rsidR="000D7D3D" w:rsidRPr="00635993" w:rsidRDefault="000D7D3D" w:rsidP="00635993">
      <w:pPr>
        <w:spacing w:line="240" w:lineRule="auto"/>
        <w:contextualSpacing/>
        <w:rPr>
          <w:rFonts w:ascii="Courier New" w:hAnsi="Courier New" w:cs="Courier New"/>
          <w:sz w:val="22"/>
          <w:szCs w:val="22"/>
          <w:lang w:eastAsia="en-GB"/>
        </w:rPr>
      </w:pPr>
      <w:r w:rsidRPr="00635993">
        <w:rPr>
          <w:rFonts w:ascii="Courier New" w:hAnsi="Courier New" w:cs="Courier New"/>
          <w:sz w:val="22"/>
          <w:szCs w:val="22"/>
          <w:lang w:eastAsia="en-GB"/>
        </w:rPr>
        <w:lastRenderedPageBreak/>
        <w:t>CAAGTCAGCTTCTGCGTGTTCTTCACGCTCTTTAAAGGTCGTCTGTCGCACACAGAATAA</w:t>
      </w:r>
    </w:p>
    <w:p w14:paraId="03F433A3" w14:textId="542555A8" w:rsidR="000D7D3D" w:rsidRPr="000D7D3D" w:rsidRDefault="000D7D3D" w:rsidP="00635993">
      <w:pPr>
        <w:spacing w:line="240" w:lineRule="auto"/>
        <w:contextualSpacing/>
      </w:pPr>
      <w:r w:rsidRPr="00635993">
        <w:rPr>
          <w:rFonts w:ascii="Courier New" w:hAnsi="Courier New" w:cs="Courier New"/>
          <w:sz w:val="22"/>
          <w:szCs w:val="22"/>
          <w:lang w:eastAsia="en-GB"/>
        </w:rPr>
        <w:t>TTCTAGATCTCTTATATAGTGAGTCTGTCAGTCTGATATCATCAAGCTTGTCTG</w:t>
      </w:r>
    </w:p>
    <w:p w14:paraId="4A6DA418" w14:textId="77777777" w:rsidR="000D7D3D" w:rsidRPr="000D7D3D" w:rsidRDefault="000D7D3D" w:rsidP="003F7054">
      <w:r w:rsidRPr="000D7D3D">
        <w:br w:type="page"/>
      </w:r>
    </w:p>
    <w:p w14:paraId="6B3D092E" w14:textId="6B0DD5DA" w:rsidR="000D7D3D" w:rsidRPr="00B46FB7" w:rsidRDefault="000D7D3D" w:rsidP="00635993">
      <w:pPr>
        <w:pStyle w:val="Heading2"/>
      </w:pPr>
      <w:bookmarkStart w:id="590" w:name="_Toc507604102"/>
      <w:bookmarkStart w:id="591" w:name="_Toc507604369"/>
      <w:bookmarkStart w:id="592" w:name="_Toc519017071"/>
      <w:bookmarkStart w:id="593" w:name="_Toc520837984"/>
      <w:r w:rsidRPr="000D7D3D">
        <w:lastRenderedPageBreak/>
        <w:t xml:space="preserve">Supplementary data 4. </w:t>
      </w:r>
      <w:r w:rsidRPr="00635993">
        <w:rPr>
          <w:b w:val="0"/>
        </w:rPr>
        <w:t xml:space="preserve">Amino acid sequences of the </w:t>
      </w:r>
      <w:r w:rsidRPr="00635993">
        <w:rPr>
          <w:b w:val="0"/>
          <w:i/>
        </w:rPr>
        <w:t>P. involutus</w:t>
      </w:r>
      <w:r w:rsidRPr="00635993">
        <w:rPr>
          <w:b w:val="0"/>
        </w:rPr>
        <w:t xml:space="preserve"> </w:t>
      </w:r>
      <w:r w:rsidRPr="00635993">
        <w:rPr>
          <w:b w:val="0"/>
          <w:i/>
        </w:rPr>
        <w:t xml:space="preserve">ATCC 200175 </w:t>
      </w:r>
      <w:r w:rsidR="00BA5074">
        <w:rPr>
          <w:b w:val="0"/>
        </w:rPr>
        <w:t>putative weathering</w:t>
      </w:r>
      <w:r w:rsidRPr="00635993">
        <w:rPr>
          <w:b w:val="0"/>
        </w:rPr>
        <w:t xml:space="preserve"> transporters</w:t>
      </w:r>
      <w:bookmarkEnd w:id="590"/>
      <w:bookmarkEnd w:id="591"/>
      <w:bookmarkEnd w:id="592"/>
      <w:bookmarkEnd w:id="593"/>
    </w:p>
    <w:p w14:paraId="1F960919" w14:textId="77777777" w:rsidR="000D7D3D" w:rsidRPr="00635993" w:rsidRDefault="000D7D3D" w:rsidP="00635993">
      <w:pPr>
        <w:spacing w:line="240" w:lineRule="auto"/>
        <w:rPr>
          <w:rFonts w:ascii="Courier New" w:hAnsi="Courier New" w:cs="Courier New"/>
          <w:sz w:val="22"/>
          <w:szCs w:val="22"/>
          <w:lang w:eastAsia="en-GB"/>
        </w:rPr>
      </w:pPr>
      <w:r w:rsidRPr="00635993">
        <w:rPr>
          <w:rFonts w:ascii="Courier New" w:hAnsi="Courier New" w:cs="Courier New"/>
          <w:b/>
          <w:sz w:val="22"/>
          <w:szCs w:val="22"/>
          <w:lang w:eastAsia="en-GB"/>
        </w:rPr>
        <w:t>&gt;PiPMA_169584</w:t>
      </w:r>
      <w:r w:rsidRPr="00635993">
        <w:rPr>
          <w:rFonts w:ascii="Courier New" w:hAnsi="Courier New" w:cs="Courier New"/>
          <w:sz w:val="22"/>
          <w:szCs w:val="22"/>
          <w:lang w:eastAsia="en-GB"/>
        </w:rPr>
        <w:br/>
        <w:t>MSEPNVEKEPGPQGDEPAITQTPFEKKKREYKDFGHEEEKPTHANVDMSLIELKAEDLYD</w:t>
      </w:r>
      <w:r w:rsidRPr="00635993">
        <w:rPr>
          <w:rFonts w:ascii="Courier New" w:hAnsi="Courier New" w:cs="Courier New"/>
          <w:sz w:val="22"/>
          <w:szCs w:val="22"/>
          <w:lang w:eastAsia="en-GB"/>
        </w:rPr>
        <w:br/>
        <w:t>KEKVDLETIVIDDVFKLLQCDEIGLTSEEATRRIELFGPNKLEQEEQNAFLQFLSFMWNP</w:t>
      </w:r>
      <w:r w:rsidRPr="00635993">
        <w:rPr>
          <w:rFonts w:ascii="Courier New" w:hAnsi="Courier New" w:cs="Courier New"/>
          <w:sz w:val="22"/>
          <w:szCs w:val="22"/>
          <w:lang w:eastAsia="en-GB"/>
        </w:rPr>
        <w:br/>
        <w:t>LSWVMEGAALVAIVLSNGDHQPPDWPDFLGIVLLLFINSTIGFYEERNAGNAVKALMDSL</w:t>
      </w:r>
      <w:r w:rsidRPr="00635993">
        <w:rPr>
          <w:rFonts w:ascii="Courier New" w:hAnsi="Courier New" w:cs="Courier New"/>
          <w:sz w:val="22"/>
          <w:szCs w:val="22"/>
          <w:lang w:eastAsia="en-GB"/>
        </w:rPr>
        <w:br/>
        <w:t>APKAKVKRNGTWSEIESSDLVPGDMVSFKIGDIVPADCRLTEAINVSIDQAALTGESLPQ</w:t>
      </w:r>
      <w:r w:rsidRPr="00635993">
        <w:rPr>
          <w:rFonts w:ascii="Courier New" w:hAnsi="Courier New" w:cs="Courier New"/>
          <w:sz w:val="22"/>
          <w:szCs w:val="22"/>
          <w:lang w:eastAsia="en-GB"/>
        </w:rPr>
        <w:br/>
        <w:t>SKKVGDQCFSGSTCKQGEAEGVVISTGANTFFGRAASLVGQDDDTTGHLQKILAQIGSFC</w:t>
      </w:r>
      <w:r w:rsidRPr="00635993">
        <w:rPr>
          <w:rFonts w:ascii="Courier New" w:hAnsi="Courier New" w:cs="Courier New"/>
          <w:sz w:val="22"/>
          <w:szCs w:val="22"/>
          <w:lang w:eastAsia="en-GB"/>
        </w:rPr>
        <w:br/>
        <w:t>LVSIGIFVLAEILVLYAGFRYSYRRGLNNILVLLIGGIPIAMPTVLSVTLAVGAQQLAKH</w:t>
      </w:r>
      <w:r w:rsidRPr="00635993">
        <w:rPr>
          <w:rFonts w:ascii="Courier New" w:hAnsi="Courier New" w:cs="Courier New"/>
          <w:sz w:val="22"/>
          <w:szCs w:val="22"/>
          <w:lang w:eastAsia="en-GB"/>
        </w:rPr>
        <w:br/>
        <w:t>KAIVTRITAIEELAGVTILCSDKTGTLTTNKLTIDRATIRTYGPFSADDVMLLAAYASRT</w:t>
      </w:r>
      <w:r w:rsidRPr="00635993">
        <w:rPr>
          <w:rFonts w:ascii="Courier New" w:hAnsi="Courier New" w:cs="Courier New"/>
          <w:sz w:val="22"/>
          <w:szCs w:val="22"/>
          <w:lang w:eastAsia="en-GB"/>
        </w:rPr>
        <w:br/>
        <w:t>ENQDAIDASVVTALGDVSRARAGIKLLDFKPFNPVDKRTEITYLEESSGKLKRVTKGMTG</w:t>
      </w:r>
      <w:r w:rsidRPr="00635993">
        <w:rPr>
          <w:rFonts w:ascii="Courier New" w:hAnsi="Courier New" w:cs="Courier New"/>
          <w:sz w:val="22"/>
          <w:szCs w:val="22"/>
          <w:lang w:eastAsia="en-GB"/>
        </w:rPr>
        <w:br/>
        <w:t>IIIELCTRNKTEEIENKLEADVEEFATRGLRALAVAYEELDGDDPEAEGNGFELIGLLAI</w:t>
      </w:r>
      <w:r w:rsidRPr="00635993">
        <w:rPr>
          <w:rFonts w:ascii="Courier New" w:hAnsi="Courier New" w:cs="Courier New"/>
          <w:sz w:val="22"/>
          <w:szCs w:val="22"/>
          <w:lang w:eastAsia="en-GB"/>
        </w:rPr>
        <w:br/>
        <w:t>FDPPREDTKQTIDDAQALGVKVKMVTGDQLAIAKETGRRLGLGDHMYPAKVLKDGPAPGG</w:t>
      </w:r>
      <w:r w:rsidRPr="00635993">
        <w:rPr>
          <w:rFonts w:ascii="Courier New" w:hAnsi="Courier New" w:cs="Courier New"/>
          <w:sz w:val="22"/>
          <w:szCs w:val="22"/>
          <w:lang w:eastAsia="en-GB"/>
        </w:rPr>
        <w:br/>
        <w:t>KHMNLDEMILDADGFAGVFPEHKYEIVKRLQGLGHLCAMTGDGANDAPALSRANVGIAVE</w:t>
      </w:r>
      <w:r w:rsidRPr="00635993">
        <w:rPr>
          <w:rFonts w:ascii="Courier New" w:hAnsi="Courier New" w:cs="Courier New"/>
          <w:sz w:val="22"/>
          <w:szCs w:val="22"/>
          <w:lang w:eastAsia="en-GB"/>
        </w:rPr>
        <w:br/>
        <w:t>GATDAARGAADIVLTEPGLSTIVHAIRGSRIIFQRMRNYSIYACAVTIRIVVCFAILAFA</w:t>
      </w:r>
      <w:r w:rsidRPr="00635993">
        <w:rPr>
          <w:rFonts w:ascii="Courier New" w:hAnsi="Courier New" w:cs="Courier New"/>
          <w:sz w:val="22"/>
          <w:szCs w:val="22"/>
          <w:lang w:eastAsia="en-GB"/>
        </w:rPr>
        <w:br/>
        <w:t>FRFDFPPFMVLIIALLNDGTIMTLSVDRVLPSMTPDAWDLAEIFSYAVAYGLYLTASTVA</w:t>
      </w:r>
      <w:r w:rsidRPr="00635993">
        <w:rPr>
          <w:rFonts w:ascii="Courier New" w:hAnsi="Courier New" w:cs="Courier New"/>
          <w:sz w:val="22"/>
          <w:szCs w:val="22"/>
          <w:lang w:eastAsia="en-GB"/>
        </w:rPr>
        <w:br/>
        <w:t>LVAIILKTSFFHDNFGVTFNGSVYPSSSNDAQLHTIVYLQVAIISQALIFVTRSHGFFFM</w:t>
      </w:r>
      <w:r w:rsidRPr="00635993">
        <w:rPr>
          <w:rFonts w:ascii="Courier New" w:hAnsi="Courier New" w:cs="Courier New"/>
          <w:sz w:val="22"/>
          <w:szCs w:val="22"/>
          <w:lang w:eastAsia="en-GB"/>
        </w:rPr>
        <w:br/>
        <w:t>ERPSVALMVAFCIAQLISSIIAAYGNWGFTQIQGISGGWIGIIWIWNIVWFAPLDWIKFA</w:t>
      </w:r>
      <w:r w:rsidRPr="00635993">
        <w:rPr>
          <w:rFonts w:ascii="Courier New" w:hAnsi="Courier New" w:cs="Courier New"/>
          <w:sz w:val="22"/>
          <w:szCs w:val="22"/>
          <w:lang w:eastAsia="en-GB"/>
        </w:rPr>
        <w:br/>
        <w:t>MKATVIKRMRERHDRKAAAAAQEASQGGFPITRTQSRAASIHESMYSNRVSFIRRAARKV</w:t>
      </w:r>
      <w:r w:rsidRPr="00635993">
        <w:rPr>
          <w:rFonts w:ascii="Courier New" w:hAnsi="Courier New" w:cs="Courier New"/>
          <w:sz w:val="22"/>
          <w:szCs w:val="22"/>
          <w:lang w:eastAsia="en-GB"/>
        </w:rPr>
        <w:br/>
        <w:t>GFGRKIAMKPEELQRFSSIQAQRTGATLARNPSRTGA</w:t>
      </w:r>
    </w:p>
    <w:p w14:paraId="59E7C066" w14:textId="77777777" w:rsidR="000D7D3D" w:rsidRPr="00635993" w:rsidRDefault="000D7D3D" w:rsidP="00635993">
      <w:pPr>
        <w:spacing w:line="240" w:lineRule="auto"/>
        <w:rPr>
          <w:rFonts w:ascii="Courier New" w:hAnsi="Courier New" w:cs="Courier New"/>
          <w:sz w:val="22"/>
          <w:szCs w:val="22"/>
        </w:rPr>
      </w:pPr>
    </w:p>
    <w:p w14:paraId="2ACCEB5D" w14:textId="77777777" w:rsidR="000D7D3D" w:rsidRPr="00635993" w:rsidRDefault="000D7D3D" w:rsidP="00635993">
      <w:pPr>
        <w:spacing w:line="240" w:lineRule="auto"/>
        <w:rPr>
          <w:rFonts w:ascii="Courier New" w:hAnsi="Courier New" w:cs="Courier New"/>
          <w:sz w:val="22"/>
          <w:szCs w:val="22"/>
          <w:lang w:eastAsia="en-GB"/>
        </w:rPr>
      </w:pPr>
      <w:r w:rsidRPr="00635993">
        <w:rPr>
          <w:rFonts w:ascii="Courier New" w:hAnsi="Courier New" w:cs="Courier New"/>
          <w:b/>
          <w:sz w:val="22"/>
          <w:szCs w:val="22"/>
          <w:lang w:eastAsia="en-GB"/>
        </w:rPr>
        <w:t>&gt;PiBEST_</w:t>
      </w:r>
      <w:r w:rsidRPr="00635993">
        <w:rPr>
          <w:rFonts w:ascii="Courier New" w:hAnsi="Courier New" w:cs="Courier New"/>
          <w:b/>
          <w:sz w:val="22"/>
          <w:szCs w:val="22"/>
        </w:rPr>
        <w:t>168819</w:t>
      </w:r>
      <w:r w:rsidRPr="00635993">
        <w:rPr>
          <w:rFonts w:ascii="Courier New" w:hAnsi="Courier New" w:cs="Courier New"/>
          <w:sz w:val="22"/>
          <w:szCs w:val="22"/>
          <w:lang w:eastAsia="en-GB"/>
        </w:rPr>
        <w:br/>
        <w:t>MPNDSDQVDITREAVPRDPFELLPASQWSTFVNALLATALFRCWHILIFFVMWSTMVCVV</w:t>
      </w:r>
      <w:r w:rsidRPr="00635993">
        <w:rPr>
          <w:rFonts w:ascii="Courier New" w:hAnsi="Courier New" w:cs="Courier New"/>
          <w:sz w:val="22"/>
          <w:szCs w:val="22"/>
          <w:lang w:eastAsia="en-GB"/>
        </w:rPr>
        <w:br/>
        <w:t>SSHVHSLAIQPTLITVFGTVLGFVISYRTTSSFERYNEGRRLWSQIVLGSRVFARTIWFH</w:t>
      </w:r>
      <w:r w:rsidRPr="00635993">
        <w:rPr>
          <w:rFonts w:ascii="Courier New" w:hAnsi="Courier New" w:cs="Courier New"/>
          <w:sz w:val="22"/>
          <w:szCs w:val="22"/>
          <w:lang w:eastAsia="en-GB"/>
        </w:rPr>
        <w:br/>
        <w:t>VPDNTMPNAGGLSEDERRARTLVEKKTIINLLEAYAVSVKHYLRGEDGIFYADLYPLVKF</w:t>
      </w:r>
      <w:r w:rsidRPr="00635993">
        <w:rPr>
          <w:rFonts w:ascii="Courier New" w:hAnsi="Courier New" w:cs="Courier New"/>
          <w:sz w:val="22"/>
          <w:szCs w:val="22"/>
          <w:lang w:eastAsia="en-GB"/>
        </w:rPr>
        <w:br/>
        <w:t>LPPYALPASIPSSADLPGDMRAERVSQSEDGDVPASPRSVQFPASVMHRRTTEATISELP</w:t>
      </w:r>
      <w:r w:rsidRPr="00635993">
        <w:rPr>
          <w:rFonts w:ascii="Courier New" w:hAnsi="Courier New" w:cs="Courier New"/>
          <w:sz w:val="22"/>
          <w:szCs w:val="22"/>
          <w:lang w:eastAsia="en-GB"/>
        </w:rPr>
        <w:br/>
        <w:t>LPSTTPGTRANTLVGPILQVNGRPQGGKKVSTEPNDELYILPAQIPPKYSMFDLFPFSLL</w:t>
      </w:r>
      <w:r w:rsidRPr="00635993">
        <w:rPr>
          <w:rFonts w:ascii="Courier New" w:hAnsi="Courier New" w:cs="Courier New"/>
          <w:sz w:val="22"/>
          <w:szCs w:val="22"/>
          <w:lang w:eastAsia="en-GB"/>
        </w:rPr>
        <w:br/>
        <w:t>VKMLTKRGHDVKGKKAARLRAQMRNHRGGMSHNIPLEISLYLSSYISALQTRKANVDTPT</w:t>
      </w:r>
      <w:r w:rsidRPr="00635993">
        <w:rPr>
          <w:rFonts w:ascii="Courier New" w:hAnsi="Courier New" w:cs="Courier New"/>
          <w:sz w:val="22"/>
          <w:szCs w:val="22"/>
          <w:lang w:eastAsia="en-GB"/>
        </w:rPr>
        <w:br/>
        <w:t>IGLLFGTLNQLVDALTGLERILTTPIPFSYSIHLWLVTAIYCLALPFQIWSALKWLTIPA</w:t>
      </w:r>
      <w:r w:rsidRPr="00635993">
        <w:rPr>
          <w:rFonts w:ascii="Courier New" w:hAnsi="Courier New" w:cs="Courier New"/>
          <w:sz w:val="22"/>
          <w:szCs w:val="22"/>
          <w:lang w:eastAsia="en-GB"/>
        </w:rPr>
        <w:br/>
        <w:t>TVFASFAFFGFLVAGEEIENPFGYDKNDLNMDLFVHNIIRKELRALTTTPTPDPGVWAFS</w:t>
      </w:r>
      <w:r w:rsidRPr="00635993">
        <w:rPr>
          <w:rFonts w:ascii="Courier New" w:hAnsi="Courier New" w:cs="Courier New"/>
          <w:sz w:val="22"/>
          <w:szCs w:val="22"/>
          <w:lang w:eastAsia="en-GB"/>
        </w:rPr>
        <w:br/>
        <w:t>SENDLLLASRAHGERISPTEWVRRGVPKMQDALALY</w:t>
      </w:r>
    </w:p>
    <w:p w14:paraId="126E0E41" w14:textId="77777777" w:rsidR="000D7D3D" w:rsidRPr="00635993" w:rsidRDefault="000D7D3D" w:rsidP="00635993">
      <w:pPr>
        <w:spacing w:line="240" w:lineRule="auto"/>
        <w:rPr>
          <w:rFonts w:ascii="Courier New" w:hAnsi="Courier New" w:cs="Courier New"/>
          <w:sz w:val="22"/>
          <w:szCs w:val="22"/>
        </w:rPr>
      </w:pPr>
    </w:p>
    <w:p w14:paraId="23258152" w14:textId="77777777" w:rsidR="000D7D3D" w:rsidRPr="00635993" w:rsidRDefault="000D7D3D" w:rsidP="00635993">
      <w:pPr>
        <w:spacing w:line="240" w:lineRule="auto"/>
        <w:rPr>
          <w:rFonts w:ascii="Courier New" w:hAnsi="Courier New" w:cs="Courier New"/>
          <w:sz w:val="22"/>
          <w:szCs w:val="22"/>
          <w:lang w:eastAsia="en-GB"/>
        </w:rPr>
      </w:pPr>
      <w:r w:rsidRPr="00635993">
        <w:rPr>
          <w:rFonts w:ascii="Courier New" w:hAnsi="Courier New" w:cs="Courier New"/>
          <w:b/>
          <w:sz w:val="22"/>
          <w:szCs w:val="22"/>
          <w:lang w:eastAsia="en-GB"/>
        </w:rPr>
        <w:t>&gt;PiOAR_181044</w:t>
      </w:r>
      <w:r w:rsidRPr="00635993">
        <w:rPr>
          <w:rFonts w:ascii="Courier New" w:hAnsi="Courier New" w:cs="Courier New"/>
          <w:sz w:val="22"/>
          <w:szCs w:val="22"/>
          <w:lang w:eastAsia="en-GB"/>
        </w:rPr>
        <w:br/>
        <w:t>MAAVFTVSSLLLGGTLWLALPTLQDDDRPFLRVPKSFDDLQGLNGLLKKYRDIYPYRILI</w:t>
      </w:r>
      <w:r w:rsidRPr="00635993">
        <w:rPr>
          <w:rFonts w:ascii="Courier New" w:hAnsi="Courier New" w:cs="Courier New"/>
          <w:sz w:val="22"/>
          <w:szCs w:val="22"/>
          <w:lang w:eastAsia="en-GB"/>
        </w:rPr>
        <w:br/>
        <w:t>CYVITYLFLQAFSLPGSMYLSILAGAMWGVPRALLLACTCVATGATLCYLISAAFGPALL</w:t>
      </w:r>
      <w:r w:rsidRPr="00635993">
        <w:rPr>
          <w:rFonts w:ascii="Courier New" w:hAnsi="Courier New" w:cs="Courier New"/>
          <w:sz w:val="22"/>
          <w:szCs w:val="22"/>
          <w:lang w:eastAsia="en-GB"/>
        </w:rPr>
        <w:br/>
        <w:t>TVPRWKSRLDEWSEKLRAQKDNIISFLIVLRIAPLPPHWVINVVCPHVGIGLIPFWTSTW</w:t>
      </w:r>
      <w:r w:rsidRPr="00635993">
        <w:rPr>
          <w:rFonts w:ascii="Courier New" w:hAnsi="Courier New" w:cs="Courier New"/>
          <w:sz w:val="22"/>
          <w:szCs w:val="22"/>
          <w:lang w:eastAsia="en-GB"/>
        </w:rPr>
        <w:br/>
        <w:t>LGIFGVTVIHTTIGGGLDEMTSAADFHLISWKNFFLLSAVVVGVLIPVGMRYYFKRETAS</w:t>
      </w:r>
      <w:r w:rsidRPr="00635993">
        <w:rPr>
          <w:rFonts w:ascii="Courier New" w:hAnsi="Courier New" w:cs="Courier New"/>
          <w:sz w:val="22"/>
          <w:szCs w:val="22"/>
          <w:lang w:eastAsia="en-GB"/>
        </w:rPr>
        <w:br/>
        <w:t>TTDAERGELLGEFLEEEDQILTVGPMPRSKKPTASPVANLFGQDNDPFLDDEGDGDDDDD</w:t>
      </w:r>
      <w:r w:rsidRPr="00635993">
        <w:rPr>
          <w:rFonts w:ascii="Courier New" w:hAnsi="Courier New" w:cs="Courier New"/>
          <w:sz w:val="22"/>
          <w:szCs w:val="22"/>
          <w:lang w:eastAsia="en-GB"/>
        </w:rPr>
        <w:br/>
        <w:t>DVILEAGPAIVIKSPSEPSDLGSAGN</w:t>
      </w:r>
    </w:p>
    <w:p w14:paraId="70DEF8FC" w14:textId="77777777" w:rsidR="000D7D3D" w:rsidRPr="000D7D3D" w:rsidRDefault="000D7D3D" w:rsidP="003F7054">
      <w:r w:rsidRPr="000D7D3D">
        <w:br w:type="page"/>
      </w:r>
    </w:p>
    <w:p w14:paraId="3502BF5A" w14:textId="55B34511" w:rsidR="000D7D3D" w:rsidRPr="00B46FB7" w:rsidRDefault="000D7D3D" w:rsidP="00635993">
      <w:pPr>
        <w:pStyle w:val="Heading2"/>
      </w:pPr>
      <w:bookmarkStart w:id="594" w:name="_Toc507604103"/>
      <w:bookmarkStart w:id="595" w:name="_Toc507604370"/>
      <w:bookmarkStart w:id="596" w:name="_Toc519017072"/>
      <w:bookmarkStart w:id="597" w:name="_Toc520837985"/>
      <w:r w:rsidRPr="000D7D3D">
        <w:lastRenderedPageBreak/>
        <w:t xml:space="preserve">Table 1. </w:t>
      </w:r>
      <w:r w:rsidRPr="00635993">
        <w:rPr>
          <w:b w:val="0"/>
        </w:rPr>
        <w:t xml:space="preserve">Composition of the FS and 10% </w:t>
      </w:r>
      <w:r w:rsidR="00D66DE2">
        <w:rPr>
          <w:b w:val="0"/>
        </w:rPr>
        <w:t xml:space="preserve">strength </w:t>
      </w:r>
      <w:r w:rsidRPr="00635993">
        <w:rPr>
          <w:b w:val="0"/>
        </w:rPr>
        <w:t>MMN fungal culture media.</w:t>
      </w:r>
      <w:bookmarkEnd w:id="594"/>
      <w:bookmarkEnd w:id="595"/>
      <w:bookmarkEnd w:id="596"/>
      <w:bookmarkEnd w:id="59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8"/>
        <w:gridCol w:w="2337"/>
        <w:gridCol w:w="2338"/>
      </w:tblGrid>
      <w:tr w:rsidR="000D7D3D" w:rsidRPr="00D66DE2" w14:paraId="777D6F37" w14:textId="77777777" w:rsidTr="002D60C9">
        <w:trPr>
          <w:trHeight w:val="414"/>
        </w:trPr>
        <w:tc>
          <w:tcPr>
            <w:tcW w:w="2337" w:type="dxa"/>
            <w:tcBorders>
              <w:top w:val="single" w:sz="4" w:space="0" w:color="auto"/>
              <w:bottom w:val="single" w:sz="4" w:space="0" w:color="auto"/>
            </w:tcBorders>
          </w:tcPr>
          <w:p w14:paraId="4573B770" w14:textId="77777777" w:rsidR="000D7D3D" w:rsidRPr="00635993" w:rsidRDefault="000D7D3D" w:rsidP="003F7054">
            <w:pPr>
              <w:rPr>
                <w:b/>
                <w:sz w:val="22"/>
              </w:rPr>
            </w:pPr>
            <w:r w:rsidRPr="00635993">
              <w:rPr>
                <w:b/>
                <w:sz w:val="22"/>
              </w:rPr>
              <w:t>Compound</w:t>
            </w:r>
          </w:p>
        </w:tc>
        <w:tc>
          <w:tcPr>
            <w:tcW w:w="2338" w:type="dxa"/>
            <w:tcBorders>
              <w:top w:val="single" w:sz="4" w:space="0" w:color="auto"/>
              <w:bottom w:val="single" w:sz="4" w:space="0" w:color="auto"/>
            </w:tcBorders>
          </w:tcPr>
          <w:p w14:paraId="03511211" w14:textId="77777777" w:rsidR="000D7D3D" w:rsidRPr="00635993" w:rsidRDefault="000D7D3D" w:rsidP="007F746A">
            <w:pPr>
              <w:rPr>
                <w:b/>
                <w:sz w:val="22"/>
              </w:rPr>
            </w:pPr>
            <w:r w:rsidRPr="00635993">
              <w:rPr>
                <w:b/>
                <w:sz w:val="22"/>
              </w:rPr>
              <w:t>FS MMN</w:t>
            </w:r>
          </w:p>
        </w:tc>
        <w:tc>
          <w:tcPr>
            <w:tcW w:w="2337" w:type="dxa"/>
            <w:tcBorders>
              <w:top w:val="single" w:sz="4" w:space="0" w:color="auto"/>
              <w:bottom w:val="single" w:sz="4" w:space="0" w:color="auto"/>
            </w:tcBorders>
          </w:tcPr>
          <w:p w14:paraId="582EC980" w14:textId="77777777" w:rsidR="000D7D3D" w:rsidRPr="00635993" w:rsidRDefault="000D7D3D" w:rsidP="00FB36B8">
            <w:pPr>
              <w:rPr>
                <w:b/>
                <w:sz w:val="22"/>
              </w:rPr>
            </w:pPr>
            <w:r w:rsidRPr="00635993">
              <w:rPr>
                <w:b/>
                <w:sz w:val="22"/>
              </w:rPr>
              <w:t>10% MMN</w:t>
            </w:r>
          </w:p>
        </w:tc>
        <w:tc>
          <w:tcPr>
            <w:tcW w:w="2338" w:type="dxa"/>
            <w:tcBorders>
              <w:top w:val="single" w:sz="4" w:space="0" w:color="auto"/>
              <w:bottom w:val="single" w:sz="4" w:space="0" w:color="auto"/>
            </w:tcBorders>
          </w:tcPr>
          <w:p w14:paraId="15F51D9B" w14:textId="77777777" w:rsidR="000D7D3D" w:rsidRPr="00635993" w:rsidRDefault="000D7D3D" w:rsidP="007C3C15">
            <w:pPr>
              <w:rPr>
                <w:b/>
                <w:sz w:val="22"/>
              </w:rPr>
            </w:pPr>
            <w:r w:rsidRPr="00635993">
              <w:rPr>
                <w:b/>
                <w:sz w:val="22"/>
              </w:rPr>
              <w:t>Supplier</w:t>
            </w:r>
          </w:p>
        </w:tc>
      </w:tr>
      <w:tr w:rsidR="000D7D3D" w:rsidRPr="00D66DE2" w14:paraId="585073BD" w14:textId="77777777" w:rsidTr="002D60C9">
        <w:trPr>
          <w:trHeight w:val="414"/>
        </w:trPr>
        <w:tc>
          <w:tcPr>
            <w:tcW w:w="2337" w:type="dxa"/>
            <w:tcBorders>
              <w:top w:val="single" w:sz="4" w:space="0" w:color="auto"/>
            </w:tcBorders>
          </w:tcPr>
          <w:p w14:paraId="22207BC1" w14:textId="77777777" w:rsidR="000D7D3D" w:rsidRPr="00635993" w:rsidRDefault="000D7D3D" w:rsidP="003F7054">
            <w:pPr>
              <w:rPr>
                <w:sz w:val="22"/>
              </w:rPr>
            </w:pPr>
            <w:r w:rsidRPr="00635993">
              <w:rPr>
                <w:sz w:val="22"/>
                <w:lang w:eastAsia="en-GB"/>
              </w:rPr>
              <w:t>CaCl</w:t>
            </w:r>
            <w:r w:rsidRPr="00635993">
              <w:rPr>
                <w:sz w:val="22"/>
                <w:vertAlign w:val="subscript"/>
                <w:lang w:eastAsia="en-GB"/>
              </w:rPr>
              <w:t>2</w:t>
            </w:r>
            <w:r w:rsidRPr="00635993">
              <w:rPr>
                <w:sz w:val="22"/>
                <w:lang w:eastAsia="en-GB"/>
              </w:rPr>
              <w:t>*2H</w:t>
            </w:r>
            <w:r w:rsidRPr="00635993">
              <w:rPr>
                <w:sz w:val="22"/>
                <w:vertAlign w:val="subscript"/>
                <w:lang w:eastAsia="en-GB"/>
              </w:rPr>
              <w:t>2</w:t>
            </w:r>
            <w:r w:rsidRPr="00635993">
              <w:rPr>
                <w:sz w:val="22"/>
                <w:lang w:eastAsia="en-GB"/>
              </w:rPr>
              <w:t>O</w:t>
            </w:r>
          </w:p>
        </w:tc>
        <w:tc>
          <w:tcPr>
            <w:tcW w:w="2338" w:type="dxa"/>
            <w:tcBorders>
              <w:top w:val="single" w:sz="4" w:space="0" w:color="auto"/>
            </w:tcBorders>
          </w:tcPr>
          <w:p w14:paraId="53386ECF" w14:textId="77777777" w:rsidR="000D7D3D" w:rsidRPr="00635993" w:rsidRDefault="000D7D3D" w:rsidP="007F746A">
            <w:pPr>
              <w:rPr>
                <w:sz w:val="22"/>
              </w:rPr>
            </w:pPr>
            <w:r w:rsidRPr="00635993">
              <w:rPr>
                <w:sz w:val="22"/>
                <w:lang w:eastAsia="en-GB"/>
              </w:rPr>
              <w:t>0.34 mM</w:t>
            </w:r>
          </w:p>
        </w:tc>
        <w:tc>
          <w:tcPr>
            <w:tcW w:w="2337" w:type="dxa"/>
            <w:tcBorders>
              <w:top w:val="single" w:sz="4" w:space="0" w:color="auto"/>
            </w:tcBorders>
          </w:tcPr>
          <w:p w14:paraId="36FFD0EB" w14:textId="77777777" w:rsidR="000D7D3D" w:rsidRPr="00635993" w:rsidRDefault="000D7D3D" w:rsidP="00FB36B8">
            <w:pPr>
              <w:rPr>
                <w:sz w:val="22"/>
              </w:rPr>
            </w:pPr>
            <w:r w:rsidRPr="00635993">
              <w:rPr>
                <w:sz w:val="22"/>
                <w:lang w:eastAsia="en-GB"/>
              </w:rPr>
              <w:t>0.34 mM</w:t>
            </w:r>
          </w:p>
        </w:tc>
        <w:tc>
          <w:tcPr>
            <w:tcW w:w="2338" w:type="dxa"/>
            <w:tcBorders>
              <w:top w:val="single" w:sz="4" w:space="0" w:color="auto"/>
            </w:tcBorders>
          </w:tcPr>
          <w:p w14:paraId="0EFE996C" w14:textId="77777777" w:rsidR="000D7D3D" w:rsidRPr="00635993" w:rsidRDefault="000D7D3D" w:rsidP="007C3C15">
            <w:pPr>
              <w:rPr>
                <w:rFonts w:cs="Arial"/>
                <w:sz w:val="22"/>
              </w:rPr>
            </w:pPr>
            <w:r w:rsidRPr="00635993">
              <w:rPr>
                <w:sz w:val="22"/>
              </w:rPr>
              <w:t>VWR</w:t>
            </w:r>
            <w:r w:rsidRPr="00635993">
              <w:rPr>
                <w:rFonts w:cs="Arial"/>
                <w:sz w:val="22"/>
                <w:lang w:eastAsia="en-GB"/>
              </w:rPr>
              <w:t xml:space="preserve"> </w:t>
            </w:r>
          </w:p>
        </w:tc>
      </w:tr>
      <w:tr w:rsidR="000D7D3D" w:rsidRPr="00D66DE2" w14:paraId="4E4C969B" w14:textId="77777777" w:rsidTr="002D60C9">
        <w:trPr>
          <w:trHeight w:val="414"/>
        </w:trPr>
        <w:tc>
          <w:tcPr>
            <w:tcW w:w="2337" w:type="dxa"/>
          </w:tcPr>
          <w:p w14:paraId="2174F9A5" w14:textId="77777777" w:rsidR="000D7D3D" w:rsidRPr="00635993" w:rsidRDefault="000D7D3D" w:rsidP="003F7054">
            <w:pPr>
              <w:rPr>
                <w:sz w:val="22"/>
              </w:rPr>
            </w:pPr>
            <w:r w:rsidRPr="00635993">
              <w:rPr>
                <w:sz w:val="22"/>
                <w:lang w:eastAsia="en-GB"/>
              </w:rPr>
              <w:t>NaCl</w:t>
            </w:r>
          </w:p>
        </w:tc>
        <w:tc>
          <w:tcPr>
            <w:tcW w:w="2338" w:type="dxa"/>
          </w:tcPr>
          <w:p w14:paraId="1F99FC92" w14:textId="77777777" w:rsidR="000D7D3D" w:rsidRPr="00635993" w:rsidRDefault="000D7D3D" w:rsidP="007F746A">
            <w:pPr>
              <w:rPr>
                <w:sz w:val="22"/>
              </w:rPr>
            </w:pPr>
            <w:r w:rsidRPr="00635993">
              <w:rPr>
                <w:sz w:val="22"/>
                <w:lang w:eastAsia="en-GB"/>
              </w:rPr>
              <w:t>0.43 mM</w:t>
            </w:r>
          </w:p>
        </w:tc>
        <w:tc>
          <w:tcPr>
            <w:tcW w:w="2337" w:type="dxa"/>
          </w:tcPr>
          <w:p w14:paraId="717B2768" w14:textId="77777777" w:rsidR="000D7D3D" w:rsidRPr="00635993" w:rsidRDefault="000D7D3D" w:rsidP="00FB36B8">
            <w:pPr>
              <w:rPr>
                <w:sz w:val="22"/>
              </w:rPr>
            </w:pPr>
            <w:r w:rsidRPr="00635993">
              <w:rPr>
                <w:sz w:val="22"/>
                <w:lang w:eastAsia="en-GB"/>
              </w:rPr>
              <w:t>0.43 mM</w:t>
            </w:r>
          </w:p>
        </w:tc>
        <w:tc>
          <w:tcPr>
            <w:tcW w:w="2338" w:type="dxa"/>
          </w:tcPr>
          <w:p w14:paraId="1CA3ADBB" w14:textId="77777777" w:rsidR="000D7D3D" w:rsidRPr="00635993" w:rsidRDefault="000D7D3D" w:rsidP="007C3C15">
            <w:pPr>
              <w:rPr>
                <w:rFonts w:cs="Arial"/>
                <w:sz w:val="22"/>
              </w:rPr>
            </w:pPr>
            <w:r w:rsidRPr="00635993">
              <w:rPr>
                <w:sz w:val="22"/>
              </w:rPr>
              <w:t>VWR</w:t>
            </w:r>
          </w:p>
        </w:tc>
      </w:tr>
      <w:tr w:rsidR="000D7D3D" w:rsidRPr="00D66DE2" w14:paraId="06C7A8DE" w14:textId="77777777" w:rsidTr="002D60C9">
        <w:trPr>
          <w:trHeight w:val="414"/>
        </w:trPr>
        <w:tc>
          <w:tcPr>
            <w:tcW w:w="2337" w:type="dxa"/>
          </w:tcPr>
          <w:p w14:paraId="6B3A9092" w14:textId="77777777" w:rsidR="000D7D3D" w:rsidRPr="00635993" w:rsidRDefault="000D7D3D" w:rsidP="003F7054">
            <w:pPr>
              <w:rPr>
                <w:sz w:val="22"/>
              </w:rPr>
            </w:pPr>
            <w:r w:rsidRPr="00635993">
              <w:rPr>
                <w:sz w:val="22"/>
                <w:lang w:eastAsia="en-GB"/>
              </w:rPr>
              <w:t>MgSO</w:t>
            </w:r>
            <w:r w:rsidRPr="00635993">
              <w:rPr>
                <w:sz w:val="22"/>
                <w:vertAlign w:val="subscript"/>
                <w:lang w:eastAsia="en-GB"/>
              </w:rPr>
              <w:t>4</w:t>
            </w:r>
            <w:r w:rsidRPr="00635993">
              <w:rPr>
                <w:sz w:val="22"/>
                <w:lang w:eastAsia="en-GB"/>
              </w:rPr>
              <w:t>*7H</w:t>
            </w:r>
            <w:r w:rsidRPr="00635993">
              <w:rPr>
                <w:sz w:val="22"/>
                <w:vertAlign w:val="subscript"/>
                <w:lang w:eastAsia="en-GB"/>
              </w:rPr>
              <w:t>2</w:t>
            </w:r>
            <w:r w:rsidRPr="00635993">
              <w:rPr>
                <w:sz w:val="22"/>
                <w:lang w:eastAsia="en-GB"/>
              </w:rPr>
              <w:t>O</w:t>
            </w:r>
          </w:p>
        </w:tc>
        <w:tc>
          <w:tcPr>
            <w:tcW w:w="2338" w:type="dxa"/>
          </w:tcPr>
          <w:p w14:paraId="40C93031" w14:textId="77777777" w:rsidR="000D7D3D" w:rsidRPr="00635993" w:rsidRDefault="000D7D3D" w:rsidP="007F746A">
            <w:pPr>
              <w:rPr>
                <w:sz w:val="22"/>
              </w:rPr>
            </w:pPr>
            <w:r w:rsidRPr="00635993">
              <w:rPr>
                <w:sz w:val="22"/>
                <w:lang w:eastAsia="en-GB"/>
              </w:rPr>
              <w:t>0.61 mM</w:t>
            </w:r>
          </w:p>
        </w:tc>
        <w:tc>
          <w:tcPr>
            <w:tcW w:w="2337" w:type="dxa"/>
          </w:tcPr>
          <w:p w14:paraId="014AAB16" w14:textId="77777777" w:rsidR="000D7D3D" w:rsidRPr="00635993" w:rsidRDefault="000D7D3D" w:rsidP="00FB36B8">
            <w:pPr>
              <w:rPr>
                <w:sz w:val="22"/>
              </w:rPr>
            </w:pPr>
            <w:r w:rsidRPr="00635993">
              <w:rPr>
                <w:sz w:val="22"/>
                <w:lang w:eastAsia="en-GB"/>
              </w:rPr>
              <w:t>0.61 mM</w:t>
            </w:r>
          </w:p>
        </w:tc>
        <w:tc>
          <w:tcPr>
            <w:tcW w:w="2338" w:type="dxa"/>
          </w:tcPr>
          <w:p w14:paraId="289211F5" w14:textId="77777777" w:rsidR="000D7D3D" w:rsidRPr="00635993" w:rsidRDefault="000D7D3D" w:rsidP="007C3C15">
            <w:pPr>
              <w:rPr>
                <w:rFonts w:cs="Arial"/>
                <w:sz w:val="22"/>
              </w:rPr>
            </w:pPr>
            <w:r w:rsidRPr="00635993">
              <w:rPr>
                <w:sz w:val="22"/>
              </w:rPr>
              <w:t>VWR</w:t>
            </w:r>
          </w:p>
        </w:tc>
      </w:tr>
      <w:tr w:rsidR="000D7D3D" w:rsidRPr="00D66DE2" w14:paraId="7E17DB5F" w14:textId="77777777" w:rsidTr="002D60C9">
        <w:trPr>
          <w:trHeight w:val="414"/>
        </w:trPr>
        <w:tc>
          <w:tcPr>
            <w:tcW w:w="2337" w:type="dxa"/>
          </w:tcPr>
          <w:p w14:paraId="34A608DB" w14:textId="3753E5D9" w:rsidR="000D7D3D" w:rsidRPr="00635993" w:rsidRDefault="000D7D3D" w:rsidP="003F7054">
            <w:pPr>
              <w:rPr>
                <w:sz w:val="22"/>
              </w:rPr>
            </w:pPr>
            <w:r w:rsidRPr="00635993">
              <w:rPr>
                <w:sz w:val="22"/>
                <w:lang w:eastAsia="en-GB"/>
              </w:rPr>
              <w:t>(NH</w:t>
            </w:r>
            <w:r w:rsidRPr="00635993">
              <w:rPr>
                <w:sz w:val="22"/>
                <w:vertAlign w:val="subscript"/>
                <w:lang w:eastAsia="en-GB"/>
              </w:rPr>
              <w:t>4</w:t>
            </w:r>
            <w:r w:rsidRPr="00635993">
              <w:rPr>
                <w:sz w:val="22"/>
                <w:lang w:eastAsia="en-GB"/>
              </w:rPr>
              <w:t>)</w:t>
            </w:r>
            <w:r w:rsidRPr="00635993">
              <w:rPr>
                <w:sz w:val="22"/>
                <w:vertAlign w:val="subscript"/>
                <w:lang w:eastAsia="en-GB"/>
              </w:rPr>
              <w:t>2</w:t>
            </w:r>
            <w:r w:rsidRPr="00635993">
              <w:rPr>
                <w:sz w:val="22"/>
                <w:lang w:eastAsia="en-GB"/>
              </w:rPr>
              <w:t>HPO</w:t>
            </w:r>
            <w:r w:rsidRPr="00635993">
              <w:rPr>
                <w:sz w:val="22"/>
                <w:vertAlign w:val="subscript"/>
                <w:lang w:eastAsia="en-GB"/>
              </w:rPr>
              <w:t>4</w:t>
            </w:r>
          </w:p>
        </w:tc>
        <w:tc>
          <w:tcPr>
            <w:tcW w:w="2338" w:type="dxa"/>
          </w:tcPr>
          <w:p w14:paraId="60AE7E3B" w14:textId="77777777" w:rsidR="000D7D3D" w:rsidRPr="00635993" w:rsidRDefault="000D7D3D" w:rsidP="007F746A">
            <w:pPr>
              <w:rPr>
                <w:sz w:val="22"/>
              </w:rPr>
            </w:pPr>
            <w:r w:rsidRPr="00635993">
              <w:rPr>
                <w:sz w:val="22"/>
                <w:lang w:eastAsia="en-GB"/>
              </w:rPr>
              <w:t>1.89 mM</w:t>
            </w:r>
          </w:p>
        </w:tc>
        <w:tc>
          <w:tcPr>
            <w:tcW w:w="2337" w:type="dxa"/>
          </w:tcPr>
          <w:p w14:paraId="212D7643" w14:textId="77777777" w:rsidR="000D7D3D" w:rsidRPr="00635993" w:rsidRDefault="000D7D3D" w:rsidP="00FB36B8">
            <w:pPr>
              <w:rPr>
                <w:sz w:val="22"/>
              </w:rPr>
            </w:pPr>
            <w:r w:rsidRPr="00635993">
              <w:rPr>
                <w:sz w:val="22"/>
              </w:rPr>
              <w:t>0.189 mM</w:t>
            </w:r>
          </w:p>
        </w:tc>
        <w:tc>
          <w:tcPr>
            <w:tcW w:w="2338" w:type="dxa"/>
          </w:tcPr>
          <w:p w14:paraId="681EBBCF" w14:textId="77777777" w:rsidR="000D7D3D" w:rsidRPr="00635993" w:rsidRDefault="000D7D3D" w:rsidP="007C3C15">
            <w:pPr>
              <w:rPr>
                <w:rFonts w:cs="Arial"/>
                <w:sz w:val="22"/>
              </w:rPr>
            </w:pPr>
            <w:r w:rsidRPr="00635993">
              <w:rPr>
                <w:sz w:val="22"/>
              </w:rPr>
              <w:t>VWR</w:t>
            </w:r>
          </w:p>
        </w:tc>
      </w:tr>
      <w:tr w:rsidR="000D7D3D" w:rsidRPr="00D66DE2" w14:paraId="6EE21293" w14:textId="77777777" w:rsidTr="002D60C9">
        <w:trPr>
          <w:trHeight w:val="414"/>
        </w:trPr>
        <w:tc>
          <w:tcPr>
            <w:tcW w:w="2337" w:type="dxa"/>
          </w:tcPr>
          <w:p w14:paraId="7447D048" w14:textId="77777777" w:rsidR="000D7D3D" w:rsidRPr="00635993" w:rsidRDefault="000D7D3D" w:rsidP="003F7054">
            <w:pPr>
              <w:rPr>
                <w:sz w:val="22"/>
              </w:rPr>
            </w:pPr>
            <w:r w:rsidRPr="00635993">
              <w:rPr>
                <w:sz w:val="22"/>
                <w:lang w:eastAsia="en-GB"/>
              </w:rPr>
              <w:t>KH</w:t>
            </w:r>
            <w:r w:rsidRPr="00635993">
              <w:rPr>
                <w:sz w:val="22"/>
                <w:vertAlign w:val="subscript"/>
                <w:lang w:eastAsia="en-GB"/>
              </w:rPr>
              <w:t>2</w:t>
            </w:r>
            <w:r w:rsidRPr="00635993">
              <w:rPr>
                <w:sz w:val="22"/>
                <w:lang w:eastAsia="en-GB"/>
              </w:rPr>
              <w:t>PO</w:t>
            </w:r>
            <w:r w:rsidRPr="00635993">
              <w:rPr>
                <w:sz w:val="22"/>
                <w:vertAlign w:val="subscript"/>
                <w:lang w:eastAsia="en-GB"/>
              </w:rPr>
              <w:t>4</w:t>
            </w:r>
          </w:p>
        </w:tc>
        <w:tc>
          <w:tcPr>
            <w:tcW w:w="2338" w:type="dxa"/>
          </w:tcPr>
          <w:p w14:paraId="020E5544" w14:textId="77777777" w:rsidR="000D7D3D" w:rsidRPr="00635993" w:rsidRDefault="000D7D3D" w:rsidP="007F746A">
            <w:pPr>
              <w:rPr>
                <w:sz w:val="22"/>
              </w:rPr>
            </w:pPr>
            <w:r w:rsidRPr="00635993">
              <w:rPr>
                <w:sz w:val="22"/>
                <w:lang w:eastAsia="en-GB"/>
              </w:rPr>
              <w:t>3.67 mM</w:t>
            </w:r>
          </w:p>
        </w:tc>
        <w:tc>
          <w:tcPr>
            <w:tcW w:w="2337" w:type="dxa"/>
          </w:tcPr>
          <w:p w14:paraId="7AE9D5F6" w14:textId="77777777" w:rsidR="000D7D3D" w:rsidRPr="00635993" w:rsidRDefault="000D7D3D" w:rsidP="00FB36B8">
            <w:pPr>
              <w:rPr>
                <w:sz w:val="22"/>
              </w:rPr>
            </w:pPr>
            <w:r w:rsidRPr="00635993">
              <w:rPr>
                <w:sz w:val="22"/>
              </w:rPr>
              <w:t>0.367 mM</w:t>
            </w:r>
          </w:p>
        </w:tc>
        <w:tc>
          <w:tcPr>
            <w:tcW w:w="2338" w:type="dxa"/>
          </w:tcPr>
          <w:p w14:paraId="77C22A6A" w14:textId="77777777" w:rsidR="000D7D3D" w:rsidRPr="00635993" w:rsidRDefault="000D7D3D" w:rsidP="007C3C15">
            <w:pPr>
              <w:rPr>
                <w:rFonts w:cs="Arial"/>
                <w:sz w:val="22"/>
              </w:rPr>
            </w:pPr>
            <w:r w:rsidRPr="00635993">
              <w:rPr>
                <w:sz w:val="22"/>
              </w:rPr>
              <w:t>VWR</w:t>
            </w:r>
          </w:p>
        </w:tc>
      </w:tr>
      <w:tr w:rsidR="000D7D3D" w:rsidRPr="00D66DE2" w14:paraId="48E9EB9A" w14:textId="77777777" w:rsidTr="002D60C9">
        <w:trPr>
          <w:trHeight w:val="414"/>
        </w:trPr>
        <w:tc>
          <w:tcPr>
            <w:tcW w:w="2337" w:type="dxa"/>
          </w:tcPr>
          <w:p w14:paraId="71EF8B28" w14:textId="77777777" w:rsidR="000D7D3D" w:rsidRPr="00635993" w:rsidRDefault="000D7D3D" w:rsidP="003F7054">
            <w:pPr>
              <w:rPr>
                <w:sz w:val="22"/>
              </w:rPr>
            </w:pPr>
            <w:r w:rsidRPr="00635993">
              <w:rPr>
                <w:sz w:val="22"/>
                <w:lang w:eastAsia="en-GB"/>
              </w:rPr>
              <w:t>FeCl</w:t>
            </w:r>
            <w:r w:rsidRPr="00635993">
              <w:rPr>
                <w:sz w:val="22"/>
                <w:vertAlign w:val="subscript"/>
                <w:lang w:eastAsia="en-GB"/>
              </w:rPr>
              <w:t>3</w:t>
            </w:r>
            <w:r w:rsidRPr="00635993">
              <w:rPr>
                <w:sz w:val="22"/>
                <w:lang w:eastAsia="en-GB"/>
              </w:rPr>
              <w:t>*6H</w:t>
            </w:r>
            <w:r w:rsidRPr="00635993">
              <w:rPr>
                <w:sz w:val="22"/>
                <w:vertAlign w:val="subscript"/>
                <w:lang w:eastAsia="en-GB"/>
              </w:rPr>
              <w:t>2</w:t>
            </w:r>
            <w:r w:rsidRPr="00635993">
              <w:rPr>
                <w:sz w:val="22"/>
                <w:lang w:eastAsia="en-GB"/>
              </w:rPr>
              <w:t>O</w:t>
            </w:r>
          </w:p>
        </w:tc>
        <w:tc>
          <w:tcPr>
            <w:tcW w:w="2338" w:type="dxa"/>
          </w:tcPr>
          <w:p w14:paraId="0DBA842E" w14:textId="77777777" w:rsidR="000D7D3D" w:rsidRPr="00635993" w:rsidRDefault="000D7D3D" w:rsidP="007F746A">
            <w:pPr>
              <w:rPr>
                <w:sz w:val="22"/>
              </w:rPr>
            </w:pPr>
            <w:r w:rsidRPr="00635993">
              <w:rPr>
                <w:sz w:val="22"/>
                <w:lang w:eastAsia="en-GB"/>
              </w:rPr>
              <w:t>0.022 mM</w:t>
            </w:r>
          </w:p>
        </w:tc>
        <w:tc>
          <w:tcPr>
            <w:tcW w:w="2337" w:type="dxa"/>
          </w:tcPr>
          <w:p w14:paraId="476D9BEC" w14:textId="77777777" w:rsidR="000D7D3D" w:rsidRPr="00635993" w:rsidRDefault="000D7D3D" w:rsidP="00FB36B8">
            <w:pPr>
              <w:rPr>
                <w:sz w:val="22"/>
              </w:rPr>
            </w:pPr>
            <w:r w:rsidRPr="00635993">
              <w:rPr>
                <w:sz w:val="22"/>
                <w:lang w:eastAsia="en-GB"/>
              </w:rPr>
              <w:t>0.022 mM</w:t>
            </w:r>
          </w:p>
        </w:tc>
        <w:tc>
          <w:tcPr>
            <w:tcW w:w="2338" w:type="dxa"/>
          </w:tcPr>
          <w:p w14:paraId="530383F3" w14:textId="77777777" w:rsidR="000D7D3D" w:rsidRPr="00635993" w:rsidRDefault="000D7D3D" w:rsidP="007C3C15">
            <w:pPr>
              <w:rPr>
                <w:sz w:val="22"/>
              </w:rPr>
            </w:pPr>
            <w:r w:rsidRPr="00635993">
              <w:rPr>
                <w:sz w:val="22"/>
                <w:lang w:eastAsia="en-GB"/>
              </w:rPr>
              <w:t>Sigma</w:t>
            </w:r>
          </w:p>
        </w:tc>
      </w:tr>
      <w:tr w:rsidR="000D7D3D" w:rsidRPr="00D66DE2" w14:paraId="5F0B5732" w14:textId="77777777" w:rsidTr="002D60C9">
        <w:trPr>
          <w:trHeight w:val="414"/>
        </w:trPr>
        <w:tc>
          <w:tcPr>
            <w:tcW w:w="2337" w:type="dxa"/>
          </w:tcPr>
          <w:p w14:paraId="5100431E" w14:textId="77777777" w:rsidR="000D7D3D" w:rsidRPr="00635993" w:rsidRDefault="000D7D3D" w:rsidP="003F7054">
            <w:pPr>
              <w:rPr>
                <w:sz w:val="22"/>
              </w:rPr>
            </w:pPr>
            <w:r w:rsidRPr="00635993">
              <w:rPr>
                <w:sz w:val="22"/>
                <w:lang w:eastAsia="en-GB"/>
              </w:rPr>
              <w:t>Glucose D+</w:t>
            </w:r>
          </w:p>
        </w:tc>
        <w:tc>
          <w:tcPr>
            <w:tcW w:w="2338" w:type="dxa"/>
          </w:tcPr>
          <w:p w14:paraId="121BBD61" w14:textId="77777777" w:rsidR="000D7D3D" w:rsidRPr="00635993" w:rsidRDefault="000D7D3D" w:rsidP="007F746A">
            <w:pPr>
              <w:rPr>
                <w:sz w:val="22"/>
              </w:rPr>
            </w:pPr>
            <w:r w:rsidRPr="00635993">
              <w:rPr>
                <w:sz w:val="22"/>
                <w:lang w:eastAsia="en-GB"/>
              </w:rPr>
              <w:t>13.87 mM</w:t>
            </w:r>
          </w:p>
        </w:tc>
        <w:tc>
          <w:tcPr>
            <w:tcW w:w="2337" w:type="dxa"/>
          </w:tcPr>
          <w:p w14:paraId="4D3CDFCB" w14:textId="77777777" w:rsidR="000D7D3D" w:rsidRPr="00635993" w:rsidRDefault="000D7D3D" w:rsidP="00FB36B8">
            <w:pPr>
              <w:rPr>
                <w:sz w:val="22"/>
              </w:rPr>
            </w:pPr>
            <w:r w:rsidRPr="00635993">
              <w:rPr>
                <w:sz w:val="22"/>
              </w:rPr>
              <w:t>5.55 mM</w:t>
            </w:r>
          </w:p>
        </w:tc>
        <w:tc>
          <w:tcPr>
            <w:tcW w:w="2338" w:type="dxa"/>
          </w:tcPr>
          <w:p w14:paraId="3362595F" w14:textId="77777777" w:rsidR="000D7D3D" w:rsidRPr="00635993" w:rsidRDefault="000D7D3D" w:rsidP="007C3C15">
            <w:pPr>
              <w:rPr>
                <w:rFonts w:cs="Arial"/>
                <w:sz w:val="22"/>
              </w:rPr>
            </w:pPr>
            <w:r w:rsidRPr="00635993">
              <w:rPr>
                <w:sz w:val="22"/>
              </w:rPr>
              <w:t>VWR</w:t>
            </w:r>
          </w:p>
        </w:tc>
      </w:tr>
      <w:tr w:rsidR="000D7D3D" w:rsidRPr="00D66DE2" w14:paraId="7B7C217D" w14:textId="77777777" w:rsidTr="002D60C9">
        <w:trPr>
          <w:trHeight w:val="414"/>
        </w:trPr>
        <w:tc>
          <w:tcPr>
            <w:tcW w:w="2337" w:type="dxa"/>
          </w:tcPr>
          <w:p w14:paraId="511CF028" w14:textId="77777777" w:rsidR="000D7D3D" w:rsidRPr="00635993" w:rsidRDefault="000D7D3D" w:rsidP="003F7054">
            <w:pPr>
              <w:rPr>
                <w:sz w:val="22"/>
                <w:lang w:eastAsia="en-GB"/>
              </w:rPr>
            </w:pPr>
            <w:r w:rsidRPr="00635993">
              <w:rPr>
                <w:sz w:val="22"/>
                <w:lang w:eastAsia="en-GB"/>
              </w:rPr>
              <w:t>Malt extract</w:t>
            </w:r>
          </w:p>
        </w:tc>
        <w:tc>
          <w:tcPr>
            <w:tcW w:w="2338" w:type="dxa"/>
          </w:tcPr>
          <w:p w14:paraId="5E3603F3" w14:textId="77777777" w:rsidR="000D7D3D" w:rsidRPr="00635993" w:rsidRDefault="000D7D3D" w:rsidP="007F746A">
            <w:pPr>
              <w:rPr>
                <w:sz w:val="22"/>
              </w:rPr>
            </w:pPr>
            <w:r w:rsidRPr="00635993">
              <w:rPr>
                <w:sz w:val="22"/>
              </w:rPr>
              <w:t>1% w/v</w:t>
            </w:r>
          </w:p>
        </w:tc>
        <w:tc>
          <w:tcPr>
            <w:tcW w:w="2337" w:type="dxa"/>
          </w:tcPr>
          <w:p w14:paraId="59425DD0" w14:textId="77777777" w:rsidR="000D7D3D" w:rsidRPr="00635993" w:rsidRDefault="000D7D3D" w:rsidP="00FB36B8">
            <w:pPr>
              <w:rPr>
                <w:sz w:val="22"/>
              </w:rPr>
            </w:pPr>
            <w:r w:rsidRPr="00635993">
              <w:rPr>
                <w:sz w:val="22"/>
              </w:rPr>
              <w:t>1% w/v</w:t>
            </w:r>
          </w:p>
        </w:tc>
        <w:tc>
          <w:tcPr>
            <w:tcW w:w="2338" w:type="dxa"/>
          </w:tcPr>
          <w:p w14:paraId="6215DAEA" w14:textId="77777777" w:rsidR="000D7D3D" w:rsidRPr="00635993" w:rsidRDefault="000D7D3D" w:rsidP="007C3C15">
            <w:pPr>
              <w:rPr>
                <w:sz w:val="22"/>
              </w:rPr>
            </w:pPr>
            <w:r w:rsidRPr="00635993">
              <w:rPr>
                <w:sz w:val="22"/>
              </w:rPr>
              <w:t xml:space="preserve">LAB M </w:t>
            </w:r>
          </w:p>
        </w:tc>
      </w:tr>
      <w:tr w:rsidR="000D7D3D" w:rsidRPr="00D66DE2" w14:paraId="11B43A2D" w14:textId="77777777" w:rsidTr="002D60C9">
        <w:trPr>
          <w:trHeight w:val="414"/>
        </w:trPr>
        <w:tc>
          <w:tcPr>
            <w:tcW w:w="2337" w:type="dxa"/>
            <w:tcBorders>
              <w:bottom w:val="single" w:sz="4" w:space="0" w:color="auto"/>
            </w:tcBorders>
          </w:tcPr>
          <w:p w14:paraId="641DBA7C" w14:textId="77777777" w:rsidR="000D7D3D" w:rsidRPr="00635993" w:rsidRDefault="000D7D3D" w:rsidP="003F7054">
            <w:pPr>
              <w:rPr>
                <w:rFonts w:eastAsia="Times New Roman"/>
                <w:sz w:val="22"/>
                <w:lang w:eastAsia="en-GB"/>
              </w:rPr>
            </w:pPr>
            <w:r w:rsidRPr="00635993">
              <w:rPr>
                <w:rFonts w:eastAsia="Times New Roman"/>
                <w:sz w:val="22"/>
                <w:lang w:eastAsia="en-GB"/>
              </w:rPr>
              <w:t xml:space="preserve">Agar </w:t>
            </w:r>
            <w:r w:rsidRPr="00635993">
              <w:rPr>
                <w:sz w:val="22"/>
              </w:rPr>
              <w:t>(Nobel)</w:t>
            </w:r>
          </w:p>
        </w:tc>
        <w:tc>
          <w:tcPr>
            <w:tcW w:w="2338" w:type="dxa"/>
            <w:tcBorders>
              <w:bottom w:val="single" w:sz="4" w:space="0" w:color="auto"/>
            </w:tcBorders>
          </w:tcPr>
          <w:p w14:paraId="63880D79" w14:textId="77777777" w:rsidR="000D7D3D" w:rsidRPr="00635993" w:rsidRDefault="000D7D3D" w:rsidP="007F746A">
            <w:pPr>
              <w:rPr>
                <w:sz w:val="22"/>
              </w:rPr>
            </w:pPr>
            <w:r w:rsidRPr="00635993">
              <w:rPr>
                <w:sz w:val="22"/>
              </w:rPr>
              <w:t>1.5% w/v</w:t>
            </w:r>
          </w:p>
        </w:tc>
        <w:tc>
          <w:tcPr>
            <w:tcW w:w="2337" w:type="dxa"/>
            <w:tcBorders>
              <w:bottom w:val="single" w:sz="4" w:space="0" w:color="auto"/>
            </w:tcBorders>
          </w:tcPr>
          <w:p w14:paraId="7579C068" w14:textId="77777777" w:rsidR="000D7D3D" w:rsidRPr="00635993" w:rsidRDefault="000D7D3D" w:rsidP="00FB36B8">
            <w:pPr>
              <w:rPr>
                <w:sz w:val="22"/>
              </w:rPr>
            </w:pPr>
            <w:r w:rsidRPr="00635993">
              <w:rPr>
                <w:sz w:val="22"/>
              </w:rPr>
              <w:t>1.5% w/v</w:t>
            </w:r>
          </w:p>
        </w:tc>
        <w:tc>
          <w:tcPr>
            <w:tcW w:w="2338" w:type="dxa"/>
            <w:tcBorders>
              <w:bottom w:val="single" w:sz="4" w:space="0" w:color="auto"/>
            </w:tcBorders>
          </w:tcPr>
          <w:p w14:paraId="5AD753BC" w14:textId="77777777" w:rsidR="000D7D3D" w:rsidRPr="00635993" w:rsidRDefault="000D7D3D" w:rsidP="007C3C15">
            <w:pPr>
              <w:rPr>
                <w:sz w:val="22"/>
              </w:rPr>
            </w:pPr>
            <w:r w:rsidRPr="00635993">
              <w:rPr>
                <w:sz w:val="22"/>
              </w:rPr>
              <w:t xml:space="preserve">Difco </w:t>
            </w:r>
          </w:p>
        </w:tc>
      </w:tr>
    </w:tbl>
    <w:p w14:paraId="4A2892E2" w14:textId="28A58B2D" w:rsidR="000D7D3D" w:rsidRPr="000D7D3D" w:rsidRDefault="000D7D3D" w:rsidP="003F7054">
      <w:r w:rsidRPr="00635993">
        <w:rPr>
          <w:sz w:val="22"/>
        </w:rPr>
        <w:t>The concentrations are given as final concentrations. The total volume of the media was brought to 1 L with ultra-high purity (UHP) H</w:t>
      </w:r>
      <w:r w:rsidRPr="00635993">
        <w:rPr>
          <w:sz w:val="22"/>
          <w:vertAlign w:val="subscript"/>
        </w:rPr>
        <w:t>2</w:t>
      </w:r>
      <w:r w:rsidRPr="00635993">
        <w:rPr>
          <w:sz w:val="22"/>
        </w:rPr>
        <w:t>O. The pH of the media was adjusted to 4.7 with 10% HCl. The media were autoclaved at 15 psi for 15 min at 120</w:t>
      </w:r>
      <w:r w:rsidRPr="00635993">
        <w:rPr>
          <w:rFonts w:cs="Arial"/>
          <w:sz w:val="22"/>
        </w:rPr>
        <w:t>°</w:t>
      </w:r>
      <w:r w:rsidRPr="00635993">
        <w:rPr>
          <w:sz w:val="22"/>
        </w:rPr>
        <w:t>C.</w:t>
      </w:r>
    </w:p>
    <w:p w14:paraId="1197CD55" w14:textId="77777777" w:rsidR="000D7D3D" w:rsidRPr="000D7D3D" w:rsidRDefault="000D7D3D" w:rsidP="003F7054">
      <w:r w:rsidRPr="000D7D3D">
        <w:br w:type="page"/>
      </w:r>
    </w:p>
    <w:p w14:paraId="07ACF892" w14:textId="6A08FE03" w:rsidR="000D7D3D" w:rsidRPr="00B46FB7" w:rsidRDefault="000D7D3D" w:rsidP="00635993">
      <w:pPr>
        <w:pStyle w:val="Heading2"/>
      </w:pPr>
      <w:bookmarkStart w:id="598" w:name="_Toc507604104"/>
      <w:bookmarkStart w:id="599" w:name="_Toc507604371"/>
      <w:bookmarkStart w:id="600" w:name="_Toc519017073"/>
      <w:bookmarkStart w:id="601" w:name="_Toc520837986"/>
      <w:r w:rsidRPr="000D7D3D">
        <w:lastRenderedPageBreak/>
        <w:t xml:space="preserve">Table 2. </w:t>
      </w:r>
      <w:r w:rsidRPr="00635993">
        <w:rPr>
          <w:b w:val="0"/>
        </w:rPr>
        <w:t>Composition of the Pi-varying B-MMN media.</w:t>
      </w:r>
      <w:bookmarkEnd w:id="598"/>
      <w:bookmarkEnd w:id="599"/>
      <w:bookmarkEnd w:id="600"/>
      <w:bookmarkEnd w:id="60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663"/>
        <w:gridCol w:w="996"/>
      </w:tblGrid>
      <w:tr w:rsidR="000D7D3D" w:rsidRPr="00D66DE2" w14:paraId="18CD36E6" w14:textId="77777777" w:rsidTr="00635993">
        <w:trPr>
          <w:trHeight w:val="414"/>
        </w:trPr>
        <w:tc>
          <w:tcPr>
            <w:tcW w:w="1701" w:type="dxa"/>
            <w:tcBorders>
              <w:top w:val="single" w:sz="4" w:space="0" w:color="auto"/>
              <w:bottom w:val="single" w:sz="4" w:space="0" w:color="auto"/>
            </w:tcBorders>
          </w:tcPr>
          <w:p w14:paraId="11C89F7B" w14:textId="77777777" w:rsidR="000D7D3D" w:rsidRPr="00635993" w:rsidRDefault="000D7D3D" w:rsidP="003F7054">
            <w:pPr>
              <w:rPr>
                <w:b/>
                <w:sz w:val="18"/>
              </w:rPr>
            </w:pPr>
            <w:r w:rsidRPr="00635993">
              <w:rPr>
                <w:b/>
                <w:sz w:val="18"/>
              </w:rPr>
              <w:t>Compound</w:t>
            </w:r>
          </w:p>
        </w:tc>
        <w:tc>
          <w:tcPr>
            <w:tcW w:w="6663" w:type="dxa"/>
            <w:tcBorders>
              <w:top w:val="single" w:sz="4" w:space="0" w:color="auto"/>
              <w:bottom w:val="single" w:sz="4" w:space="0" w:color="auto"/>
            </w:tcBorders>
          </w:tcPr>
          <w:p w14:paraId="589AEC20" w14:textId="77777777" w:rsidR="000D7D3D" w:rsidRPr="00635993" w:rsidRDefault="000D7D3D" w:rsidP="007F746A">
            <w:pPr>
              <w:rPr>
                <w:b/>
                <w:sz w:val="18"/>
              </w:rPr>
            </w:pPr>
            <w:r w:rsidRPr="00635993">
              <w:rPr>
                <w:b/>
                <w:sz w:val="18"/>
              </w:rPr>
              <w:t>Concentration</w:t>
            </w:r>
          </w:p>
        </w:tc>
        <w:tc>
          <w:tcPr>
            <w:tcW w:w="996" w:type="dxa"/>
            <w:tcBorders>
              <w:top w:val="single" w:sz="4" w:space="0" w:color="auto"/>
              <w:bottom w:val="single" w:sz="4" w:space="0" w:color="auto"/>
            </w:tcBorders>
          </w:tcPr>
          <w:p w14:paraId="4A617B8A" w14:textId="77777777" w:rsidR="000D7D3D" w:rsidRPr="00635993" w:rsidRDefault="000D7D3D" w:rsidP="00FB36B8">
            <w:pPr>
              <w:rPr>
                <w:b/>
                <w:sz w:val="18"/>
              </w:rPr>
            </w:pPr>
            <w:r w:rsidRPr="00635993">
              <w:rPr>
                <w:b/>
                <w:sz w:val="18"/>
              </w:rPr>
              <w:t>Supplier</w:t>
            </w:r>
          </w:p>
        </w:tc>
      </w:tr>
      <w:tr w:rsidR="000D7D3D" w:rsidRPr="00D66DE2" w14:paraId="1DFB879E" w14:textId="77777777" w:rsidTr="00635993">
        <w:trPr>
          <w:trHeight w:val="414"/>
        </w:trPr>
        <w:tc>
          <w:tcPr>
            <w:tcW w:w="1701" w:type="dxa"/>
            <w:tcBorders>
              <w:top w:val="single" w:sz="4" w:space="0" w:color="auto"/>
            </w:tcBorders>
          </w:tcPr>
          <w:p w14:paraId="13BFE043" w14:textId="77777777" w:rsidR="000D7D3D" w:rsidRPr="00635993" w:rsidRDefault="000D7D3D" w:rsidP="003F7054">
            <w:pPr>
              <w:rPr>
                <w:sz w:val="18"/>
              </w:rPr>
            </w:pPr>
            <w:r w:rsidRPr="00635993">
              <w:rPr>
                <w:sz w:val="18"/>
                <w:lang w:eastAsia="en-GB"/>
              </w:rPr>
              <w:t>CaCl</w:t>
            </w:r>
            <w:r w:rsidRPr="00635993">
              <w:rPr>
                <w:sz w:val="18"/>
                <w:vertAlign w:val="subscript"/>
                <w:lang w:eastAsia="en-GB"/>
              </w:rPr>
              <w:t>2</w:t>
            </w:r>
            <w:r w:rsidRPr="00635993">
              <w:rPr>
                <w:sz w:val="18"/>
                <w:lang w:eastAsia="en-GB"/>
              </w:rPr>
              <w:t>*2H</w:t>
            </w:r>
            <w:r w:rsidRPr="00635993">
              <w:rPr>
                <w:sz w:val="18"/>
                <w:vertAlign w:val="subscript"/>
                <w:lang w:eastAsia="en-GB"/>
              </w:rPr>
              <w:t>2</w:t>
            </w:r>
            <w:r w:rsidRPr="00635993">
              <w:rPr>
                <w:sz w:val="18"/>
                <w:lang w:eastAsia="en-GB"/>
              </w:rPr>
              <w:t>O</w:t>
            </w:r>
          </w:p>
        </w:tc>
        <w:tc>
          <w:tcPr>
            <w:tcW w:w="6663" w:type="dxa"/>
            <w:tcBorders>
              <w:top w:val="single" w:sz="4" w:space="0" w:color="auto"/>
            </w:tcBorders>
          </w:tcPr>
          <w:p w14:paraId="430B217D" w14:textId="77777777" w:rsidR="000D7D3D" w:rsidRPr="00635993" w:rsidRDefault="000D7D3D" w:rsidP="007F746A">
            <w:pPr>
              <w:rPr>
                <w:sz w:val="18"/>
              </w:rPr>
            </w:pPr>
            <w:r w:rsidRPr="00635993">
              <w:rPr>
                <w:sz w:val="18"/>
                <w:lang w:eastAsia="en-GB"/>
              </w:rPr>
              <w:t>0.34 mM</w:t>
            </w:r>
          </w:p>
        </w:tc>
        <w:tc>
          <w:tcPr>
            <w:tcW w:w="996" w:type="dxa"/>
            <w:tcBorders>
              <w:top w:val="single" w:sz="4" w:space="0" w:color="auto"/>
            </w:tcBorders>
          </w:tcPr>
          <w:p w14:paraId="1D108643" w14:textId="77777777" w:rsidR="000D7D3D" w:rsidRPr="00635993" w:rsidRDefault="000D7D3D" w:rsidP="00FB36B8">
            <w:pPr>
              <w:rPr>
                <w:rFonts w:cs="Arial"/>
                <w:sz w:val="18"/>
              </w:rPr>
            </w:pPr>
            <w:r w:rsidRPr="00635993">
              <w:rPr>
                <w:sz w:val="18"/>
              </w:rPr>
              <w:t>VWR</w:t>
            </w:r>
          </w:p>
        </w:tc>
      </w:tr>
      <w:tr w:rsidR="000D7D3D" w:rsidRPr="00D66DE2" w14:paraId="58B08939" w14:textId="77777777" w:rsidTr="00635993">
        <w:trPr>
          <w:trHeight w:val="414"/>
        </w:trPr>
        <w:tc>
          <w:tcPr>
            <w:tcW w:w="1701" w:type="dxa"/>
          </w:tcPr>
          <w:p w14:paraId="558E729E" w14:textId="77777777" w:rsidR="000D7D3D" w:rsidRPr="00635993" w:rsidRDefault="000D7D3D" w:rsidP="003F7054">
            <w:pPr>
              <w:rPr>
                <w:sz w:val="18"/>
              </w:rPr>
            </w:pPr>
            <w:r w:rsidRPr="00635993">
              <w:rPr>
                <w:sz w:val="18"/>
                <w:lang w:eastAsia="en-GB"/>
              </w:rPr>
              <w:t>NaCl</w:t>
            </w:r>
          </w:p>
        </w:tc>
        <w:tc>
          <w:tcPr>
            <w:tcW w:w="6663" w:type="dxa"/>
          </w:tcPr>
          <w:p w14:paraId="54CFF668" w14:textId="77777777" w:rsidR="000D7D3D" w:rsidRPr="00635993" w:rsidRDefault="000D7D3D" w:rsidP="007F746A">
            <w:pPr>
              <w:rPr>
                <w:sz w:val="18"/>
              </w:rPr>
            </w:pPr>
            <w:r w:rsidRPr="00635993">
              <w:rPr>
                <w:sz w:val="18"/>
                <w:lang w:eastAsia="en-GB"/>
              </w:rPr>
              <w:t>0.43 mM</w:t>
            </w:r>
          </w:p>
        </w:tc>
        <w:tc>
          <w:tcPr>
            <w:tcW w:w="996" w:type="dxa"/>
          </w:tcPr>
          <w:p w14:paraId="492CD9E9" w14:textId="77777777" w:rsidR="000D7D3D" w:rsidRPr="00635993" w:rsidRDefault="000D7D3D" w:rsidP="00FB36B8">
            <w:pPr>
              <w:rPr>
                <w:rFonts w:cs="Arial"/>
                <w:sz w:val="18"/>
              </w:rPr>
            </w:pPr>
            <w:r w:rsidRPr="00635993">
              <w:rPr>
                <w:sz w:val="18"/>
              </w:rPr>
              <w:t>VWR</w:t>
            </w:r>
          </w:p>
        </w:tc>
      </w:tr>
      <w:tr w:rsidR="000D7D3D" w:rsidRPr="00D66DE2" w14:paraId="192A661B" w14:textId="77777777" w:rsidTr="00635993">
        <w:trPr>
          <w:trHeight w:val="414"/>
        </w:trPr>
        <w:tc>
          <w:tcPr>
            <w:tcW w:w="1701" w:type="dxa"/>
          </w:tcPr>
          <w:p w14:paraId="078D37C9" w14:textId="77777777" w:rsidR="000D7D3D" w:rsidRPr="00635993" w:rsidRDefault="000D7D3D" w:rsidP="003F7054">
            <w:pPr>
              <w:rPr>
                <w:sz w:val="18"/>
              </w:rPr>
            </w:pPr>
            <w:r w:rsidRPr="00635993">
              <w:rPr>
                <w:sz w:val="18"/>
                <w:lang w:eastAsia="en-GB"/>
              </w:rPr>
              <w:t>MgSO</w:t>
            </w:r>
            <w:r w:rsidRPr="00635993">
              <w:rPr>
                <w:sz w:val="18"/>
                <w:vertAlign w:val="subscript"/>
                <w:lang w:eastAsia="en-GB"/>
              </w:rPr>
              <w:t>4</w:t>
            </w:r>
            <w:r w:rsidRPr="00635993">
              <w:rPr>
                <w:sz w:val="18"/>
                <w:lang w:eastAsia="en-GB"/>
              </w:rPr>
              <w:t>*7H</w:t>
            </w:r>
            <w:r w:rsidRPr="00635993">
              <w:rPr>
                <w:sz w:val="18"/>
                <w:vertAlign w:val="subscript"/>
                <w:lang w:eastAsia="en-GB"/>
              </w:rPr>
              <w:t>2</w:t>
            </w:r>
            <w:r w:rsidRPr="00635993">
              <w:rPr>
                <w:sz w:val="18"/>
                <w:lang w:eastAsia="en-GB"/>
              </w:rPr>
              <w:t>O</w:t>
            </w:r>
          </w:p>
        </w:tc>
        <w:tc>
          <w:tcPr>
            <w:tcW w:w="6663" w:type="dxa"/>
          </w:tcPr>
          <w:p w14:paraId="4FA1D8F5" w14:textId="77777777" w:rsidR="000D7D3D" w:rsidRPr="00635993" w:rsidRDefault="000D7D3D" w:rsidP="007F746A">
            <w:pPr>
              <w:rPr>
                <w:sz w:val="18"/>
              </w:rPr>
            </w:pPr>
            <w:r w:rsidRPr="00635993">
              <w:rPr>
                <w:sz w:val="18"/>
                <w:lang w:eastAsia="en-GB"/>
              </w:rPr>
              <w:t>0.61 mM</w:t>
            </w:r>
          </w:p>
        </w:tc>
        <w:tc>
          <w:tcPr>
            <w:tcW w:w="996" w:type="dxa"/>
          </w:tcPr>
          <w:p w14:paraId="0F0D1F06" w14:textId="77777777" w:rsidR="000D7D3D" w:rsidRPr="00635993" w:rsidRDefault="000D7D3D" w:rsidP="00FB36B8">
            <w:pPr>
              <w:rPr>
                <w:rFonts w:cs="Arial"/>
                <w:sz w:val="18"/>
                <w:lang w:eastAsia="en-GB"/>
              </w:rPr>
            </w:pPr>
            <w:r w:rsidRPr="00635993">
              <w:rPr>
                <w:sz w:val="18"/>
              </w:rPr>
              <w:t>VWR</w:t>
            </w:r>
            <w:r w:rsidRPr="00635993">
              <w:rPr>
                <w:rFonts w:cs="Arial"/>
                <w:sz w:val="18"/>
                <w:lang w:eastAsia="en-GB"/>
              </w:rPr>
              <w:t xml:space="preserve"> </w:t>
            </w:r>
          </w:p>
          <w:p w14:paraId="056BF1DD" w14:textId="77777777" w:rsidR="000D7D3D" w:rsidRPr="00635993" w:rsidRDefault="000D7D3D" w:rsidP="007C3C15">
            <w:pPr>
              <w:rPr>
                <w:sz w:val="18"/>
              </w:rPr>
            </w:pPr>
          </w:p>
        </w:tc>
      </w:tr>
      <w:tr w:rsidR="000D7D3D" w:rsidRPr="00D66DE2" w14:paraId="1BA19351" w14:textId="77777777" w:rsidTr="00635993">
        <w:trPr>
          <w:trHeight w:val="414"/>
        </w:trPr>
        <w:tc>
          <w:tcPr>
            <w:tcW w:w="1701" w:type="dxa"/>
          </w:tcPr>
          <w:p w14:paraId="0A9BE3D7" w14:textId="77777777" w:rsidR="000D7D3D" w:rsidRPr="00635993" w:rsidRDefault="000D7D3D" w:rsidP="003F7054">
            <w:pPr>
              <w:rPr>
                <w:b/>
                <w:sz w:val="18"/>
                <w:lang w:eastAsia="en-GB"/>
              </w:rPr>
            </w:pPr>
          </w:p>
          <w:p w14:paraId="19807444" w14:textId="77777777" w:rsidR="000D7D3D" w:rsidRPr="00635993" w:rsidRDefault="000D7D3D" w:rsidP="007F746A">
            <w:pPr>
              <w:rPr>
                <w:b/>
                <w:sz w:val="18"/>
                <w:lang w:eastAsia="en-GB"/>
              </w:rPr>
            </w:pPr>
          </w:p>
          <w:p w14:paraId="6FF92147" w14:textId="71D912EA" w:rsidR="000D7D3D" w:rsidRPr="00635993" w:rsidRDefault="000D7D3D" w:rsidP="00FB36B8">
            <w:pPr>
              <w:rPr>
                <w:b/>
                <w:sz w:val="18"/>
                <w:vertAlign w:val="subscript"/>
                <w:lang w:eastAsia="en-GB"/>
              </w:rPr>
            </w:pPr>
            <w:r w:rsidRPr="00635993">
              <w:rPr>
                <w:b/>
                <w:sz w:val="18"/>
                <w:lang w:eastAsia="en-GB"/>
              </w:rPr>
              <w:t>(NH</w:t>
            </w:r>
            <w:r w:rsidRPr="00635993">
              <w:rPr>
                <w:b/>
                <w:sz w:val="18"/>
                <w:vertAlign w:val="subscript"/>
                <w:lang w:eastAsia="en-GB"/>
              </w:rPr>
              <w:t>4</w:t>
            </w:r>
            <w:r w:rsidRPr="00635993">
              <w:rPr>
                <w:b/>
                <w:sz w:val="18"/>
                <w:lang w:eastAsia="en-GB"/>
              </w:rPr>
              <w:t>)</w:t>
            </w:r>
            <w:r w:rsidRPr="00635993">
              <w:rPr>
                <w:b/>
                <w:sz w:val="18"/>
                <w:vertAlign w:val="subscript"/>
                <w:lang w:eastAsia="en-GB"/>
              </w:rPr>
              <w:t>2</w:t>
            </w:r>
            <w:r w:rsidRPr="00635993">
              <w:rPr>
                <w:b/>
                <w:sz w:val="18"/>
                <w:lang w:eastAsia="en-GB"/>
              </w:rPr>
              <w:t>HPO</w:t>
            </w:r>
            <w:r w:rsidRPr="00635993">
              <w:rPr>
                <w:b/>
                <w:sz w:val="18"/>
                <w:vertAlign w:val="subscript"/>
                <w:lang w:eastAsia="en-GB"/>
              </w:rPr>
              <w:t>4</w:t>
            </w:r>
          </w:p>
        </w:tc>
        <w:tc>
          <w:tcPr>
            <w:tcW w:w="6663" w:type="dxa"/>
            <w:vMerge w:val="restart"/>
          </w:tcPr>
          <w:tbl>
            <w:tblPr>
              <w:tblStyle w:val="TableGrid"/>
              <w:tblW w:w="63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5"/>
              <w:gridCol w:w="1232"/>
              <w:gridCol w:w="1422"/>
              <w:gridCol w:w="1270"/>
              <w:gridCol w:w="1265"/>
            </w:tblGrid>
            <w:tr w:rsidR="000D7D3D" w:rsidRPr="00D66DE2" w14:paraId="475A81C2" w14:textId="77777777" w:rsidTr="00635993">
              <w:trPr>
                <w:trHeight w:val="214"/>
              </w:trPr>
              <w:tc>
                <w:tcPr>
                  <w:tcW w:w="1205" w:type="dxa"/>
                  <w:tcBorders>
                    <w:top w:val="single" w:sz="4" w:space="0" w:color="auto"/>
                    <w:bottom w:val="single" w:sz="4" w:space="0" w:color="auto"/>
                  </w:tcBorders>
                </w:tcPr>
                <w:p w14:paraId="437E930F" w14:textId="77777777" w:rsidR="000D7D3D" w:rsidRPr="00635993" w:rsidRDefault="000D7D3D" w:rsidP="00635993">
                  <w:pPr>
                    <w:rPr>
                      <w:b/>
                      <w:sz w:val="18"/>
                    </w:rPr>
                  </w:pPr>
                  <w:r w:rsidRPr="00635993">
                    <w:rPr>
                      <w:b/>
                      <w:sz w:val="18"/>
                    </w:rPr>
                    <w:t xml:space="preserve">5,560 </w:t>
                  </w:r>
                </w:p>
                <w:p w14:paraId="69DC8070" w14:textId="77777777" w:rsidR="000D7D3D" w:rsidRPr="00635993" w:rsidRDefault="000D7D3D" w:rsidP="00635993">
                  <w:pPr>
                    <w:rPr>
                      <w:b/>
                      <w:sz w:val="18"/>
                    </w:rPr>
                  </w:pPr>
                  <w:r w:rsidRPr="00635993">
                    <w:rPr>
                      <w:b/>
                      <w:sz w:val="18"/>
                      <w:lang w:eastAsia="en-GB"/>
                    </w:rPr>
                    <w:t>μM Pi</w:t>
                  </w:r>
                </w:p>
              </w:tc>
              <w:tc>
                <w:tcPr>
                  <w:tcW w:w="1232" w:type="dxa"/>
                  <w:tcBorders>
                    <w:top w:val="single" w:sz="4" w:space="0" w:color="auto"/>
                    <w:bottom w:val="single" w:sz="4" w:space="0" w:color="auto"/>
                  </w:tcBorders>
                </w:tcPr>
                <w:p w14:paraId="4B38284C" w14:textId="77777777" w:rsidR="000D7D3D" w:rsidRPr="00635993" w:rsidRDefault="000D7D3D" w:rsidP="00635993">
                  <w:pPr>
                    <w:rPr>
                      <w:b/>
                      <w:sz w:val="18"/>
                    </w:rPr>
                  </w:pPr>
                  <w:r w:rsidRPr="00635993">
                    <w:rPr>
                      <w:b/>
                      <w:sz w:val="18"/>
                    </w:rPr>
                    <w:t xml:space="preserve">556 </w:t>
                  </w:r>
                </w:p>
                <w:p w14:paraId="446EBCC2" w14:textId="77777777" w:rsidR="000D7D3D" w:rsidRPr="00635993" w:rsidRDefault="000D7D3D" w:rsidP="00635993">
                  <w:pPr>
                    <w:rPr>
                      <w:b/>
                      <w:sz w:val="18"/>
                    </w:rPr>
                  </w:pPr>
                  <w:r w:rsidRPr="00635993">
                    <w:rPr>
                      <w:b/>
                      <w:sz w:val="18"/>
                      <w:lang w:eastAsia="en-GB"/>
                    </w:rPr>
                    <w:t>μM Pi</w:t>
                  </w:r>
                </w:p>
              </w:tc>
              <w:tc>
                <w:tcPr>
                  <w:tcW w:w="1422" w:type="dxa"/>
                  <w:tcBorders>
                    <w:top w:val="single" w:sz="4" w:space="0" w:color="auto"/>
                    <w:bottom w:val="single" w:sz="4" w:space="0" w:color="auto"/>
                  </w:tcBorders>
                </w:tcPr>
                <w:p w14:paraId="674C2D73" w14:textId="77777777" w:rsidR="000D7D3D" w:rsidRPr="00635993" w:rsidRDefault="000D7D3D" w:rsidP="00635993">
                  <w:pPr>
                    <w:rPr>
                      <w:b/>
                      <w:sz w:val="18"/>
                    </w:rPr>
                  </w:pPr>
                  <w:r w:rsidRPr="00635993">
                    <w:rPr>
                      <w:b/>
                      <w:sz w:val="18"/>
                    </w:rPr>
                    <w:t>55.6</w:t>
                  </w:r>
                </w:p>
                <w:p w14:paraId="70787FD9" w14:textId="77777777" w:rsidR="000D7D3D" w:rsidRPr="00635993" w:rsidRDefault="000D7D3D" w:rsidP="00635993">
                  <w:pPr>
                    <w:rPr>
                      <w:b/>
                      <w:sz w:val="18"/>
                    </w:rPr>
                  </w:pPr>
                  <w:r w:rsidRPr="00635993">
                    <w:rPr>
                      <w:b/>
                      <w:sz w:val="18"/>
                      <w:lang w:eastAsia="en-GB"/>
                    </w:rPr>
                    <w:t>μM Pi</w:t>
                  </w:r>
                </w:p>
              </w:tc>
              <w:tc>
                <w:tcPr>
                  <w:tcW w:w="1270" w:type="dxa"/>
                  <w:tcBorders>
                    <w:top w:val="single" w:sz="4" w:space="0" w:color="auto"/>
                    <w:bottom w:val="single" w:sz="4" w:space="0" w:color="auto"/>
                  </w:tcBorders>
                </w:tcPr>
                <w:p w14:paraId="59CD9753" w14:textId="77777777" w:rsidR="000D7D3D" w:rsidRPr="00635993" w:rsidRDefault="000D7D3D" w:rsidP="00635993">
                  <w:pPr>
                    <w:rPr>
                      <w:b/>
                      <w:sz w:val="18"/>
                    </w:rPr>
                  </w:pPr>
                  <w:r w:rsidRPr="00635993">
                    <w:rPr>
                      <w:b/>
                      <w:sz w:val="18"/>
                    </w:rPr>
                    <w:t xml:space="preserve">5.56 </w:t>
                  </w:r>
                </w:p>
                <w:p w14:paraId="3F332FC8" w14:textId="77777777" w:rsidR="000D7D3D" w:rsidRPr="00635993" w:rsidRDefault="000D7D3D" w:rsidP="00635993">
                  <w:pPr>
                    <w:rPr>
                      <w:b/>
                      <w:sz w:val="18"/>
                    </w:rPr>
                  </w:pPr>
                  <w:r w:rsidRPr="00635993">
                    <w:rPr>
                      <w:b/>
                      <w:sz w:val="18"/>
                      <w:lang w:eastAsia="en-GB"/>
                    </w:rPr>
                    <w:t>μM Pi</w:t>
                  </w:r>
                </w:p>
              </w:tc>
              <w:tc>
                <w:tcPr>
                  <w:tcW w:w="1265" w:type="dxa"/>
                  <w:tcBorders>
                    <w:top w:val="single" w:sz="4" w:space="0" w:color="auto"/>
                    <w:bottom w:val="single" w:sz="4" w:space="0" w:color="auto"/>
                  </w:tcBorders>
                </w:tcPr>
                <w:p w14:paraId="29BCE353" w14:textId="77777777" w:rsidR="000D7D3D" w:rsidRPr="00635993" w:rsidRDefault="000D7D3D" w:rsidP="00635993">
                  <w:pPr>
                    <w:rPr>
                      <w:b/>
                      <w:sz w:val="18"/>
                    </w:rPr>
                  </w:pPr>
                  <w:r w:rsidRPr="00635993">
                    <w:rPr>
                      <w:b/>
                      <w:sz w:val="18"/>
                    </w:rPr>
                    <w:t xml:space="preserve">0.23 </w:t>
                  </w:r>
                </w:p>
                <w:p w14:paraId="4E69AE8F" w14:textId="77777777" w:rsidR="000D7D3D" w:rsidRPr="00635993" w:rsidRDefault="000D7D3D" w:rsidP="00635993">
                  <w:pPr>
                    <w:rPr>
                      <w:b/>
                      <w:sz w:val="18"/>
                    </w:rPr>
                  </w:pPr>
                  <w:r w:rsidRPr="00635993">
                    <w:rPr>
                      <w:b/>
                      <w:sz w:val="18"/>
                      <w:lang w:eastAsia="en-GB"/>
                    </w:rPr>
                    <w:t>μM Pi</w:t>
                  </w:r>
                </w:p>
              </w:tc>
            </w:tr>
            <w:tr w:rsidR="000D7D3D" w:rsidRPr="00D66DE2" w14:paraId="7DB3D98F" w14:textId="77777777" w:rsidTr="00635993">
              <w:trPr>
                <w:trHeight w:val="312"/>
              </w:trPr>
              <w:tc>
                <w:tcPr>
                  <w:tcW w:w="1205" w:type="dxa"/>
                  <w:tcBorders>
                    <w:top w:val="single" w:sz="4" w:space="0" w:color="auto"/>
                  </w:tcBorders>
                </w:tcPr>
                <w:p w14:paraId="7630D933" w14:textId="77777777" w:rsidR="000D7D3D" w:rsidRPr="00635993" w:rsidRDefault="000D7D3D" w:rsidP="003F7054">
                  <w:pPr>
                    <w:rPr>
                      <w:rFonts w:cs="Arial"/>
                      <w:sz w:val="18"/>
                    </w:rPr>
                  </w:pPr>
                  <w:r w:rsidRPr="00635993">
                    <w:rPr>
                      <w:sz w:val="18"/>
                    </w:rPr>
                    <w:t>1.89 mM</w:t>
                  </w:r>
                </w:p>
              </w:tc>
              <w:tc>
                <w:tcPr>
                  <w:tcW w:w="1232" w:type="dxa"/>
                  <w:tcBorders>
                    <w:top w:val="single" w:sz="4" w:space="0" w:color="auto"/>
                  </w:tcBorders>
                </w:tcPr>
                <w:p w14:paraId="4B095EAE" w14:textId="77777777" w:rsidR="000D7D3D" w:rsidRPr="00635993" w:rsidRDefault="000D7D3D" w:rsidP="007F746A">
                  <w:pPr>
                    <w:rPr>
                      <w:rFonts w:cs="Arial"/>
                      <w:sz w:val="18"/>
                    </w:rPr>
                  </w:pPr>
                  <w:r w:rsidRPr="00635993">
                    <w:rPr>
                      <w:sz w:val="18"/>
                    </w:rPr>
                    <w:t>0.189 mM</w:t>
                  </w:r>
                </w:p>
              </w:tc>
              <w:tc>
                <w:tcPr>
                  <w:tcW w:w="1422" w:type="dxa"/>
                  <w:tcBorders>
                    <w:top w:val="single" w:sz="4" w:space="0" w:color="auto"/>
                  </w:tcBorders>
                </w:tcPr>
                <w:p w14:paraId="41821B71" w14:textId="77777777" w:rsidR="000D7D3D" w:rsidRPr="00635993" w:rsidRDefault="000D7D3D" w:rsidP="00FB36B8">
                  <w:pPr>
                    <w:rPr>
                      <w:rFonts w:cs="Arial"/>
                      <w:sz w:val="18"/>
                    </w:rPr>
                  </w:pPr>
                  <w:r w:rsidRPr="00635993">
                    <w:rPr>
                      <w:sz w:val="18"/>
                    </w:rPr>
                    <w:t>0.0189 mM</w:t>
                  </w:r>
                </w:p>
              </w:tc>
              <w:tc>
                <w:tcPr>
                  <w:tcW w:w="1270" w:type="dxa"/>
                  <w:tcBorders>
                    <w:top w:val="single" w:sz="4" w:space="0" w:color="auto"/>
                  </w:tcBorders>
                </w:tcPr>
                <w:p w14:paraId="37639CE9" w14:textId="77777777" w:rsidR="000D7D3D" w:rsidRPr="00635993" w:rsidRDefault="000D7D3D" w:rsidP="007C3C15">
                  <w:pPr>
                    <w:rPr>
                      <w:rFonts w:cs="Arial"/>
                      <w:sz w:val="18"/>
                    </w:rPr>
                  </w:pPr>
                  <w:r w:rsidRPr="00635993">
                    <w:rPr>
                      <w:sz w:val="18"/>
                    </w:rPr>
                    <w:t>1.89 μM</w:t>
                  </w:r>
                </w:p>
              </w:tc>
              <w:tc>
                <w:tcPr>
                  <w:tcW w:w="1265" w:type="dxa"/>
                  <w:tcBorders>
                    <w:top w:val="single" w:sz="4" w:space="0" w:color="auto"/>
                  </w:tcBorders>
                </w:tcPr>
                <w:p w14:paraId="03876ED7" w14:textId="77777777" w:rsidR="000D7D3D" w:rsidRPr="00635993" w:rsidRDefault="000D7D3D" w:rsidP="007C3C15">
                  <w:pPr>
                    <w:rPr>
                      <w:rFonts w:cs="Arial"/>
                      <w:sz w:val="18"/>
                    </w:rPr>
                  </w:pPr>
                  <w:r w:rsidRPr="00635993">
                    <w:rPr>
                      <w:sz w:val="18"/>
                    </w:rPr>
                    <w:t>0.0792 μM</w:t>
                  </w:r>
                </w:p>
              </w:tc>
            </w:tr>
            <w:tr w:rsidR="000D7D3D" w:rsidRPr="00D66DE2" w14:paraId="0E9D60BC" w14:textId="77777777" w:rsidTr="00635993">
              <w:trPr>
                <w:trHeight w:val="251"/>
              </w:trPr>
              <w:tc>
                <w:tcPr>
                  <w:tcW w:w="1205" w:type="dxa"/>
                </w:tcPr>
                <w:p w14:paraId="77AE50A3" w14:textId="77777777" w:rsidR="000D7D3D" w:rsidRPr="00635993" w:rsidRDefault="000D7D3D" w:rsidP="003F7054">
                  <w:pPr>
                    <w:rPr>
                      <w:rFonts w:cs="Arial"/>
                      <w:sz w:val="18"/>
                    </w:rPr>
                  </w:pPr>
                  <w:r w:rsidRPr="00635993">
                    <w:rPr>
                      <w:sz w:val="18"/>
                    </w:rPr>
                    <w:t>3.67 mM</w:t>
                  </w:r>
                </w:p>
              </w:tc>
              <w:tc>
                <w:tcPr>
                  <w:tcW w:w="1232" w:type="dxa"/>
                </w:tcPr>
                <w:p w14:paraId="755869A2" w14:textId="77777777" w:rsidR="000D7D3D" w:rsidRPr="00635993" w:rsidRDefault="000D7D3D" w:rsidP="007F746A">
                  <w:pPr>
                    <w:rPr>
                      <w:rFonts w:cs="Arial"/>
                      <w:sz w:val="18"/>
                    </w:rPr>
                  </w:pPr>
                  <w:r w:rsidRPr="00635993">
                    <w:rPr>
                      <w:sz w:val="18"/>
                    </w:rPr>
                    <w:t>0.367 mM</w:t>
                  </w:r>
                </w:p>
              </w:tc>
              <w:tc>
                <w:tcPr>
                  <w:tcW w:w="1422" w:type="dxa"/>
                </w:tcPr>
                <w:p w14:paraId="5BD965C2" w14:textId="77777777" w:rsidR="000D7D3D" w:rsidRPr="00635993" w:rsidRDefault="000D7D3D" w:rsidP="00FB36B8">
                  <w:pPr>
                    <w:rPr>
                      <w:rFonts w:cs="Arial"/>
                      <w:sz w:val="18"/>
                    </w:rPr>
                  </w:pPr>
                  <w:r w:rsidRPr="00635993">
                    <w:rPr>
                      <w:sz w:val="18"/>
                    </w:rPr>
                    <w:t>0.0367mM</w:t>
                  </w:r>
                </w:p>
              </w:tc>
              <w:tc>
                <w:tcPr>
                  <w:tcW w:w="1270" w:type="dxa"/>
                </w:tcPr>
                <w:p w14:paraId="3E21B1B2" w14:textId="77777777" w:rsidR="000D7D3D" w:rsidRPr="00635993" w:rsidRDefault="000D7D3D" w:rsidP="007C3C15">
                  <w:pPr>
                    <w:rPr>
                      <w:rFonts w:cs="Arial"/>
                      <w:sz w:val="18"/>
                    </w:rPr>
                  </w:pPr>
                  <w:r w:rsidRPr="00635993">
                    <w:rPr>
                      <w:sz w:val="18"/>
                    </w:rPr>
                    <w:t>3.67μM</w:t>
                  </w:r>
                </w:p>
              </w:tc>
              <w:tc>
                <w:tcPr>
                  <w:tcW w:w="1265" w:type="dxa"/>
                </w:tcPr>
                <w:p w14:paraId="2DAADAEC" w14:textId="77777777" w:rsidR="000D7D3D" w:rsidRPr="00635993" w:rsidRDefault="000D7D3D" w:rsidP="007C3C15">
                  <w:pPr>
                    <w:rPr>
                      <w:sz w:val="18"/>
                    </w:rPr>
                  </w:pPr>
                  <w:r w:rsidRPr="00635993">
                    <w:rPr>
                      <w:sz w:val="18"/>
                    </w:rPr>
                    <w:t xml:space="preserve">0.1468 μM </w:t>
                  </w:r>
                </w:p>
              </w:tc>
            </w:tr>
            <w:tr w:rsidR="000D7D3D" w:rsidRPr="00D66DE2" w14:paraId="40CB153F" w14:textId="77777777" w:rsidTr="00635993">
              <w:trPr>
                <w:trHeight w:val="359"/>
              </w:trPr>
              <w:tc>
                <w:tcPr>
                  <w:tcW w:w="1205" w:type="dxa"/>
                  <w:tcBorders>
                    <w:bottom w:val="single" w:sz="4" w:space="0" w:color="auto"/>
                  </w:tcBorders>
                </w:tcPr>
                <w:p w14:paraId="4694CD56" w14:textId="77777777" w:rsidR="000D7D3D" w:rsidRPr="00635993" w:rsidRDefault="000D7D3D" w:rsidP="003F7054">
                  <w:pPr>
                    <w:rPr>
                      <w:rFonts w:cs="Arial"/>
                      <w:sz w:val="18"/>
                    </w:rPr>
                  </w:pPr>
                  <w:r w:rsidRPr="00635993">
                    <w:rPr>
                      <w:sz w:val="18"/>
                    </w:rPr>
                    <w:t>-</w:t>
                  </w:r>
                </w:p>
              </w:tc>
              <w:tc>
                <w:tcPr>
                  <w:tcW w:w="1232" w:type="dxa"/>
                  <w:tcBorders>
                    <w:bottom w:val="single" w:sz="4" w:space="0" w:color="auto"/>
                  </w:tcBorders>
                </w:tcPr>
                <w:p w14:paraId="55962931" w14:textId="77777777" w:rsidR="000D7D3D" w:rsidRPr="00635993" w:rsidRDefault="000D7D3D" w:rsidP="007F746A">
                  <w:pPr>
                    <w:rPr>
                      <w:rFonts w:cs="Arial"/>
                      <w:sz w:val="18"/>
                    </w:rPr>
                  </w:pPr>
                  <w:r w:rsidRPr="00635993">
                    <w:rPr>
                      <w:sz w:val="18"/>
                    </w:rPr>
                    <w:t>3.4 mM</w:t>
                  </w:r>
                </w:p>
              </w:tc>
              <w:tc>
                <w:tcPr>
                  <w:tcW w:w="1422" w:type="dxa"/>
                  <w:tcBorders>
                    <w:bottom w:val="single" w:sz="4" w:space="0" w:color="auto"/>
                  </w:tcBorders>
                </w:tcPr>
                <w:p w14:paraId="7CB72B8B" w14:textId="77777777" w:rsidR="000D7D3D" w:rsidRPr="00635993" w:rsidRDefault="000D7D3D" w:rsidP="00FB36B8">
                  <w:pPr>
                    <w:rPr>
                      <w:rFonts w:cs="Arial"/>
                      <w:sz w:val="18"/>
                    </w:rPr>
                  </w:pPr>
                  <w:r w:rsidRPr="00635993">
                    <w:rPr>
                      <w:sz w:val="18"/>
                    </w:rPr>
                    <w:t>3.5 mM</w:t>
                  </w:r>
                </w:p>
              </w:tc>
              <w:tc>
                <w:tcPr>
                  <w:tcW w:w="1270" w:type="dxa"/>
                  <w:tcBorders>
                    <w:bottom w:val="single" w:sz="4" w:space="0" w:color="auto"/>
                  </w:tcBorders>
                </w:tcPr>
                <w:p w14:paraId="1A0E5F2C" w14:textId="77777777" w:rsidR="000D7D3D" w:rsidRPr="00635993" w:rsidRDefault="000D7D3D" w:rsidP="007C3C15">
                  <w:pPr>
                    <w:rPr>
                      <w:rFonts w:cs="Arial"/>
                      <w:sz w:val="18"/>
                    </w:rPr>
                  </w:pPr>
                  <w:r w:rsidRPr="00635993">
                    <w:rPr>
                      <w:sz w:val="18"/>
                    </w:rPr>
                    <w:t>3.6 mM</w:t>
                  </w:r>
                </w:p>
              </w:tc>
              <w:tc>
                <w:tcPr>
                  <w:tcW w:w="1265" w:type="dxa"/>
                  <w:tcBorders>
                    <w:bottom w:val="single" w:sz="4" w:space="0" w:color="auto"/>
                  </w:tcBorders>
                </w:tcPr>
                <w:p w14:paraId="3465CF36" w14:textId="77777777" w:rsidR="000D7D3D" w:rsidRPr="00635993" w:rsidRDefault="000D7D3D" w:rsidP="007C3C15">
                  <w:pPr>
                    <w:rPr>
                      <w:rFonts w:cs="Arial"/>
                      <w:sz w:val="18"/>
                    </w:rPr>
                  </w:pPr>
                  <w:r w:rsidRPr="00635993">
                    <w:rPr>
                      <w:sz w:val="18"/>
                    </w:rPr>
                    <w:t>3.7 mM</w:t>
                  </w:r>
                </w:p>
              </w:tc>
            </w:tr>
          </w:tbl>
          <w:p w14:paraId="49FAE86E" w14:textId="77777777" w:rsidR="000D7D3D" w:rsidRPr="00635993" w:rsidRDefault="000D7D3D" w:rsidP="003F7054">
            <w:pPr>
              <w:rPr>
                <w:sz w:val="18"/>
              </w:rPr>
            </w:pPr>
          </w:p>
        </w:tc>
        <w:tc>
          <w:tcPr>
            <w:tcW w:w="996" w:type="dxa"/>
          </w:tcPr>
          <w:p w14:paraId="39B395EF" w14:textId="77777777" w:rsidR="000D7D3D" w:rsidRPr="00635993" w:rsidRDefault="000D7D3D" w:rsidP="007F746A">
            <w:pPr>
              <w:rPr>
                <w:sz w:val="18"/>
                <w:lang w:eastAsia="en-GB"/>
              </w:rPr>
            </w:pPr>
          </w:p>
          <w:p w14:paraId="398BC0B9" w14:textId="77777777" w:rsidR="000D7D3D" w:rsidRPr="00635993" w:rsidRDefault="000D7D3D" w:rsidP="00FB36B8">
            <w:pPr>
              <w:rPr>
                <w:sz w:val="18"/>
                <w:lang w:eastAsia="en-GB"/>
              </w:rPr>
            </w:pPr>
          </w:p>
          <w:p w14:paraId="416D5D50" w14:textId="77777777" w:rsidR="000D7D3D" w:rsidRPr="00635993" w:rsidRDefault="000D7D3D" w:rsidP="007C3C15">
            <w:pPr>
              <w:rPr>
                <w:rFonts w:cs="Arial"/>
                <w:sz w:val="18"/>
                <w:lang w:eastAsia="en-GB"/>
              </w:rPr>
            </w:pPr>
            <w:r w:rsidRPr="00635993">
              <w:rPr>
                <w:sz w:val="18"/>
              </w:rPr>
              <w:t>VWR</w:t>
            </w:r>
          </w:p>
        </w:tc>
      </w:tr>
      <w:tr w:rsidR="000D7D3D" w:rsidRPr="00D66DE2" w14:paraId="7570754B" w14:textId="77777777" w:rsidTr="00635993">
        <w:trPr>
          <w:trHeight w:val="414"/>
        </w:trPr>
        <w:tc>
          <w:tcPr>
            <w:tcW w:w="1701" w:type="dxa"/>
          </w:tcPr>
          <w:p w14:paraId="209D4852" w14:textId="77777777" w:rsidR="000D7D3D" w:rsidRPr="00635993" w:rsidRDefault="000D7D3D" w:rsidP="003F7054">
            <w:pPr>
              <w:rPr>
                <w:b/>
                <w:sz w:val="18"/>
                <w:vertAlign w:val="subscript"/>
                <w:lang w:eastAsia="en-GB"/>
              </w:rPr>
            </w:pPr>
            <w:r w:rsidRPr="00635993">
              <w:rPr>
                <w:b/>
                <w:sz w:val="18"/>
                <w:lang w:eastAsia="en-GB"/>
              </w:rPr>
              <w:t>KH</w:t>
            </w:r>
            <w:r w:rsidRPr="00635993">
              <w:rPr>
                <w:b/>
                <w:sz w:val="18"/>
                <w:vertAlign w:val="subscript"/>
                <w:lang w:eastAsia="en-GB"/>
              </w:rPr>
              <w:t>2</w:t>
            </w:r>
            <w:r w:rsidRPr="00635993">
              <w:rPr>
                <w:b/>
                <w:sz w:val="18"/>
                <w:lang w:eastAsia="en-GB"/>
              </w:rPr>
              <w:t>PO</w:t>
            </w:r>
            <w:r w:rsidRPr="00635993">
              <w:rPr>
                <w:b/>
                <w:sz w:val="18"/>
                <w:vertAlign w:val="subscript"/>
                <w:lang w:eastAsia="en-GB"/>
              </w:rPr>
              <w:t>4</w:t>
            </w:r>
          </w:p>
        </w:tc>
        <w:tc>
          <w:tcPr>
            <w:tcW w:w="6663" w:type="dxa"/>
            <w:vMerge/>
          </w:tcPr>
          <w:p w14:paraId="4CEC269D" w14:textId="77777777" w:rsidR="000D7D3D" w:rsidRPr="00635993" w:rsidRDefault="000D7D3D">
            <w:pPr>
              <w:rPr>
                <w:sz w:val="18"/>
              </w:rPr>
            </w:pPr>
          </w:p>
        </w:tc>
        <w:tc>
          <w:tcPr>
            <w:tcW w:w="996" w:type="dxa"/>
          </w:tcPr>
          <w:p w14:paraId="1A92310D" w14:textId="77777777" w:rsidR="000D7D3D" w:rsidRPr="00635993" w:rsidRDefault="000D7D3D">
            <w:pPr>
              <w:rPr>
                <w:rFonts w:cs="Arial"/>
                <w:sz w:val="18"/>
              </w:rPr>
            </w:pPr>
            <w:r w:rsidRPr="00635993">
              <w:rPr>
                <w:sz w:val="18"/>
              </w:rPr>
              <w:t>VWR</w:t>
            </w:r>
          </w:p>
        </w:tc>
      </w:tr>
      <w:tr w:rsidR="000D7D3D" w:rsidRPr="00D66DE2" w14:paraId="4AC86AE5" w14:textId="77777777" w:rsidTr="00635993">
        <w:trPr>
          <w:trHeight w:val="414"/>
        </w:trPr>
        <w:tc>
          <w:tcPr>
            <w:tcW w:w="1701" w:type="dxa"/>
          </w:tcPr>
          <w:p w14:paraId="7650B993" w14:textId="77777777" w:rsidR="000D7D3D" w:rsidRPr="00635993" w:rsidRDefault="000D7D3D" w:rsidP="003F7054">
            <w:pPr>
              <w:rPr>
                <w:rFonts w:eastAsia="Times New Roman"/>
                <w:sz w:val="18"/>
                <w:lang w:eastAsia="en-GB"/>
              </w:rPr>
            </w:pPr>
            <w:r w:rsidRPr="00635993">
              <w:rPr>
                <w:sz w:val="18"/>
                <w:lang w:eastAsia="en-GB"/>
              </w:rPr>
              <w:t>NH</w:t>
            </w:r>
            <w:r w:rsidRPr="00635993">
              <w:rPr>
                <w:sz w:val="18"/>
                <w:vertAlign w:val="subscript"/>
                <w:lang w:eastAsia="en-GB"/>
              </w:rPr>
              <w:t>4</w:t>
            </w:r>
            <w:r w:rsidRPr="00635993">
              <w:rPr>
                <w:sz w:val="18"/>
                <w:lang w:eastAsia="en-GB"/>
              </w:rPr>
              <w:t>Cl</w:t>
            </w:r>
          </w:p>
        </w:tc>
        <w:tc>
          <w:tcPr>
            <w:tcW w:w="6663" w:type="dxa"/>
            <w:vMerge/>
          </w:tcPr>
          <w:p w14:paraId="11EC3C02" w14:textId="77777777" w:rsidR="000D7D3D" w:rsidRPr="00635993" w:rsidRDefault="000D7D3D">
            <w:pPr>
              <w:rPr>
                <w:sz w:val="18"/>
                <w:lang w:eastAsia="en-GB"/>
              </w:rPr>
            </w:pPr>
          </w:p>
        </w:tc>
        <w:tc>
          <w:tcPr>
            <w:tcW w:w="996" w:type="dxa"/>
          </w:tcPr>
          <w:p w14:paraId="2EC6D917" w14:textId="77777777" w:rsidR="000D7D3D" w:rsidRPr="00635993" w:rsidRDefault="000D7D3D">
            <w:pPr>
              <w:rPr>
                <w:sz w:val="18"/>
                <w:lang w:eastAsia="en-GB"/>
              </w:rPr>
            </w:pPr>
            <w:r w:rsidRPr="00635993">
              <w:rPr>
                <w:sz w:val="18"/>
                <w:lang w:eastAsia="en-GB"/>
              </w:rPr>
              <w:t>Sigma</w:t>
            </w:r>
          </w:p>
          <w:p w14:paraId="1D832252" w14:textId="77777777" w:rsidR="000D7D3D" w:rsidRPr="00635993" w:rsidRDefault="000D7D3D">
            <w:pPr>
              <w:rPr>
                <w:sz w:val="18"/>
                <w:lang w:eastAsia="en-GB"/>
              </w:rPr>
            </w:pPr>
          </w:p>
        </w:tc>
      </w:tr>
      <w:tr w:rsidR="000D7D3D" w:rsidRPr="00D66DE2" w14:paraId="7C1C53E3" w14:textId="77777777" w:rsidTr="00635993">
        <w:trPr>
          <w:trHeight w:val="414"/>
        </w:trPr>
        <w:tc>
          <w:tcPr>
            <w:tcW w:w="1701" w:type="dxa"/>
          </w:tcPr>
          <w:p w14:paraId="05B9BB7F" w14:textId="77777777" w:rsidR="000D7D3D" w:rsidRPr="00635993" w:rsidRDefault="000D7D3D" w:rsidP="003F7054">
            <w:pPr>
              <w:rPr>
                <w:sz w:val="18"/>
              </w:rPr>
            </w:pPr>
            <w:r w:rsidRPr="00635993">
              <w:rPr>
                <w:sz w:val="18"/>
                <w:lang w:eastAsia="en-GB"/>
              </w:rPr>
              <w:t>FeCl</w:t>
            </w:r>
            <w:r w:rsidRPr="00635993">
              <w:rPr>
                <w:sz w:val="18"/>
                <w:vertAlign w:val="subscript"/>
                <w:lang w:eastAsia="en-GB"/>
              </w:rPr>
              <w:t>3</w:t>
            </w:r>
            <w:r w:rsidRPr="00635993">
              <w:rPr>
                <w:sz w:val="18"/>
                <w:lang w:eastAsia="en-GB"/>
              </w:rPr>
              <w:t>*6H</w:t>
            </w:r>
            <w:r w:rsidRPr="00635993">
              <w:rPr>
                <w:sz w:val="18"/>
                <w:vertAlign w:val="subscript"/>
                <w:lang w:eastAsia="en-GB"/>
              </w:rPr>
              <w:t>2</w:t>
            </w:r>
            <w:r w:rsidRPr="00635993">
              <w:rPr>
                <w:sz w:val="18"/>
                <w:lang w:eastAsia="en-GB"/>
              </w:rPr>
              <w:t>O</w:t>
            </w:r>
          </w:p>
        </w:tc>
        <w:tc>
          <w:tcPr>
            <w:tcW w:w="6663" w:type="dxa"/>
          </w:tcPr>
          <w:p w14:paraId="415AA49E" w14:textId="77777777" w:rsidR="000D7D3D" w:rsidRPr="00635993" w:rsidRDefault="000D7D3D" w:rsidP="007F746A">
            <w:pPr>
              <w:rPr>
                <w:sz w:val="18"/>
              </w:rPr>
            </w:pPr>
            <w:r w:rsidRPr="00635993">
              <w:rPr>
                <w:sz w:val="18"/>
                <w:lang w:eastAsia="en-GB"/>
              </w:rPr>
              <w:t>0.022 mM</w:t>
            </w:r>
          </w:p>
        </w:tc>
        <w:tc>
          <w:tcPr>
            <w:tcW w:w="996" w:type="dxa"/>
          </w:tcPr>
          <w:p w14:paraId="4D6A250D" w14:textId="77777777" w:rsidR="000D7D3D" w:rsidRPr="00635993" w:rsidRDefault="000D7D3D" w:rsidP="00FB36B8">
            <w:pPr>
              <w:rPr>
                <w:sz w:val="18"/>
              </w:rPr>
            </w:pPr>
            <w:r w:rsidRPr="00635993">
              <w:rPr>
                <w:sz w:val="18"/>
                <w:lang w:eastAsia="en-GB"/>
              </w:rPr>
              <w:t>Sigma</w:t>
            </w:r>
          </w:p>
        </w:tc>
      </w:tr>
      <w:tr w:rsidR="000D7D3D" w:rsidRPr="00D66DE2" w14:paraId="0162353A" w14:textId="77777777" w:rsidTr="00635993">
        <w:trPr>
          <w:trHeight w:val="414"/>
        </w:trPr>
        <w:tc>
          <w:tcPr>
            <w:tcW w:w="1701" w:type="dxa"/>
          </w:tcPr>
          <w:p w14:paraId="65CB2871" w14:textId="2FB7857B" w:rsidR="000D7D3D" w:rsidRPr="00635993" w:rsidRDefault="000D7D3D" w:rsidP="003F7054">
            <w:pPr>
              <w:rPr>
                <w:rFonts w:eastAsia="Times New Roman"/>
                <w:sz w:val="18"/>
                <w:lang w:eastAsia="en-GB"/>
              </w:rPr>
            </w:pPr>
            <w:r w:rsidRPr="00635993">
              <w:rPr>
                <w:rFonts w:eastAsia="Times New Roman"/>
                <w:sz w:val="18"/>
                <w:lang w:eastAsia="en-GB"/>
              </w:rPr>
              <w:t>B1</w:t>
            </w:r>
            <w:r w:rsidRPr="00635993">
              <w:rPr>
                <w:sz w:val="18"/>
              </w:rPr>
              <w:t>(thiamine HCl)</w:t>
            </w:r>
          </w:p>
        </w:tc>
        <w:tc>
          <w:tcPr>
            <w:tcW w:w="6663" w:type="dxa"/>
          </w:tcPr>
          <w:p w14:paraId="3DDB765B" w14:textId="77777777" w:rsidR="000D7D3D" w:rsidRPr="00635993" w:rsidRDefault="000D7D3D" w:rsidP="007F746A">
            <w:pPr>
              <w:rPr>
                <w:sz w:val="18"/>
                <w:lang w:eastAsia="en-GB"/>
              </w:rPr>
            </w:pPr>
            <w:r w:rsidRPr="00635993">
              <w:rPr>
                <w:sz w:val="18"/>
                <w:lang w:eastAsia="en-GB"/>
              </w:rPr>
              <w:t>0.3 μM</w:t>
            </w:r>
          </w:p>
        </w:tc>
        <w:tc>
          <w:tcPr>
            <w:tcW w:w="996" w:type="dxa"/>
          </w:tcPr>
          <w:p w14:paraId="27584BD7" w14:textId="77777777" w:rsidR="000D7D3D" w:rsidRPr="00635993" w:rsidRDefault="000D7D3D" w:rsidP="00FB36B8">
            <w:pPr>
              <w:rPr>
                <w:sz w:val="18"/>
                <w:lang w:eastAsia="en-GB"/>
              </w:rPr>
            </w:pPr>
            <w:r w:rsidRPr="00635993">
              <w:rPr>
                <w:sz w:val="18"/>
                <w:lang w:eastAsia="en-GB"/>
              </w:rPr>
              <w:t>Sigma</w:t>
            </w:r>
          </w:p>
        </w:tc>
      </w:tr>
      <w:tr w:rsidR="000D7D3D" w:rsidRPr="00D66DE2" w14:paraId="04ABB7DB" w14:textId="77777777" w:rsidTr="00635993">
        <w:trPr>
          <w:trHeight w:val="414"/>
        </w:trPr>
        <w:tc>
          <w:tcPr>
            <w:tcW w:w="1701" w:type="dxa"/>
          </w:tcPr>
          <w:p w14:paraId="2FA09570" w14:textId="77777777" w:rsidR="000D7D3D" w:rsidRPr="00635993" w:rsidRDefault="000D7D3D" w:rsidP="003F7054">
            <w:pPr>
              <w:rPr>
                <w:sz w:val="18"/>
              </w:rPr>
            </w:pPr>
            <w:r w:rsidRPr="00635993">
              <w:rPr>
                <w:sz w:val="18"/>
                <w:lang w:eastAsia="en-GB"/>
              </w:rPr>
              <w:t>Glucose D+</w:t>
            </w:r>
          </w:p>
        </w:tc>
        <w:tc>
          <w:tcPr>
            <w:tcW w:w="6663" w:type="dxa"/>
          </w:tcPr>
          <w:p w14:paraId="3E91B956" w14:textId="77777777" w:rsidR="000D7D3D" w:rsidRPr="00635993" w:rsidRDefault="000D7D3D" w:rsidP="007F746A">
            <w:pPr>
              <w:rPr>
                <w:sz w:val="18"/>
              </w:rPr>
            </w:pPr>
            <w:r w:rsidRPr="00635993">
              <w:rPr>
                <w:sz w:val="18"/>
                <w:lang w:eastAsia="en-GB"/>
              </w:rPr>
              <w:t>27.75 mM</w:t>
            </w:r>
          </w:p>
        </w:tc>
        <w:tc>
          <w:tcPr>
            <w:tcW w:w="996" w:type="dxa"/>
          </w:tcPr>
          <w:p w14:paraId="778000CD" w14:textId="77777777" w:rsidR="000D7D3D" w:rsidRPr="00635993" w:rsidRDefault="000D7D3D" w:rsidP="00FB36B8">
            <w:pPr>
              <w:rPr>
                <w:rFonts w:cs="Arial"/>
                <w:sz w:val="18"/>
              </w:rPr>
            </w:pPr>
            <w:r w:rsidRPr="00635993">
              <w:rPr>
                <w:sz w:val="18"/>
              </w:rPr>
              <w:t>VWR</w:t>
            </w:r>
            <w:r w:rsidRPr="00635993">
              <w:rPr>
                <w:rFonts w:cs="Arial"/>
                <w:sz w:val="18"/>
                <w:lang w:eastAsia="en-GB"/>
              </w:rPr>
              <w:t xml:space="preserve"> </w:t>
            </w:r>
          </w:p>
        </w:tc>
      </w:tr>
      <w:tr w:rsidR="000D7D3D" w:rsidRPr="00D66DE2" w14:paraId="630A6DE0" w14:textId="77777777" w:rsidTr="00635993">
        <w:trPr>
          <w:trHeight w:val="414"/>
        </w:trPr>
        <w:tc>
          <w:tcPr>
            <w:tcW w:w="1701" w:type="dxa"/>
          </w:tcPr>
          <w:p w14:paraId="4AB8F7F1" w14:textId="77777777" w:rsidR="000D7D3D" w:rsidRPr="00635993" w:rsidRDefault="000D7D3D" w:rsidP="003F7054">
            <w:pPr>
              <w:rPr>
                <w:sz w:val="18"/>
                <w:lang w:eastAsia="en-GB"/>
              </w:rPr>
            </w:pPr>
            <w:r w:rsidRPr="00635993">
              <w:rPr>
                <w:sz w:val="18"/>
                <w:lang w:eastAsia="en-GB"/>
              </w:rPr>
              <w:t>Malt extract</w:t>
            </w:r>
          </w:p>
        </w:tc>
        <w:tc>
          <w:tcPr>
            <w:tcW w:w="6663" w:type="dxa"/>
          </w:tcPr>
          <w:p w14:paraId="350CB8E9" w14:textId="77777777" w:rsidR="000D7D3D" w:rsidRPr="00635993" w:rsidRDefault="000D7D3D" w:rsidP="007F746A">
            <w:pPr>
              <w:rPr>
                <w:sz w:val="18"/>
              </w:rPr>
            </w:pPr>
            <w:r w:rsidRPr="00635993">
              <w:rPr>
                <w:sz w:val="18"/>
              </w:rPr>
              <w:t>1% w/v</w:t>
            </w:r>
          </w:p>
        </w:tc>
        <w:tc>
          <w:tcPr>
            <w:tcW w:w="996" w:type="dxa"/>
          </w:tcPr>
          <w:p w14:paraId="441E8CC0" w14:textId="77777777" w:rsidR="000D7D3D" w:rsidRPr="00635993" w:rsidRDefault="000D7D3D" w:rsidP="00FB36B8">
            <w:pPr>
              <w:rPr>
                <w:rFonts w:cs="Arial"/>
                <w:sz w:val="18"/>
              </w:rPr>
            </w:pPr>
            <w:r w:rsidRPr="00635993">
              <w:rPr>
                <w:sz w:val="18"/>
                <w:lang w:eastAsia="en-GB"/>
              </w:rPr>
              <w:t>MERCK</w:t>
            </w:r>
          </w:p>
        </w:tc>
      </w:tr>
      <w:tr w:rsidR="000D7D3D" w:rsidRPr="00D66DE2" w14:paraId="5D030173" w14:textId="77777777" w:rsidTr="00635993">
        <w:trPr>
          <w:trHeight w:val="414"/>
        </w:trPr>
        <w:tc>
          <w:tcPr>
            <w:tcW w:w="1701" w:type="dxa"/>
            <w:tcBorders>
              <w:bottom w:val="single" w:sz="4" w:space="0" w:color="auto"/>
            </w:tcBorders>
          </w:tcPr>
          <w:p w14:paraId="22261932" w14:textId="77777777" w:rsidR="000D7D3D" w:rsidRPr="00635993" w:rsidRDefault="000D7D3D" w:rsidP="003F7054">
            <w:pPr>
              <w:rPr>
                <w:sz w:val="18"/>
                <w:lang w:eastAsia="en-GB"/>
              </w:rPr>
            </w:pPr>
            <w:r w:rsidRPr="00635993">
              <w:rPr>
                <w:sz w:val="18"/>
                <w:lang w:eastAsia="en-GB"/>
              </w:rPr>
              <w:t>Agar (No1)</w:t>
            </w:r>
          </w:p>
        </w:tc>
        <w:tc>
          <w:tcPr>
            <w:tcW w:w="6663" w:type="dxa"/>
            <w:tcBorders>
              <w:bottom w:val="single" w:sz="4" w:space="0" w:color="auto"/>
            </w:tcBorders>
          </w:tcPr>
          <w:p w14:paraId="2AA15F71" w14:textId="77777777" w:rsidR="000D7D3D" w:rsidRPr="00635993" w:rsidRDefault="000D7D3D" w:rsidP="007F746A">
            <w:pPr>
              <w:rPr>
                <w:sz w:val="18"/>
              </w:rPr>
            </w:pPr>
            <w:r w:rsidRPr="00635993">
              <w:rPr>
                <w:sz w:val="18"/>
              </w:rPr>
              <w:t>1.5% w/v</w:t>
            </w:r>
          </w:p>
        </w:tc>
        <w:tc>
          <w:tcPr>
            <w:tcW w:w="996" w:type="dxa"/>
            <w:tcBorders>
              <w:bottom w:val="single" w:sz="4" w:space="0" w:color="auto"/>
            </w:tcBorders>
          </w:tcPr>
          <w:p w14:paraId="0BD74872" w14:textId="77777777" w:rsidR="000D7D3D" w:rsidRPr="00635993" w:rsidRDefault="000D7D3D" w:rsidP="00FB36B8">
            <w:pPr>
              <w:rPr>
                <w:sz w:val="18"/>
              </w:rPr>
            </w:pPr>
            <w:r w:rsidRPr="00635993">
              <w:rPr>
                <w:sz w:val="18"/>
              </w:rPr>
              <w:t>LAB M</w:t>
            </w:r>
          </w:p>
        </w:tc>
      </w:tr>
    </w:tbl>
    <w:p w14:paraId="575B6FEB" w14:textId="77777777" w:rsidR="000D7D3D" w:rsidRPr="00635993" w:rsidRDefault="000D7D3D" w:rsidP="003F7054">
      <w:pPr>
        <w:rPr>
          <w:rFonts w:eastAsia="CECEH G+ MTSYN" w:cs="Arial"/>
          <w:sz w:val="20"/>
        </w:rPr>
      </w:pPr>
      <w:r w:rsidRPr="00635993">
        <w:rPr>
          <w:sz w:val="20"/>
        </w:rPr>
        <w:t>The concentrations are given as final concentrations. The total volume of the media was brought to 1 L with UHP H</w:t>
      </w:r>
      <w:r w:rsidRPr="00635993">
        <w:rPr>
          <w:sz w:val="20"/>
          <w:vertAlign w:val="subscript"/>
        </w:rPr>
        <w:t>2</w:t>
      </w:r>
      <w:r w:rsidRPr="00635993">
        <w:rPr>
          <w:sz w:val="20"/>
        </w:rPr>
        <w:t>O. The pH of the media was adjusted to 5.5 with 10% HCl. The media were autoclaved at 15 psi for 15 min at 120</w:t>
      </w:r>
      <w:r w:rsidRPr="00635993">
        <w:rPr>
          <w:rFonts w:cs="Arial"/>
          <w:sz w:val="20"/>
        </w:rPr>
        <w:t>°</w:t>
      </w:r>
      <w:r w:rsidRPr="00635993">
        <w:rPr>
          <w:sz w:val="20"/>
        </w:rPr>
        <w:t xml:space="preserve">C. </w:t>
      </w:r>
      <w:r w:rsidRPr="00635993">
        <w:rPr>
          <w:rFonts w:cs="Arial"/>
          <w:sz w:val="20"/>
        </w:rPr>
        <w:t xml:space="preserve">Stock solutions of 37 mM </w:t>
      </w:r>
      <w:r w:rsidRPr="00635993">
        <w:rPr>
          <w:rFonts w:eastAsia="Times New Roman" w:cs="Arial"/>
          <w:sz w:val="20"/>
          <w:lang w:eastAsia="en-GB"/>
        </w:rPr>
        <w:t>FeCl</w:t>
      </w:r>
      <w:r w:rsidRPr="00635993">
        <w:rPr>
          <w:rFonts w:eastAsia="Times New Roman" w:cs="Arial"/>
          <w:sz w:val="20"/>
          <w:vertAlign w:val="subscript"/>
          <w:lang w:eastAsia="en-GB"/>
        </w:rPr>
        <w:t>3</w:t>
      </w:r>
      <w:r w:rsidRPr="00635993">
        <w:rPr>
          <w:rFonts w:eastAsia="Times New Roman" w:cs="Arial"/>
          <w:sz w:val="20"/>
        </w:rPr>
        <w:t>*6H</w:t>
      </w:r>
      <w:r w:rsidRPr="00635993">
        <w:rPr>
          <w:rFonts w:eastAsia="Times New Roman" w:cs="Arial"/>
          <w:sz w:val="20"/>
          <w:vertAlign w:val="subscript"/>
        </w:rPr>
        <w:t>2</w:t>
      </w:r>
      <w:r w:rsidRPr="00635993">
        <w:rPr>
          <w:rFonts w:eastAsia="Times New Roman" w:cs="Arial"/>
          <w:sz w:val="20"/>
        </w:rPr>
        <w:t>O</w:t>
      </w:r>
      <w:r w:rsidRPr="00635993">
        <w:rPr>
          <w:rFonts w:cs="Arial"/>
          <w:sz w:val="20"/>
        </w:rPr>
        <w:t xml:space="preserve"> and 3 mM B1 (thiamine HCl), which were filtered sterilized through a 0.22 μm filter (Millex), were added to the media to their final concentration when the media temperature was </w:t>
      </w:r>
      <w:r w:rsidRPr="00635993">
        <w:rPr>
          <w:rFonts w:ascii="Cambria Math" w:eastAsia="CECEH G+ MTSYN" w:hAnsi="Cambria Math" w:cs="Cambria Math"/>
          <w:sz w:val="20"/>
        </w:rPr>
        <w:t>∼</w:t>
      </w:r>
      <w:r w:rsidRPr="00635993">
        <w:rPr>
          <w:rFonts w:eastAsia="CECEH G+ MTSYN" w:cs="Arial"/>
          <w:sz w:val="20"/>
        </w:rPr>
        <w:t>50°C.</w:t>
      </w:r>
    </w:p>
    <w:p w14:paraId="69E16DB9" w14:textId="77777777" w:rsidR="000D7D3D" w:rsidRPr="000D7D3D" w:rsidRDefault="000D7D3D" w:rsidP="003F7054">
      <w:r w:rsidRPr="000D7D3D">
        <w:br w:type="page"/>
      </w:r>
    </w:p>
    <w:p w14:paraId="083B4CDE" w14:textId="4DEC91AB" w:rsidR="000D7D3D" w:rsidRPr="00B46FB7" w:rsidRDefault="000D7D3D" w:rsidP="00635993">
      <w:pPr>
        <w:pStyle w:val="Heading2"/>
      </w:pPr>
      <w:bookmarkStart w:id="602" w:name="_Toc507604105"/>
      <w:bookmarkStart w:id="603" w:name="_Toc507604372"/>
      <w:bookmarkStart w:id="604" w:name="_Toc519017074"/>
      <w:bookmarkStart w:id="605" w:name="_Toc520837987"/>
      <w:r w:rsidRPr="000D7D3D">
        <w:lastRenderedPageBreak/>
        <w:t xml:space="preserve">Table 3. </w:t>
      </w:r>
      <w:r w:rsidRPr="00635993">
        <w:rPr>
          <w:b w:val="0"/>
        </w:rPr>
        <w:t>Composition of the Pi-varying M-MMN</w:t>
      </w:r>
      <w:r w:rsidRPr="00635993">
        <w:rPr>
          <w:b w:val="0"/>
          <w:vertAlign w:val="subscript"/>
        </w:rPr>
        <w:t>NS</w:t>
      </w:r>
      <w:r w:rsidRPr="00635993">
        <w:rPr>
          <w:b w:val="0"/>
        </w:rPr>
        <w:t xml:space="preserve"> and M-MMN</w:t>
      </w:r>
      <w:r w:rsidRPr="00635993">
        <w:rPr>
          <w:b w:val="0"/>
          <w:vertAlign w:val="subscript"/>
        </w:rPr>
        <w:t>S</w:t>
      </w:r>
      <w:r w:rsidRPr="00635993">
        <w:rPr>
          <w:b w:val="0"/>
        </w:rPr>
        <w:t xml:space="preserve"> media.</w:t>
      </w:r>
      <w:bookmarkEnd w:id="602"/>
      <w:bookmarkEnd w:id="603"/>
      <w:bookmarkEnd w:id="604"/>
      <w:bookmarkEnd w:id="6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4"/>
        <w:gridCol w:w="2332"/>
        <w:gridCol w:w="2331"/>
        <w:gridCol w:w="2333"/>
      </w:tblGrid>
      <w:tr w:rsidR="000D7D3D" w:rsidRPr="000D7D3D" w14:paraId="4B9B0522" w14:textId="77777777" w:rsidTr="002D60C9">
        <w:trPr>
          <w:trHeight w:val="414"/>
        </w:trPr>
        <w:tc>
          <w:tcPr>
            <w:tcW w:w="2364" w:type="dxa"/>
            <w:tcBorders>
              <w:top w:val="single" w:sz="4" w:space="0" w:color="auto"/>
              <w:bottom w:val="single" w:sz="4" w:space="0" w:color="auto"/>
            </w:tcBorders>
          </w:tcPr>
          <w:p w14:paraId="6600A162" w14:textId="77777777" w:rsidR="000D7D3D" w:rsidRPr="00635993" w:rsidRDefault="000D7D3D" w:rsidP="003F7054">
            <w:pPr>
              <w:rPr>
                <w:rFonts w:cs="Arial"/>
                <w:b/>
              </w:rPr>
            </w:pPr>
            <w:r w:rsidRPr="00635993">
              <w:rPr>
                <w:b/>
              </w:rPr>
              <w:t>Compound</w:t>
            </w:r>
          </w:p>
        </w:tc>
        <w:tc>
          <w:tcPr>
            <w:tcW w:w="2332" w:type="dxa"/>
            <w:tcBorders>
              <w:top w:val="single" w:sz="4" w:space="0" w:color="auto"/>
              <w:bottom w:val="single" w:sz="4" w:space="0" w:color="auto"/>
            </w:tcBorders>
          </w:tcPr>
          <w:p w14:paraId="413C2A68" w14:textId="77777777" w:rsidR="000D7D3D" w:rsidRPr="00635993" w:rsidRDefault="000D7D3D" w:rsidP="007F746A">
            <w:pPr>
              <w:rPr>
                <w:b/>
              </w:rPr>
            </w:pPr>
            <w:r w:rsidRPr="00635993">
              <w:rPr>
                <w:b/>
              </w:rPr>
              <w:t>M-MMN</w:t>
            </w:r>
            <w:r w:rsidRPr="00635993">
              <w:rPr>
                <w:b/>
                <w:vertAlign w:val="subscript"/>
              </w:rPr>
              <w:t>NS</w:t>
            </w:r>
          </w:p>
        </w:tc>
        <w:tc>
          <w:tcPr>
            <w:tcW w:w="2331" w:type="dxa"/>
            <w:tcBorders>
              <w:top w:val="single" w:sz="4" w:space="0" w:color="auto"/>
              <w:bottom w:val="single" w:sz="4" w:space="0" w:color="auto"/>
            </w:tcBorders>
          </w:tcPr>
          <w:p w14:paraId="3C33B0A6" w14:textId="77777777" w:rsidR="000D7D3D" w:rsidRPr="00635993" w:rsidRDefault="000D7D3D" w:rsidP="00FB36B8">
            <w:pPr>
              <w:rPr>
                <w:b/>
              </w:rPr>
            </w:pPr>
            <w:r w:rsidRPr="00635993">
              <w:rPr>
                <w:b/>
              </w:rPr>
              <w:t>M-MMN</w:t>
            </w:r>
            <w:r w:rsidRPr="00635993">
              <w:rPr>
                <w:b/>
                <w:vertAlign w:val="subscript"/>
              </w:rPr>
              <w:t>S</w:t>
            </w:r>
          </w:p>
        </w:tc>
        <w:tc>
          <w:tcPr>
            <w:tcW w:w="2333" w:type="dxa"/>
            <w:tcBorders>
              <w:top w:val="single" w:sz="4" w:space="0" w:color="auto"/>
              <w:bottom w:val="single" w:sz="4" w:space="0" w:color="auto"/>
            </w:tcBorders>
          </w:tcPr>
          <w:p w14:paraId="260C941E" w14:textId="77777777" w:rsidR="000D7D3D" w:rsidRPr="00635993" w:rsidRDefault="000D7D3D" w:rsidP="007C3C15">
            <w:pPr>
              <w:rPr>
                <w:b/>
              </w:rPr>
            </w:pPr>
            <w:r w:rsidRPr="00635993">
              <w:rPr>
                <w:b/>
              </w:rPr>
              <w:t>Supplier</w:t>
            </w:r>
          </w:p>
        </w:tc>
      </w:tr>
      <w:tr w:rsidR="000D7D3D" w:rsidRPr="000D7D3D" w14:paraId="34B20873" w14:textId="77777777" w:rsidTr="002D60C9">
        <w:trPr>
          <w:trHeight w:val="414"/>
        </w:trPr>
        <w:tc>
          <w:tcPr>
            <w:tcW w:w="2364" w:type="dxa"/>
            <w:tcBorders>
              <w:top w:val="single" w:sz="4" w:space="0" w:color="auto"/>
            </w:tcBorders>
          </w:tcPr>
          <w:p w14:paraId="1520D913" w14:textId="77777777" w:rsidR="000D7D3D" w:rsidRPr="000D7D3D" w:rsidRDefault="000D7D3D" w:rsidP="003F7054">
            <w:r w:rsidRPr="000D7D3D">
              <w:rPr>
                <w:lang w:eastAsia="en-GB"/>
              </w:rPr>
              <w:t>CaCl</w:t>
            </w:r>
            <w:r w:rsidRPr="000D7D3D">
              <w:rPr>
                <w:vertAlign w:val="subscript"/>
                <w:lang w:eastAsia="en-GB"/>
              </w:rPr>
              <w:t>2</w:t>
            </w:r>
            <w:r w:rsidRPr="000D7D3D">
              <w:rPr>
                <w:lang w:eastAsia="en-GB"/>
              </w:rPr>
              <w:t>*2H</w:t>
            </w:r>
            <w:r w:rsidRPr="000D7D3D">
              <w:rPr>
                <w:vertAlign w:val="subscript"/>
                <w:lang w:eastAsia="en-GB"/>
              </w:rPr>
              <w:t>2</w:t>
            </w:r>
            <w:r w:rsidRPr="000D7D3D">
              <w:rPr>
                <w:lang w:eastAsia="en-GB"/>
              </w:rPr>
              <w:t>O</w:t>
            </w:r>
          </w:p>
        </w:tc>
        <w:tc>
          <w:tcPr>
            <w:tcW w:w="2332" w:type="dxa"/>
            <w:tcBorders>
              <w:top w:val="single" w:sz="4" w:space="0" w:color="auto"/>
            </w:tcBorders>
          </w:tcPr>
          <w:p w14:paraId="28345AB6" w14:textId="77777777" w:rsidR="000D7D3D" w:rsidRPr="000D7D3D" w:rsidRDefault="000D7D3D" w:rsidP="007F746A">
            <w:r w:rsidRPr="000D7D3D">
              <w:rPr>
                <w:lang w:eastAsia="en-GB"/>
              </w:rPr>
              <w:t>0.34 mM</w:t>
            </w:r>
          </w:p>
        </w:tc>
        <w:tc>
          <w:tcPr>
            <w:tcW w:w="2331" w:type="dxa"/>
            <w:tcBorders>
              <w:top w:val="single" w:sz="4" w:space="0" w:color="auto"/>
            </w:tcBorders>
          </w:tcPr>
          <w:p w14:paraId="7B88C36B" w14:textId="77777777" w:rsidR="000D7D3D" w:rsidRPr="000D7D3D" w:rsidRDefault="000D7D3D" w:rsidP="00FB36B8">
            <w:r w:rsidRPr="000D7D3D">
              <w:rPr>
                <w:lang w:eastAsia="en-GB"/>
              </w:rPr>
              <w:t>0.34 mM</w:t>
            </w:r>
          </w:p>
        </w:tc>
        <w:tc>
          <w:tcPr>
            <w:tcW w:w="2333" w:type="dxa"/>
            <w:tcBorders>
              <w:top w:val="single" w:sz="4" w:space="0" w:color="auto"/>
            </w:tcBorders>
          </w:tcPr>
          <w:p w14:paraId="48BDCEC4" w14:textId="77777777" w:rsidR="000D7D3D" w:rsidRPr="000D7D3D" w:rsidRDefault="000D7D3D" w:rsidP="007C3C15">
            <w:r w:rsidRPr="000D7D3D">
              <w:rPr>
                <w:lang w:eastAsia="en-GB"/>
              </w:rPr>
              <w:t xml:space="preserve">VWR </w:t>
            </w:r>
          </w:p>
        </w:tc>
      </w:tr>
      <w:tr w:rsidR="000D7D3D" w:rsidRPr="000D7D3D" w14:paraId="0A92F66D" w14:textId="77777777" w:rsidTr="002D60C9">
        <w:trPr>
          <w:trHeight w:val="414"/>
        </w:trPr>
        <w:tc>
          <w:tcPr>
            <w:tcW w:w="2364" w:type="dxa"/>
          </w:tcPr>
          <w:p w14:paraId="2CFAF60D" w14:textId="77777777" w:rsidR="000D7D3D" w:rsidRPr="000D7D3D" w:rsidRDefault="000D7D3D" w:rsidP="003F7054">
            <w:r w:rsidRPr="000D7D3D">
              <w:rPr>
                <w:lang w:eastAsia="en-GB"/>
              </w:rPr>
              <w:t>NaCl</w:t>
            </w:r>
          </w:p>
        </w:tc>
        <w:tc>
          <w:tcPr>
            <w:tcW w:w="2332" w:type="dxa"/>
          </w:tcPr>
          <w:p w14:paraId="32BE1522" w14:textId="77777777" w:rsidR="000D7D3D" w:rsidRPr="000D7D3D" w:rsidRDefault="000D7D3D" w:rsidP="007F746A">
            <w:r w:rsidRPr="000D7D3D">
              <w:rPr>
                <w:lang w:eastAsia="en-GB"/>
              </w:rPr>
              <w:t>0.43 mM</w:t>
            </w:r>
          </w:p>
        </w:tc>
        <w:tc>
          <w:tcPr>
            <w:tcW w:w="2331" w:type="dxa"/>
          </w:tcPr>
          <w:p w14:paraId="413D8CF9" w14:textId="77777777" w:rsidR="000D7D3D" w:rsidRPr="000D7D3D" w:rsidRDefault="000D7D3D" w:rsidP="00FB36B8">
            <w:r w:rsidRPr="000D7D3D">
              <w:rPr>
                <w:lang w:eastAsia="en-GB"/>
              </w:rPr>
              <w:t>0.43 mM</w:t>
            </w:r>
          </w:p>
        </w:tc>
        <w:tc>
          <w:tcPr>
            <w:tcW w:w="2333" w:type="dxa"/>
          </w:tcPr>
          <w:p w14:paraId="7155FB34" w14:textId="77777777" w:rsidR="000D7D3D" w:rsidRPr="000D7D3D" w:rsidRDefault="000D7D3D" w:rsidP="007C3C15">
            <w:r w:rsidRPr="000D7D3D">
              <w:rPr>
                <w:lang w:eastAsia="en-GB"/>
              </w:rPr>
              <w:t>VWR</w:t>
            </w:r>
          </w:p>
        </w:tc>
      </w:tr>
      <w:tr w:rsidR="000D7D3D" w:rsidRPr="000D7D3D" w14:paraId="5D15FD8B" w14:textId="77777777" w:rsidTr="002D60C9">
        <w:trPr>
          <w:trHeight w:val="414"/>
        </w:trPr>
        <w:tc>
          <w:tcPr>
            <w:tcW w:w="2364" w:type="dxa"/>
          </w:tcPr>
          <w:p w14:paraId="430462E1" w14:textId="77777777" w:rsidR="000D7D3D" w:rsidRPr="000D7D3D" w:rsidRDefault="000D7D3D" w:rsidP="003F7054">
            <w:r w:rsidRPr="000D7D3D">
              <w:rPr>
                <w:lang w:eastAsia="en-GB"/>
              </w:rPr>
              <w:t>MgSO</w:t>
            </w:r>
            <w:r w:rsidRPr="000D7D3D">
              <w:rPr>
                <w:vertAlign w:val="subscript"/>
                <w:lang w:eastAsia="en-GB"/>
              </w:rPr>
              <w:t>4</w:t>
            </w:r>
            <w:r w:rsidRPr="000D7D3D">
              <w:rPr>
                <w:lang w:eastAsia="en-GB"/>
              </w:rPr>
              <w:t>*7H</w:t>
            </w:r>
            <w:r w:rsidRPr="000D7D3D">
              <w:rPr>
                <w:vertAlign w:val="subscript"/>
                <w:lang w:eastAsia="en-GB"/>
              </w:rPr>
              <w:t>2</w:t>
            </w:r>
            <w:r w:rsidRPr="000D7D3D">
              <w:rPr>
                <w:lang w:eastAsia="en-GB"/>
              </w:rPr>
              <w:t>O</w:t>
            </w:r>
          </w:p>
        </w:tc>
        <w:tc>
          <w:tcPr>
            <w:tcW w:w="2332" w:type="dxa"/>
          </w:tcPr>
          <w:p w14:paraId="1A521CD2" w14:textId="77777777" w:rsidR="000D7D3D" w:rsidRPr="000D7D3D" w:rsidRDefault="000D7D3D" w:rsidP="007F746A">
            <w:r w:rsidRPr="000D7D3D">
              <w:rPr>
                <w:lang w:eastAsia="en-GB"/>
              </w:rPr>
              <w:t>0.61 mM</w:t>
            </w:r>
          </w:p>
        </w:tc>
        <w:tc>
          <w:tcPr>
            <w:tcW w:w="2331" w:type="dxa"/>
          </w:tcPr>
          <w:p w14:paraId="5B2857EA" w14:textId="77777777" w:rsidR="000D7D3D" w:rsidRPr="000D7D3D" w:rsidRDefault="000D7D3D" w:rsidP="00FB36B8">
            <w:r w:rsidRPr="000D7D3D">
              <w:rPr>
                <w:lang w:eastAsia="en-GB"/>
              </w:rPr>
              <w:t>0.61 mM</w:t>
            </w:r>
          </w:p>
        </w:tc>
        <w:tc>
          <w:tcPr>
            <w:tcW w:w="2333" w:type="dxa"/>
          </w:tcPr>
          <w:p w14:paraId="35C18B9E" w14:textId="77777777" w:rsidR="000D7D3D" w:rsidRPr="000D7D3D" w:rsidRDefault="000D7D3D" w:rsidP="007C3C15">
            <w:r w:rsidRPr="000D7D3D">
              <w:rPr>
                <w:lang w:eastAsia="en-GB"/>
              </w:rPr>
              <w:t>VWR</w:t>
            </w:r>
          </w:p>
        </w:tc>
      </w:tr>
      <w:tr w:rsidR="000D7D3D" w:rsidRPr="000D7D3D" w14:paraId="23743655" w14:textId="77777777" w:rsidTr="002D60C9">
        <w:trPr>
          <w:trHeight w:val="414"/>
        </w:trPr>
        <w:tc>
          <w:tcPr>
            <w:tcW w:w="2364" w:type="dxa"/>
            <w:tcBorders>
              <w:bottom w:val="single" w:sz="4" w:space="0" w:color="auto"/>
            </w:tcBorders>
          </w:tcPr>
          <w:p w14:paraId="2FACB2D6" w14:textId="77777777" w:rsidR="000D7D3D" w:rsidRPr="000D7D3D" w:rsidRDefault="000D7D3D" w:rsidP="003F7054">
            <w:r w:rsidRPr="000D7D3D">
              <w:rPr>
                <w:lang w:eastAsia="en-GB"/>
              </w:rPr>
              <w:t>(NH</w:t>
            </w:r>
            <w:r w:rsidRPr="000D7D3D">
              <w:rPr>
                <w:vertAlign w:val="subscript"/>
                <w:lang w:eastAsia="en-GB"/>
              </w:rPr>
              <w:t>4</w:t>
            </w:r>
            <w:r w:rsidRPr="000D7D3D">
              <w:rPr>
                <w:lang w:eastAsia="en-GB"/>
              </w:rPr>
              <w:t>)</w:t>
            </w:r>
            <w:r w:rsidRPr="000D7D3D">
              <w:rPr>
                <w:vertAlign w:val="subscript"/>
                <w:lang w:eastAsia="en-GB"/>
              </w:rPr>
              <w:t>2</w:t>
            </w:r>
            <w:r w:rsidRPr="000D7D3D">
              <w:rPr>
                <w:lang w:eastAsia="en-GB"/>
              </w:rPr>
              <w:t>SO</w:t>
            </w:r>
            <w:r w:rsidRPr="000D7D3D">
              <w:rPr>
                <w:vertAlign w:val="subscript"/>
                <w:lang w:eastAsia="en-GB"/>
              </w:rPr>
              <w:t>4</w:t>
            </w:r>
          </w:p>
        </w:tc>
        <w:tc>
          <w:tcPr>
            <w:tcW w:w="2332" w:type="dxa"/>
            <w:tcBorders>
              <w:bottom w:val="single" w:sz="4" w:space="0" w:color="auto"/>
            </w:tcBorders>
          </w:tcPr>
          <w:p w14:paraId="0F558074" w14:textId="77777777" w:rsidR="000D7D3D" w:rsidRPr="000D7D3D" w:rsidRDefault="000D7D3D" w:rsidP="007F746A">
            <w:r w:rsidRPr="000D7D3D">
              <w:rPr>
                <w:lang w:eastAsia="en-GB"/>
              </w:rPr>
              <w:t>1.89 mM</w:t>
            </w:r>
          </w:p>
        </w:tc>
        <w:tc>
          <w:tcPr>
            <w:tcW w:w="2331" w:type="dxa"/>
            <w:tcBorders>
              <w:bottom w:val="single" w:sz="4" w:space="0" w:color="auto"/>
            </w:tcBorders>
          </w:tcPr>
          <w:p w14:paraId="5E2DAB45" w14:textId="77777777" w:rsidR="000D7D3D" w:rsidRPr="000D7D3D" w:rsidRDefault="000D7D3D" w:rsidP="00FB36B8">
            <w:r w:rsidRPr="000D7D3D">
              <w:rPr>
                <w:lang w:eastAsia="en-GB"/>
              </w:rPr>
              <w:t>1.89</w:t>
            </w:r>
            <w:r w:rsidRPr="000D7D3D">
              <w:t xml:space="preserve"> mM</w:t>
            </w:r>
          </w:p>
        </w:tc>
        <w:tc>
          <w:tcPr>
            <w:tcW w:w="2333" w:type="dxa"/>
            <w:tcBorders>
              <w:bottom w:val="single" w:sz="4" w:space="0" w:color="auto"/>
            </w:tcBorders>
          </w:tcPr>
          <w:p w14:paraId="19105AB3" w14:textId="77777777" w:rsidR="000D7D3D" w:rsidRPr="000D7D3D" w:rsidRDefault="000D7D3D" w:rsidP="007C3C15">
            <w:r w:rsidRPr="000D7D3D">
              <w:rPr>
                <w:lang w:eastAsia="en-GB"/>
              </w:rPr>
              <w:t>VWR</w:t>
            </w:r>
          </w:p>
        </w:tc>
      </w:tr>
      <w:tr w:rsidR="000D7D3D" w:rsidRPr="000D7D3D" w14:paraId="1A147A89" w14:textId="77777777" w:rsidTr="002D60C9">
        <w:trPr>
          <w:trHeight w:val="414"/>
        </w:trPr>
        <w:tc>
          <w:tcPr>
            <w:tcW w:w="2364" w:type="dxa"/>
            <w:tcBorders>
              <w:top w:val="single" w:sz="4" w:space="0" w:color="auto"/>
              <w:bottom w:val="single" w:sz="4" w:space="0" w:color="auto"/>
            </w:tcBorders>
          </w:tcPr>
          <w:p w14:paraId="3C552249" w14:textId="77777777" w:rsidR="000D7D3D" w:rsidRPr="00635993" w:rsidRDefault="000D7D3D" w:rsidP="003F7054">
            <w:pPr>
              <w:rPr>
                <w:b/>
              </w:rPr>
            </w:pPr>
            <w:r w:rsidRPr="00635993">
              <w:rPr>
                <w:b/>
                <w:lang w:eastAsia="en-GB"/>
              </w:rPr>
              <w:t>KH</w:t>
            </w:r>
            <w:r w:rsidRPr="00635993">
              <w:rPr>
                <w:b/>
                <w:vertAlign w:val="subscript"/>
                <w:lang w:eastAsia="en-GB"/>
              </w:rPr>
              <w:t>2</w:t>
            </w:r>
            <w:r w:rsidRPr="00635993">
              <w:rPr>
                <w:b/>
                <w:lang w:eastAsia="en-GB"/>
              </w:rPr>
              <w:t>PO</w:t>
            </w:r>
            <w:r w:rsidRPr="00635993">
              <w:rPr>
                <w:b/>
                <w:vertAlign w:val="subscript"/>
                <w:lang w:eastAsia="en-GB"/>
              </w:rPr>
              <w:t>4</w:t>
            </w:r>
          </w:p>
        </w:tc>
        <w:tc>
          <w:tcPr>
            <w:tcW w:w="2332" w:type="dxa"/>
            <w:tcBorders>
              <w:top w:val="single" w:sz="4" w:space="0" w:color="auto"/>
              <w:bottom w:val="single" w:sz="4" w:space="0" w:color="auto"/>
            </w:tcBorders>
          </w:tcPr>
          <w:p w14:paraId="29112855" w14:textId="77777777" w:rsidR="000D7D3D" w:rsidRPr="000D7D3D" w:rsidRDefault="000D7D3D" w:rsidP="007F746A">
            <w:r w:rsidRPr="000D7D3D">
              <w:t>0.15 μM</w:t>
            </w:r>
          </w:p>
          <w:p w14:paraId="1245083E" w14:textId="77777777" w:rsidR="000D7D3D" w:rsidRPr="000D7D3D" w:rsidRDefault="000D7D3D" w:rsidP="00FB36B8">
            <w:r w:rsidRPr="000D7D3D">
              <w:t>0.37 μM</w:t>
            </w:r>
          </w:p>
          <w:p w14:paraId="7D59F14F" w14:textId="77777777" w:rsidR="000D7D3D" w:rsidRPr="000D7D3D" w:rsidRDefault="000D7D3D" w:rsidP="007C3C15">
            <w:r w:rsidRPr="000D7D3D">
              <w:t xml:space="preserve">3.67 μM </w:t>
            </w:r>
          </w:p>
          <w:p w14:paraId="7E8B6C24" w14:textId="77777777" w:rsidR="000D7D3D" w:rsidRPr="000D7D3D" w:rsidRDefault="000D7D3D" w:rsidP="007C3C15">
            <w:r w:rsidRPr="000D7D3D">
              <w:t>36.7 μM</w:t>
            </w:r>
          </w:p>
          <w:p w14:paraId="45C09870" w14:textId="77777777" w:rsidR="000D7D3D" w:rsidRPr="000D7D3D" w:rsidRDefault="000D7D3D" w:rsidP="007C3C15">
            <w:r w:rsidRPr="000D7D3D">
              <w:t>367 μM</w:t>
            </w:r>
          </w:p>
          <w:p w14:paraId="08A4E82B" w14:textId="77777777" w:rsidR="000D7D3D" w:rsidRPr="000D7D3D" w:rsidRDefault="000D7D3D" w:rsidP="00D9161C">
            <w:r w:rsidRPr="000D7D3D">
              <w:t>3,670 μM</w:t>
            </w:r>
          </w:p>
        </w:tc>
        <w:tc>
          <w:tcPr>
            <w:tcW w:w="2331" w:type="dxa"/>
            <w:tcBorders>
              <w:top w:val="single" w:sz="4" w:space="0" w:color="auto"/>
              <w:bottom w:val="single" w:sz="4" w:space="0" w:color="auto"/>
            </w:tcBorders>
          </w:tcPr>
          <w:p w14:paraId="396B672E" w14:textId="77777777" w:rsidR="000D7D3D" w:rsidRPr="000D7D3D" w:rsidRDefault="000D7D3D" w:rsidP="001B51CA">
            <w:r w:rsidRPr="000D7D3D">
              <w:t>0.15 μM</w:t>
            </w:r>
          </w:p>
          <w:p w14:paraId="686213F8" w14:textId="77777777" w:rsidR="000D7D3D" w:rsidRPr="000D7D3D" w:rsidRDefault="000D7D3D" w:rsidP="001563DA">
            <w:r w:rsidRPr="000D7D3D">
              <w:t>0.37 μM</w:t>
            </w:r>
          </w:p>
          <w:p w14:paraId="15A4FD25" w14:textId="77777777" w:rsidR="000D7D3D" w:rsidRPr="000D7D3D" w:rsidRDefault="000D7D3D">
            <w:r w:rsidRPr="000D7D3D">
              <w:t xml:space="preserve">3.67 μM </w:t>
            </w:r>
          </w:p>
          <w:p w14:paraId="75902511" w14:textId="77777777" w:rsidR="000D7D3D" w:rsidRPr="000D7D3D" w:rsidRDefault="000D7D3D">
            <w:r w:rsidRPr="000D7D3D">
              <w:t>36.7 μM</w:t>
            </w:r>
          </w:p>
          <w:p w14:paraId="35EAF8F5" w14:textId="77777777" w:rsidR="000D7D3D" w:rsidRPr="000D7D3D" w:rsidRDefault="000D7D3D">
            <w:r w:rsidRPr="000D7D3D">
              <w:t>367 μM</w:t>
            </w:r>
          </w:p>
          <w:p w14:paraId="125DAB8B" w14:textId="77777777" w:rsidR="000D7D3D" w:rsidRPr="000D7D3D" w:rsidRDefault="000D7D3D">
            <w:r w:rsidRPr="000D7D3D">
              <w:t>3,670 μM</w:t>
            </w:r>
          </w:p>
        </w:tc>
        <w:tc>
          <w:tcPr>
            <w:tcW w:w="2333" w:type="dxa"/>
            <w:tcBorders>
              <w:top w:val="single" w:sz="4" w:space="0" w:color="auto"/>
              <w:bottom w:val="single" w:sz="4" w:space="0" w:color="auto"/>
            </w:tcBorders>
          </w:tcPr>
          <w:p w14:paraId="2E8AB37C" w14:textId="77777777" w:rsidR="000D7D3D" w:rsidRPr="000D7D3D" w:rsidRDefault="000D7D3D">
            <w:r w:rsidRPr="000D7D3D">
              <w:rPr>
                <w:lang w:eastAsia="en-GB"/>
              </w:rPr>
              <w:t>VWR</w:t>
            </w:r>
          </w:p>
        </w:tc>
      </w:tr>
      <w:tr w:rsidR="000D7D3D" w:rsidRPr="000D7D3D" w14:paraId="54EE006E" w14:textId="77777777" w:rsidTr="002D60C9">
        <w:trPr>
          <w:trHeight w:val="414"/>
        </w:trPr>
        <w:tc>
          <w:tcPr>
            <w:tcW w:w="2364" w:type="dxa"/>
            <w:tcBorders>
              <w:top w:val="single" w:sz="4" w:space="0" w:color="auto"/>
            </w:tcBorders>
          </w:tcPr>
          <w:p w14:paraId="1EAD8F1F" w14:textId="77777777" w:rsidR="000D7D3D" w:rsidRPr="000D7D3D" w:rsidRDefault="000D7D3D" w:rsidP="003F7054">
            <w:r w:rsidRPr="000D7D3D">
              <w:rPr>
                <w:lang w:eastAsia="en-GB"/>
              </w:rPr>
              <w:t>FeCl</w:t>
            </w:r>
            <w:r w:rsidRPr="000D7D3D">
              <w:rPr>
                <w:vertAlign w:val="subscript"/>
                <w:lang w:eastAsia="en-GB"/>
              </w:rPr>
              <w:t>3</w:t>
            </w:r>
            <w:r w:rsidRPr="000D7D3D">
              <w:t>*6H</w:t>
            </w:r>
            <w:r w:rsidRPr="000D7D3D">
              <w:rPr>
                <w:vertAlign w:val="subscript"/>
              </w:rPr>
              <w:t>2</w:t>
            </w:r>
            <w:r w:rsidRPr="000D7D3D">
              <w:t>O</w:t>
            </w:r>
          </w:p>
        </w:tc>
        <w:tc>
          <w:tcPr>
            <w:tcW w:w="2332" w:type="dxa"/>
            <w:tcBorders>
              <w:top w:val="single" w:sz="4" w:space="0" w:color="auto"/>
            </w:tcBorders>
          </w:tcPr>
          <w:p w14:paraId="03585854" w14:textId="77777777" w:rsidR="000D7D3D" w:rsidRPr="000D7D3D" w:rsidRDefault="000D7D3D" w:rsidP="007F746A">
            <w:r w:rsidRPr="000D7D3D">
              <w:t xml:space="preserve">0.037 </w:t>
            </w:r>
            <w:r w:rsidRPr="000D7D3D">
              <w:rPr>
                <w:lang w:eastAsia="en-GB"/>
              </w:rPr>
              <w:t>mM</w:t>
            </w:r>
          </w:p>
        </w:tc>
        <w:tc>
          <w:tcPr>
            <w:tcW w:w="2331" w:type="dxa"/>
            <w:tcBorders>
              <w:top w:val="single" w:sz="4" w:space="0" w:color="auto"/>
            </w:tcBorders>
          </w:tcPr>
          <w:p w14:paraId="6F414D9A" w14:textId="77777777" w:rsidR="000D7D3D" w:rsidRPr="000D7D3D" w:rsidRDefault="000D7D3D" w:rsidP="00FB36B8">
            <w:r w:rsidRPr="000D7D3D">
              <w:t xml:space="preserve">0.037 </w:t>
            </w:r>
            <w:r w:rsidRPr="000D7D3D">
              <w:rPr>
                <w:lang w:eastAsia="en-GB"/>
              </w:rPr>
              <w:t>mM</w:t>
            </w:r>
          </w:p>
        </w:tc>
        <w:tc>
          <w:tcPr>
            <w:tcW w:w="2333" w:type="dxa"/>
            <w:tcBorders>
              <w:top w:val="single" w:sz="4" w:space="0" w:color="auto"/>
            </w:tcBorders>
          </w:tcPr>
          <w:p w14:paraId="374B0AE7" w14:textId="77777777" w:rsidR="000D7D3D" w:rsidRPr="000D7D3D" w:rsidRDefault="000D7D3D" w:rsidP="007C3C15">
            <w:r w:rsidRPr="000D7D3D">
              <w:rPr>
                <w:lang w:eastAsia="en-GB"/>
              </w:rPr>
              <w:t>Sigma</w:t>
            </w:r>
          </w:p>
        </w:tc>
      </w:tr>
      <w:tr w:rsidR="000D7D3D" w:rsidRPr="000D7D3D" w14:paraId="058BEF4F" w14:textId="77777777" w:rsidTr="002D60C9">
        <w:trPr>
          <w:trHeight w:val="414"/>
        </w:trPr>
        <w:tc>
          <w:tcPr>
            <w:tcW w:w="2364" w:type="dxa"/>
          </w:tcPr>
          <w:p w14:paraId="499364DC" w14:textId="77777777" w:rsidR="000D7D3D" w:rsidRPr="000D7D3D" w:rsidRDefault="000D7D3D" w:rsidP="003F7054">
            <w:pPr>
              <w:rPr>
                <w:rFonts w:eastAsia="Times New Roman"/>
                <w:lang w:eastAsia="en-GB"/>
              </w:rPr>
            </w:pPr>
            <w:r w:rsidRPr="000D7D3D">
              <w:rPr>
                <w:rFonts w:eastAsia="Times New Roman"/>
                <w:lang w:eastAsia="en-GB"/>
              </w:rPr>
              <w:t>B1</w:t>
            </w:r>
            <w:r w:rsidRPr="000D7D3D">
              <w:t xml:space="preserve"> (thiamine HCl)</w:t>
            </w:r>
          </w:p>
        </w:tc>
        <w:tc>
          <w:tcPr>
            <w:tcW w:w="2332" w:type="dxa"/>
          </w:tcPr>
          <w:p w14:paraId="36913127" w14:textId="77777777" w:rsidR="000D7D3D" w:rsidRPr="000D7D3D" w:rsidRDefault="000D7D3D" w:rsidP="007F746A">
            <w:pPr>
              <w:rPr>
                <w:lang w:eastAsia="en-GB"/>
              </w:rPr>
            </w:pPr>
            <w:r w:rsidRPr="000D7D3D">
              <w:t>0.3 μM</w:t>
            </w:r>
          </w:p>
        </w:tc>
        <w:tc>
          <w:tcPr>
            <w:tcW w:w="2331" w:type="dxa"/>
          </w:tcPr>
          <w:p w14:paraId="7B1767DA" w14:textId="77777777" w:rsidR="000D7D3D" w:rsidRPr="000D7D3D" w:rsidRDefault="000D7D3D" w:rsidP="00FB36B8">
            <w:pPr>
              <w:rPr>
                <w:lang w:eastAsia="en-GB"/>
              </w:rPr>
            </w:pPr>
            <w:r w:rsidRPr="000D7D3D">
              <w:t xml:space="preserve">0.3 μM   </w:t>
            </w:r>
          </w:p>
        </w:tc>
        <w:tc>
          <w:tcPr>
            <w:tcW w:w="2333" w:type="dxa"/>
          </w:tcPr>
          <w:p w14:paraId="4BF8095C" w14:textId="77777777" w:rsidR="000D7D3D" w:rsidRPr="000D7D3D" w:rsidRDefault="000D7D3D" w:rsidP="007C3C15">
            <w:pPr>
              <w:rPr>
                <w:lang w:eastAsia="en-GB"/>
              </w:rPr>
            </w:pPr>
            <w:r w:rsidRPr="000D7D3D">
              <w:rPr>
                <w:lang w:eastAsia="en-GB"/>
              </w:rPr>
              <w:t>Sigma</w:t>
            </w:r>
          </w:p>
        </w:tc>
      </w:tr>
      <w:tr w:rsidR="000D7D3D" w:rsidRPr="000D7D3D" w14:paraId="3489C03D" w14:textId="77777777" w:rsidTr="002D60C9">
        <w:trPr>
          <w:trHeight w:val="414"/>
        </w:trPr>
        <w:tc>
          <w:tcPr>
            <w:tcW w:w="2364" w:type="dxa"/>
          </w:tcPr>
          <w:p w14:paraId="646857DA" w14:textId="77777777" w:rsidR="000D7D3D" w:rsidRPr="000D7D3D" w:rsidRDefault="000D7D3D" w:rsidP="003F7054">
            <w:pPr>
              <w:rPr>
                <w:lang w:eastAsia="en-GB"/>
              </w:rPr>
            </w:pPr>
            <w:r w:rsidRPr="000D7D3D">
              <w:rPr>
                <w:lang w:eastAsia="en-GB"/>
              </w:rPr>
              <w:t>MnSO</w:t>
            </w:r>
            <w:r w:rsidRPr="000D7D3D">
              <w:rPr>
                <w:vertAlign w:val="subscript"/>
                <w:lang w:eastAsia="en-GB"/>
              </w:rPr>
              <w:t>4</w:t>
            </w:r>
            <w:r w:rsidRPr="000D7D3D">
              <w:rPr>
                <w:lang w:eastAsia="en-GB"/>
              </w:rPr>
              <w:t>*4H</w:t>
            </w:r>
            <w:r w:rsidRPr="000D7D3D">
              <w:rPr>
                <w:vertAlign w:val="subscript"/>
                <w:lang w:eastAsia="en-GB"/>
              </w:rPr>
              <w:t>2</w:t>
            </w:r>
            <w:r w:rsidRPr="000D7D3D">
              <w:rPr>
                <w:lang w:eastAsia="en-GB"/>
              </w:rPr>
              <w:t>O</w:t>
            </w:r>
          </w:p>
        </w:tc>
        <w:tc>
          <w:tcPr>
            <w:tcW w:w="2332" w:type="dxa"/>
          </w:tcPr>
          <w:p w14:paraId="11FF4234" w14:textId="77777777" w:rsidR="000D7D3D" w:rsidRPr="000D7D3D" w:rsidRDefault="000D7D3D" w:rsidP="007F746A">
            <w:pPr>
              <w:rPr>
                <w:lang w:eastAsia="en-GB"/>
              </w:rPr>
            </w:pPr>
          </w:p>
        </w:tc>
        <w:tc>
          <w:tcPr>
            <w:tcW w:w="2331" w:type="dxa"/>
          </w:tcPr>
          <w:p w14:paraId="089B8FF9" w14:textId="77777777" w:rsidR="000D7D3D" w:rsidRPr="000D7D3D" w:rsidRDefault="000D7D3D" w:rsidP="00FB36B8">
            <w:pPr>
              <w:rPr>
                <w:lang w:eastAsia="en-GB"/>
              </w:rPr>
            </w:pPr>
            <w:r w:rsidRPr="000D7D3D">
              <w:rPr>
                <w:lang w:eastAsia="en-GB"/>
              </w:rPr>
              <w:t xml:space="preserve">9 </w:t>
            </w:r>
            <w:r w:rsidRPr="000D7D3D">
              <w:t>μM</w:t>
            </w:r>
          </w:p>
        </w:tc>
        <w:tc>
          <w:tcPr>
            <w:tcW w:w="2333" w:type="dxa"/>
          </w:tcPr>
          <w:p w14:paraId="52EEF715" w14:textId="77777777" w:rsidR="000D7D3D" w:rsidRPr="000D7D3D" w:rsidRDefault="000D7D3D" w:rsidP="007C3C15">
            <w:pPr>
              <w:rPr>
                <w:lang w:eastAsia="en-GB"/>
              </w:rPr>
            </w:pPr>
            <w:r w:rsidRPr="000D7D3D">
              <w:rPr>
                <w:lang w:eastAsia="en-GB"/>
              </w:rPr>
              <w:t>VWR</w:t>
            </w:r>
          </w:p>
        </w:tc>
      </w:tr>
      <w:tr w:rsidR="000D7D3D" w:rsidRPr="000D7D3D" w14:paraId="221FD5E5" w14:textId="77777777" w:rsidTr="002D60C9">
        <w:trPr>
          <w:trHeight w:val="414"/>
        </w:trPr>
        <w:tc>
          <w:tcPr>
            <w:tcW w:w="2364" w:type="dxa"/>
          </w:tcPr>
          <w:p w14:paraId="23A0B54F" w14:textId="77777777" w:rsidR="000D7D3D" w:rsidRPr="000D7D3D" w:rsidRDefault="000D7D3D" w:rsidP="003F7054">
            <w:pPr>
              <w:rPr>
                <w:lang w:eastAsia="en-GB"/>
              </w:rPr>
            </w:pPr>
            <w:r w:rsidRPr="000D7D3D">
              <w:rPr>
                <w:lang w:eastAsia="en-GB"/>
              </w:rPr>
              <w:t>H</w:t>
            </w:r>
            <w:r w:rsidRPr="000D7D3D">
              <w:rPr>
                <w:vertAlign w:val="subscript"/>
                <w:lang w:eastAsia="en-GB"/>
              </w:rPr>
              <w:t>3</w:t>
            </w:r>
            <w:r w:rsidRPr="000D7D3D">
              <w:rPr>
                <w:lang w:eastAsia="en-GB"/>
              </w:rPr>
              <w:t>BO</w:t>
            </w:r>
            <w:r w:rsidRPr="000D7D3D">
              <w:rPr>
                <w:vertAlign w:val="subscript"/>
                <w:lang w:eastAsia="en-GB"/>
              </w:rPr>
              <w:t>3</w:t>
            </w:r>
          </w:p>
        </w:tc>
        <w:tc>
          <w:tcPr>
            <w:tcW w:w="2332" w:type="dxa"/>
          </w:tcPr>
          <w:p w14:paraId="675866AC" w14:textId="77777777" w:rsidR="000D7D3D" w:rsidRPr="000D7D3D" w:rsidRDefault="000D7D3D" w:rsidP="007F746A">
            <w:pPr>
              <w:rPr>
                <w:lang w:eastAsia="en-GB"/>
              </w:rPr>
            </w:pPr>
          </w:p>
        </w:tc>
        <w:tc>
          <w:tcPr>
            <w:tcW w:w="2331" w:type="dxa"/>
          </w:tcPr>
          <w:p w14:paraId="4567BF8F" w14:textId="77777777" w:rsidR="000D7D3D" w:rsidRPr="000D7D3D" w:rsidRDefault="000D7D3D" w:rsidP="00FB36B8">
            <w:pPr>
              <w:rPr>
                <w:lang w:eastAsia="en-GB"/>
              </w:rPr>
            </w:pPr>
            <w:r w:rsidRPr="000D7D3D">
              <w:rPr>
                <w:lang w:eastAsia="en-GB"/>
              </w:rPr>
              <w:t xml:space="preserve">46 </w:t>
            </w:r>
            <w:r w:rsidRPr="000D7D3D">
              <w:t>μM</w:t>
            </w:r>
          </w:p>
        </w:tc>
        <w:tc>
          <w:tcPr>
            <w:tcW w:w="2333" w:type="dxa"/>
          </w:tcPr>
          <w:p w14:paraId="382C9A14" w14:textId="77777777" w:rsidR="000D7D3D" w:rsidRPr="000D7D3D" w:rsidRDefault="000D7D3D" w:rsidP="007C3C15">
            <w:pPr>
              <w:rPr>
                <w:lang w:eastAsia="en-GB"/>
              </w:rPr>
            </w:pPr>
            <w:r w:rsidRPr="000D7D3D">
              <w:rPr>
                <w:lang w:eastAsia="en-GB"/>
              </w:rPr>
              <w:t>VWR</w:t>
            </w:r>
          </w:p>
        </w:tc>
      </w:tr>
      <w:tr w:rsidR="000D7D3D" w:rsidRPr="000D7D3D" w14:paraId="6ED27387" w14:textId="77777777" w:rsidTr="002D60C9">
        <w:trPr>
          <w:trHeight w:val="414"/>
        </w:trPr>
        <w:tc>
          <w:tcPr>
            <w:tcW w:w="2364" w:type="dxa"/>
          </w:tcPr>
          <w:p w14:paraId="3A5D89DC" w14:textId="77777777" w:rsidR="000D7D3D" w:rsidRPr="000D7D3D" w:rsidRDefault="000D7D3D" w:rsidP="003F7054">
            <w:pPr>
              <w:rPr>
                <w:lang w:eastAsia="en-GB"/>
              </w:rPr>
            </w:pPr>
            <w:r w:rsidRPr="000D7D3D">
              <w:rPr>
                <w:lang w:eastAsia="en-GB"/>
              </w:rPr>
              <w:t>(NH</w:t>
            </w:r>
            <w:r w:rsidRPr="000D7D3D">
              <w:rPr>
                <w:vertAlign w:val="subscript"/>
                <w:lang w:eastAsia="en-GB"/>
              </w:rPr>
              <w:t>4</w:t>
            </w:r>
            <w:r w:rsidRPr="000D7D3D">
              <w:rPr>
                <w:lang w:eastAsia="en-GB"/>
              </w:rPr>
              <w:t>)</w:t>
            </w:r>
            <w:r w:rsidRPr="000D7D3D">
              <w:rPr>
                <w:vertAlign w:val="subscript"/>
                <w:lang w:eastAsia="en-GB"/>
              </w:rPr>
              <w:t>6</w:t>
            </w:r>
            <w:r w:rsidRPr="000D7D3D">
              <w:rPr>
                <w:lang w:eastAsia="en-GB"/>
              </w:rPr>
              <w:t>Mo</w:t>
            </w:r>
            <w:r w:rsidRPr="000D7D3D">
              <w:rPr>
                <w:vertAlign w:val="subscript"/>
                <w:lang w:eastAsia="en-GB"/>
              </w:rPr>
              <w:t>7</w:t>
            </w:r>
            <w:r w:rsidRPr="000D7D3D">
              <w:rPr>
                <w:lang w:eastAsia="en-GB"/>
              </w:rPr>
              <w:t>O</w:t>
            </w:r>
            <w:r w:rsidRPr="000D7D3D">
              <w:rPr>
                <w:vertAlign w:val="subscript"/>
                <w:lang w:eastAsia="en-GB"/>
              </w:rPr>
              <w:t>24</w:t>
            </w:r>
            <w:r w:rsidRPr="000D7D3D">
              <w:rPr>
                <w:lang w:eastAsia="en-GB"/>
              </w:rPr>
              <w:t>*4H</w:t>
            </w:r>
            <w:r w:rsidRPr="000D7D3D">
              <w:rPr>
                <w:vertAlign w:val="subscript"/>
                <w:lang w:eastAsia="en-GB"/>
              </w:rPr>
              <w:t>2</w:t>
            </w:r>
            <w:r w:rsidRPr="000D7D3D">
              <w:rPr>
                <w:lang w:eastAsia="en-GB"/>
              </w:rPr>
              <w:t>O</w:t>
            </w:r>
          </w:p>
        </w:tc>
        <w:tc>
          <w:tcPr>
            <w:tcW w:w="2332" w:type="dxa"/>
          </w:tcPr>
          <w:p w14:paraId="317E8454" w14:textId="77777777" w:rsidR="000D7D3D" w:rsidRPr="000D7D3D" w:rsidRDefault="000D7D3D" w:rsidP="007F746A">
            <w:pPr>
              <w:rPr>
                <w:lang w:eastAsia="en-GB"/>
              </w:rPr>
            </w:pPr>
          </w:p>
        </w:tc>
        <w:tc>
          <w:tcPr>
            <w:tcW w:w="2331" w:type="dxa"/>
          </w:tcPr>
          <w:p w14:paraId="5DA76853" w14:textId="77777777" w:rsidR="000D7D3D" w:rsidRPr="000D7D3D" w:rsidRDefault="000D7D3D" w:rsidP="00FB36B8">
            <w:pPr>
              <w:rPr>
                <w:lang w:eastAsia="en-GB"/>
              </w:rPr>
            </w:pPr>
            <w:r w:rsidRPr="000D7D3D">
              <w:rPr>
                <w:lang w:eastAsia="en-GB"/>
              </w:rPr>
              <w:t xml:space="preserve">146 </w:t>
            </w:r>
            <w:r w:rsidRPr="000D7D3D">
              <w:t>μM</w:t>
            </w:r>
          </w:p>
        </w:tc>
        <w:tc>
          <w:tcPr>
            <w:tcW w:w="2333" w:type="dxa"/>
          </w:tcPr>
          <w:p w14:paraId="7A5A21DF" w14:textId="77777777" w:rsidR="000D7D3D" w:rsidRPr="000D7D3D" w:rsidRDefault="000D7D3D" w:rsidP="007C3C15">
            <w:pPr>
              <w:rPr>
                <w:lang w:eastAsia="en-GB"/>
              </w:rPr>
            </w:pPr>
            <w:r w:rsidRPr="000D7D3D">
              <w:rPr>
                <w:lang w:eastAsia="en-GB"/>
              </w:rPr>
              <w:t>VWR</w:t>
            </w:r>
          </w:p>
        </w:tc>
      </w:tr>
      <w:tr w:rsidR="000D7D3D" w:rsidRPr="000D7D3D" w14:paraId="0BF049BD" w14:textId="77777777" w:rsidTr="002D60C9">
        <w:trPr>
          <w:trHeight w:val="414"/>
        </w:trPr>
        <w:tc>
          <w:tcPr>
            <w:tcW w:w="2364" w:type="dxa"/>
          </w:tcPr>
          <w:p w14:paraId="1AA6E447" w14:textId="77777777" w:rsidR="000D7D3D" w:rsidRPr="000D7D3D" w:rsidRDefault="000D7D3D" w:rsidP="003F7054">
            <w:pPr>
              <w:rPr>
                <w:lang w:eastAsia="en-GB"/>
              </w:rPr>
            </w:pPr>
            <w:r w:rsidRPr="000D7D3D">
              <w:rPr>
                <w:lang w:eastAsia="en-GB"/>
              </w:rPr>
              <w:t>ZnSO</w:t>
            </w:r>
            <w:r w:rsidRPr="000D7D3D">
              <w:rPr>
                <w:vertAlign w:val="subscript"/>
                <w:lang w:eastAsia="en-GB"/>
              </w:rPr>
              <w:t>4</w:t>
            </w:r>
            <w:r w:rsidRPr="000D7D3D">
              <w:rPr>
                <w:lang w:eastAsia="en-GB"/>
              </w:rPr>
              <w:t>*7H</w:t>
            </w:r>
            <w:r w:rsidRPr="000D7D3D">
              <w:rPr>
                <w:vertAlign w:val="subscript"/>
                <w:lang w:eastAsia="en-GB"/>
              </w:rPr>
              <w:t>2</w:t>
            </w:r>
            <w:r w:rsidRPr="000D7D3D">
              <w:rPr>
                <w:lang w:eastAsia="en-GB"/>
              </w:rPr>
              <w:t>O</w:t>
            </w:r>
          </w:p>
        </w:tc>
        <w:tc>
          <w:tcPr>
            <w:tcW w:w="2332" w:type="dxa"/>
          </w:tcPr>
          <w:p w14:paraId="0F90305E" w14:textId="77777777" w:rsidR="000D7D3D" w:rsidRPr="000D7D3D" w:rsidRDefault="000D7D3D" w:rsidP="007F746A">
            <w:pPr>
              <w:rPr>
                <w:lang w:eastAsia="en-GB"/>
              </w:rPr>
            </w:pPr>
          </w:p>
        </w:tc>
        <w:tc>
          <w:tcPr>
            <w:tcW w:w="2331" w:type="dxa"/>
          </w:tcPr>
          <w:p w14:paraId="299C3EF2" w14:textId="77777777" w:rsidR="000D7D3D" w:rsidRPr="000D7D3D" w:rsidRDefault="000D7D3D" w:rsidP="00FB36B8">
            <w:pPr>
              <w:rPr>
                <w:lang w:eastAsia="en-GB"/>
              </w:rPr>
            </w:pPr>
            <w:r w:rsidRPr="000D7D3D">
              <w:rPr>
                <w:lang w:eastAsia="en-GB"/>
              </w:rPr>
              <w:t xml:space="preserve">153 </w:t>
            </w:r>
            <w:r w:rsidRPr="000D7D3D">
              <w:t>μM</w:t>
            </w:r>
          </w:p>
        </w:tc>
        <w:tc>
          <w:tcPr>
            <w:tcW w:w="2333" w:type="dxa"/>
          </w:tcPr>
          <w:p w14:paraId="6A27979D" w14:textId="77777777" w:rsidR="000D7D3D" w:rsidRPr="000D7D3D" w:rsidRDefault="000D7D3D" w:rsidP="007C3C15">
            <w:pPr>
              <w:rPr>
                <w:lang w:eastAsia="en-GB"/>
              </w:rPr>
            </w:pPr>
            <w:r w:rsidRPr="000D7D3D">
              <w:rPr>
                <w:lang w:eastAsia="en-GB"/>
              </w:rPr>
              <w:t>VWR</w:t>
            </w:r>
          </w:p>
        </w:tc>
      </w:tr>
      <w:tr w:rsidR="000D7D3D" w:rsidRPr="000D7D3D" w14:paraId="3AE23D12" w14:textId="77777777" w:rsidTr="002D60C9">
        <w:trPr>
          <w:trHeight w:val="414"/>
        </w:trPr>
        <w:tc>
          <w:tcPr>
            <w:tcW w:w="2364" w:type="dxa"/>
          </w:tcPr>
          <w:p w14:paraId="1C499A20" w14:textId="77777777" w:rsidR="000D7D3D" w:rsidRPr="000D7D3D" w:rsidRDefault="000D7D3D" w:rsidP="003F7054">
            <w:pPr>
              <w:rPr>
                <w:lang w:eastAsia="en-GB"/>
              </w:rPr>
            </w:pPr>
            <w:r w:rsidRPr="000D7D3D">
              <w:rPr>
                <w:lang w:eastAsia="en-GB"/>
              </w:rPr>
              <w:t>CuSO</w:t>
            </w:r>
            <w:r w:rsidRPr="00BA5074">
              <w:rPr>
                <w:vertAlign w:val="subscript"/>
                <w:lang w:eastAsia="en-GB"/>
              </w:rPr>
              <w:t>4</w:t>
            </w:r>
            <w:r w:rsidRPr="000D7D3D">
              <w:rPr>
                <w:lang w:eastAsia="en-GB"/>
              </w:rPr>
              <w:t>*5H</w:t>
            </w:r>
            <w:r w:rsidRPr="00BA5074">
              <w:rPr>
                <w:vertAlign w:val="subscript"/>
                <w:lang w:eastAsia="en-GB"/>
              </w:rPr>
              <w:t>2</w:t>
            </w:r>
            <w:r w:rsidRPr="000D7D3D">
              <w:rPr>
                <w:lang w:eastAsia="en-GB"/>
              </w:rPr>
              <w:t>O</w:t>
            </w:r>
          </w:p>
        </w:tc>
        <w:tc>
          <w:tcPr>
            <w:tcW w:w="2332" w:type="dxa"/>
          </w:tcPr>
          <w:p w14:paraId="4EAA7585" w14:textId="77777777" w:rsidR="000D7D3D" w:rsidRPr="000D7D3D" w:rsidRDefault="000D7D3D" w:rsidP="007F746A">
            <w:pPr>
              <w:rPr>
                <w:lang w:eastAsia="en-GB"/>
              </w:rPr>
            </w:pPr>
          </w:p>
        </w:tc>
        <w:tc>
          <w:tcPr>
            <w:tcW w:w="2331" w:type="dxa"/>
          </w:tcPr>
          <w:p w14:paraId="7C6B5C7C" w14:textId="77777777" w:rsidR="000D7D3D" w:rsidRPr="000D7D3D" w:rsidRDefault="000D7D3D" w:rsidP="00FB36B8">
            <w:pPr>
              <w:rPr>
                <w:lang w:eastAsia="en-GB"/>
              </w:rPr>
            </w:pPr>
            <w:r w:rsidRPr="000D7D3D">
              <w:rPr>
                <w:lang w:eastAsia="en-GB"/>
              </w:rPr>
              <w:t xml:space="preserve">157 </w:t>
            </w:r>
            <w:r w:rsidRPr="000D7D3D">
              <w:t>μM</w:t>
            </w:r>
          </w:p>
        </w:tc>
        <w:tc>
          <w:tcPr>
            <w:tcW w:w="2333" w:type="dxa"/>
          </w:tcPr>
          <w:p w14:paraId="3DC7F3D6" w14:textId="77777777" w:rsidR="000D7D3D" w:rsidRPr="000D7D3D" w:rsidRDefault="000D7D3D" w:rsidP="007C3C15">
            <w:pPr>
              <w:rPr>
                <w:lang w:eastAsia="en-GB"/>
              </w:rPr>
            </w:pPr>
            <w:r w:rsidRPr="000D7D3D">
              <w:rPr>
                <w:lang w:eastAsia="en-GB"/>
              </w:rPr>
              <w:t>VWR</w:t>
            </w:r>
          </w:p>
        </w:tc>
      </w:tr>
      <w:tr w:rsidR="000D7D3D" w:rsidRPr="000D7D3D" w14:paraId="4C1CCBD9" w14:textId="77777777" w:rsidTr="002D60C9">
        <w:trPr>
          <w:trHeight w:val="414"/>
        </w:trPr>
        <w:tc>
          <w:tcPr>
            <w:tcW w:w="2364" w:type="dxa"/>
          </w:tcPr>
          <w:p w14:paraId="144DBDB3" w14:textId="77777777" w:rsidR="000D7D3D" w:rsidRPr="000D7D3D" w:rsidRDefault="000D7D3D" w:rsidP="003F7054">
            <w:r w:rsidRPr="000D7D3D">
              <w:rPr>
                <w:lang w:eastAsia="en-GB"/>
              </w:rPr>
              <w:t>Glucose D+</w:t>
            </w:r>
          </w:p>
        </w:tc>
        <w:tc>
          <w:tcPr>
            <w:tcW w:w="2332" w:type="dxa"/>
          </w:tcPr>
          <w:p w14:paraId="05732D8F" w14:textId="77777777" w:rsidR="000D7D3D" w:rsidRPr="000D7D3D" w:rsidRDefault="000D7D3D" w:rsidP="007F746A">
            <w:r w:rsidRPr="000D7D3D">
              <w:rPr>
                <w:lang w:eastAsia="en-GB"/>
              </w:rPr>
              <w:t xml:space="preserve"> 55.5 mM</w:t>
            </w:r>
          </w:p>
        </w:tc>
        <w:tc>
          <w:tcPr>
            <w:tcW w:w="2331" w:type="dxa"/>
          </w:tcPr>
          <w:p w14:paraId="2EA77CE6" w14:textId="77777777" w:rsidR="000D7D3D" w:rsidRPr="000D7D3D" w:rsidRDefault="000D7D3D" w:rsidP="00FB36B8">
            <w:r w:rsidRPr="000D7D3D">
              <w:t xml:space="preserve">11.1 </w:t>
            </w:r>
            <w:r w:rsidRPr="000D7D3D">
              <w:rPr>
                <w:rFonts w:eastAsia="Times New Roman"/>
                <w:lang w:eastAsia="en-GB"/>
              </w:rPr>
              <w:t>mM</w:t>
            </w:r>
          </w:p>
        </w:tc>
        <w:tc>
          <w:tcPr>
            <w:tcW w:w="2333" w:type="dxa"/>
          </w:tcPr>
          <w:p w14:paraId="6A6F5500" w14:textId="77777777" w:rsidR="000D7D3D" w:rsidRPr="000D7D3D" w:rsidRDefault="000D7D3D" w:rsidP="007C3C15">
            <w:r w:rsidRPr="000D7D3D">
              <w:rPr>
                <w:lang w:eastAsia="en-GB"/>
              </w:rPr>
              <w:t>VWR</w:t>
            </w:r>
          </w:p>
        </w:tc>
      </w:tr>
      <w:tr w:rsidR="000D7D3D" w:rsidRPr="000D7D3D" w14:paraId="34FA25D0" w14:textId="77777777" w:rsidTr="002D60C9">
        <w:trPr>
          <w:trHeight w:val="414"/>
        </w:trPr>
        <w:tc>
          <w:tcPr>
            <w:tcW w:w="2364" w:type="dxa"/>
          </w:tcPr>
          <w:p w14:paraId="07C51E6D" w14:textId="77777777" w:rsidR="000D7D3D" w:rsidRPr="000D7D3D" w:rsidRDefault="000D7D3D" w:rsidP="003F7054">
            <w:pPr>
              <w:rPr>
                <w:lang w:eastAsia="en-GB"/>
              </w:rPr>
            </w:pPr>
            <w:r w:rsidRPr="000D7D3D">
              <w:rPr>
                <w:lang w:eastAsia="en-GB"/>
              </w:rPr>
              <w:t>Maltose D+</w:t>
            </w:r>
          </w:p>
        </w:tc>
        <w:tc>
          <w:tcPr>
            <w:tcW w:w="2332" w:type="dxa"/>
          </w:tcPr>
          <w:p w14:paraId="302CDFDD" w14:textId="77777777" w:rsidR="000D7D3D" w:rsidRPr="000D7D3D" w:rsidRDefault="000D7D3D" w:rsidP="007F746A">
            <w:r w:rsidRPr="000D7D3D">
              <w:t xml:space="preserve"> 8.32 mM</w:t>
            </w:r>
          </w:p>
        </w:tc>
        <w:tc>
          <w:tcPr>
            <w:tcW w:w="2331" w:type="dxa"/>
          </w:tcPr>
          <w:p w14:paraId="4494F7D4" w14:textId="77777777" w:rsidR="000D7D3D" w:rsidRPr="000D7D3D" w:rsidRDefault="000D7D3D" w:rsidP="00FB36B8">
            <w:r w:rsidRPr="000D7D3D">
              <w:t xml:space="preserve">2.77 </w:t>
            </w:r>
            <w:r w:rsidRPr="000D7D3D">
              <w:rPr>
                <w:rFonts w:eastAsia="Times New Roman"/>
                <w:lang w:eastAsia="en-GB"/>
              </w:rPr>
              <w:t>mM</w:t>
            </w:r>
          </w:p>
        </w:tc>
        <w:tc>
          <w:tcPr>
            <w:tcW w:w="2333" w:type="dxa"/>
          </w:tcPr>
          <w:p w14:paraId="21F451FD" w14:textId="77777777" w:rsidR="000D7D3D" w:rsidRPr="000D7D3D" w:rsidRDefault="000D7D3D" w:rsidP="007C3C15">
            <w:r w:rsidRPr="000D7D3D">
              <w:rPr>
                <w:lang w:eastAsia="en-GB"/>
              </w:rPr>
              <w:t>Sigma</w:t>
            </w:r>
            <w:r w:rsidRPr="000D7D3D">
              <w:t xml:space="preserve"> </w:t>
            </w:r>
          </w:p>
        </w:tc>
      </w:tr>
      <w:tr w:rsidR="000D7D3D" w:rsidRPr="000D7D3D" w14:paraId="2B3C584E" w14:textId="77777777" w:rsidTr="002D60C9">
        <w:trPr>
          <w:trHeight w:val="414"/>
        </w:trPr>
        <w:tc>
          <w:tcPr>
            <w:tcW w:w="2364" w:type="dxa"/>
          </w:tcPr>
          <w:p w14:paraId="7B895A4D" w14:textId="77777777" w:rsidR="000D7D3D" w:rsidRPr="000D7D3D" w:rsidRDefault="000D7D3D" w:rsidP="003F7054">
            <w:pPr>
              <w:rPr>
                <w:lang w:eastAsia="en-GB"/>
              </w:rPr>
            </w:pPr>
            <w:r w:rsidRPr="000D7D3D">
              <w:rPr>
                <w:lang w:eastAsia="en-GB"/>
              </w:rPr>
              <w:t>Activated charcoal</w:t>
            </w:r>
          </w:p>
        </w:tc>
        <w:tc>
          <w:tcPr>
            <w:tcW w:w="2332" w:type="dxa"/>
          </w:tcPr>
          <w:p w14:paraId="5F5A2F96" w14:textId="77777777" w:rsidR="000D7D3D" w:rsidRPr="000D7D3D" w:rsidRDefault="000D7D3D" w:rsidP="007F746A">
            <w:r w:rsidRPr="000D7D3D">
              <w:t xml:space="preserve"> 0.3% w/v</w:t>
            </w:r>
          </w:p>
        </w:tc>
        <w:tc>
          <w:tcPr>
            <w:tcW w:w="2331" w:type="dxa"/>
          </w:tcPr>
          <w:p w14:paraId="21E071D3" w14:textId="77777777" w:rsidR="000D7D3D" w:rsidRPr="000D7D3D" w:rsidRDefault="000D7D3D" w:rsidP="00FB36B8">
            <w:r w:rsidRPr="000D7D3D">
              <w:t>0.3% w/v</w:t>
            </w:r>
          </w:p>
        </w:tc>
        <w:tc>
          <w:tcPr>
            <w:tcW w:w="2333" w:type="dxa"/>
          </w:tcPr>
          <w:p w14:paraId="3A7B6772" w14:textId="77777777" w:rsidR="000D7D3D" w:rsidRPr="000D7D3D" w:rsidRDefault="000D7D3D" w:rsidP="007C3C15">
            <w:r w:rsidRPr="000D7D3D">
              <w:t>Sigma</w:t>
            </w:r>
          </w:p>
        </w:tc>
      </w:tr>
      <w:tr w:rsidR="000D7D3D" w:rsidRPr="000D7D3D" w14:paraId="354E73B0" w14:textId="77777777" w:rsidTr="002D60C9">
        <w:trPr>
          <w:trHeight w:val="414"/>
        </w:trPr>
        <w:tc>
          <w:tcPr>
            <w:tcW w:w="2364" w:type="dxa"/>
            <w:tcBorders>
              <w:bottom w:val="single" w:sz="4" w:space="0" w:color="auto"/>
            </w:tcBorders>
          </w:tcPr>
          <w:p w14:paraId="451484A6" w14:textId="77777777" w:rsidR="000D7D3D" w:rsidRPr="000D7D3D" w:rsidRDefault="000D7D3D" w:rsidP="003F7054">
            <w:pPr>
              <w:rPr>
                <w:rFonts w:eastAsia="Times New Roman"/>
                <w:lang w:eastAsia="en-GB"/>
              </w:rPr>
            </w:pPr>
            <w:r w:rsidRPr="000D7D3D">
              <w:rPr>
                <w:rFonts w:eastAsia="Times New Roman"/>
                <w:lang w:eastAsia="en-GB"/>
              </w:rPr>
              <w:t xml:space="preserve">Agar </w:t>
            </w:r>
            <w:r w:rsidRPr="000D7D3D">
              <w:t>(Nobel)</w:t>
            </w:r>
          </w:p>
        </w:tc>
        <w:tc>
          <w:tcPr>
            <w:tcW w:w="2332" w:type="dxa"/>
            <w:tcBorders>
              <w:bottom w:val="single" w:sz="4" w:space="0" w:color="auto"/>
            </w:tcBorders>
          </w:tcPr>
          <w:p w14:paraId="3F31A5C1" w14:textId="77777777" w:rsidR="000D7D3D" w:rsidRPr="000D7D3D" w:rsidRDefault="000D7D3D" w:rsidP="007F746A">
            <w:r w:rsidRPr="000D7D3D">
              <w:rPr>
                <w:rFonts w:eastAsia="Times New Roman"/>
                <w:lang w:eastAsia="en-GB"/>
              </w:rPr>
              <w:t xml:space="preserve"> </w:t>
            </w:r>
            <w:r w:rsidRPr="000D7D3D">
              <w:t>1.5% w/v</w:t>
            </w:r>
          </w:p>
        </w:tc>
        <w:tc>
          <w:tcPr>
            <w:tcW w:w="2331" w:type="dxa"/>
            <w:tcBorders>
              <w:bottom w:val="single" w:sz="4" w:space="0" w:color="auto"/>
            </w:tcBorders>
          </w:tcPr>
          <w:p w14:paraId="6EB0A198" w14:textId="77777777" w:rsidR="000D7D3D" w:rsidRPr="000D7D3D" w:rsidRDefault="000D7D3D" w:rsidP="00FB36B8">
            <w:r w:rsidRPr="000D7D3D">
              <w:t>1.5% w/v</w:t>
            </w:r>
          </w:p>
        </w:tc>
        <w:tc>
          <w:tcPr>
            <w:tcW w:w="2333" w:type="dxa"/>
            <w:tcBorders>
              <w:bottom w:val="single" w:sz="4" w:space="0" w:color="auto"/>
            </w:tcBorders>
          </w:tcPr>
          <w:p w14:paraId="0934452D" w14:textId="77777777" w:rsidR="000D7D3D" w:rsidRPr="000D7D3D" w:rsidRDefault="000D7D3D" w:rsidP="007C3C15">
            <w:r w:rsidRPr="000D7D3D">
              <w:t xml:space="preserve">Difco </w:t>
            </w:r>
          </w:p>
        </w:tc>
      </w:tr>
    </w:tbl>
    <w:p w14:paraId="1DB90473" w14:textId="77777777" w:rsidR="000D7D3D" w:rsidRPr="00635993" w:rsidRDefault="000D7D3D" w:rsidP="003F7054">
      <w:pPr>
        <w:rPr>
          <w:rFonts w:eastAsia="CECEH G+ MTSYN" w:cs="Arial"/>
          <w:sz w:val="22"/>
        </w:rPr>
      </w:pPr>
      <w:r w:rsidRPr="00635993">
        <w:rPr>
          <w:sz w:val="22"/>
        </w:rPr>
        <w:t>The concentrations are given as final concentrations. The total volume of the media was brought to 1 L with UHP water. The pH of the media was adjusted to 4.7 for the M-MMN</w:t>
      </w:r>
      <w:r w:rsidRPr="00635993">
        <w:rPr>
          <w:sz w:val="22"/>
          <w:vertAlign w:val="subscript"/>
        </w:rPr>
        <w:t>NS</w:t>
      </w:r>
      <w:r w:rsidRPr="00635993">
        <w:rPr>
          <w:sz w:val="22"/>
        </w:rPr>
        <w:t xml:space="preserve"> and to 5.5-5.7 for the M-MMN</w:t>
      </w:r>
      <w:r w:rsidRPr="00635993">
        <w:rPr>
          <w:sz w:val="22"/>
          <w:vertAlign w:val="subscript"/>
        </w:rPr>
        <w:t>S</w:t>
      </w:r>
      <w:r w:rsidRPr="00635993">
        <w:rPr>
          <w:sz w:val="22"/>
        </w:rPr>
        <w:t xml:space="preserve"> with 10% HCl. The media were autoclaved at 15 psi for 15 min at 120</w:t>
      </w:r>
      <w:r w:rsidRPr="00635993">
        <w:rPr>
          <w:rFonts w:cs="Arial"/>
          <w:sz w:val="22"/>
        </w:rPr>
        <w:t>°</w:t>
      </w:r>
      <w:r w:rsidRPr="00635993">
        <w:rPr>
          <w:sz w:val="22"/>
        </w:rPr>
        <w:t xml:space="preserve">C. </w:t>
      </w:r>
      <w:r w:rsidRPr="00635993">
        <w:rPr>
          <w:rFonts w:cs="Arial"/>
          <w:sz w:val="22"/>
        </w:rPr>
        <w:t xml:space="preserve">Stock solutions of 37 mM </w:t>
      </w:r>
      <w:r w:rsidRPr="00635993">
        <w:rPr>
          <w:rFonts w:eastAsia="Times New Roman" w:cs="Arial"/>
          <w:sz w:val="22"/>
          <w:lang w:eastAsia="en-GB"/>
        </w:rPr>
        <w:t>FeCl</w:t>
      </w:r>
      <w:r w:rsidRPr="00635993">
        <w:rPr>
          <w:rFonts w:eastAsia="Times New Roman" w:cs="Arial"/>
          <w:sz w:val="22"/>
          <w:vertAlign w:val="subscript"/>
          <w:lang w:eastAsia="en-GB"/>
        </w:rPr>
        <w:t>3</w:t>
      </w:r>
      <w:r w:rsidRPr="00635993">
        <w:rPr>
          <w:rFonts w:eastAsia="Times New Roman" w:cs="Arial"/>
          <w:sz w:val="22"/>
        </w:rPr>
        <w:t>*6H</w:t>
      </w:r>
      <w:r w:rsidRPr="00635993">
        <w:rPr>
          <w:rFonts w:eastAsia="Times New Roman" w:cs="Arial"/>
          <w:sz w:val="22"/>
          <w:vertAlign w:val="subscript"/>
        </w:rPr>
        <w:t>2</w:t>
      </w:r>
      <w:r w:rsidRPr="00635993">
        <w:rPr>
          <w:rFonts w:eastAsia="Times New Roman" w:cs="Arial"/>
          <w:sz w:val="22"/>
        </w:rPr>
        <w:t>O</w:t>
      </w:r>
      <w:r w:rsidRPr="00635993">
        <w:rPr>
          <w:rFonts w:cs="Arial"/>
          <w:sz w:val="22"/>
        </w:rPr>
        <w:t xml:space="preserve"> and 3 mM B1 (thiamine HCl), which were filtered sterilized through a 0.22 μm filter (Millex), were added to the media to their final concentration when the media temperature was </w:t>
      </w:r>
      <w:r w:rsidRPr="00635993">
        <w:rPr>
          <w:rFonts w:ascii="Cambria Math" w:eastAsia="CECEH G+ MTSYN" w:hAnsi="Cambria Math" w:cs="Cambria Math"/>
          <w:sz w:val="22"/>
        </w:rPr>
        <w:t>∼</w:t>
      </w:r>
      <w:r w:rsidRPr="00635993">
        <w:rPr>
          <w:rFonts w:eastAsia="CECEH G+ MTSYN" w:cs="Arial"/>
          <w:sz w:val="22"/>
        </w:rPr>
        <w:t>50°C.</w:t>
      </w:r>
    </w:p>
    <w:p w14:paraId="5DEC7DA0" w14:textId="77777777" w:rsidR="000D7D3D" w:rsidRPr="000D7D3D" w:rsidRDefault="000D7D3D" w:rsidP="003F7054">
      <w:r w:rsidRPr="000D7D3D">
        <w:br w:type="page"/>
      </w:r>
    </w:p>
    <w:p w14:paraId="549C58C3" w14:textId="4229B2D2" w:rsidR="000D7D3D" w:rsidRPr="000D7D3D" w:rsidRDefault="000D7D3D" w:rsidP="00635993">
      <w:pPr>
        <w:pStyle w:val="Heading2"/>
      </w:pPr>
      <w:bookmarkStart w:id="606" w:name="_Toc507604106"/>
      <w:bookmarkStart w:id="607" w:name="_Toc507604373"/>
      <w:bookmarkStart w:id="608" w:name="_Toc519017075"/>
      <w:bookmarkStart w:id="609" w:name="_Toc520837988"/>
      <w:r w:rsidRPr="000D7D3D">
        <w:lastRenderedPageBreak/>
        <w:t xml:space="preserve">Table 4. </w:t>
      </w:r>
      <w:r w:rsidRPr="00635993">
        <w:rPr>
          <w:b w:val="0"/>
        </w:rPr>
        <w:t xml:space="preserve">Characteristics of the putative </w:t>
      </w:r>
      <w:r w:rsidR="004076A3" w:rsidRPr="00635993">
        <w:rPr>
          <w:b w:val="0"/>
          <w:i/>
        </w:rPr>
        <w:t>Pi</w:t>
      </w:r>
      <w:r w:rsidRPr="00635993">
        <w:rPr>
          <w:b w:val="0"/>
          <w:i/>
        </w:rPr>
        <w:t>PT</w:t>
      </w:r>
      <w:r w:rsidRPr="00635993">
        <w:rPr>
          <w:b w:val="0"/>
        </w:rPr>
        <w:t xml:space="preserve"> genes and their corresponding proteins based on the JGI database.</w:t>
      </w:r>
      <w:bookmarkEnd w:id="606"/>
      <w:bookmarkEnd w:id="607"/>
      <w:bookmarkEnd w:id="608"/>
      <w:bookmarkEnd w:id="609"/>
    </w:p>
    <w:tbl>
      <w:tblPr>
        <w:tblStyle w:val="TableGrid"/>
        <w:tblW w:w="4942" w:type="pct"/>
        <w:tblLayout w:type="fixed"/>
        <w:tblLook w:val="04A0" w:firstRow="1" w:lastRow="0" w:firstColumn="1" w:lastColumn="0" w:noHBand="0" w:noVBand="1"/>
      </w:tblPr>
      <w:tblGrid>
        <w:gridCol w:w="1435"/>
        <w:gridCol w:w="970"/>
        <w:gridCol w:w="1275"/>
        <w:gridCol w:w="1105"/>
        <w:gridCol w:w="1163"/>
        <w:gridCol w:w="1712"/>
        <w:gridCol w:w="1582"/>
      </w:tblGrid>
      <w:tr w:rsidR="000D7D3D" w:rsidRPr="004076A3" w14:paraId="17BFDE29" w14:textId="77777777" w:rsidTr="002D60C9">
        <w:trPr>
          <w:trHeight w:val="983"/>
        </w:trPr>
        <w:tc>
          <w:tcPr>
            <w:tcW w:w="776" w:type="pct"/>
            <w:hideMark/>
          </w:tcPr>
          <w:p w14:paraId="0D06116D" w14:textId="77777777" w:rsidR="000D7D3D" w:rsidRPr="00635993" w:rsidRDefault="000D7D3D" w:rsidP="00635993">
            <w:pPr>
              <w:rPr>
                <w:b/>
                <w:sz w:val="18"/>
                <w:lang w:eastAsia="en-GB"/>
              </w:rPr>
            </w:pPr>
            <w:r w:rsidRPr="00635993">
              <w:rPr>
                <w:b/>
                <w:sz w:val="18"/>
                <w:lang w:eastAsia="en-GB"/>
              </w:rPr>
              <w:t>Gene model name</w:t>
            </w:r>
          </w:p>
        </w:tc>
        <w:tc>
          <w:tcPr>
            <w:tcW w:w="525" w:type="pct"/>
            <w:hideMark/>
          </w:tcPr>
          <w:p w14:paraId="3CD73B3E" w14:textId="77777777" w:rsidR="000D7D3D" w:rsidRPr="00635993" w:rsidRDefault="000D7D3D" w:rsidP="00635993">
            <w:pPr>
              <w:rPr>
                <w:b/>
                <w:sz w:val="18"/>
                <w:lang w:eastAsia="en-GB"/>
              </w:rPr>
            </w:pPr>
            <w:r w:rsidRPr="00635993">
              <w:rPr>
                <w:b/>
                <w:sz w:val="18"/>
                <w:lang w:eastAsia="en-GB"/>
              </w:rPr>
              <w:t>Protein  id</w:t>
            </w:r>
          </w:p>
        </w:tc>
        <w:tc>
          <w:tcPr>
            <w:tcW w:w="690" w:type="pct"/>
            <w:hideMark/>
          </w:tcPr>
          <w:p w14:paraId="28089FA7" w14:textId="77777777" w:rsidR="000D7D3D" w:rsidRPr="00635993" w:rsidRDefault="000D7D3D" w:rsidP="003F7054">
            <w:pPr>
              <w:rPr>
                <w:b/>
                <w:sz w:val="18"/>
                <w:lang w:eastAsia="en-GB"/>
              </w:rPr>
            </w:pPr>
            <w:r w:rsidRPr="00635993">
              <w:rPr>
                <w:b/>
                <w:sz w:val="18"/>
                <w:lang w:eastAsia="en-GB"/>
              </w:rPr>
              <w:t>KOG description</w:t>
            </w:r>
          </w:p>
        </w:tc>
        <w:tc>
          <w:tcPr>
            <w:tcW w:w="598" w:type="pct"/>
          </w:tcPr>
          <w:p w14:paraId="6DE1933F" w14:textId="77777777" w:rsidR="000D7D3D" w:rsidRPr="00635993" w:rsidRDefault="000D7D3D" w:rsidP="007F746A">
            <w:pPr>
              <w:rPr>
                <w:b/>
                <w:sz w:val="18"/>
                <w:lang w:eastAsia="en-GB"/>
              </w:rPr>
            </w:pPr>
            <w:r w:rsidRPr="00635993">
              <w:rPr>
                <w:b/>
                <w:sz w:val="18"/>
                <w:lang w:eastAsia="en-GB"/>
              </w:rPr>
              <w:t>Gene name in this study</w:t>
            </w:r>
          </w:p>
        </w:tc>
        <w:tc>
          <w:tcPr>
            <w:tcW w:w="629" w:type="pct"/>
          </w:tcPr>
          <w:p w14:paraId="01DABFF7" w14:textId="77777777" w:rsidR="000D7D3D" w:rsidRPr="00635993" w:rsidRDefault="000D7D3D" w:rsidP="00FB36B8">
            <w:pPr>
              <w:rPr>
                <w:b/>
                <w:sz w:val="18"/>
                <w:lang w:eastAsia="en-GB"/>
              </w:rPr>
            </w:pPr>
            <w:r w:rsidRPr="00635993">
              <w:rPr>
                <w:b/>
                <w:sz w:val="18"/>
                <w:lang w:eastAsia="en-GB"/>
              </w:rPr>
              <w:t>Number of exons</w:t>
            </w:r>
          </w:p>
        </w:tc>
        <w:tc>
          <w:tcPr>
            <w:tcW w:w="926" w:type="pct"/>
          </w:tcPr>
          <w:p w14:paraId="400325BF" w14:textId="77777777" w:rsidR="000D7D3D" w:rsidRPr="00635993" w:rsidRDefault="000D7D3D" w:rsidP="00635993">
            <w:pPr>
              <w:rPr>
                <w:b/>
                <w:sz w:val="18"/>
                <w:lang w:eastAsia="en-GB"/>
              </w:rPr>
            </w:pPr>
            <w:r w:rsidRPr="00635993">
              <w:rPr>
                <w:b/>
                <w:sz w:val="18"/>
                <w:lang w:eastAsia="en-GB"/>
              </w:rPr>
              <w:t>Theoretical (Av.)</w:t>
            </w:r>
          </w:p>
          <w:p w14:paraId="53CBE103" w14:textId="77777777" w:rsidR="000D7D3D" w:rsidRPr="00635993" w:rsidRDefault="000D7D3D" w:rsidP="00635993">
            <w:pPr>
              <w:rPr>
                <w:b/>
                <w:sz w:val="18"/>
                <w:lang w:eastAsia="en-GB"/>
              </w:rPr>
            </w:pPr>
            <w:r w:rsidRPr="00635993">
              <w:rPr>
                <w:b/>
                <w:sz w:val="18"/>
                <w:lang w:eastAsia="en-GB"/>
              </w:rPr>
              <w:t>pI /Mw (Da)</w:t>
            </w:r>
          </w:p>
        </w:tc>
        <w:tc>
          <w:tcPr>
            <w:tcW w:w="856" w:type="pct"/>
          </w:tcPr>
          <w:p w14:paraId="4F840BA7" w14:textId="77777777" w:rsidR="000D7D3D" w:rsidRPr="00635993" w:rsidRDefault="000D7D3D" w:rsidP="003F7054">
            <w:pPr>
              <w:rPr>
                <w:b/>
                <w:sz w:val="18"/>
                <w:lang w:eastAsia="en-GB"/>
              </w:rPr>
            </w:pPr>
            <w:r w:rsidRPr="00635993">
              <w:rPr>
                <w:b/>
                <w:sz w:val="18"/>
                <w:lang w:eastAsia="en-GB"/>
              </w:rPr>
              <w:t xml:space="preserve">Predicted subcellular localisation </w:t>
            </w:r>
          </w:p>
        </w:tc>
      </w:tr>
      <w:tr w:rsidR="000D7D3D" w:rsidRPr="004076A3" w14:paraId="7DF5DCF8" w14:textId="77777777" w:rsidTr="002D60C9">
        <w:trPr>
          <w:trHeight w:val="524"/>
        </w:trPr>
        <w:tc>
          <w:tcPr>
            <w:tcW w:w="776" w:type="pct"/>
          </w:tcPr>
          <w:p w14:paraId="36BA923A" w14:textId="77777777" w:rsidR="000D7D3D" w:rsidRPr="00635993" w:rsidRDefault="000D7D3D" w:rsidP="003F7054">
            <w:pPr>
              <w:rPr>
                <w:sz w:val="18"/>
                <w:lang w:eastAsia="en-GB"/>
              </w:rPr>
            </w:pPr>
            <w:r w:rsidRPr="00635993">
              <w:rPr>
                <w:sz w:val="18"/>
                <w:lang w:eastAsia="en-GB"/>
              </w:rPr>
              <w:t>fgenesh1_kg.22_#_22_#_isotig08265</w:t>
            </w:r>
          </w:p>
        </w:tc>
        <w:tc>
          <w:tcPr>
            <w:tcW w:w="525" w:type="pct"/>
          </w:tcPr>
          <w:p w14:paraId="2E8891EA" w14:textId="77777777" w:rsidR="000D7D3D" w:rsidRPr="00635993" w:rsidRDefault="000D7D3D" w:rsidP="00635993">
            <w:pPr>
              <w:rPr>
                <w:rFonts w:eastAsia="Times New Roman"/>
                <w:color w:val="0563C1"/>
                <w:sz w:val="18"/>
                <w:u w:val="single"/>
                <w:lang w:eastAsia="en-GB"/>
              </w:rPr>
            </w:pPr>
            <w:r w:rsidRPr="00635993">
              <w:rPr>
                <w:sz w:val="18"/>
              </w:rPr>
              <w:t>169850</w:t>
            </w:r>
          </w:p>
        </w:tc>
        <w:tc>
          <w:tcPr>
            <w:tcW w:w="690" w:type="pct"/>
          </w:tcPr>
          <w:p w14:paraId="4852857D" w14:textId="77777777" w:rsidR="000D7D3D" w:rsidRPr="00635993" w:rsidRDefault="000D7D3D" w:rsidP="003F7054">
            <w:pPr>
              <w:rPr>
                <w:sz w:val="18"/>
                <w:lang w:eastAsia="en-GB"/>
              </w:rPr>
            </w:pPr>
            <w:r w:rsidRPr="00635993">
              <w:rPr>
                <w:sz w:val="18"/>
                <w:lang w:eastAsia="en-GB"/>
              </w:rPr>
              <w:t>Inorganic phosphate transporter</w:t>
            </w:r>
          </w:p>
        </w:tc>
        <w:tc>
          <w:tcPr>
            <w:tcW w:w="598" w:type="pct"/>
          </w:tcPr>
          <w:p w14:paraId="20D7F131" w14:textId="77777777" w:rsidR="000D7D3D" w:rsidRPr="00635993" w:rsidRDefault="000D7D3D" w:rsidP="007F746A">
            <w:pPr>
              <w:rPr>
                <w:sz w:val="18"/>
                <w:lang w:eastAsia="en-GB"/>
              </w:rPr>
            </w:pPr>
            <w:r w:rsidRPr="00635993">
              <w:rPr>
                <w:sz w:val="18"/>
                <w:lang w:eastAsia="en-GB"/>
              </w:rPr>
              <w:t>PiPT1</w:t>
            </w:r>
          </w:p>
        </w:tc>
        <w:tc>
          <w:tcPr>
            <w:tcW w:w="629" w:type="pct"/>
          </w:tcPr>
          <w:p w14:paraId="174CA40B" w14:textId="77777777" w:rsidR="000D7D3D" w:rsidRPr="00635993" w:rsidRDefault="000D7D3D" w:rsidP="00FB36B8">
            <w:pPr>
              <w:rPr>
                <w:sz w:val="18"/>
                <w:lang w:eastAsia="en-GB"/>
              </w:rPr>
            </w:pPr>
            <w:r w:rsidRPr="00635993">
              <w:rPr>
                <w:sz w:val="18"/>
                <w:lang w:eastAsia="en-GB"/>
              </w:rPr>
              <w:t>10</w:t>
            </w:r>
          </w:p>
        </w:tc>
        <w:tc>
          <w:tcPr>
            <w:tcW w:w="926" w:type="pct"/>
          </w:tcPr>
          <w:p w14:paraId="723DF928" w14:textId="77777777" w:rsidR="000D7D3D" w:rsidRPr="00635993" w:rsidRDefault="000D7D3D" w:rsidP="007C3C15">
            <w:pPr>
              <w:rPr>
                <w:rFonts w:eastAsia="Times New Roman" w:cs="Arial"/>
                <w:color w:val="000000"/>
                <w:sz w:val="18"/>
                <w:lang w:eastAsia="en-GB"/>
              </w:rPr>
            </w:pPr>
            <w:r w:rsidRPr="00635993">
              <w:rPr>
                <w:sz w:val="18"/>
              </w:rPr>
              <w:t>8.19 / 57,920.28</w:t>
            </w:r>
          </w:p>
        </w:tc>
        <w:tc>
          <w:tcPr>
            <w:tcW w:w="856" w:type="pct"/>
          </w:tcPr>
          <w:p w14:paraId="4E8C7874" w14:textId="77777777" w:rsidR="000D7D3D" w:rsidRPr="00635993" w:rsidRDefault="000D7D3D" w:rsidP="007C3C15">
            <w:pPr>
              <w:rPr>
                <w:sz w:val="18"/>
                <w:lang w:eastAsia="en-GB"/>
              </w:rPr>
            </w:pPr>
            <w:r w:rsidRPr="00635993">
              <w:rPr>
                <w:sz w:val="18"/>
                <w:lang w:eastAsia="en-GB"/>
              </w:rPr>
              <w:t>Plasma membrane</w:t>
            </w:r>
          </w:p>
        </w:tc>
      </w:tr>
      <w:tr w:rsidR="000D7D3D" w:rsidRPr="004076A3" w14:paraId="16BAC412" w14:textId="77777777" w:rsidTr="002D60C9">
        <w:trPr>
          <w:trHeight w:val="524"/>
        </w:trPr>
        <w:tc>
          <w:tcPr>
            <w:tcW w:w="776" w:type="pct"/>
          </w:tcPr>
          <w:p w14:paraId="5C2B0656" w14:textId="77777777" w:rsidR="000D7D3D" w:rsidRPr="00635993" w:rsidRDefault="000D7D3D" w:rsidP="003F7054">
            <w:pPr>
              <w:rPr>
                <w:sz w:val="18"/>
                <w:lang w:eastAsia="en-GB"/>
              </w:rPr>
            </w:pPr>
            <w:r w:rsidRPr="00635993">
              <w:rPr>
                <w:sz w:val="18"/>
                <w:lang w:eastAsia="en-GB"/>
              </w:rPr>
              <w:t>gm1.13401_g</w:t>
            </w:r>
          </w:p>
        </w:tc>
        <w:tc>
          <w:tcPr>
            <w:tcW w:w="525" w:type="pct"/>
          </w:tcPr>
          <w:p w14:paraId="799EEEF9" w14:textId="77777777" w:rsidR="000D7D3D" w:rsidRPr="00635993" w:rsidRDefault="000D7D3D" w:rsidP="00635993">
            <w:pPr>
              <w:rPr>
                <w:rFonts w:eastAsia="Times New Roman"/>
                <w:color w:val="0563C1"/>
                <w:sz w:val="18"/>
                <w:u w:val="single"/>
                <w:lang w:eastAsia="en-GB"/>
              </w:rPr>
            </w:pPr>
            <w:r w:rsidRPr="00635993">
              <w:rPr>
                <w:sz w:val="18"/>
              </w:rPr>
              <w:t>18830</w:t>
            </w:r>
          </w:p>
        </w:tc>
        <w:tc>
          <w:tcPr>
            <w:tcW w:w="690" w:type="pct"/>
          </w:tcPr>
          <w:p w14:paraId="6142CF93" w14:textId="77777777" w:rsidR="000D7D3D" w:rsidRPr="00635993" w:rsidRDefault="000D7D3D" w:rsidP="003F7054">
            <w:pPr>
              <w:rPr>
                <w:sz w:val="18"/>
                <w:lang w:eastAsia="en-GB"/>
              </w:rPr>
            </w:pPr>
            <w:r w:rsidRPr="00635993">
              <w:rPr>
                <w:sz w:val="18"/>
                <w:lang w:eastAsia="en-GB"/>
              </w:rPr>
              <w:t>Inorganic phosphate transporter</w:t>
            </w:r>
          </w:p>
        </w:tc>
        <w:tc>
          <w:tcPr>
            <w:tcW w:w="598" w:type="pct"/>
          </w:tcPr>
          <w:p w14:paraId="5B2223D3" w14:textId="77777777" w:rsidR="000D7D3D" w:rsidRPr="00635993" w:rsidRDefault="000D7D3D" w:rsidP="007F746A">
            <w:pPr>
              <w:rPr>
                <w:sz w:val="18"/>
                <w:lang w:eastAsia="en-GB"/>
              </w:rPr>
            </w:pPr>
            <w:r w:rsidRPr="00635993">
              <w:rPr>
                <w:sz w:val="18"/>
                <w:lang w:eastAsia="en-GB"/>
              </w:rPr>
              <w:t>PiPT2</w:t>
            </w:r>
          </w:p>
        </w:tc>
        <w:tc>
          <w:tcPr>
            <w:tcW w:w="629" w:type="pct"/>
          </w:tcPr>
          <w:p w14:paraId="47C5454C" w14:textId="77777777" w:rsidR="000D7D3D" w:rsidRPr="00635993" w:rsidRDefault="000D7D3D" w:rsidP="00FB36B8">
            <w:pPr>
              <w:rPr>
                <w:sz w:val="18"/>
                <w:lang w:eastAsia="en-GB"/>
              </w:rPr>
            </w:pPr>
            <w:r w:rsidRPr="00635993">
              <w:rPr>
                <w:sz w:val="18"/>
                <w:lang w:eastAsia="en-GB"/>
              </w:rPr>
              <w:t>16</w:t>
            </w:r>
          </w:p>
        </w:tc>
        <w:tc>
          <w:tcPr>
            <w:tcW w:w="926" w:type="pct"/>
          </w:tcPr>
          <w:p w14:paraId="760040CF" w14:textId="77777777" w:rsidR="000D7D3D" w:rsidRPr="00635993" w:rsidRDefault="000D7D3D" w:rsidP="007C3C15">
            <w:pPr>
              <w:rPr>
                <w:rFonts w:eastAsia="Times New Roman" w:cs="Arial"/>
                <w:color w:val="000000"/>
                <w:sz w:val="18"/>
                <w:lang w:eastAsia="en-GB"/>
              </w:rPr>
            </w:pPr>
            <w:r w:rsidRPr="00635993">
              <w:rPr>
                <w:sz w:val="18"/>
              </w:rPr>
              <w:t>8.54 / 52,279.79</w:t>
            </w:r>
          </w:p>
        </w:tc>
        <w:tc>
          <w:tcPr>
            <w:tcW w:w="856" w:type="pct"/>
          </w:tcPr>
          <w:p w14:paraId="02C33AFE" w14:textId="77777777" w:rsidR="000D7D3D" w:rsidRPr="00635993" w:rsidRDefault="000D7D3D" w:rsidP="007C3C15">
            <w:pPr>
              <w:rPr>
                <w:sz w:val="18"/>
                <w:lang w:eastAsia="en-GB"/>
              </w:rPr>
            </w:pPr>
            <w:r w:rsidRPr="00635993">
              <w:rPr>
                <w:sz w:val="18"/>
                <w:lang w:eastAsia="en-GB"/>
              </w:rPr>
              <w:t>Plasma membrane</w:t>
            </w:r>
          </w:p>
        </w:tc>
      </w:tr>
      <w:tr w:rsidR="000D7D3D" w:rsidRPr="004076A3" w14:paraId="11E3C94F" w14:textId="77777777" w:rsidTr="002D60C9">
        <w:trPr>
          <w:trHeight w:val="524"/>
        </w:trPr>
        <w:tc>
          <w:tcPr>
            <w:tcW w:w="776" w:type="pct"/>
          </w:tcPr>
          <w:p w14:paraId="160096F3" w14:textId="77777777" w:rsidR="000D7D3D" w:rsidRPr="00635993" w:rsidRDefault="000D7D3D" w:rsidP="003F7054">
            <w:pPr>
              <w:rPr>
                <w:sz w:val="18"/>
                <w:lang w:eastAsia="en-GB"/>
              </w:rPr>
            </w:pPr>
            <w:r w:rsidRPr="00635993">
              <w:rPr>
                <w:sz w:val="18"/>
                <w:lang w:eastAsia="en-GB"/>
              </w:rPr>
              <w:t>fgenesh1_kg.1_#_253_#_isotig09075</w:t>
            </w:r>
          </w:p>
        </w:tc>
        <w:tc>
          <w:tcPr>
            <w:tcW w:w="525" w:type="pct"/>
          </w:tcPr>
          <w:p w14:paraId="2FAB996E" w14:textId="77777777" w:rsidR="000D7D3D" w:rsidRPr="00635993" w:rsidRDefault="000D7D3D" w:rsidP="00635993">
            <w:pPr>
              <w:rPr>
                <w:rFonts w:eastAsia="Times New Roman"/>
                <w:color w:val="0563C1"/>
                <w:sz w:val="18"/>
                <w:u w:val="single"/>
                <w:lang w:eastAsia="en-GB"/>
              </w:rPr>
            </w:pPr>
            <w:r w:rsidRPr="00635993">
              <w:rPr>
                <w:sz w:val="18"/>
              </w:rPr>
              <w:t>165085</w:t>
            </w:r>
          </w:p>
        </w:tc>
        <w:tc>
          <w:tcPr>
            <w:tcW w:w="690" w:type="pct"/>
          </w:tcPr>
          <w:p w14:paraId="6529F0CB" w14:textId="77777777" w:rsidR="000D7D3D" w:rsidRPr="00635993" w:rsidRDefault="000D7D3D" w:rsidP="003F7054">
            <w:pPr>
              <w:rPr>
                <w:sz w:val="18"/>
                <w:lang w:eastAsia="en-GB"/>
              </w:rPr>
            </w:pPr>
            <w:r w:rsidRPr="00635993">
              <w:rPr>
                <w:sz w:val="18"/>
                <w:lang w:eastAsia="en-GB"/>
              </w:rPr>
              <w:t>Inorganic phosphate transporter</w:t>
            </w:r>
          </w:p>
        </w:tc>
        <w:tc>
          <w:tcPr>
            <w:tcW w:w="598" w:type="pct"/>
          </w:tcPr>
          <w:p w14:paraId="150781CD" w14:textId="77777777" w:rsidR="000D7D3D" w:rsidRPr="00635993" w:rsidRDefault="000D7D3D" w:rsidP="007F746A">
            <w:pPr>
              <w:rPr>
                <w:sz w:val="18"/>
                <w:lang w:eastAsia="en-GB"/>
              </w:rPr>
            </w:pPr>
            <w:r w:rsidRPr="00635993">
              <w:rPr>
                <w:sz w:val="18"/>
                <w:lang w:eastAsia="en-GB"/>
              </w:rPr>
              <w:t>PiPT3</w:t>
            </w:r>
          </w:p>
        </w:tc>
        <w:tc>
          <w:tcPr>
            <w:tcW w:w="629" w:type="pct"/>
          </w:tcPr>
          <w:p w14:paraId="5C0B5815" w14:textId="77777777" w:rsidR="000D7D3D" w:rsidRPr="00635993" w:rsidRDefault="000D7D3D" w:rsidP="00FB36B8">
            <w:pPr>
              <w:rPr>
                <w:sz w:val="18"/>
                <w:lang w:eastAsia="en-GB"/>
              </w:rPr>
            </w:pPr>
            <w:r w:rsidRPr="00635993">
              <w:rPr>
                <w:sz w:val="18"/>
                <w:lang w:eastAsia="en-GB"/>
              </w:rPr>
              <w:t>17</w:t>
            </w:r>
          </w:p>
        </w:tc>
        <w:tc>
          <w:tcPr>
            <w:tcW w:w="926" w:type="pct"/>
          </w:tcPr>
          <w:p w14:paraId="3A3F09D3" w14:textId="77777777" w:rsidR="000D7D3D" w:rsidRPr="00635993" w:rsidRDefault="000D7D3D" w:rsidP="007C3C15">
            <w:pPr>
              <w:rPr>
                <w:rFonts w:eastAsia="Times New Roman" w:cs="Arial"/>
                <w:color w:val="000000"/>
                <w:sz w:val="18"/>
                <w:lang w:eastAsia="en-GB"/>
              </w:rPr>
            </w:pPr>
            <w:r w:rsidRPr="00635993">
              <w:rPr>
                <w:sz w:val="18"/>
              </w:rPr>
              <w:t>8.35 / 53,781.42</w:t>
            </w:r>
          </w:p>
        </w:tc>
        <w:tc>
          <w:tcPr>
            <w:tcW w:w="856" w:type="pct"/>
          </w:tcPr>
          <w:p w14:paraId="1F68C895" w14:textId="77777777" w:rsidR="000D7D3D" w:rsidRPr="00635993" w:rsidRDefault="000D7D3D" w:rsidP="007C3C15">
            <w:pPr>
              <w:rPr>
                <w:sz w:val="18"/>
                <w:lang w:eastAsia="en-GB"/>
              </w:rPr>
            </w:pPr>
            <w:r w:rsidRPr="00635993">
              <w:rPr>
                <w:sz w:val="18"/>
                <w:lang w:eastAsia="en-GB"/>
              </w:rPr>
              <w:t>Plasma membrane</w:t>
            </w:r>
          </w:p>
        </w:tc>
      </w:tr>
      <w:tr w:rsidR="000D7D3D" w:rsidRPr="004076A3" w14:paraId="49124E2E" w14:textId="77777777" w:rsidTr="002D60C9">
        <w:trPr>
          <w:trHeight w:val="524"/>
        </w:trPr>
        <w:tc>
          <w:tcPr>
            <w:tcW w:w="776" w:type="pct"/>
          </w:tcPr>
          <w:p w14:paraId="6AAE929F" w14:textId="77777777" w:rsidR="000D7D3D" w:rsidRPr="00635993" w:rsidRDefault="000D7D3D" w:rsidP="003F7054">
            <w:pPr>
              <w:rPr>
                <w:sz w:val="18"/>
                <w:lang w:eastAsia="en-GB"/>
              </w:rPr>
            </w:pPr>
            <w:r w:rsidRPr="00635993">
              <w:rPr>
                <w:sz w:val="18"/>
                <w:lang w:eastAsia="en-GB"/>
              </w:rPr>
              <w:t>estExt_Genewise1.C_14990003</w:t>
            </w:r>
          </w:p>
        </w:tc>
        <w:tc>
          <w:tcPr>
            <w:tcW w:w="525" w:type="pct"/>
          </w:tcPr>
          <w:p w14:paraId="463BBD12" w14:textId="77777777" w:rsidR="000D7D3D" w:rsidRPr="00635993" w:rsidRDefault="000D7D3D" w:rsidP="00635993">
            <w:pPr>
              <w:rPr>
                <w:rFonts w:eastAsia="Times New Roman"/>
                <w:color w:val="0563C1"/>
                <w:sz w:val="18"/>
                <w:u w:val="single"/>
                <w:lang w:eastAsia="en-GB"/>
              </w:rPr>
            </w:pPr>
            <w:r w:rsidRPr="00635993">
              <w:rPr>
                <w:sz w:val="18"/>
              </w:rPr>
              <w:t>141142</w:t>
            </w:r>
          </w:p>
        </w:tc>
        <w:tc>
          <w:tcPr>
            <w:tcW w:w="690" w:type="pct"/>
          </w:tcPr>
          <w:p w14:paraId="7CD1372C" w14:textId="77777777" w:rsidR="000D7D3D" w:rsidRPr="00635993" w:rsidRDefault="000D7D3D" w:rsidP="003F7054">
            <w:pPr>
              <w:rPr>
                <w:sz w:val="18"/>
                <w:lang w:eastAsia="en-GB"/>
              </w:rPr>
            </w:pPr>
            <w:r w:rsidRPr="00635993">
              <w:rPr>
                <w:sz w:val="18"/>
                <w:lang w:eastAsia="en-GB"/>
              </w:rPr>
              <w:t>Inorganic phosphate transporter</w:t>
            </w:r>
          </w:p>
        </w:tc>
        <w:tc>
          <w:tcPr>
            <w:tcW w:w="598" w:type="pct"/>
          </w:tcPr>
          <w:p w14:paraId="013E98CF" w14:textId="77777777" w:rsidR="000D7D3D" w:rsidRPr="00635993" w:rsidRDefault="000D7D3D" w:rsidP="007F746A">
            <w:pPr>
              <w:rPr>
                <w:sz w:val="18"/>
                <w:lang w:eastAsia="en-GB"/>
              </w:rPr>
            </w:pPr>
            <w:r w:rsidRPr="00635993">
              <w:rPr>
                <w:sz w:val="18"/>
                <w:lang w:eastAsia="en-GB"/>
              </w:rPr>
              <w:t>PiPT4</w:t>
            </w:r>
          </w:p>
        </w:tc>
        <w:tc>
          <w:tcPr>
            <w:tcW w:w="629" w:type="pct"/>
          </w:tcPr>
          <w:p w14:paraId="5979008F" w14:textId="77777777" w:rsidR="000D7D3D" w:rsidRPr="00635993" w:rsidRDefault="000D7D3D" w:rsidP="00FB36B8">
            <w:pPr>
              <w:rPr>
                <w:sz w:val="18"/>
                <w:lang w:eastAsia="en-GB"/>
              </w:rPr>
            </w:pPr>
            <w:r w:rsidRPr="00635993">
              <w:rPr>
                <w:sz w:val="18"/>
                <w:lang w:eastAsia="en-GB"/>
              </w:rPr>
              <w:t>7</w:t>
            </w:r>
          </w:p>
        </w:tc>
        <w:tc>
          <w:tcPr>
            <w:tcW w:w="926" w:type="pct"/>
          </w:tcPr>
          <w:p w14:paraId="1217531B" w14:textId="77777777" w:rsidR="000D7D3D" w:rsidRPr="00635993" w:rsidRDefault="000D7D3D" w:rsidP="007C3C15">
            <w:pPr>
              <w:rPr>
                <w:rFonts w:eastAsia="Times New Roman" w:cs="Arial"/>
                <w:color w:val="000000"/>
                <w:sz w:val="18"/>
                <w:lang w:eastAsia="en-GB"/>
              </w:rPr>
            </w:pPr>
            <w:r w:rsidRPr="00635993">
              <w:rPr>
                <w:sz w:val="18"/>
              </w:rPr>
              <w:t>7.60 / 22,700.48</w:t>
            </w:r>
          </w:p>
        </w:tc>
        <w:tc>
          <w:tcPr>
            <w:tcW w:w="856" w:type="pct"/>
          </w:tcPr>
          <w:p w14:paraId="23DBF9FE" w14:textId="77777777" w:rsidR="000D7D3D" w:rsidRPr="00635993" w:rsidRDefault="000D7D3D" w:rsidP="007C3C15">
            <w:pPr>
              <w:rPr>
                <w:sz w:val="18"/>
                <w:lang w:eastAsia="en-GB"/>
              </w:rPr>
            </w:pPr>
            <w:r w:rsidRPr="00635993">
              <w:rPr>
                <w:sz w:val="18"/>
                <w:lang w:eastAsia="en-GB"/>
              </w:rPr>
              <w:t>Plasma membrane</w:t>
            </w:r>
          </w:p>
        </w:tc>
      </w:tr>
      <w:tr w:rsidR="000D7D3D" w:rsidRPr="004076A3" w14:paraId="73BF9855" w14:textId="77777777" w:rsidTr="002D60C9">
        <w:trPr>
          <w:trHeight w:val="524"/>
        </w:trPr>
        <w:tc>
          <w:tcPr>
            <w:tcW w:w="776" w:type="pct"/>
          </w:tcPr>
          <w:p w14:paraId="5E4E0A6F" w14:textId="77777777" w:rsidR="000D7D3D" w:rsidRPr="00635993" w:rsidRDefault="000D7D3D" w:rsidP="003F7054">
            <w:pPr>
              <w:rPr>
                <w:sz w:val="18"/>
                <w:lang w:eastAsia="en-GB"/>
              </w:rPr>
            </w:pPr>
            <w:r w:rsidRPr="00635993">
              <w:rPr>
                <w:sz w:val="18"/>
                <w:lang w:eastAsia="en-GB"/>
              </w:rPr>
              <w:t>fgenesh1_pm.14_#_104</w:t>
            </w:r>
          </w:p>
        </w:tc>
        <w:tc>
          <w:tcPr>
            <w:tcW w:w="525" w:type="pct"/>
          </w:tcPr>
          <w:p w14:paraId="72F3285A" w14:textId="77777777" w:rsidR="000D7D3D" w:rsidRPr="00635993" w:rsidRDefault="000D7D3D" w:rsidP="00635993">
            <w:pPr>
              <w:rPr>
                <w:rFonts w:eastAsia="Times New Roman"/>
                <w:color w:val="0563C1"/>
                <w:sz w:val="18"/>
                <w:u w:val="single"/>
                <w:lang w:eastAsia="en-GB"/>
              </w:rPr>
            </w:pPr>
            <w:r w:rsidRPr="00635993">
              <w:rPr>
                <w:sz w:val="18"/>
              </w:rPr>
              <w:t>163069</w:t>
            </w:r>
          </w:p>
        </w:tc>
        <w:tc>
          <w:tcPr>
            <w:tcW w:w="690" w:type="pct"/>
          </w:tcPr>
          <w:p w14:paraId="755FF157" w14:textId="77777777" w:rsidR="000D7D3D" w:rsidRPr="00635993" w:rsidRDefault="000D7D3D" w:rsidP="003F7054">
            <w:pPr>
              <w:rPr>
                <w:sz w:val="18"/>
                <w:lang w:eastAsia="en-GB"/>
              </w:rPr>
            </w:pPr>
            <w:r w:rsidRPr="00635993">
              <w:rPr>
                <w:sz w:val="18"/>
                <w:lang w:eastAsia="en-GB"/>
              </w:rPr>
              <w:t>Inorganic phosphate transporter</w:t>
            </w:r>
          </w:p>
        </w:tc>
        <w:tc>
          <w:tcPr>
            <w:tcW w:w="598" w:type="pct"/>
          </w:tcPr>
          <w:p w14:paraId="7CBA7F21" w14:textId="77777777" w:rsidR="000D7D3D" w:rsidRPr="00635993" w:rsidRDefault="000D7D3D" w:rsidP="007F746A">
            <w:pPr>
              <w:rPr>
                <w:sz w:val="18"/>
                <w:lang w:eastAsia="en-GB"/>
              </w:rPr>
            </w:pPr>
            <w:r w:rsidRPr="00635993">
              <w:rPr>
                <w:sz w:val="18"/>
                <w:lang w:eastAsia="en-GB"/>
              </w:rPr>
              <w:t>PiPT5</w:t>
            </w:r>
          </w:p>
        </w:tc>
        <w:tc>
          <w:tcPr>
            <w:tcW w:w="629" w:type="pct"/>
          </w:tcPr>
          <w:p w14:paraId="19ABFDD1" w14:textId="77777777" w:rsidR="000D7D3D" w:rsidRPr="00635993" w:rsidRDefault="000D7D3D" w:rsidP="00FB36B8">
            <w:pPr>
              <w:rPr>
                <w:sz w:val="18"/>
                <w:lang w:eastAsia="en-GB"/>
              </w:rPr>
            </w:pPr>
            <w:r w:rsidRPr="00635993">
              <w:rPr>
                <w:sz w:val="18"/>
                <w:lang w:eastAsia="en-GB"/>
              </w:rPr>
              <w:t>17</w:t>
            </w:r>
          </w:p>
        </w:tc>
        <w:tc>
          <w:tcPr>
            <w:tcW w:w="926" w:type="pct"/>
          </w:tcPr>
          <w:p w14:paraId="7634F2E5" w14:textId="77777777" w:rsidR="000D7D3D" w:rsidRPr="00635993" w:rsidRDefault="000D7D3D" w:rsidP="007C3C15">
            <w:pPr>
              <w:rPr>
                <w:rFonts w:eastAsia="Times New Roman" w:cs="Arial"/>
                <w:color w:val="000000"/>
                <w:sz w:val="18"/>
                <w:lang w:eastAsia="en-GB"/>
              </w:rPr>
            </w:pPr>
            <w:r w:rsidRPr="00635993">
              <w:rPr>
                <w:sz w:val="18"/>
              </w:rPr>
              <w:t>7.69 / 40,312.56</w:t>
            </w:r>
          </w:p>
        </w:tc>
        <w:tc>
          <w:tcPr>
            <w:tcW w:w="856" w:type="pct"/>
          </w:tcPr>
          <w:p w14:paraId="68572F54" w14:textId="77777777" w:rsidR="000D7D3D" w:rsidRPr="00635993" w:rsidRDefault="000D7D3D" w:rsidP="007C3C15">
            <w:pPr>
              <w:rPr>
                <w:sz w:val="18"/>
                <w:lang w:eastAsia="en-GB"/>
              </w:rPr>
            </w:pPr>
            <w:r w:rsidRPr="00635993">
              <w:rPr>
                <w:sz w:val="18"/>
                <w:lang w:eastAsia="en-GB"/>
              </w:rPr>
              <w:t>Plasma membrane</w:t>
            </w:r>
          </w:p>
        </w:tc>
      </w:tr>
      <w:tr w:rsidR="000D7D3D" w:rsidRPr="004076A3" w14:paraId="5086D90A" w14:textId="77777777" w:rsidTr="002D60C9">
        <w:trPr>
          <w:trHeight w:val="524"/>
        </w:trPr>
        <w:tc>
          <w:tcPr>
            <w:tcW w:w="776" w:type="pct"/>
          </w:tcPr>
          <w:p w14:paraId="1843E786" w14:textId="77777777" w:rsidR="000D7D3D" w:rsidRPr="00635993" w:rsidRDefault="000D7D3D" w:rsidP="003F7054">
            <w:pPr>
              <w:rPr>
                <w:sz w:val="18"/>
                <w:lang w:eastAsia="en-GB"/>
              </w:rPr>
            </w:pPr>
            <w:r w:rsidRPr="00635993">
              <w:rPr>
                <w:sz w:val="18"/>
                <w:lang w:eastAsia="en-GB"/>
              </w:rPr>
              <w:t>fgenesh1_pg.404_#_2</w:t>
            </w:r>
          </w:p>
        </w:tc>
        <w:tc>
          <w:tcPr>
            <w:tcW w:w="525" w:type="pct"/>
          </w:tcPr>
          <w:p w14:paraId="0015AFDD" w14:textId="77777777" w:rsidR="000D7D3D" w:rsidRPr="00635993" w:rsidRDefault="000D7D3D" w:rsidP="00635993">
            <w:pPr>
              <w:rPr>
                <w:rFonts w:eastAsia="Times New Roman"/>
                <w:color w:val="0563C1"/>
                <w:sz w:val="18"/>
                <w:u w:val="single"/>
                <w:lang w:eastAsia="en-GB"/>
              </w:rPr>
            </w:pPr>
            <w:r w:rsidRPr="00635993">
              <w:rPr>
                <w:sz w:val="18"/>
              </w:rPr>
              <w:t>158250</w:t>
            </w:r>
          </w:p>
        </w:tc>
        <w:tc>
          <w:tcPr>
            <w:tcW w:w="690" w:type="pct"/>
          </w:tcPr>
          <w:p w14:paraId="5B085CE4" w14:textId="77777777" w:rsidR="000D7D3D" w:rsidRPr="00635993" w:rsidRDefault="000D7D3D" w:rsidP="003F7054">
            <w:pPr>
              <w:rPr>
                <w:sz w:val="18"/>
                <w:lang w:eastAsia="en-GB"/>
              </w:rPr>
            </w:pPr>
            <w:r w:rsidRPr="00635993">
              <w:rPr>
                <w:sz w:val="18"/>
                <w:lang w:eastAsia="en-GB"/>
              </w:rPr>
              <w:t>Inorganic phosphate transporter</w:t>
            </w:r>
          </w:p>
        </w:tc>
        <w:tc>
          <w:tcPr>
            <w:tcW w:w="598" w:type="pct"/>
          </w:tcPr>
          <w:p w14:paraId="6AE08C17" w14:textId="77777777" w:rsidR="000D7D3D" w:rsidRPr="00635993" w:rsidRDefault="000D7D3D" w:rsidP="007F746A">
            <w:pPr>
              <w:rPr>
                <w:sz w:val="18"/>
                <w:lang w:eastAsia="en-GB"/>
              </w:rPr>
            </w:pPr>
            <w:r w:rsidRPr="00635993">
              <w:rPr>
                <w:sz w:val="18"/>
                <w:lang w:eastAsia="en-GB"/>
              </w:rPr>
              <w:t>PiPT6</w:t>
            </w:r>
          </w:p>
        </w:tc>
        <w:tc>
          <w:tcPr>
            <w:tcW w:w="629" w:type="pct"/>
          </w:tcPr>
          <w:p w14:paraId="436B4019" w14:textId="77777777" w:rsidR="000D7D3D" w:rsidRPr="00635993" w:rsidRDefault="000D7D3D" w:rsidP="00FB36B8">
            <w:pPr>
              <w:rPr>
                <w:sz w:val="18"/>
                <w:lang w:eastAsia="en-GB"/>
              </w:rPr>
            </w:pPr>
            <w:r w:rsidRPr="00635993">
              <w:rPr>
                <w:sz w:val="18"/>
                <w:lang w:eastAsia="en-GB"/>
              </w:rPr>
              <w:t>10</w:t>
            </w:r>
          </w:p>
        </w:tc>
        <w:tc>
          <w:tcPr>
            <w:tcW w:w="926" w:type="pct"/>
          </w:tcPr>
          <w:p w14:paraId="0486CEBC" w14:textId="77777777" w:rsidR="000D7D3D" w:rsidRPr="00635993" w:rsidRDefault="000D7D3D" w:rsidP="007C3C15">
            <w:pPr>
              <w:rPr>
                <w:rFonts w:eastAsia="Times New Roman" w:cs="Arial"/>
                <w:color w:val="000000"/>
                <w:sz w:val="18"/>
                <w:lang w:eastAsia="en-GB"/>
              </w:rPr>
            </w:pPr>
            <w:r w:rsidRPr="00635993">
              <w:rPr>
                <w:sz w:val="18"/>
              </w:rPr>
              <w:t>6.25 / 39,169.09</w:t>
            </w:r>
          </w:p>
        </w:tc>
        <w:tc>
          <w:tcPr>
            <w:tcW w:w="856" w:type="pct"/>
          </w:tcPr>
          <w:p w14:paraId="42B5B8FF" w14:textId="77777777" w:rsidR="000D7D3D" w:rsidRPr="00635993" w:rsidRDefault="000D7D3D" w:rsidP="007C3C15">
            <w:pPr>
              <w:rPr>
                <w:sz w:val="18"/>
                <w:lang w:eastAsia="en-GB"/>
              </w:rPr>
            </w:pPr>
            <w:r w:rsidRPr="00635993">
              <w:rPr>
                <w:sz w:val="18"/>
                <w:lang w:eastAsia="en-GB"/>
              </w:rPr>
              <w:t>Plasma membrane</w:t>
            </w:r>
          </w:p>
        </w:tc>
      </w:tr>
      <w:tr w:rsidR="000D7D3D" w:rsidRPr="004076A3" w14:paraId="67FF4F00" w14:textId="77777777" w:rsidTr="002D60C9">
        <w:trPr>
          <w:trHeight w:val="524"/>
        </w:trPr>
        <w:tc>
          <w:tcPr>
            <w:tcW w:w="776" w:type="pct"/>
          </w:tcPr>
          <w:p w14:paraId="60413CA2" w14:textId="77777777" w:rsidR="000D7D3D" w:rsidRPr="00635993" w:rsidRDefault="000D7D3D" w:rsidP="003F7054">
            <w:pPr>
              <w:rPr>
                <w:sz w:val="18"/>
                <w:lang w:eastAsia="en-GB"/>
              </w:rPr>
            </w:pPr>
            <w:r w:rsidRPr="00635993">
              <w:rPr>
                <w:sz w:val="18"/>
                <w:lang w:eastAsia="en-GB"/>
              </w:rPr>
              <w:t>gm1.7522_g</w:t>
            </w:r>
          </w:p>
        </w:tc>
        <w:tc>
          <w:tcPr>
            <w:tcW w:w="525" w:type="pct"/>
          </w:tcPr>
          <w:p w14:paraId="41BFF130" w14:textId="77777777" w:rsidR="000D7D3D" w:rsidRPr="00635993" w:rsidRDefault="000D7D3D" w:rsidP="00635993">
            <w:pPr>
              <w:rPr>
                <w:rFonts w:eastAsia="Times New Roman"/>
                <w:color w:val="0563C1"/>
                <w:sz w:val="18"/>
                <w:u w:val="single"/>
                <w:lang w:eastAsia="en-GB"/>
              </w:rPr>
            </w:pPr>
            <w:r w:rsidRPr="00635993">
              <w:rPr>
                <w:sz w:val="18"/>
              </w:rPr>
              <w:t>12951</w:t>
            </w:r>
          </w:p>
        </w:tc>
        <w:tc>
          <w:tcPr>
            <w:tcW w:w="690" w:type="pct"/>
          </w:tcPr>
          <w:p w14:paraId="7B948C36" w14:textId="77777777" w:rsidR="000D7D3D" w:rsidRPr="00635993" w:rsidRDefault="000D7D3D" w:rsidP="003F7054">
            <w:pPr>
              <w:rPr>
                <w:sz w:val="18"/>
                <w:lang w:eastAsia="en-GB"/>
              </w:rPr>
            </w:pPr>
            <w:r w:rsidRPr="00635993">
              <w:rPr>
                <w:sz w:val="18"/>
                <w:lang w:eastAsia="en-GB"/>
              </w:rPr>
              <w:t>Inorganic phosphate transporter</w:t>
            </w:r>
          </w:p>
        </w:tc>
        <w:tc>
          <w:tcPr>
            <w:tcW w:w="598" w:type="pct"/>
          </w:tcPr>
          <w:p w14:paraId="0CD3E24A" w14:textId="77777777" w:rsidR="000D7D3D" w:rsidRPr="00635993" w:rsidRDefault="000D7D3D" w:rsidP="007F746A">
            <w:pPr>
              <w:rPr>
                <w:sz w:val="18"/>
                <w:lang w:eastAsia="en-GB"/>
              </w:rPr>
            </w:pPr>
            <w:r w:rsidRPr="00635993">
              <w:rPr>
                <w:sz w:val="18"/>
                <w:lang w:eastAsia="en-GB"/>
              </w:rPr>
              <w:t>PiPT7</w:t>
            </w:r>
          </w:p>
        </w:tc>
        <w:tc>
          <w:tcPr>
            <w:tcW w:w="629" w:type="pct"/>
          </w:tcPr>
          <w:p w14:paraId="379CEF4D" w14:textId="77777777" w:rsidR="000D7D3D" w:rsidRPr="00635993" w:rsidRDefault="000D7D3D" w:rsidP="00FB36B8">
            <w:pPr>
              <w:rPr>
                <w:sz w:val="18"/>
                <w:lang w:eastAsia="en-GB"/>
              </w:rPr>
            </w:pPr>
            <w:r w:rsidRPr="00635993">
              <w:rPr>
                <w:sz w:val="18"/>
                <w:lang w:eastAsia="en-GB"/>
              </w:rPr>
              <w:t>13</w:t>
            </w:r>
          </w:p>
        </w:tc>
        <w:tc>
          <w:tcPr>
            <w:tcW w:w="926" w:type="pct"/>
          </w:tcPr>
          <w:p w14:paraId="1A951C37" w14:textId="77777777" w:rsidR="000D7D3D" w:rsidRPr="00635993" w:rsidRDefault="000D7D3D" w:rsidP="007C3C15">
            <w:pPr>
              <w:rPr>
                <w:rFonts w:eastAsia="Times New Roman" w:cs="Arial"/>
                <w:color w:val="000000"/>
                <w:sz w:val="18"/>
                <w:lang w:eastAsia="en-GB"/>
              </w:rPr>
            </w:pPr>
            <w:r w:rsidRPr="00635993">
              <w:rPr>
                <w:sz w:val="18"/>
              </w:rPr>
              <w:t>6.30 / 28,898.48</w:t>
            </w:r>
          </w:p>
        </w:tc>
        <w:tc>
          <w:tcPr>
            <w:tcW w:w="856" w:type="pct"/>
          </w:tcPr>
          <w:p w14:paraId="65682925" w14:textId="77777777" w:rsidR="000D7D3D" w:rsidRPr="00635993" w:rsidRDefault="000D7D3D" w:rsidP="007C3C15">
            <w:pPr>
              <w:rPr>
                <w:sz w:val="18"/>
                <w:lang w:eastAsia="en-GB"/>
              </w:rPr>
            </w:pPr>
            <w:r w:rsidRPr="00635993">
              <w:rPr>
                <w:sz w:val="18"/>
                <w:lang w:eastAsia="en-GB"/>
              </w:rPr>
              <w:t>Plasma membrane</w:t>
            </w:r>
          </w:p>
        </w:tc>
      </w:tr>
    </w:tbl>
    <w:p w14:paraId="488695AE" w14:textId="77777777" w:rsidR="000D7D3D" w:rsidRPr="000D7D3D" w:rsidRDefault="000D7D3D" w:rsidP="003F7054"/>
    <w:p w14:paraId="6E291684" w14:textId="77777777" w:rsidR="000D7D3D" w:rsidRPr="000D7D3D" w:rsidRDefault="000D7D3D" w:rsidP="003F7054">
      <w:r w:rsidRPr="000D7D3D">
        <w:br w:type="page"/>
      </w:r>
    </w:p>
    <w:p w14:paraId="3951ABC8" w14:textId="1C8588D0" w:rsidR="000D7D3D" w:rsidRPr="00B46FB7" w:rsidRDefault="000D7D3D" w:rsidP="00635993">
      <w:pPr>
        <w:pStyle w:val="Heading2"/>
      </w:pPr>
      <w:bookmarkStart w:id="610" w:name="_Toc507604107"/>
      <w:bookmarkStart w:id="611" w:name="_Toc507604374"/>
      <w:bookmarkStart w:id="612" w:name="_Toc519017076"/>
      <w:bookmarkStart w:id="613" w:name="_Toc520837989"/>
      <w:r w:rsidRPr="000D7D3D">
        <w:lastRenderedPageBreak/>
        <w:t xml:space="preserve">Table 5. </w:t>
      </w:r>
      <w:r w:rsidRPr="00635993">
        <w:rPr>
          <w:b w:val="0"/>
        </w:rPr>
        <w:t>Gene specific primers used in the qRT-PCR analyses</w:t>
      </w:r>
      <w:bookmarkEnd w:id="610"/>
      <w:bookmarkEnd w:id="611"/>
      <w:bookmarkEnd w:id="612"/>
      <w:bookmarkEnd w:id="613"/>
    </w:p>
    <w:tbl>
      <w:tblPr>
        <w:tblStyle w:val="TableGrid1"/>
        <w:tblW w:w="4868" w:type="pct"/>
        <w:tblLayout w:type="fixed"/>
        <w:tblLook w:val="04A0" w:firstRow="1" w:lastRow="0" w:firstColumn="1" w:lastColumn="0" w:noHBand="0" w:noVBand="1"/>
      </w:tblPr>
      <w:tblGrid>
        <w:gridCol w:w="2046"/>
        <w:gridCol w:w="1384"/>
        <w:gridCol w:w="1575"/>
        <w:gridCol w:w="4098"/>
      </w:tblGrid>
      <w:tr w:rsidR="000D7D3D" w:rsidRPr="009004F9" w14:paraId="4CCAA056" w14:textId="77777777" w:rsidTr="002D60C9">
        <w:trPr>
          <w:trHeight w:val="550"/>
        </w:trPr>
        <w:tc>
          <w:tcPr>
            <w:tcW w:w="1124" w:type="pct"/>
            <w:hideMark/>
          </w:tcPr>
          <w:p w14:paraId="0D37EBCE" w14:textId="77777777" w:rsidR="000D7D3D" w:rsidRPr="00635993" w:rsidRDefault="000D7D3D" w:rsidP="00635993">
            <w:pPr>
              <w:rPr>
                <w:b/>
                <w:sz w:val="18"/>
                <w:lang w:eastAsia="en-GB"/>
              </w:rPr>
            </w:pPr>
            <w:r w:rsidRPr="00635993">
              <w:rPr>
                <w:b/>
                <w:sz w:val="18"/>
                <w:lang w:eastAsia="en-GB"/>
              </w:rPr>
              <w:t>Gene model name</w:t>
            </w:r>
          </w:p>
        </w:tc>
        <w:tc>
          <w:tcPr>
            <w:tcW w:w="760" w:type="pct"/>
            <w:hideMark/>
          </w:tcPr>
          <w:p w14:paraId="355DF0A3" w14:textId="77777777" w:rsidR="000D7D3D" w:rsidRPr="00635993" w:rsidRDefault="000D7D3D" w:rsidP="00635993">
            <w:pPr>
              <w:rPr>
                <w:b/>
                <w:sz w:val="18"/>
                <w:lang w:eastAsia="en-GB"/>
              </w:rPr>
            </w:pPr>
            <w:r w:rsidRPr="00635993">
              <w:rPr>
                <w:b/>
                <w:sz w:val="18"/>
                <w:lang w:eastAsia="en-GB"/>
              </w:rPr>
              <w:t>Protein  id</w:t>
            </w:r>
          </w:p>
        </w:tc>
        <w:tc>
          <w:tcPr>
            <w:tcW w:w="865" w:type="pct"/>
          </w:tcPr>
          <w:p w14:paraId="6FE57CE5" w14:textId="77777777" w:rsidR="000D7D3D" w:rsidRPr="00635993" w:rsidRDefault="000D7D3D" w:rsidP="003F7054">
            <w:pPr>
              <w:rPr>
                <w:b/>
                <w:sz w:val="18"/>
                <w:lang w:eastAsia="en-GB"/>
              </w:rPr>
            </w:pPr>
            <w:r w:rsidRPr="00635993">
              <w:rPr>
                <w:b/>
                <w:sz w:val="18"/>
                <w:lang w:eastAsia="en-GB"/>
              </w:rPr>
              <w:t>Gene name in this study</w:t>
            </w:r>
          </w:p>
        </w:tc>
        <w:tc>
          <w:tcPr>
            <w:tcW w:w="2251" w:type="pct"/>
          </w:tcPr>
          <w:p w14:paraId="51F55BAB" w14:textId="77777777" w:rsidR="000D7D3D" w:rsidRPr="00635993" w:rsidRDefault="000D7D3D" w:rsidP="00635993">
            <w:pPr>
              <w:rPr>
                <w:b/>
                <w:sz w:val="18"/>
                <w:lang w:eastAsia="en-GB"/>
              </w:rPr>
            </w:pPr>
            <w:r w:rsidRPr="00635993">
              <w:rPr>
                <w:b/>
                <w:sz w:val="18"/>
                <w:lang w:eastAsia="en-GB"/>
              </w:rPr>
              <w:t>Primers</w:t>
            </w:r>
          </w:p>
        </w:tc>
      </w:tr>
      <w:tr w:rsidR="000D7D3D" w:rsidRPr="009004F9" w14:paraId="6BFA83F5" w14:textId="77777777" w:rsidTr="002D60C9">
        <w:trPr>
          <w:trHeight w:val="603"/>
        </w:trPr>
        <w:tc>
          <w:tcPr>
            <w:tcW w:w="1124" w:type="pct"/>
          </w:tcPr>
          <w:p w14:paraId="1475EEB1" w14:textId="77777777" w:rsidR="000D7D3D" w:rsidRPr="00635993" w:rsidRDefault="000D7D3D" w:rsidP="003F7054">
            <w:pPr>
              <w:rPr>
                <w:sz w:val="18"/>
                <w:lang w:eastAsia="en-GB"/>
              </w:rPr>
            </w:pPr>
            <w:r w:rsidRPr="00635993">
              <w:rPr>
                <w:sz w:val="18"/>
                <w:lang w:eastAsia="en-GB"/>
              </w:rPr>
              <w:t>fgenesh1_kg.22_#_22_#_isotig08265</w:t>
            </w:r>
          </w:p>
        </w:tc>
        <w:tc>
          <w:tcPr>
            <w:tcW w:w="760" w:type="pct"/>
          </w:tcPr>
          <w:p w14:paraId="0B52C1EA" w14:textId="77777777" w:rsidR="000D7D3D" w:rsidRPr="00635993" w:rsidRDefault="000D7D3D" w:rsidP="00635993">
            <w:pPr>
              <w:rPr>
                <w:rFonts w:eastAsia="Times New Roman"/>
                <w:color w:val="0563C1"/>
                <w:sz w:val="18"/>
                <w:u w:val="single"/>
                <w:lang w:eastAsia="en-GB"/>
              </w:rPr>
            </w:pPr>
            <w:r w:rsidRPr="00635993">
              <w:rPr>
                <w:sz w:val="18"/>
              </w:rPr>
              <w:t>169850</w:t>
            </w:r>
          </w:p>
        </w:tc>
        <w:tc>
          <w:tcPr>
            <w:tcW w:w="865" w:type="pct"/>
          </w:tcPr>
          <w:p w14:paraId="00E5D7AC" w14:textId="77777777" w:rsidR="000D7D3D" w:rsidRPr="00635993" w:rsidRDefault="000D7D3D" w:rsidP="003F7054">
            <w:pPr>
              <w:rPr>
                <w:sz w:val="18"/>
                <w:lang w:eastAsia="en-GB"/>
              </w:rPr>
            </w:pPr>
            <w:r w:rsidRPr="00635993">
              <w:rPr>
                <w:sz w:val="18"/>
                <w:lang w:eastAsia="en-GB"/>
              </w:rPr>
              <w:t>PiPT1</w:t>
            </w:r>
          </w:p>
        </w:tc>
        <w:tc>
          <w:tcPr>
            <w:tcW w:w="2251" w:type="pct"/>
          </w:tcPr>
          <w:p w14:paraId="0C8F94AA" w14:textId="77777777" w:rsidR="000D7D3D" w:rsidRPr="00635993" w:rsidRDefault="000D7D3D" w:rsidP="00635993">
            <w:pPr>
              <w:rPr>
                <w:sz w:val="18"/>
                <w:szCs w:val="18"/>
              </w:rPr>
            </w:pPr>
            <w:r w:rsidRPr="00635993">
              <w:rPr>
                <w:sz w:val="18"/>
                <w:szCs w:val="18"/>
              </w:rPr>
              <w:t xml:space="preserve">Fwd: 5’- </w:t>
            </w:r>
            <w:r w:rsidRPr="00635993">
              <w:rPr>
                <w:sz w:val="18"/>
              </w:rPr>
              <w:t>CAGCTCGGTTTCGGTCAA</w:t>
            </w:r>
            <w:r w:rsidRPr="00635993">
              <w:rPr>
                <w:sz w:val="18"/>
                <w:szCs w:val="18"/>
              </w:rPr>
              <w:t xml:space="preserve"> -3’</w:t>
            </w:r>
          </w:p>
          <w:p w14:paraId="7B46F38E" w14:textId="77777777" w:rsidR="000D7D3D" w:rsidRPr="00635993" w:rsidRDefault="000D7D3D" w:rsidP="003F7054">
            <w:pPr>
              <w:rPr>
                <w:rFonts w:eastAsia="Times New Roman"/>
                <w:color w:val="000000"/>
                <w:sz w:val="18"/>
                <w:szCs w:val="18"/>
                <w:lang w:eastAsia="en-GB"/>
              </w:rPr>
            </w:pPr>
            <w:r w:rsidRPr="00635993">
              <w:rPr>
                <w:sz w:val="18"/>
                <w:szCs w:val="18"/>
              </w:rPr>
              <w:t xml:space="preserve">Rev: 5’- </w:t>
            </w:r>
            <w:r w:rsidRPr="00635993">
              <w:rPr>
                <w:sz w:val="18"/>
              </w:rPr>
              <w:t>GATGAGCAGAGTCGAGAAGATAC</w:t>
            </w:r>
            <w:r w:rsidRPr="00635993">
              <w:rPr>
                <w:sz w:val="18"/>
                <w:szCs w:val="18"/>
              </w:rPr>
              <w:t xml:space="preserve"> -3’</w:t>
            </w:r>
          </w:p>
        </w:tc>
      </w:tr>
      <w:tr w:rsidR="000D7D3D" w:rsidRPr="009004F9" w14:paraId="6C44DF61" w14:textId="77777777" w:rsidTr="002D60C9">
        <w:trPr>
          <w:trHeight w:val="603"/>
        </w:trPr>
        <w:tc>
          <w:tcPr>
            <w:tcW w:w="1124" w:type="pct"/>
          </w:tcPr>
          <w:p w14:paraId="04A54FDC" w14:textId="77777777" w:rsidR="000D7D3D" w:rsidRPr="00635993" w:rsidRDefault="000D7D3D" w:rsidP="003F7054">
            <w:pPr>
              <w:rPr>
                <w:sz w:val="18"/>
                <w:lang w:eastAsia="en-GB"/>
              </w:rPr>
            </w:pPr>
            <w:r w:rsidRPr="00635993">
              <w:rPr>
                <w:sz w:val="18"/>
                <w:lang w:eastAsia="en-GB"/>
              </w:rPr>
              <w:t>gm1.13401_g</w:t>
            </w:r>
          </w:p>
        </w:tc>
        <w:tc>
          <w:tcPr>
            <w:tcW w:w="760" w:type="pct"/>
          </w:tcPr>
          <w:p w14:paraId="54F55628" w14:textId="77777777" w:rsidR="000D7D3D" w:rsidRPr="00635993" w:rsidRDefault="000D7D3D" w:rsidP="00635993">
            <w:pPr>
              <w:rPr>
                <w:rFonts w:eastAsia="Times New Roman"/>
                <w:color w:val="0563C1"/>
                <w:sz w:val="18"/>
                <w:u w:val="single"/>
                <w:lang w:eastAsia="en-GB"/>
              </w:rPr>
            </w:pPr>
            <w:r w:rsidRPr="00635993">
              <w:rPr>
                <w:sz w:val="18"/>
              </w:rPr>
              <w:t>18830</w:t>
            </w:r>
          </w:p>
        </w:tc>
        <w:tc>
          <w:tcPr>
            <w:tcW w:w="865" w:type="pct"/>
          </w:tcPr>
          <w:p w14:paraId="62F70EF3" w14:textId="77777777" w:rsidR="000D7D3D" w:rsidRPr="00635993" w:rsidRDefault="000D7D3D" w:rsidP="003F7054">
            <w:pPr>
              <w:rPr>
                <w:sz w:val="18"/>
                <w:lang w:eastAsia="en-GB"/>
              </w:rPr>
            </w:pPr>
            <w:r w:rsidRPr="00635993">
              <w:rPr>
                <w:sz w:val="18"/>
                <w:lang w:eastAsia="en-GB"/>
              </w:rPr>
              <w:t>PiPT2</w:t>
            </w:r>
          </w:p>
        </w:tc>
        <w:tc>
          <w:tcPr>
            <w:tcW w:w="2251" w:type="pct"/>
          </w:tcPr>
          <w:p w14:paraId="3B0578FD" w14:textId="77777777" w:rsidR="000D7D3D" w:rsidRPr="00635993" w:rsidRDefault="000D7D3D" w:rsidP="007F746A">
            <w:pPr>
              <w:rPr>
                <w:sz w:val="18"/>
              </w:rPr>
            </w:pPr>
            <w:r w:rsidRPr="00635993">
              <w:rPr>
                <w:sz w:val="18"/>
              </w:rPr>
              <w:t>Fwd: 5’- TTTCGGGTGTAGCATCGC -3’</w:t>
            </w:r>
          </w:p>
          <w:p w14:paraId="5BFF4D49" w14:textId="77777777" w:rsidR="000D7D3D" w:rsidRPr="00635993" w:rsidRDefault="000D7D3D" w:rsidP="00FB36B8">
            <w:pPr>
              <w:rPr>
                <w:rFonts w:eastAsia="Times New Roman"/>
                <w:color w:val="000000"/>
                <w:sz w:val="18"/>
                <w:lang w:eastAsia="en-GB"/>
              </w:rPr>
            </w:pPr>
            <w:r w:rsidRPr="00635993">
              <w:rPr>
                <w:sz w:val="18"/>
              </w:rPr>
              <w:t>Rev: 5’- AGTTCTTCCGCAAGGATCG -3’</w:t>
            </w:r>
          </w:p>
        </w:tc>
      </w:tr>
      <w:tr w:rsidR="000D7D3D" w:rsidRPr="009004F9" w14:paraId="3C6195FF" w14:textId="77777777" w:rsidTr="002D60C9">
        <w:trPr>
          <w:trHeight w:val="603"/>
        </w:trPr>
        <w:tc>
          <w:tcPr>
            <w:tcW w:w="1124" w:type="pct"/>
          </w:tcPr>
          <w:p w14:paraId="293A81BA" w14:textId="77777777" w:rsidR="000D7D3D" w:rsidRPr="00635993" w:rsidRDefault="000D7D3D" w:rsidP="003F7054">
            <w:pPr>
              <w:rPr>
                <w:sz w:val="18"/>
                <w:lang w:eastAsia="en-GB"/>
              </w:rPr>
            </w:pPr>
            <w:r w:rsidRPr="00635993">
              <w:rPr>
                <w:sz w:val="18"/>
                <w:lang w:eastAsia="en-GB"/>
              </w:rPr>
              <w:t>fgenesh1_kg.1_#_253_#_isotig09075</w:t>
            </w:r>
          </w:p>
        </w:tc>
        <w:tc>
          <w:tcPr>
            <w:tcW w:w="760" w:type="pct"/>
          </w:tcPr>
          <w:p w14:paraId="448F8F37" w14:textId="77777777" w:rsidR="000D7D3D" w:rsidRPr="00635993" w:rsidRDefault="000D7D3D" w:rsidP="00635993">
            <w:pPr>
              <w:rPr>
                <w:rFonts w:eastAsia="Times New Roman"/>
                <w:color w:val="0563C1"/>
                <w:sz w:val="18"/>
                <w:u w:val="single"/>
                <w:lang w:eastAsia="en-GB"/>
              </w:rPr>
            </w:pPr>
            <w:r w:rsidRPr="00635993">
              <w:rPr>
                <w:sz w:val="18"/>
              </w:rPr>
              <w:t>165085</w:t>
            </w:r>
          </w:p>
        </w:tc>
        <w:tc>
          <w:tcPr>
            <w:tcW w:w="865" w:type="pct"/>
          </w:tcPr>
          <w:p w14:paraId="5276183B" w14:textId="77777777" w:rsidR="000D7D3D" w:rsidRPr="00635993" w:rsidRDefault="000D7D3D" w:rsidP="003F7054">
            <w:pPr>
              <w:rPr>
                <w:sz w:val="18"/>
                <w:lang w:eastAsia="en-GB"/>
              </w:rPr>
            </w:pPr>
            <w:r w:rsidRPr="00635993">
              <w:rPr>
                <w:sz w:val="18"/>
                <w:lang w:eastAsia="en-GB"/>
              </w:rPr>
              <w:t>PiPT3</w:t>
            </w:r>
          </w:p>
        </w:tc>
        <w:tc>
          <w:tcPr>
            <w:tcW w:w="2251" w:type="pct"/>
          </w:tcPr>
          <w:p w14:paraId="178C74D0" w14:textId="77777777" w:rsidR="000D7D3D" w:rsidRPr="00635993" w:rsidRDefault="000D7D3D" w:rsidP="007F746A">
            <w:pPr>
              <w:rPr>
                <w:sz w:val="18"/>
              </w:rPr>
            </w:pPr>
            <w:r w:rsidRPr="00635993">
              <w:rPr>
                <w:sz w:val="18"/>
                <w:szCs w:val="18"/>
              </w:rPr>
              <w:t xml:space="preserve">Fwd: 5’- </w:t>
            </w:r>
            <w:r w:rsidRPr="00635993">
              <w:rPr>
                <w:sz w:val="18"/>
              </w:rPr>
              <w:t xml:space="preserve">TTCTGCAGCCATCGGTAAA </w:t>
            </w:r>
            <w:r w:rsidRPr="00635993">
              <w:rPr>
                <w:sz w:val="18"/>
                <w:szCs w:val="18"/>
              </w:rPr>
              <w:t>-3’</w:t>
            </w:r>
          </w:p>
          <w:p w14:paraId="026A2030" w14:textId="77777777" w:rsidR="000D7D3D" w:rsidRPr="00635993" w:rsidRDefault="000D7D3D" w:rsidP="00FB36B8">
            <w:pPr>
              <w:rPr>
                <w:rFonts w:eastAsia="Times New Roman"/>
                <w:color w:val="000000"/>
                <w:sz w:val="18"/>
                <w:szCs w:val="18"/>
                <w:lang w:eastAsia="en-GB"/>
              </w:rPr>
            </w:pPr>
            <w:r w:rsidRPr="00635993">
              <w:rPr>
                <w:sz w:val="18"/>
                <w:szCs w:val="18"/>
              </w:rPr>
              <w:t xml:space="preserve">Rev: 5’- </w:t>
            </w:r>
            <w:r w:rsidRPr="00635993">
              <w:rPr>
                <w:sz w:val="18"/>
              </w:rPr>
              <w:t xml:space="preserve">CAAATAGCGGCGATGATGAAAG </w:t>
            </w:r>
            <w:r w:rsidRPr="00635993">
              <w:rPr>
                <w:sz w:val="18"/>
                <w:szCs w:val="18"/>
              </w:rPr>
              <w:t>-3’</w:t>
            </w:r>
          </w:p>
        </w:tc>
      </w:tr>
      <w:tr w:rsidR="000D7D3D" w:rsidRPr="009004F9" w14:paraId="64468C98" w14:textId="77777777" w:rsidTr="002D60C9">
        <w:trPr>
          <w:trHeight w:val="603"/>
        </w:trPr>
        <w:tc>
          <w:tcPr>
            <w:tcW w:w="1124" w:type="pct"/>
          </w:tcPr>
          <w:p w14:paraId="06C43933" w14:textId="77777777" w:rsidR="000D7D3D" w:rsidRPr="00635993" w:rsidRDefault="000D7D3D" w:rsidP="003F7054">
            <w:pPr>
              <w:rPr>
                <w:sz w:val="18"/>
                <w:lang w:eastAsia="en-GB"/>
              </w:rPr>
            </w:pPr>
            <w:r w:rsidRPr="00635993">
              <w:rPr>
                <w:sz w:val="18"/>
                <w:lang w:eastAsia="en-GB"/>
              </w:rPr>
              <w:t>estExt_Genewise1.C_14990003</w:t>
            </w:r>
          </w:p>
        </w:tc>
        <w:tc>
          <w:tcPr>
            <w:tcW w:w="760" w:type="pct"/>
          </w:tcPr>
          <w:p w14:paraId="30D310AD" w14:textId="77777777" w:rsidR="000D7D3D" w:rsidRPr="00635993" w:rsidRDefault="000D7D3D" w:rsidP="00635993">
            <w:pPr>
              <w:rPr>
                <w:rFonts w:eastAsia="Times New Roman"/>
                <w:color w:val="0563C1"/>
                <w:sz w:val="18"/>
                <w:u w:val="single"/>
                <w:lang w:eastAsia="en-GB"/>
              </w:rPr>
            </w:pPr>
            <w:r w:rsidRPr="00635993">
              <w:rPr>
                <w:sz w:val="18"/>
              </w:rPr>
              <w:t>141142</w:t>
            </w:r>
          </w:p>
        </w:tc>
        <w:tc>
          <w:tcPr>
            <w:tcW w:w="865" w:type="pct"/>
          </w:tcPr>
          <w:p w14:paraId="2C338AB3" w14:textId="77777777" w:rsidR="000D7D3D" w:rsidRPr="00635993" w:rsidRDefault="000D7D3D" w:rsidP="003F7054">
            <w:pPr>
              <w:rPr>
                <w:sz w:val="18"/>
                <w:lang w:eastAsia="en-GB"/>
              </w:rPr>
            </w:pPr>
            <w:r w:rsidRPr="00635993">
              <w:rPr>
                <w:sz w:val="18"/>
                <w:lang w:eastAsia="en-GB"/>
              </w:rPr>
              <w:t>PiPT4</w:t>
            </w:r>
          </w:p>
        </w:tc>
        <w:tc>
          <w:tcPr>
            <w:tcW w:w="2251" w:type="pct"/>
          </w:tcPr>
          <w:p w14:paraId="505CC44D" w14:textId="77777777" w:rsidR="000D7D3D" w:rsidRPr="00635993" w:rsidRDefault="000D7D3D" w:rsidP="007F746A">
            <w:pPr>
              <w:rPr>
                <w:sz w:val="18"/>
              </w:rPr>
            </w:pPr>
            <w:r w:rsidRPr="00635993">
              <w:rPr>
                <w:sz w:val="18"/>
                <w:szCs w:val="18"/>
              </w:rPr>
              <w:t xml:space="preserve">Fwd: 5’- </w:t>
            </w:r>
            <w:r w:rsidRPr="00635993">
              <w:rPr>
                <w:sz w:val="18"/>
              </w:rPr>
              <w:t xml:space="preserve">CCTTGCGACTATCCTCTGTATC </w:t>
            </w:r>
            <w:r w:rsidRPr="00635993">
              <w:rPr>
                <w:sz w:val="18"/>
                <w:szCs w:val="18"/>
              </w:rPr>
              <w:t>-3’</w:t>
            </w:r>
          </w:p>
          <w:p w14:paraId="11E39E8F" w14:textId="77777777" w:rsidR="000D7D3D" w:rsidRPr="00635993" w:rsidRDefault="000D7D3D" w:rsidP="00FB36B8">
            <w:pPr>
              <w:rPr>
                <w:rFonts w:eastAsia="Times New Roman"/>
                <w:color w:val="000000"/>
                <w:sz w:val="18"/>
                <w:szCs w:val="18"/>
                <w:lang w:eastAsia="en-GB"/>
              </w:rPr>
            </w:pPr>
            <w:r w:rsidRPr="00635993">
              <w:rPr>
                <w:sz w:val="18"/>
                <w:szCs w:val="18"/>
              </w:rPr>
              <w:t xml:space="preserve">Rev: 5’- </w:t>
            </w:r>
            <w:r w:rsidRPr="00635993">
              <w:rPr>
                <w:sz w:val="18"/>
              </w:rPr>
              <w:t xml:space="preserve">CCGAGGAGAATGCGAAAGATAG </w:t>
            </w:r>
            <w:r w:rsidRPr="00635993">
              <w:rPr>
                <w:sz w:val="18"/>
                <w:szCs w:val="18"/>
              </w:rPr>
              <w:t>-3’</w:t>
            </w:r>
          </w:p>
        </w:tc>
      </w:tr>
      <w:tr w:rsidR="000D7D3D" w:rsidRPr="009004F9" w14:paraId="48301AC4" w14:textId="77777777" w:rsidTr="002D60C9">
        <w:trPr>
          <w:trHeight w:val="603"/>
        </w:trPr>
        <w:tc>
          <w:tcPr>
            <w:tcW w:w="1124" w:type="pct"/>
          </w:tcPr>
          <w:p w14:paraId="018C895A" w14:textId="77777777" w:rsidR="000D7D3D" w:rsidRPr="00635993" w:rsidRDefault="000D7D3D" w:rsidP="003F7054">
            <w:pPr>
              <w:rPr>
                <w:sz w:val="18"/>
                <w:lang w:eastAsia="en-GB"/>
              </w:rPr>
            </w:pPr>
            <w:r w:rsidRPr="00635993">
              <w:rPr>
                <w:sz w:val="18"/>
                <w:lang w:eastAsia="en-GB"/>
              </w:rPr>
              <w:t>fgenesh1_pm.14_#_104</w:t>
            </w:r>
          </w:p>
        </w:tc>
        <w:tc>
          <w:tcPr>
            <w:tcW w:w="760" w:type="pct"/>
          </w:tcPr>
          <w:p w14:paraId="077DE4EA" w14:textId="77777777" w:rsidR="000D7D3D" w:rsidRPr="00635993" w:rsidRDefault="000D7D3D" w:rsidP="00635993">
            <w:pPr>
              <w:rPr>
                <w:rFonts w:eastAsia="Times New Roman"/>
                <w:color w:val="0563C1"/>
                <w:sz w:val="18"/>
                <w:u w:val="single"/>
                <w:lang w:eastAsia="en-GB"/>
              </w:rPr>
            </w:pPr>
            <w:r w:rsidRPr="00635993">
              <w:rPr>
                <w:sz w:val="18"/>
              </w:rPr>
              <w:t>163069</w:t>
            </w:r>
          </w:p>
        </w:tc>
        <w:tc>
          <w:tcPr>
            <w:tcW w:w="865" w:type="pct"/>
          </w:tcPr>
          <w:p w14:paraId="03C3A6BA" w14:textId="77777777" w:rsidR="000D7D3D" w:rsidRPr="00635993" w:rsidRDefault="000D7D3D" w:rsidP="003F7054">
            <w:pPr>
              <w:rPr>
                <w:sz w:val="18"/>
                <w:lang w:eastAsia="en-GB"/>
              </w:rPr>
            </w:pPr>
            <w:r w:rsidRPr="00635993">
              <w:rPr>
                <w:sz w:val="18"/>
                <w:lang w:eastAsia="en-GB"/>
              </w:rPr>
              <w:t>PiPT5</w:t>
            </w:r>
          </w:p>
        </w:tc>
        <w:tc>
          <w:tcPr>
            <w:tcW w:w="2251" w:type="pct"/>
          </w:tcPr>
          <w:p w14:paraId="03DFD1A7" w14:textId="77777777" w:rsidR="000D7D3D" w:rsidRPr="00635993" w:rsidRDefault="000D7D3D" w:rsidP="007F746A">
            <w:pPr>
              <w:rPr>
                <w:sz w:val="18"/>
              </w:rPr>
            </w:pPr>
            <w:r w:rsidRPr="00635993">
              <w:rPr>
                <w:sz w:val="18"/>
                <w:szCs w:val="18"/>
              </w:rPr>
              <w:t xml:space="preserve">Fwd: 5’- </w:t>
            </w:r>
            <w:r w:rsidRPr="00635993">
              <w:rPr>
                <w:sz w:val="18"/>
              </w:rPr>
              <w:t xml:space="preserve">CCTCTCTCCTATGACGGAATGA </w:t>
            </w:r>
            <w:r w:rsidRPr="00635993">
              <w:rPr>
                <w:sz w:val="18"/>
                <w:szCs w:val="18"/>
              </w:rPr>
              <w:t>-3’</w:t>
            </w:r>
          </w:p>
          <w:p w14:paraId="3C7AA59C" w14:textId="77777777" w:rsidR="000D7D3D" w:rsidRPr="00635993" w:rsidRDefault="000D7D3D" w:rsidP="00FB36B8">
            <w:pPr>
              <w:rPr>
                <w:rFonts w:eastAsia="Times New Roman"/>
                <w:color w:val="000000"/>
                <w:sz w:val="18"/>
                <w:szCs w:val="18"/>
                <w:lang w:eastAsia="en-GB"/>
              </w:rPr>
            </w:pPr>
            <w:r w:rsidRPr="00635993">
              <w:rPr>
                <w:sz w:val="18"/>
                <w:szCs w:val="18"/>
              </w:rPr>
              <w:t xml:space="preserve">Rev: 5’- </w:t>
            </w:r>
            <w:r w:rsidRPr="00635993">
              <w:rPr>
                <w:sz w:val="18"/>
              </w:rPr>
              <w:t xml:space="preserve">TTCTCTTCCTCGGAGATCGT </w:t>
            </w:r>
            <w:r w:rsidRPr="00635993">
              <w:rPr>
                <w:sz w:val="18"/>
                <w:szCs w:val="18"/>
              </w:rPr>
              <w:t>-3’</w:t>
            </w:r>
          </w:p>
        </w:tc>
      </w:tr>
      <w:tr w:rsidR="000D7D3D" w:rsidRPr="009004F9" w14:paraId="456C2444" w14:textId="77777777" w:rsidTr="002D60C9">
        <w:trPr>
          <w:trHeight w:val="603"/>
        </w:trPr>
        <w:tc>
          <w:tcPr>
            <w:tcW w:w="1124" w:type="pct"/>
          </w:tcPr>
          <w:p w14:paraId="787F9F20" w14:textId="77777777" w:rsidR="000D7D3D" w:rsidRPr="00635993" w:rsidRDefault="000D7D3D" w:rsidP="003F7054">
            <w:pPr>
              <w:rPr>
                <w:sz w:val="18"/>
                <w:lang w:eastAsia="en-GB"/>
              </w:rPr>
            </w:pPr>
            <w:r w:rsidRPr="00635993">
              <w:rPr>
                <w:sz w:val="18"/>
                <w:lang w:eastAsia="en-GB"/>
              </w:rPr>
              <w:t>fgenesh1_pg.404_#_2</w:t>
            </w:r>
          </w:p>
        </w:tc>
        <w:tc>
          <w:tcPr>
            <w:tcW w:w="760" w:type="pct"/>
          </w:tcPr>
          <w:p w14:paraId="53088B3B" w14:textId="77777777" w:rsidR="000D7D3D" w:rsidRPr="00635993" w:rsidRDefault="000D7D3D" w:rsidP="00635993">
            <w:pPr>
              <w:rPr>
                <w:rFonts w:eastAsia="Times New Roman"/>
                <w:color w:val="0563C1"/>
                <w:sz w:val="18"/>
                <w:u w:val="single"/>
                <w:lang w:eastAsia="en-GB"/>
              </w:rPr>
            </w:pPr>
            <w:r w:rsidRPr="00635993">
              <w:rPr>
                <w:sz w:val="18"/>
              </w:rPr>
              <w:t>158250</w:t>
            </w:r>
          </w:p>
        </w:tc>
        <w:tc>
          <w:tcPr>
            <w:tcW w:w="865" w:type="pct"/>
          </w:tcPr>
          <w:p w14:paraId="09D232F9" w14:textId="77777777" w:rsidR="000D7D3D" w:rsidRPr="00635993" w:rsidRDefault="000D7D3D" w:rsidP="003F7054">
            <w:pPr>
              <w:rPr>
                <w:sz w:val="18"/>
                <w:lang w:eastAsia="en-GB"/>
              </w:rPr>
            </w:pPr>
            <w:r w:rsidRPr="00635993">
              <w:rPr>
                <w:sz w:val="18"/>
                <w:lang w:eastAsia="en-GB"/>
              </w:rPr>
              <w:t>PiPT6</w:t>
            </w:r>
          </w:p>
        </w:tc>
        <w:tc>
          <w:tcPr>
            <w:tcW w:w="2251" w:type="pct"/>
          </w:tcPr>
          <w:p w14:paraId="5FFA3A72" w14:textId="77777777" w:rsidR="000D7D3D" w:rsidRPr="00635993" w:rsidRDefault="000D7D3D" w:rsidP="007F746A">
            <w:pPr>
              <w:rPr>
                <w:sz w:val="18"/>
              </w:rPr>
            </w:pPr>
            <w:r w:rsidRPr="00635993">
              <w:rPr>
                <w:sz w:val="18"/>
                <w:szCs w:val="18"/>
              </w:rPr>
              <w:t xml:space="preserve">Fwd: 5’- </w:t>
            </w:r>
            <w:r w:rsidRPr="00635993">
              <w:rPr>
                <w:sz w:val="18"/>
              </w:rPr>
              <w:t xml:space="preserve">TTTCGGGTGCTGCATCG </w:t>
            </w:r>
            <w:r w:rsidRPr="00635993">
              <w:rPr>
                <w:sz w:val="18"/>
                <w:szCs w:val="18"/>
              </w:rPr>
              <w:t>-3’</w:t>
            </w:r>
          </w:p>
          <w:p w14:paraId="1DA105E7" w14:textId="77777777" w:rsidR="000D7D3D" w:rsidRPr="00635993" w:rsidRDefault="000D7D3D" w:rsidP="00FB36B8">
            <w:pPr>
              <w:rPr>
                <w:rFonts w:eastAsia="Times New Roman"/>
                <w:color w:val="000000"/>
                <w:sz w:val="18"/>
                <w:szCs w:val="18"/>
                <w:lang w:eastAsia="en-GB"/>
              </w:rPr>
            </w:pPr>
            <w:r w:rsidRPr="00635993">
              <w:rPr>
                <w:sz w:val="18"/>
                <w:szCs w:val="18"/>
              </w:rPr>
              <w:t xml:space="preserve">Rev: 5’- </w:t>
            </w:r>
            <w:r w:rsidRPr="00635993">
              <w:rPr>
                <w:sz w:val="18"/>
              </w:rPr>
              <w:t xml:space="preserve">TTCTGCAAGGATCGCATCG </w:t>
            </w:r>
            <w:r w:rsidRPr="00635993">
              <w:rPr>
                <w:sz w:val="18"/>
                <w:szCs w:val="18"/>
              </w:rPr>
              <w:t>-3’</w:t>
            </w:r>
          </w:p>
        </w:tc>
      </w:tr>
      <w:tr w:rsidR="000D7D3D" w:rsidRPr="009004F9" w14:paraId="2ED4380C" w14:textId="77777777" w:rsidTr="002D60C9">
        <w:trPr>
          <w:trHeight w:val="603"/>
        </w:trPr>
        <w:tc>
          <w:tcPr>
            <w:tcW w:w="1124" w:type="pct"/>
          </w:tcPr>
          <w:p w14:paraId="60B82B21" w14:textId="77777777" w:rsidR="000D7D3D" w:rsidRPr="00635993" w:rsidRDefault="000D7D3D" w:rsidP="003F7054">
            <w:pPr>
              <w:rPr>
                <w:sz w:val="18"/>
                <w:lang w:eastAsia="en-GB"/>
              </w:rPr>
            </w:pPr>
            <w:r w:rsidRPr="00635993">
              <w:rPr>
                <w:sz w:val="18"/>
                <w:lang w:eastAsia="en-GB"/>
              </w:rPr>
              <w:t>gm1.7522_g</w:t>
            </w:r>
          </w:p>
        </w:tc>
        <w:tc>
          <w:tcPr>
            <w:tcW w:w="760" w:type="pct"/>
          </w:tcPr>
          <w:p w14:paraId="145B7672" w14:textId="77777777" w:rsidR="000D7D3D" w:rsidRPr="00635993" w:rsidRDefault="000D7D3D" w:rsidP="00635993">
            <w:pPr>
              <w:rPr>
                <w:rFonts w:eastAsia="Times New Roman"/>
                <w:color w:val="0563C1"/>
                <w:sz w:val="18"/>
                <w:u w:val="single"/>
                <w:lang w:eastAsia="en-GB"/>
              </w:rPr>
            </w:pPr>
            <w:r w:rsidRPr="00635993">
              <w:rPr>
                <w:sz w:val="18"/>
              </w:rPr>
              <w:t>12951</w:t>
            </w:r>
          </w:p>
        </w:tc>
        <w:tc>
          <w:tcPr>
            <w:tcW w:w="865" w:type="pct"/>
          </w:tcPr>
          <w:p w14:paraId="13DBA4A5" w14:textId="77777777" w:rsidR="000D7D3D" w:rsidRPr="00635993" w:rsidRDefault="000D7D3D" w:rsidP="003F7054">
            <w:pPr>
              <w:rPr>
                <w:sz w:val="18"/>
                <w:lang w:eastAsia="en-GB"/>
              </w:rPr>
            </w:pPr>
            <w:r w:rsidRPr="00635993">
              <w:rPr>
                <w:sz w:val="18"/>
                <w:lang w:eastAsia="en-GB"/>
              </w:rPr>
              <w:t>PiPT7</w:t>
            </w:r>
          </w:p>
        </w:tc>
        <w:tc>
          <w:tcPr>
            <w:tcW w:w="2251" w:type="pct"/>
          </w:tcPr>
          <w:p w14:paraId="6C480E61" w14:textId="77777777" w:rsidR="000D7D3D" w:rsidRPr="00635993" w:rsidRDefault="000D7D3D" w:rsidP="007F746A">
            <w:pPr>
              <w:rPr>
                <w:sz w:val="18"/>
              </w:rPr>
            </w:pPr>
            <w:r w:rsidRPr="00635993">
              <w:rPr>
                <w:sz w:val="18"/>
                <w:szCs w:val="18"/>
              </w:rPr>
              <w:t xml:space="preserve">Fwd: 5’- </w:t>
            </w:r>
            <w:r w:rsidRPr="00635993">
              <w:rPr>
                <w:sz w:val="18"/>
              </w:rPr>
              <w:t xml:space="preserve">ATTCTTCCTTGTTAGGCCTCTG </w:t>
            </w:r>
            <w:r w:rsidRPr="00635993">
              <w:rPr>
                <w:sz w:val="18"/>
                <w:szCs w:val="18"/>
              </w:rPr>
              <w:t>-3’</w:t>
            </w:r>
          </w:p>
          <w:p w14:paraId="235C812C" w14:textId="77777777" w:rsidR="000D7D3D" w:rsidRPr="00635993" w:rsidRDefault="000D7D3D" w:rsidP="00FB36B8">
            <w:pPr>
              <w:rPr>
                <w:rFonts w:eastAsia="Times New Roman"/>
                <w:color w:val="000000"/>
                <w:sz w:val="18"/>
                <w:szCs w:val="18"/>
                <w:lang w:eastAsia="en-GB"/>
              </w:rPr>
            </w:pPr>
            <w:r w:rsidRPr="00635993">
              <w:rPr>
                <w:sz w:val="18"/>
                <w:szCs w:val="18"/>
              </w:rPr>
              <w:t xml:space="preserve">Rev: 5’- </w:t>
            </w:r>
            <w:r w:rsidRPr="00635993">
              <w:rPr>
                <w:sz w:val="18"/>
              </w:rPr>
              <w:t xml:space="preserve">ATGTGTCAAACCCGTGCT </w:t>
            </w:r>
            <w:r w:rsidRPr="00635993">
              <w:rPr>
                <w:sz w:val="18"/>
                <w:szCs w:val="18"/>
              </w:rPr>
              <w:t>-3’</w:t>
            </w:r>
          </w:p>
        </w:tc>
      </w:tr>
      <w:tr w:rsidR="000D7D3D" w:rsidRPr="009004F9" w14:paraId="2D94FC0C" w14:textId="77777777" w:rsidTr="002D60C9">
        <w:trPr>
          <w:trHeight w:val="603"/>
        </w:trPr>
        <w:tc>
          <w:tcPr>
            <w:tcW w:w="1124" w:type="pct"/>
          </w:tcPr>
          <w:p w14:paraId="1E76EDA4" w14:textId="77777777" w:rsidR="000D7D3D" w:rsidRPr="00635993" w:rsidRDefault="000D7D3D" w:rsidP="003F7054">
            <w:pPr>
              <w:rPr>
                <w:sz w:val="18"/>
                <w:lang w:eastAsia="en-GB"/>
              </w:rPr>
            </w:pPr>
            <w:r w:rsidRPr="00635993">
              <w:rPr>
                <w:sz w:val="18"/>
                <w:lang w:eastAsia="en-GB"/>
              </w:rPr>
              <w:t>e_gw1.37.38.1</w:t>
            </w:r>
          </w:p>
        </w:tc>
        <w:tc>
          <w:tcPr>
            <w:tcW w:w="760" w:type="pct"/>
          </w:tcPr>
          <w:p w14:paraId="538778C8" w14:textId="77777777" w:rsidR="000D7D3D" w:rsidRPr="00635993" w:rsidRDefault="000D7D3D" w:rsidP="00635993">
            <w:pPr>
              <w:rPr>
                <w:sz w:val="18"/>
              </w:rPr>
            </w:pPr>
            <w:r w:rsidRPr="00635993">
              <w:rPr>
                <w:sz w:val="18"/>
              </w:rPr>
              <w:t>82237</w:t>
            </w:r>
          </w:p>
        </w:tc>
        <w:tc>
          <w:tcPr>
            <w:tcW w:w="865" w:type="pct"/>
          </w:tcPr>
          <w:p w14:paraId="0F316015" w14:textId="77777777" w:rsidR="000D7D3D" w:rsidRPr="00635993" w:rsidRDefault="000D7D3D" w:rsidP="003F7054">
            <w:pPr>
              <w:rPr>
                <w:sz w:val="18"/>
                <w:lang w:eastAsia="en-GB"/>
              </w:rPr>
            </w:pPr>
            <w:r w:rsidRPr="00635993">
              <w:rPr>
                <w:sz w:val="18"/>
                <w:lang w:eastAsia="en-GB"/>
              </w:rPr>
              <w:t>UBIQUITIN</w:t>
            </w:r>
          </w:p>
        </w:tc>
        <w:tc>
          <w:tcPr>
            <w:tcW w:w="2251" w:type="pct"/>
          </w:tcPr>
          <w:p w14:paraId="743FCDC8" w14:textId="77777777" w:rsidR="000D7D3D" w:rsidRPr="00635993" w:rsidRDefault="000D7D3D" w:rsidP="007F746A">
            <w:pPr>
              <w:rPr>
                <w:sz w:val="18"/>
              </w:rPr>
            </w:pPr>
            <w:r w:rsidRPr="00635993">
              <w:rPr>
                <w:sz w:val="18"/>
                <w:szCs w:val="18"/>
              </w:rPr>
              <w:t xml:space="preserve">Fwd: 5’- </w:t>
            </w:r>
            <w:r w:rsidRPr="00635993">
              <w:rPr>
                <w:sz w:val="18"/>
              </w:rPr>
              <w:t xml:space="preserve">CGCACCCTTTCTGACTACAA </w:t>
            </w:r>
            <w:r w:rsidRPr="00635993">
              <w:rPr>
                <w:sz w:val="18"/>
                <w:szCs w:val="18"/>
              </w:rPr>
              <w:t>-3’</w:t>
            </w:r>
          </w:p>
          <w:p w14:paraId="4EC66EC9" w14:textId="77777777" w:rsidR="000D7D3D" w:rsidRPr="00635993" w:rsidRDefault="000D7D3D" w:rsidP="00FB36B8">
            <w:pPr>
              <w:rPr>
                <w:sz w:val="18"/>
              </w:rPr>
            </w:pPr>
            <w:r w:rsidRPr="00635993">
              <w:rPr>
                <w:sz w:val="18"/>
                <w:szCs w:val="18"/>
              </w:rPr>
              <w:t xml:space="preserve">Rev: 5’- </w:t>
            </w:r>
            <w:r w:rsidRPr="00635993">
              <w:rPr>
                <w:sz w:val="18"/>
              </w:rPr>
              <w:t xml:space="preserve">AACATCCACCACGCAGAC </w:t>
            </w:r>
            <w:r w:rsidRPr="00635993">
              <w:rPr>
                <w:sz w:val="18"/>
                <w:szCs w:val="18"/>
              </w:rPr>
              <w:t>-3’</w:t>
            </w:r>
          </w:p>
        </w:tc>
      </w:tr>
      <w:tr w:rsidR="000D7D3D" w:rsidRPr="009004F9" w14:paraId="280136EB" w14:textId="77777777" w:rsidTr="002D60C9">
        <w:trPr>
          <w:trHeight w:val="603"/>
        </w:trPr>
        <w:tc>
          <w:tcPr>
            <w:tcW w:w="1124" w:type="pct"/>
          </w:tcPr>
          <w:p w14:paraId="479628D5" w14:textId="77777777" w:rsidR="000D7D3D" w:rsidRPr="00635993" w:rsidRDefault="000D7D3D" w:rsidP="003F7054">
            <w:pPr>
              <w:rPr>
                <w:sz w:val="18"/>
                <w:lang w:eastAsia="en-GB"/>
              </w:rPr>
            </w:pPr>
            <w:r w:rsidRPr="00635993">
              <w:rPr>
                <w:sz w:val="18"/>
                <w:lang w:eastAsia="en-GB"/>
              </w:rPr>
              <w:t>fgenesh1_pg.7_#_150</w:t>
            </w:r>
          </w:p>
        </w:tc>
        <w:tc>
          <w:tcPr>
            <w:tcW w:w="760" w:type="pct"/>
          </w:tcPr>
          <w:p w14:paraId="66A9505D" w14:textId="77777777" w:rsidR="000D7D3D" w:rsidRPr="00635993" w:rsidRDefault="000D7D3D" w:rsidP="00635993">
            <w:pPr>
              <w:rPr>
                <w:sz w:val="18"/>
              </w:rPr>
            </w:pPr>
            <w:r w:rsidRPr="00635993">
              <w:rPr>
                <w:sz w:val="18"/>
              </w:rPr>
              <w:t>154118</w:t>
            </w:r>
          </w:p>
        </w:tc>
        <w:tc>
          <w:tcPr>
            <w:tcW w:w="865" w:type="pct"/>
          </w:tcPr>
          <w:p w14:paraId="087CE996" w14:textId="77777777" w:rsidR="000D7D3D" w:rsidRPr="00635993" w:rsidRDefault="000D7D3D" w:rsidP="003F7054">
            <w:pPr>
              <w:rPr>
                <w:sz w:val="18"/>
                <w:lang w:eastAsia="en-GB"/>
              </w:rPr>
            </w:pPr>
            <w:r w:rsidRPr="00635993">
              <w:rPr>
                <w:sz w:val="18"/>
                <w:lang w:eastAsia="en-GB"/>
              </w:rPr>
              <w:t>GAPDH</w:t>
            </w:r>
          </w:p>
        </w:tc>
        <w:tc>
          <w:tcPr>
            <w:tcW w:w="2251" w:type="pct"/>
          </w:tcPr>
          <w:p w14:paraId="3B19E540" w14:textId="77777777" w:rsidR="000D7D3D" w:rsidRPr="00635993" w:rsidRDefault="000D7D3D" w:rsidP="007F746A">
            <w:pPr>
              <w:rPr>
                <w:sz w:val="18"/>
              </w:rPr>
            </w:pPr>
            <w:r w:rsidRPr="00635993">
              <w:rPr>
                <w:sz w:val="18"/>
                <w:szCs w:val="18"/>
              </w:rPr>
              <w:t xml:space="preserve">Fwd: 5’- </w:t>
            </w:r>
            <w:r w:rsidRPr="00635993">
              <w:rPr>
                <w:sz w:val="18"/>
              </w:rPr>
              <w:t xml:space="preserve">AGGCTGTCGGAAAGGTTATTC </w:t>
            </w:r>
            <w:r w:rsidRPr="00635993">
              <w:rPr>
                <w:sz w:val="18"/>
                <w:szCs w:val="18"/>
              </w:rPr>
              <w:t>-3’</w:t>
            </w:r>
          </w:p>
          <w:p w14:paraId="6B7CA635" w14:textId="77777777" w:rsidR="000D7D3D" w:rsidRPr="00635993" w:rsidRDefault="000D7D3D" w:rsidP="00FB36B8">
            <w:pPr>
              <w:rPr>
                <w:sz w:val="18"/>
              </w:rPr>
            </w:pPr>
            <w:r w:rsidRPr="00635993">
              <w:rPr>
                <w:sz w:val="18"/>
                <w:szCs w:val="18"/>
              </w:rPr>
              <w:t xml:space="preserve">Rev: 5’- </w:t>
            </w:r>
            <w:r w:rsidRPr="00635993">
              <w:rPr>
                <w:sz w:val="18"/>
              </w:rPr>
              <w:t xml:space="preserve">GAAACATCCAGAGTAGGGACAC </w:t>
            </w:r>
            <w:r w:rsidRPr="00635993">
              <w:rPr>
                <w:sz w:val="18"/>
                <w:szCs w:val="18"/>
              </w:rPr>
              <w:t>-3’</w:t>
            </w:r>
          </w:p>
        </w:tc>
      </w:tr>
      <w:tr w:rsidR="000D7D3D" w:rsidRPr="009004F9" w14:paraId="4472FC0B" w14:textId="77777777" w:rsidTr="002D60C9">
        <w:trPr>
          <w:trHeight w:val="603"/>
        </w:trPr>
        <w:tc>
          <w:tcPr>
            <w:tcW w:w="1124" w:type="pct"/>
          </w:tcPr>
          <w:p w14:paraId="51A48BFE" w14:textId="77777777" w:rsidR="000D7D3D" w:rsidRPr="00635993" w:rsidRDefault="000D7D3D" w:rsidP="003F7054">
            <w:pPr>
              <w:rPr>
                <w:sz w:val="18"/>
                <w:lang w:eastAsia="en-GB"/>
              </w:rPr>
            </w:pPr>
            <w:r w:rsidRPr="00635993">
              <w:rPr>
                <w:sz w:val="18"/>
                <w:lang w:eastAsia="en-GB"/>
              </w:rPr>
              <w:t>gm1.14674_g</w:t>
            </w:r>
          </w:p>
        </w:tc>
        <w:tc>
          <w:tcPr>
            <w:tcW w:w="760" w:type="pct"/>
          </w:tcPr>
          <w:p w14:paraId="309B7913" w14:textId="77777777" w:rsidR="000D7D3D" w:rsidRPr="00635993" w:rsidRDefault="000D7D3D" w:rsidP="00635993">
            <w:pPr>
              <w:rPr>
                <w:sz w:val="18"/>
              </w:rPr>
            </w:pPr>
            <w:r w:rsidRPr="00635993">
              <w:rPr>
                <w:sz w:val="18"/>
              </w:rPr>
              <w:t>20103</w:t>
            </w:r>
          </w:p>
        </w:tc>
        <w:tc>
          <w:tcPr>
            <w:tcW w:w="865" w:type="pct"/>
          </w:tcPr>
          <w:p w14:paraId="578093A9" w14:textId="77777777" w:rsidR="000D7D3D" w:rsidRPr="00635993" w:rsidRDefault="000D7D3D" w:rsidP="003F7054">
            <w:pPr>
              <w:rPr>
                <w:sz w:val="18"/>
                <w:lang w:eastAsia="en-GB"/>
              </w:rPr>
            </w:pPr>
            <w:r w:rsidRPr="00635993">
              <w:rPr>
                <w:sz w:val="18"/>
                <w:lang w:eastAsia="en-GB"/>
              </w:rPr>
              <w:t>ACTIN</w:t>
            </w:r>
          </w:p>
        </w:tc>
        <w:tc>
          <w:tcPr>
            <w:tcW w:w="2251" w:type="pct"/>
          </w:tcPr>
          <w:p w14:paraId="7AAD985A" w14:textId="77777777" w:rsidR="000D7D3D" w:rsidRPr="00635993" w:rsidRDefault="000D7D3D" w:rsidP="007F746A">
            <w:pPr>
              <w:rPr>
                <w:sz w:val="18"/>
              </w:rPr>
            </w:pPr>
            <w:r w:rsidRPr="00635993">
              <w:rPr>
                <w:sz w:val="18"/>
                <w:szCs w:val="18"/>
              </w:rPr>
              <w:t xml:space="preserve">Fwd: 5’- </w:t>
            </w:r>
            <w:r w:rsidRPr="00635993">
              <w:rPr>
                <w:sz w:val="18"/>
              </w:rPr>
              <w:t xml:space="preserve">AGTCCGGTCCTGGTATTGT </w:t>
            </w:r>
            <w:r w:rsidRPr="00635993">
              <w:rPr>
                <w:sz w:val="18"/>
                <w:szCs w:val="18"/>
              </w:rPr>
              <w:t>-3’</w:t>
            </w:r>
          </w:p>
          <w:p w14:paraId="70BAAC5A" w14:textId="77777777" w:rsidR="000D7D3D" w:rsidRPr="00635993" w:rsidRDefault="000D7D3D" w:rsidP="00FB36B8">
            <w:pPr>
              <w:rPr>
                <w:sz w:val="18"/>
                <w:szCs w:val="18"/>
              </w:rPr>
            </w:pPr>
            <w:r w:rsidRPr="00635993">
              <w:rPr>
                <w:sz w:val="18"/>
                <w:szCs w:val="18"/>
              </w:rPr>
              <w:t xml:space="preserve">Rev: 5’- </w:t>
            </w:r>
            <w:r w:rsidRPr="00635993">
              <w:rPr>
                <w:sz w:val="18"/>
              </w:rPr>
              <w:t xml:space="preserve">GACTTCTGTATCGTCCCTCTCT </w:t>
            </w:r>
            <w:r w:rsidRPr="00635993">
              <w:rPr>
                <w:sz w:val="18"/>
                <w:szCs w:val="18"/>
              </w:rPr>
              <w:t>-3’</w:t>
            </w:r>
          </w:p>
        </w:tc>
      </w:tr>
      <w:tr w:rsidR="000D7D3D" w:rsidRPr="009004F9" w14:paraId="5694002D" w14:textId="77777777" w:rsidTr="002D60C9">
        <w:trPr>
          <w:trHeight w:val="603"/>
        </w:trPr>
        <w:tc>
          <w:tcPr>
            <w:tcW w:w="1124" w:type="pct"/>
          </w:tcPr>
          <w:p w14:paraId="0A3C1BE0" w14:textId="77777777" w:rsidR="000D7D3D" w:rsidRPr="00635993" w:rsidRDefault="000D7D3D" w:rsidP="003F7054">
            <w:pPr>
              <w:rPr>
                <w:sz w:val="18"/>
                <w:lang w:eastAsia="en-GB"/>
              </w:rPr>
            </w:pPr>
            <w:r w:rsidRPr="00635993">
              <w:rPr>
                <w:sz w:val="18"/>
                <w:lang w:eastAsia="en-GB"/>
              </w:rPr>
              <w:t>fgenesh1_pm.2_#_105</w:t>
            </w:r>
          </w:p>
        </w:tc>
        <w:tc>
          <w:tcPr>
            <w:tcW w:w="760" w:type="pct"/>
          </w:tcPr>
          <w:p w14:paraId="3F0606BD" w14:textId="77777777" w:rsidR="000D7D3D" w:rsidRPr="00635993" w:rsidRDefault="000D7D3D" w:rsidP="00635993">
            <w:pPr>
              <w:rPr>
                <w:sz w:val="18"/>
              </w:rPr>
            </w:pPr>
            <w:r w:rsidRPr="00635993">
              <w:rPr>
                <w:sz w:val="18"/>
              </w:rPr>
              <w:t>160244</w:t>
            </w:r>
          </w:p>
        </w:tc>
        <w:tc>
          <w:tcPr>
            <w:tcW w:w="865" w:type="pct"/>
          </w:tcPr>
          <w:p w14:paraId="653D5A7F" w14:textId="77777777" w:rsidR="000D7D3D" w:rsidRPr="00635993" w:rsidRDefault="000D7D3D" w:rsidP="003F7054">
            <w:pPr>
              <w:rPr>
                <w:sz w:val="18"/>
                <w:lang w:eastAsia="en-GB"/>
              </w:rPr>
            </w:pPr>
            <w:r w:rsidRPr="00635993">
              <w:rPr>
                <w:sz w:val="18"/>
                <w:lang w:eastAsia="en-GB"/>
              </w:rPr>
              <w:t>TROPOMYOSIN</w:t>
            </w:r>
          </w:p>
        </w:tc>
        <w:tc>
          <w:tcPr>
            <w:tcW w:w="2251" w:type="pct"/>
          </w:tcPr>
          <w:p w14:paraId="7DC5B22B" w14:textId="77777777" w:rsidR="000D7D3D" w:rsidRPr="00635993" w:rsidRDefault="000D7D3D" w:rsidP="007F746A">
            <w:pPr>
              <w:rPr>
                <w:sz w:val="18"/>
              </w:rPr>
            </w:pPr>
            <w:r w:rsidRPr="00635993">
              <w:rPr>
                <w:sz w:val="18"/>
                <w:szCs w:val="18"/>
              </w:rPr>
              <w:t xml:space="preserve">Fwd: 5’- </w:t>
            </w:r>
            <w:r w:rsidRPr="00635993">
              <w:rPr>
                <w:sz w:val="18"/>
              </w:rPr>
              <w:t xml:space="preserve">CAGTGGGAACACAAGTACGA </w:t>
            </w:r>
            <w:r w:rsidRPr="00635993">
              <w:rPr>
                <w:sz w:val="18"/>
                <w:szCs w:val="18"/>
              </w:rPr>
              <w:t>-3’</w:t>
            </w:r>
          </w:p>
          <w:p w14:paraId="24511B60" w14:textId="77777777" w:rsidR="000D7D3D" w:rsidRPr="00635993" w:rsidRDefault="000D7D3D" w:rsidP="00FB36B8">
            <w:pPr>
              <w:rPr>
                <w:sz w:val="18"/>
                <w:szCs w:val="18"/>
              </w:rPr>
            </w:pPr>
            <w:r w:rsidRPr="00635993">
              <w:rPr>
                <w:sz w:val="18"/>
                <w:szCs w:val="18"/>
              </w:rPr>
              <w:t xml:space="preserve">Rev: 5’- </w:t>
            </w:r>
            <w:r w:rsidRPr="00635993">
              <w:rPr>
                <w:sz w:val="18"/>
              </w:rPr>
              <w:t xml:space="preserve">CAGATCCCTTCCATGCTCTTC </w:t>
            </w:r>
            <w:r w:rsidRPr="00635993">
              <w:rPr>
                <w:sz w:val="18"/>
                <w:szCs w:val="18"/>
              </w:rPr>
              <w:t>-3’</w:t>
            </w:r>
          </w:p>
        </w:tc>
      </w:tr>
    </w:tbl>
    <w:p w14:paraId="06D79113" w14:textId="77777777" w:rsidR="000D7D3D" w:rsidRPr="000D7D3D" w:rsidRDefault="000D7D3D" w:rsidP="003F7054"/>
    <w:p w14:paraId="16E52766" w14:textId="77777777" w:rsidR="000D7D3D" w:rsidRPr="000D7D3D" w:rsidRDefault="000D7D3D" w:rsidP="003F7054">
      <w:r w:rsidRPr="000D7D3D">
        <w:br w:type="page"/>
      </w:r>
    </w:p>
    <w:p w14:paraId="70252EF2" w14:textId="55ACDF40" w:rsidR="000D7D3D" w:rsidRPr="00B46FB7" w:rsidRDefault="000D7D3D" w:rsidP="00635993">
      <w:pPr>
        <w:pStyle w:val="Heading2"/>
        <w:rPr>
          <w:lang w:val="en-US"/>
        </w:rPr>
      </w:pPr>
      <w:bookmarkStart w:id="614" w:name="_Toc507604108"/>
      <w:bookmarkStart w:id="615" w:name="_Toc507604375"/>
      <w:bookmarkStart w:id="616" w:name="_Toc519017077"/>
      <w:bookmarkStart w:id="617" w:name="_Toc520837990"/>
      <w:r w:rsidRPr="000D7D3D">
        <w:rPr>
          <w:lang w:val="en-US"/>
        </w:rPr>
        <w:lastRenderedPageBreak/>
        <w:t xml:space="preserve">Table 6. </w:t>
      </w:r>
      <w:r w:rsidRPr="00635993">
        <w:rPr>
          <w:b w:val="0"/>
          <w:i/>
          <w:lang w:val="en-US"/>
        </w:rPr>
        <w:t xml:space="preserve">P. involutus ATCC 200175 </w:t>
      </w:r>
      <w:r w:rsidRPr="00635993">
        <w:rPr>
          <w:b w:val="0"/>
          <w:lang w:val="en-US"/>
        </w:rPr>
        <w:t>genes upregulated by Low P and Symbiosis (1.5 fold-change threshold)</w:t>
      </w:r>
      <w:bookmarkEnd w:id="614"/>
      <w:bookmarkEnd w:id="615"/>
      <w:bookmarkEnd w:id="616"/>
      <w:bookmarkEnd w:id="617"/>
    </w:p>
    <w:tbl>
      <w:tblPr>
        <w:tblStyle w:val="TableGrid1"/>
        <w:tblW w:w="0" w:type="auto"/>
        <w:tblLook w:val="04A0" w:firstRow="1" w:lastRow="0" w:firstColumn="1" w:lastColumn="0" w:noHBand="0" w:noVBand="1"/>
      </w:tblPr>
      <w:tblGrid>
        <w:gridCol w:w="3933"/>
        <w:gridCol w:w="1470"/>
        <w:gridCol w:w="3947"/>
      </w:tblGrid>
      <w:tr w:rsidR="000D7D3D" w:rsidRPr="009004F9" w14:paraId="150B0027" w14:textId="77777777" w:rsidTr="002D60C9">
        <w:tc>
          <w:tcPr>
            <w:tcW w:w="4009" w:type="dxa"/>
          </w:tcPr>
          <w:p w14:paraId="5D86F146" w14:textId="77777777" w:rsidR="000D7D3D" w:rsidRPr="00635993" w:rsidRDefault="000D7D3D" w:rsidP="003F7054">
            <w:pPr>
              <w:rPr>
                <w:b/>
                <w:sz w:val="20"/>
                <w:lang w:val="en-US"/>
              </w:rPr>
            </w:pPr>
            <w:r w:rsidRPr="00635993">
              <w:rPr>
                <w:b/>
                <w:sz w:val="20"/>
                <w:lang w:val="en-US"/>
              </w:rPr>
              <w:t>Gene name (JGI)</w:t>
            </w:r>
          </w:p>
        </w:tc>
        <w:tc>
          <w:tcPr>
            <w:tcW w:w="1515" w:type="dxa"/>
          </w:tcPr>
          <w:p w14:paraId="1CE2F1E8" w14:textId="77777777" w:rsidR="000D7D3D" w:rsidRPr="00635993" w:rsidRDefault="000D7D3D" w:rsidP="007F746A">
            <w:pPr>
              <w:rPr>
                <w:b/>
                <w:sz w:val="20"/>
                <w:lang w:val="en-US"/>
              </w:rPr>
            </w:pPr>
            <w:r w:rsidRPr="00635993">
              <w:rPr>
                <w:b/>
                <w:sz w:val="20"/>
                <w:lang w:val="en-US"/>
              </w:rPr>
              <w:t>Protein ID</w:t>
            </w:r>
          </w:p>
        </w:tc>
        <w:tc>
          <w:tcPr>
            <w:tcW w:w="4104" w:type="dxa"/>
          </w:tcPr>
          <w:p w14:paraId="49672533" w14:textId="77777777" w:rsidR="000D7D3D" w:rsidRPr="00635993" w:rsidRDefault="000D7D3D" w:rsidP="00FB36B8">
            <w:pPr>
              <w:rPr>
                <w:b/>
                <w:sz w:val="20"/>
                <w:lang w:val="en-US"/>
              </w:rPr>
            </w:pPr>
            <w:r w:rsidRPr="00635993">
              <w:rPr>
                <w:b/>
                <w:sz w:val="20"/>
                <w:lang w:val="en-US"/>
              </w:rPr>
              <w:t>Putative function</w:t>
            </w:r>
          </w:p>
        </w:tc>
      </w:tr>
      <w:tr w:rsidR="000D7D3D" w:rsidRPr="009004F9" w14:paraId="6C0CFF18" w14:textId="77777777" w:rsidTr="002D60C9">
        <w:tc>
          <w:tcPr>
            <w:tcW w:w="4009" w:type="dxa"/>
          </w:tcPr>
          <w:p w14:paraId="62119DD9" w14:textId="77777777" w:rsidR="000D7D3D" w:rsidRPr="00635993" w:rsidRDefault="000D7D3D" w:rsidP="003F7054">
            <w:pPr>
              <w:rPr>
                <w:sz w:val="16"/>
              </w:rPr>
            </w:pPr>
            <w:r w:rsidRPr="00635993">
              <w:rPr>
                <w:sz w:val="16"/>
              </w:rPr>
              <w:t>e_gw1.29.133.1</w:t>
            </w:r>
          </w:p>
        </w:tc>
        <w:tc>
          <w:tcPr>
            <w:tcW w:w="1515" w:type="dxa"/>
          </w:tcPr>
          <w:p w14:paraId="58E18B30" w14:textId="77777777" w:rsidR="000D7D3D" w:rsidRPr="00635993" w:rsidRDefault="000D7D3D" w:rsidP="007F746A">
            <w:pPr>
              <w:rPr>
                <w:sz w:val="16"/>
              </w:rPr>
            </w:pPr>
            <w:r w:rsidRPr="00635993">
              <w:rPr>
                <w:sz w:val="16"/>
              </w:rPr>
              <w:t>80956</w:t>
            </w:r>
          </w:p>
        </w:tc>
        <w:tc>
          <w:tcPr>
            <w:tcW w:w="4104" w:type="dxa"/>
          </w:tcPr>
          <w:p w14:paraId="5FA585DB" w14:textId="77777777" w:rsidR="000D7D3D" w:rsidRPr="00635993" w:rsidRDefault="000D7D3D" w:rsidP="00FB36B8">
            <w:pPr>
              <w:rPr>
                <w:sz w:val="16"/>
              </w:rPr>
            </w:pPr>
            <w:r w:rsidRPr="00635993">
              <w:rPr>
                <w:sz w:val="16"/>
              </w:rPr>
              <w:t>WD40 domain-containing protein</w:t>
            </w:r>
          </w:p>
        </w:tc>
      </w:tr>
      <w:tr w:rsidR="000D7D3D" w:rsidRPr="009004F9" w14:paraId="2B66850A" w14:textId="77777777" w:rsidTr="002D60C9">
        <w:tc>
          <w:tcPr>
            <w:tcW w:w="4009" w:type="dxa"/>
          </w:tcPr>
          <w:p w14:paraId="49A32212" w14:textId="77777777" w:rsidR="000D7D3D" w:rsidRPr="00635993" w:rsidRDefault="000D7D3D" w:rsidP="003F7054">
            <w:pPr>
              <w:rPr>
                <w:sz w:val="16"/>
              </w:rPr>
            </w:pPr>
            <w:r w:rsidRPr="00635993">
              <w:rPr>
                <w:sz w:val="16"/>
              </w:rPr>
              <w:t>estExt_fgenesh1_pg.C_20319</w:t>
            </w:r>
          </w:p>
        </w:tc>
        <w:tc>
          <w:tcPr>
            <w:tcW w:w="1515" w:type="dxa"/>
          </w:tcPr>
          <w:p w14:paraId="125EEB2D" w14:textId="77777777" w:rsidR="000D7D3D" w:rsidRPr="00635993" w:rsidRDefault="000D7D3D" w:rsidP="007F746A">
            <w:pPr>
              <w:rPr>
                <w:sz w:val="16"/>
              </w:rPr>
            </w:pPr>
            <w:r w:rsidRPr="00635993">
              <w:rPr>
                <w:sz w:val="16"/>
              </w:rPr>
              <w:t>178540</w:t>
            </w:r>
          </w:p>
        </w:tc>
        <w:tc>
          <w:tcPr>
            <w:tcW w:w="4104" w:type="dxa"/>
          </w:tcPr>
          <w:p w14:paraId="5E70E0A2" w14:textId="77777777" w:rsidR="000D7D3D" w:rsidRPr="00635993" w:rsidRDefault="000D7D3D" w:rsidP="00FB36B8">
            <w:pPr>
              <w:rPr>
                <w:sz w:val="16"/>
                <w:lang w:val="en-US"/>
              </w:rPr>
            </w:pPr>
            <w:r w:rsidRPr="00635993">
              <w:rPr>
                <w:sz w:val="16"/>
                <w:lang w:val="en-US"/>
              </w:rPr>
              <w:t xml:space="preserve">Unknown </w:t>
            </w:r>
          </w:p>
        </w:tc>
      </w:tr>
      <w:tr w:rsidR="000D7D3D" w:rsidRPr="009004F9" w14:paraId="53DB619A" w14:textId="77777777" w:rsidTr="002D60C9">
        <w:tc>
          <w:tcPr>
            <w:tcW w:w="4009" w:type="dxa"/>
          </w:tcPr>
          <w:p w14:paraId="170A9079" w14:textId="77777777" w:rsidR="000D7D3D" w:rsidRPr="00635993" w:rsidRDefault="000D7D3D" w:rsidP="003F7054">
            <w:pPr>
              <w:rPr>
                <w:sz w:val="16"/>
              </w:rPr>
            </w:pPr>
            <w:r w:rsidRPr="00635993">
              <w:rPr>
                <w:sz w:val="16"/>
              </w:rPr>
              <w:t>estExt_Genewise1.C_9_t10017</w:t>
            </w:r>
          </w:p>
        </w:tc>
        <w:tc>
          <w:tcPr>
            <w:tcW w:w="1515" w:type="dxa"/>
          </w:tcPr>
          <w:p w14:paraId="0B554282" w14:textId="77777777" w:rsidR="000D7D3D" w:rsidRPr="00635993" w:rsidRDefault="000D7D3D" w:rsidP="007F746A">
            <w:pPr>
              <w:rPr>
                <w:sz w:val="16"/>
              </w:rPr>
            </w:pPr>
            <w:r w:rsidRPr="00635993">
              <w:rPr>
                <w:sz w:val="16"/>
              </w:rPr>
              <w:t>130525</w:t>
            </w:r>
          </w:p>
        </w:tc>
        <w:tc>
          <w:tcPr>
            <w:tcW w:w="4104" w:type="dxa"/>
          </w:tcPr>
          <w:p w14:paraId="60E532D1" w14:textId="77777777" w:rsidR="000D7D3D" w:rsidRPr="00635993" w:rsidRDefault="000D7D3D" w:rsidP="00FB36B8">
            <w:pPr>
              <w:rPr>
                <w:sz w:val="16"/>
              </w:rPr>
            </w:pPr>
            <w:r w:rsidRPr="00635993">
              <w:rPr>
                <w:sz w:val="16"/>
              </w:rPr>
              <w:t>Dioxygenase</w:t>
            </w:r>
          </w:p>
        </w:tc>
      </w:tr>
      <w:tr w:rsidR="000D7D3D" w:rsidRPr="009004F9" w14:paraId="67AC1C2A" w14:textId="77777777" w:rsidTr="002D60C9">
        <w:tc>
          <w:tcPr>
            <w:tcW w:w="4009" w:type="dxa"/>
          </w:tcPr>
          <w:p w14:paraId="223C3D72" w14:textId="77777777" w:rsidR="000D7D3D" w:rsidRPr="00635993" w:rsidRDefault="000D7D3D" w:rsidP="003F7054">
            <w:pPr>
              <w:rPr>
                <w:sz w:val="16"/>
              </w:rPr>
            </w:pPr>
            <w:r w:rsidRPr="00635993">
              <w:rPr>
                <w:sz w:val="16"/>
              </w:rPr>
              <w:t>fgenesh1_kg.73_#_7_#_isotig06717</w:t>
            </w:r>
          </w:p>
        </w:tc>
        <w:tc>
          <w:tcPr>
            <w:tcW w:w="1515" w:type="dxa"/>
          </w:tcPr>
          <w:p w14:paraId="7C0DF27C" w14:textId="77777777" w:rsidR="000D7D3D" w:rsidRPr="00635993" w:rsidRDefault="000D7D3D" w:rsidP="007F746A">
            <w:pPr>
              <w:rPr>
                <w:sz w:val="16"/>
              </w:rPr>
            </w:pPr>
            <w:r w:rsidRPr="00635993">
              <w:rPr>
                <w:sz w:val="16"/>
              </w:rPr>
              <w:t>172034</w:t>
            </w:r>
          </w:p>
        </w:tc>
        <w:tc>
          <w:tcPr>
            <w:tcW w:w="4104" w:type="dxa"/>
          </w:tcPr>
          <w:p w14:paraId="3E1C8877" w14:textId="77777777" w:rsidR="000D7D3D" w:rsidRPr="00635993" w:rsidRDefault="000D7D3D" w:rsidP="00FB36B8">
            <w:pPr>
              <w:rPr>
                <w:sz w:val="16"/>
                <w:lang w:val="en-US"/>
              </w:rPr>
            </w:pPr>
            <w:r w:rsidRPr="00635993">
              <w:rPr>
                <w:sz w:val="16"/>
                <w:lang w:val="en-US"/>
              </w:rPr>
              <w:t>Serine/threonine-protein kinase</w:t>
            </w:r>
          </w:p>
        </w:tc>
      </w:tr>
      <w:tr w:rsidR="000D7D3D" w:rsidRPr="009004F9" w14:paraId="5F14977C" w14:textId="77777777" w:rsidTr="002D60C9">
        <w:tc>
          <w:tcPr>
            <w:tcW w:w="4009" w:type="dxa"/>
          </w:tcPr>
          <w:p w14:paraId="50C1566B" w14:textId="77777777" w:rsidR="000D7D3D" w:rsidRPr="00635993" w:rsidRDefault="000D7D3D" w:rsidP="003F7054">
            <w:pPr>
              <w:rPr>
                <w:sz w:val="16"/>
              </w:rPr>
            </w:pPr>
            <w:r w:rsidRPr="00635993">
              <w:rPr>
                <w:sz w:val="16"/>
              </w:rPr>
              <w:t>e_gw1.2.1678.1</w:t>
            </w:r>
          </w:p>
        </w:tc>
        <w:tc>
          <w:tcPr>
            <w:tcW w:w="1515" w:type="dxa"/>
          </w:tcPr>
          <w:p w14:paraId="241D1493" w14:textId="77777777" w:rsidR="000D7D3D" w:rsidRPr="00635993" w:rsidRDefault="000D7D3D" w:rsidP="007F746A">
            <w:pPr>
              <w:rPr>
                <w:sz w:val="16"/>
              </w:rPr>
            </w:pPr>
            <w:r w:rsidRPr="00635993">
              <w:rPr>
                <w:sz w:val="16"/>
              </w:rPr>
              <w:t>66437</w:t>
            </w:r>
          </w:p>
        </w:tc>
        <w:tc>
          <w:tcPr>
            <w:tcW w:w="4104" w:type="dxa"/>
          </w:tcPr>
          <w:p w14:paraId="0AAB0CBE" w14:textId="77777777" w:rsidR="000D7D3D" w:rsidRPr="00635993" w:rsidRDefault="000D7D3D" w:rsidP="00FB36B8">
            <w:pPr>
              <w:rPr>
                <w:sz w:val="16"/>
                <w:lang w:val="en-US"/>
              </w:rPr>
            </w:pPr>
            <w:r w:rsidRPr="00635993">
              <w:rPr>
                <w:sz w:val="16"/>
                <w:lang w:val="en-US"/>
              </w:rPr>
              <w:t>Proline permease</w:t>
            </w:r>
          </w:p>
        </w:tc>
      </w:tr>
      <w:tr w:rsidR="000D7D3D" w:rsidRPr="009004F9" w14:paraId="00AB8100" w14:textId="77777777" w:rsidTr="002D60C9">
        <w:tc>
          <w:tcPr>
            <w:tcW w:w="4009" w:type="dxa"/>
          </w:tcPr>
          <w:p w14:paraId="34044E4F" w14:textId="77777777" w:rsidR="000D7D3D" w:rsidRPr="00635993" w:rsidRDefault="000D7D3D" w:rsidP="003F7054">
            <w:pPr>
              <w:rPr>
                <w:sz w:val="16"/>
              </w:rPr>
            </w:pPr>
            <w:r w:rsidRPr="00635993">
              <w:rPr>
                <w:sz w:val="16"/>
              </w:rPr>
              <w:t>estExt_Genewise1.C_14990003</w:t>
            </w:r>
          </w:p>
        </w:tc>
        <w:tc>
          <w:tcPr>
            <w:tcW w:w="1515" w:type="dxa"/>
          </w:tcPr>
          <w:p w14:paraId="243CF382" w14:textId="77777777" w:rsidR="000D7D3D" w:rsidRPr="00635993" w:rsidRDefault="000D7D3D" w:rsidP="007F746A">
            <w:pPr>
              <w:rPr>
                <w:sz w:val="16"/>
              </w:rPr>
            </w:pPr>
            <w:r w:rsidRPr="00635993">
              <w:rPr>
                <w:sz w:val="16"/>
              </w:rPr>
              <w:t>141142</w:t>
            </w:r>
          </w:p>
        </w:tc>
        <w:tc>
          <w:tcPr>
            <w:tcW w:w="4104" w:type="dxa"/>
          </w:tcPr>
          <w:p w14:paraId="51568EA7" w14:textId="77777777" w:rsidR="000D7D3D" w:rsidRPr="00635993" w:rsidRDefault="000D7D3D" w:rsidP="00FB36B8">
            <w:pPr>
              <w:rPr>
                <w:sz w:val="16"/>
                <w:lang w:val="en-US"/>
              </w:rPr>
            </w:pPr>
            <w:r w:rsidRPr="00635993">
              <w:rPr>
                <w:sz w:val="16"/>
                <w:lang w:val="en-US"/>
              </w:rPr>
              <w:t>Inorganic phosphate transporter PiPT4</w:t>
            </w:r>
          </w:p>
        </w:tc>
      </w:tr>
      <w:tr w:rsidR="000D7D3D" w:rsidRPr="009004F9" w14:paraId="0BEBF0B5" w14:textId="77777777" w:rsidTr="002D60C9">
        <w:tc>
          <w:tcPr>
            <w:tcW w:w="4009" w:type="dxa"/>
          </w:tcPr>
          <w:p w14:paraId="4E8098CB" w14:textId="77777777" w:rsidR="000D7D3D" w:rsidRPr="00635993" w:rsidRDefault="000D7D3D" w:rsidP="003F7054">
            <w:pPr>
              <w:rPr>
                <w:sz w:val="16"/>
              </w:rPr>
            </w:pPr>
            <w:r w:rsidRPr="00635993">
              <w:rPr>
                <w:sz w:val="16"/>
              </w:rPr>
              <w:t>fgenesh1_kg.42_#_40_#_isotig03193</w:t>
            </w:r>
          </w:p>
        </w:tc>
        <w:tc>
          <w:tcPr>
            <w:tcW w:w="1515" w:type="dxa"/>
          </w:tcPr>
          <w:p w14:paraId="36727BA4" w14:textId="77777777" w:rsidR="000D7D3D" w:rsidRPr="00635993" w:rsidRDefault="000D7D3D" w:rsidP="007F746A">
            <w:pPr>
              <w:rPr>
                <w:sz w:val="16"/>
              </w:rPr>
            </w:pPr>
            <w:r w:rsidRPr="00635993">
              <w:rPr>
                <w:sz w:val="16"/>
              </w:rPr>
              <w:t>171231</w:t>
            </w:r>
          </w:p>
        </w:tc>
        <w:tc>
          <w:tcPr>
            <w:tcW w:w="4104" w:type="dxa"/>
          </w:tcPr>
          <w:p w14:paraId="60FE03FD" w14:textId="77777777" w:rsidR="000D7D3D" w:rsidRPr="00635993" w:rsidRDefault="000D7D3D" w:rsidP="00FB36B8">
            <w:pPr>
              <w:rPr>
                <w:sz w:val="16"/>
                <w:lang w:val="en-US"/>
              </w:rPr>
            </w:pPr>
            <w:r w:rsidRPr="00635993">
              <w:rPr>
                <w:sz w:val="16"/>
                <w:lang w:val="en-US"/>
              </w:rPr>
              <w:t>Cytochrome P450</w:t>
            </w:r>
          </w:p>
        </w:tc>
      </w:tr>
      <w:tr w:rsidR="000D7D3D" w:rsidRPr="009004F9" w14:paraId="0F016462" w14:textId="77777777" w:rsidTr="002D60C9">
        <w:tc>
          <w:tcPr>
            <w:tcW w:w="4009" w:type="dxa"/>
          </w:tcPr>
          <w:p w14:paraId="757E0387" w14:textId="77777777" w:rsidR="000D7D3D" w:rsidRPr="00635993" w:rsidRDefault="000D7D3D" w:rsidP="003F7054">
            <w:pPr>
              <w:rPr>
                <w:sz w:val="16"/>
              </w:rPr>
            </w:pPr>
            <w:r w:rsidRPr="00635993">
              <w:rPr>
                <w:sz w:val="16"/>
              </w:rPr>
              <w:t>gm1.11959_g</w:t>
            </w:r>
          </w:p>
        </w:tc>
        <w:tc>
          <w:tcPr>
            <w:tcW w:w="1515" w:type="dxa"/>
          </w:tcPr>
          <w:p w14:paraId="7E5A3F96" w14:textId="77777777" w:rsidR="000D7D3D" w:rsidRPr="00635993" w:rsidRDefault="000D7D3D" w:rsidP="007F746A">
            <w:pPr>
              <w:rPr>
                <w:sz w:val="16"/>
              </w:rPr>
            </w:pPr>
            <w:r w:rsidRPr="00635993">
              <w:rPr>
                <w:sz w:val="16"/>
              </w:rPr>
              <w:t>17388</w:t>
            </w:r>
          </w:p>
        </w:tc>
        <w:tc>
          <w:tcPr>
            <w:tcW w:w="4104" w:type="dxa"/>
          </w:tcPr>
          <w:p w14:paraId="67464CE9" w14:textId="77777777" w:rsidR="000D7D3D" w:rsidRPr="00635993" w:rsidRDefault="000D7D3D" w:rsidP="00FB36B8">
            <w:pPr>
              <w:rPr>
                <w:sz w:val="16"/>
                <w:lang w:val="en-US"/>
              </w:rPr>
            </w:pPr>
            <w:r w:rsidRPr="00635993">
              <w:rPr>
                <w:sz w:val="16"/>
                <w:lang w:val="en-US"/>
              </w:rPr>
              <w:t>Serine/threonine-protein kinase</w:t>
            </w:r>
          </w:p>
        </w:tc>
      </w:tr>
      <w:tr w:rsidR="000D7D3D" w:rsidRPr="009004F9" w14:paraId="3471B71F" w14:textId="77777777" w:rsidTr="002D60C9">
        <w:tc>
          <w:tcPr>
            <w:tcW w:w="4009" w:type="dxa"/>
          </w:tcPr>
          <w:p w14:paraId="4374BFFE" w14:textId="77777777" w:rsidR="000D7D3D" w:rsidRPr="00635993" w:rsidRDefault="000D7D3D" w:rsidP="003F7054">
            <w:pPr>
              <w:rPr>
                <w:sz w:val="16"/>
              </w:rPr>
            </w:pPr>
            <w:r w:rsidRPr="00635993">
              <w:rPr>
                <w:sz w:val="16"/>
              </w:rPr>
              <w:t>gm1.15219_g</w:t>
            </w:r>
          </w:p>
        </w:tc>
        <w:tc>
          <w:tcPr>
            <w:tcW w:w="1515" w:type="dxa"/>
          </w:tcPr>
          <w:p w14:paraId="70F65C8C" w14:textId="77777777" w:rsidR="000D7D3D" w:rsidRPr="00635993" w:rsidRDefault="000D7D3D" w:rsidP="007F746A">
            <w:pPr>
              <w:rPr>
                <w:sz w:val="16"/>
              </w:rPr>
            </w:pPr>
            <w:r w:rsidRPr="00635993">
              <w:rPr>
                <w:sz w:val="16"/>
              </w:rPr>
              <w:t>20648</w:t>
            </w:r>
          </w:p>
        </w:tc>
        <w:tc>
          <w:tcPr>
            <w:tcW w:w="4104" w:type="dxa"/>
          </w:tcPr>
          <w:p w14:paraId="36494891" w14:textId="77777777" w:rsidR="000D7D3D" w:rsidRPr="00635993" w:rsidRDefault="000D7D3D" w:rsidP="00FB36B8">
            <w:pPr>
              <w:rPr>
                <w:sz w:val="16"/>
                <w:lang w:val="en-US"/>
              </w:rPr>
            </w:pPr>
            <w:r w:rsidRPr="00635993">
              <w:rPr>
                <w:sz w:val="16"/>
                <w:lang w:val="en-US"/>
              </w:rPr>
              <w:t>Unknown</w:t>
            </w:r>
          </w:p>
        </w:tc>
      </w:tr>
      <w:tr w:rsidR="000D7D3D" w:rsidRPr="009004F9" w14:paraId="094BBFE6" w14:textId="77777777" w:rsidTr="002D60C9">
        <w:tc>
          <w:tcPr>
            <w:tcW w:w="4009" w:type="dxa"/>
          </w:tcPr>
          <w:p w14:paraId="098AEEF1" w14:textId="77777777" w:rsidR="000D7D3D" w:rsidRPr="00635993" w:rsidRDefault="000D7D3D" w:rsidP="003F7054">
            <w:pPr>
              <w:rPr>
                <w:sz w:val="16"/>
              </w:rPr>
            </w:pPr>
            <w:r w:rsidRPr="00635993">
              <w:rPr>
                <w:sz w:val="16"/>
              </w:rPr>
              <w:t>e_gw1.2.765.1</w:t>
            </w:r>
          </w:p>
        </w:tc>
        <w:tc>
          <w:tcPr>
            <w:tcW w:w="1515" w:type="dxa"/>
          </w:tcPr>
          <w:p w14:paraId="31FD3C63" w14:textId="77777777" w:rsidR="000D7D3D" w:rsidRPr="00635993" w:rsidRDefault="000D7D3D" w:rsidP="007F746A">
            <w:pPr>
              <w:rPr>
                <w:sz w:val="16"/>
              </w:rPr>
            </w:pPr>
            <w:r w:rsidRPr="00635993">
              <w:rPr>
                <w:sz w:val="16"/>
              </w:rPr>
              <w:t>66349</w:t>
            </w:r>
          </w:p>
        </w:tc>
        <w:tc>
          <w:tcPr>
            <w:tcW w:w="4104" w:type="dxa"/>
          </w:tcPr>
          <w:p w14:paraId="5B027B94" w14:textId="77777777" w:rsidR="000D7D3D" w:rsidRPr="00635993" w:rsidRDefault="000D7D3D" w:rsidP="00FB36B8">
            <w:pPr>
              <w:rPr>
                <w:sz w:val="16"/>
                <w:lang w:val="en-US"/>
              </w:rPr>
            </w:pPr>
            <w:r w:rsidRPr="00635993">
              <w:rPr>
                <w:sz w:val="16"/>
                <w:lang w:val="en-US"/>
              </w:rPr>
              <w:t>Proline permease</w:t>
            </w:r>
          </w:p>
        </w:tc>
      </w:tr>
      <w:tr w:rsidR="000D7D3D" w:rsidRPr="009004F9" w14:paraId="0C651200" w14:textId="77777777" w:rsidTr="002D60C9">
        <w:tc>
          <w:tcPr>
            <w:tcW w:w="4009" w:type="dxa"/>
          </w:tcPr>
          <w:p w14:paraId="3A0D99F2" w14:textId="77777777" w:rsidR="000D7D3D" w:rsidRPr="00635993" w:rsidRDefault="000D7D3D" w:rsidP="003F7054">
            <w:pPr>
              <w:rPr>
                <w:sz w:val="16"/>
              </w:rPr>
            </w:pPr>
            <w:r w:rsidRPr="00635993">
              <w:rPr>
                <w:sz w:val="16"/>
              </w:rPr>
              <w:t>estExt_Genewise1Plus.C_240025</w:t>
            </w:r>
          </w:p>
        </w:tc>
        <w:tc>
          <w:tcPr>
            <w:tcW w:w="1515" w:type="dxa"/>
          </w:tcPr>
          <w:p w14:paraId="36D7A604" w14:textId="77777777" w:rsidR="000D7D3D" w:rsidRPr="00635993" w:rsidRDefault="000D7D3D" w:rsidP="007F746A">
            <w:pPr>
              <w:rPr>
                <w:sz w:val="16"/>
              </w:rPr>
            </w:pPr>
            <w:r w:rsidRPr="00635993">
              <w:rPr>
                <w:sz w:val="16"/>
              </w:rPr>
              <w:t>116523</w:t>
            </w:r>
          </w:p>
        </w:tc>
        <w:tc>
          <w:tcPr>
            <w:tcW w:w="4104" w:type="dxa"/>
          </w:tcPr>
          <w:p w14:paraId="0A08BDC6" w14:textId="77777777" w:rsidR="000D7D3D" w:rsidRPr="00635993" w:rsidRDefault="000D7D3D" w:rsidP="00FB36B8">
            <w:pPr>
              <w:rPr>
                <w:sz w:val="16"/>
                <w:lang w:val="en-US"/>
              </w:rPr>
            </w:pPr>
            <w:r w:rsidRPr="00635993">
              <w:rPr>
                <w:sz w:val="16"/>
                <w:lang w:val="en-US"/>
              </w:rPr>
              <w:t>VWA domain-containing protein</w:t>
            </w:r>
          </w:p>
        </w:tc>
      </w:tr>
      <w:tr w:rsidR="000D7D3D" w:rsidRPr="009004F9" w14:paraId="369DB2D6" w14:textId="77777777" w:rsidTr="002D60C9">
        <w:tc>
          <w:tcPr>
            <w:tcW w:w="4009" w:type="dxa"/>
          </w:tcPr>
          <w:p w14:paraId="1C703EE7" w14:textId="77777777" w:rsidR="000D7D3D" w:rsidRPr="00635993" w:rsidRDefault="000D7D3D" w:rsidP="003F7054">
            <w:pPr>
              <w:rPr>
                <w:sz w:val="16"/>
              </w:rPr>
            </w:pPr>
            <w:r w:rsidRPr="00635993">
              <w:rPr>
                <w:sz w:val="16"/>
              </w:rPr>
              <w:t>gm1.4696_g</w:t>
            </w:r>
          </w:p>
        </w:tc>
        <w:tc>
          <w:tcPr>
            <w:tcW w:w="1515" w:type="dxa"/>
          </w:tcPr>
          <w:p w14:paraId="1929E08A" w14:textId="77777777" w:rsidR="000D7D3D" w:rsidRPr="00635993" w:rsidRDefault="000D7D3D" w:rsidP="007F746A">
            <w:pPr>
              <w:rPr>
                <w:sz w:val="16"/>
              </w:rPr>
            </w:pPr>
            <w:r w:rsidRPr="00635993">
              <w:rPr>
                <w:sz w:val="16"/>
              </w:rPr>
              <w:t>10125</w:t>
            </w:r>
          </w:p>
        </w:tc>
        <w:tc>
          <w:tcPr>
            <w:tcW w:w="4104" w:type="dxa"/>
          </w:tcPr>
          <w:p w14:paraId="7697BF95" w14:textId="77777777" w:rsidR="000D7D3D" w:rsidRPr="00635993" w:rsidRDefault="000D7D3D" w:rsidP="00FB36B8">
            <w:pPr>
              <w:rPr>
                <w:sz w:val="16"/>
                <w:lang w:val="en-US"/>
              </w:rPr>
            </w:pPr>
            <w:r w:rsidRPr="00635993">
              <w:rPr>
                <w:sz w:val="16"/>
                <w:lang w:val="en-US"/>
              </w:rPr>
              <w:t>Glycosyltransferase</w:t>
            </w:r>
          </w:p>
        </w:tc>
      </w:tr>
      <w:tr w:rsidR="000D7D3D" w:rsidRPr="009004F9" w14:paraId="2E940428" w14:textId="77777777" w:rsidTr="002D60C9">
        <w:tc>
          <w:tcPr>
            <w:tcW w:w="4009" w:type="dxa"/>
          </w:tcPr>
          <w:p w14:paraId="5AE29162" w14:textId="77777777" w:rsidR="000D7D3D" w:rsidRPr="00635993" w:rsidRDefault="000D7D3D" w:rsidP="003F7054">
            <w:pPr>
              <w:rPr>
                <w:sz w:val="16"/>
              </w:rPr>
            </w:pPr>
            <w:r w:rsidRPr="00635993">
              <w:rPr>
                <w:sz w:val="16"/>
              </w:rPr>
              <w:t>estExt_Genewise1Plus.C_330014</w:t>
            </w:r>
          </w:p>
        </w:tc>
        <w:tc>
          <w:tcPr>
            <w:tcW w:w="1515" w:type="dxa"/>
          </w:tcPr>
          <w:p w14:paraId="40F04E0B" w14:textId="77777777" w:rsidR="000D7D3D" w:rsidRPr="00635993" w:rsidRDefault="000D7D3D" w:rsidP="007F746A">
            <w:pPr>
              <w:rPr>
                <w:sz w:val="16"/>
              </w:rPr>
            </w:pPr>
            <w:r w:rsidRPr="00635993">
              <w:rPr>
                <w:sz w:val="16"/>
              </w:rPr>
              <w:t>117451</w:t>
            </w:r>
          </w:p>
        </w:tc>
        <w:tc>
          <w:tcPr>
            <w:tcW w:w="4104" w:type="dxa"/>
          </w:tcPr>
          <w:p w14:paraId="5DEED5FC" w14:textId="77777777" w:rsidR="000D7D3D" w:rsidRPr="00635993" w:rsidRDefault="000D7D3D" w:rsidP="00FB36B8">
            <w:pPr>
              <w:rPr>
                <w:sz w:val="16"/>
                <w:lang w:val="en-US"/>
              </w:rPr>
            </w:pPr>
            <w:r w:rsidRPr="00635993">
              <w:rPr>
                <w:sz w:val="16"/>
                <w:lang w:val="en-US"/>
              </w:rPr>
              <w:t>TPR domain-containing protein</w:t>
            </w:r>
          </w:p>
        </w:tc>
      </w:tr>
      <w:tr w:rsidR="000D7D3D" w:rsidRPr="009004F9" w14:paraId="76C759AC" w14:textId="77777777" w:rsidTr="002D60C9">
        <w:tc>
          <w:tcPr>
            <w:tcW w:w="4009" w:type="dxa"/>
          </w:tcPr>
          <w:p w14:paraId="7F7043AD" w14:textId="77777777" w:rsidR="000D7D3D" w:rsidRPr="00635993" w:rsidRDefault="000D7D3D" w:rsidP="003F7054">
            <w:pPr>
              <w:rPr>
                <w:sz w:val="16"/>
              </w:rPr>
            </w:pPr>
            <w:r w:rsidRPr="00635993">
              <w:rPr>
                <w:sz w:val="16"/>
              </w:rPr>
              <w:t>fgenesh1_kg.10_#_114_#_isotig04280</w:t>
            </w:r>
          </w:p>
        </w:tc>
        <w:tc>
          <w:tcPr>
            <w:tcW w:w="1515" w:type="dxa"/>
          </w:tcPr>
          <w:p w14:paraId="10E13930" w14:textId="77777777" w:rsidR="000D7D3D" w:rsidRPr="00635993" w:rsidRDefault="000D7D3D" w:rsidP="007F746A">
            <w:pPr>
              <w:rPr>
                <w:sz w:val="16"/>
              </w:rPr>
            </w:pPr>
            <w:r w:rsidRPr="00635993">
              <w:rPr>
                <w:sz w:val="16"/>
              </w:rPr>
              <w:t>168244</w:t>
            </w:r>
          </w:p>
        </w:tc>
        <w:tc>
          <w:tcPr>
            <w:tcW w:w="4104" w:type="dxa"/>
          </w:tcPr>
          <w:p w14:paraId="2B5BAB4C" w14:textId="77777777" w:rsidR="000D7D3D" w:rsidRPr="00635993" w:rsidRDefault="000D7D3D" w:rsidP="00FB36B8">
            <w:pPr>
              <w:rPr>
                <w:sz w:val="16"/>
                <w:lang w:val="en-US"/>
              </w:rPr>
            </w:pPr>
            <w:r w:rsidRPr="00635993">
              <w:rPr>
                <w:sz w:val="16"/>
                <w:lang w:val="en-US"/>
              </w:rPr>
              <w:t>Unknown</w:t>
            </w:r>
          </w:p>
        </w:tc>
      </w:tr>
      <w:tr w:rsidR="000D7D3D" w:rsidRPr="009004F9" w14:paraId="583056D2" w14:textId="77777777" w:rsidTr="002D60C9">
        <w:tc>
          <w:tcPr>
            <w:tcW w:w="4009" w:type="dxa"/>
          </w:tcPr>
          <w:p w14:paraId="58C81E3C" w14:textId="77777777" w:rsidR="000D7D3D" w:rsidRPr="00635993" w:rsidRDefault="000D7D3D" w:rsidP="003F7054">
            <w:pPr>
              <w:rPr>
                <w:sz w:val="16"/>
              </w:rPr>
            </w:pPr>
            <w:r w:rsidRPr="00635993">
              <w:rPr>
                <w:sz w:val="16"/>
              </w:rPr>
              <w:t>fgenesh1_kg.6_#_18_#_isotig11225</w:t>
            </w:r>
          </w:p>
        </w:tc>
        <w:tc>
          <w:tcPr>
            <w:tcW w:w="1515" w:type="dxa"/>
          </w:tcPr>
          <w:p w14:paraId="103CBC4A" w14:textId="77777777" w:rsidR="000D7D3D" w:rsidRPr="00635993" w:rsidRDefault="000D7D3D" w:rsidP="007F746A">
            <w:pPr>
              <w:rPr>
                <w:sz w:val="16"/>
              </w:rPr>
            </w:pPr>
            <w:r w:rsidRPr="00635993">
              <w:rPr>
                <w:sz w:val="16"/>
              </w:rPr>
              <w:t>167050</w:t>
            </w:r>
          </w:p>
        </w:tc>
        <w:tc>
          <w:tcPr>
            <w:tcW w:w="4104" w:type="dxa"/>
          </w:tcPr>
          <w:p w14:paraId="05102A38" w14:textId="77777777" w:rsidR="000D7D3D" w:rsidRPr="00635993" w:rsidRDefault="000D7D3D" w:rsidP="00FB36B8">
            <w:pPr>
              <w:rPr>
                <w:sz w:val="16"/>
                <w:lang w:val="en-US"/>
              </w:rPr>
            </w:pPr>
            <w:r w:rsidRPr="00635993">
              <w:rPr>
                <w:sz w:val="16"/>
                <w:lang w:val="en-US"/>
              </w:rPr>
              <w:t>Unknown</w:t>
            </w:r>
          </w:p>
        </w:tc>
      </w:tr>
      <w:tr w:rsidR="000D7D3D" w:rsidRPr="009004F9" w14:paraId="5E0F7A62" w14:textId="77777777" w:rsidTr="002D60C9">
        <w:tc>
          <w:tcPr>
            <w:tcW w:w="4009" w:type="dxa"/>
          </w:tcPr>
          <w:p w14:paraId="517FA422" w14:textId="77777777" w:rsidR="000D7D3D" w:rsidRPr="00635993" w:rsidRDefault="000D7D3D" w:rsidP="003F7054">
            <w:pPr>
              <w:rPr>
                <w:sz w:val="16"/>
              </w:rPr>
            </w:pPr>
            <w:r w:rsidRPr="00635993">
              <w:rPr>
                <w:sz w:val="16"/>
              </w:rPr>
              <w:t>fgenesh1_kg.12_#_20_#_isotig06789</w:t>
            </w:r>
          </w:p>
        </w:tc>
        <w:tc>
          <w:tcPr>
            <w:tcW w:w="1515" w:type="dxa"/>
          </w:tcPr>
          <w:p w14:paraId="28C89122" w14:textId="77777777" w:rsidR="000D7D3D" w:rsidRPr="00635993" w:rsidRDefault="000D7D3D" w:rsidP="007F746A">
            <w:pPr>
              <w:rPr>
                <w:sz w:val="16"/>
              </w:rPr>
            </w:pPr>
            <w:r w:rsidRPr="00635993">
              <w:rPr>
                <w:sz w:val="16"/>
              </w:rPr>
              <w:t>168674</w:t>
            </w:r>
          </w:p>
        </w:tc>
        <w:tc>
          <w:tcPr>
            <w:tcW w:w="4104" w:type="dxa"/>
          </w:tcPr>
          <w:p w14:paraId="31748498" w14:textId="77777777" w:rsidR="000D7D3D" w:rsidRPr="00635993" w:rsidRDefault="000D7D3D" w:rsidP="00FB36B8">
            <w:pPr>
              <w:rPr>
                <w:sz w:val="16"/>
                <w:lang w:val="en-US"/>
              </w:rPr>
            </w:pPr>
            <w:r w:rsidRPr="00635993">
              <w:rPr>
                <w:sz w:val="16"/>
                <w:lang w:val="en-US"/>
              </w:rPr>
              <w:t>Alpha/beta-hydrolase</w:t>
            </w:r>
          </w:p>
        </w:tc>
      </w:tr>
      <w:tr w:rsidR="000D7D3D" w:rsidRPr="009004F9" w14:paraId="09BA8996" w14:textId="77777777" w:rsidTr="002D60C9">
        <w:tc>
          <w:tcPr>
            <w:tcW w:w="4009" w:type="dxa"/>
          </w:tcPr>
          <w:p w14:paraId="12D6E02A" w14:textId="77777777" w:rsidR="000D7D3D" w:rsidRPr="00635993" w:rsidRDefault="000D7D3D" w:rsidP="003F7054">
            <w:pPr>
              <w:rPr>
                <w:sz w:val="16"/>
              </w:rPr>
            </w:pPr>
            <w:r w:rsidRPr="00635993">
              <w:rPr>
                <w:sz w:val="16"/>
              </w:rPr>
              <w:t>fgenesh1_kg.40_#_11_#_isotig06559</w:t>
            </w:r>
          </w:p>
        </w:tc>
        <w:tc>
          <w:tcPr>
            <w:tcW w:w="1515" w:type="dxa"/>
          </w:tcPr>
          <w:p w14:paraId="58626793" w14:textId="77777777" w:rsidR="000D7D3D" w:rsidRPr="00635993" w:rsidRDefault="000D7D3D" w:rsidP="007F746A">
            <w:pPr>
              <w:rPr>
                <w:sz w:val="16"/>
              </w:rPr>
            </w:pPr>
            <w:r w:rsidRPr="00635993">
              <w:rPr>
                <w:sz w:val="16"/>
              </w:rPr>
              <w:t>171088</w:t>
            </w:r>
          </w:p>
        </w:tc>
        <w:tc>
          <w:tcPr>
            <w:tcW w:w="4104" w:type="dxa"/>
          </w:tcPr>
          <w:p w14:paraId="522C54B5" w14:textId="77777777" w:rsidR="000D7D3D" w:rsidRPr="00635993" w:rsidRDefault="000D7D3D" w:rsidP="00FB36B8">
            <w:pPr>
              <w:rPr>
                <w:sz w:val="16"/>
                <w:lang w:val="en-US"/>
              </w:rPr>
            </w:pPr>
            <w:r w:rsidRPr="00635993">
              <w:rPr>
                <w:sz w:val="16"/>
                <w:lang w:val="en-US"/>
              </w:rPr>
              <w:t>Unknown</w:t>
            </w:r>
          </w:p>
        </w:tc>
      </w:tr>
      <w:tr w:rsidR="000D7D3D" w:rsidRPr="009004F9" w14:paraId="7DA39AD4" w14:textId="77777777" w:rsidTr="002D60C9">
        <w:tc>
          <w:tcPr>
            <w:tcW w:w="4009" w:type="dxa"/>
          </w:tcPr>
          <w:p w14:paraId="543CED33" w14:textId="77777777" w:rsidR="000D7D3D" w:rsidRPr="00635993" w:rsidRDefault="000D7D3D" w:rsidP="003F7054">
            <w:pPr>
              <w:rPr>
                <w:sz w:val="16"/>
              </w:rPr>
            </w:pPr>
            <w:r w:rsidRPr="00635993">
              <w:rPr>
                <w:sz w:val="16"/>
              </w:rPr>
              <w:t>gw1.17.338.1</w:t>
            </w:r>
          </w:p>
        </w:tc>
        <w:tc>
          <w:tcPr>
            <w:tcW w:w="1515" w:type="dxa"/>
          </w:tcPr>
          <w:p w14:paraId="40648FB9" w14:textId="77777777" w:rsidR="000D7D3D" w:rsidRPr="00635993" w:rsidRDefault="000D7D3D" w:rsidP="007F746A">
            <w:pPr>
              <w:rPr>
                <w:sz w:val="16"/>
              </w:rPr>
            </w:pPr>
            <w:r w:rsidRPr="00635993">
              <w:rPr>
                <w:sz w:val="16"/>
              </w:rPr>
              <w:t>58353</w:t>
            </w:r>
          </w:p>
        </w:tc>
        <w:tc>
          <w:tcPr>
            <w:tcW w:w="4104" w:type="dxa"/>
          </w:tcPr>
          <w:p w14:paraId="6CEA9002" w14:textId="77777777" w:rsidR="000D7D3D" w:rsidRPr="00635993" w:rsidRDefault="000D7D3D" w:rsidP="00FB36B8">
            <w:pPr>
              <w:rPr>
                <w:sz w:val="16"/>
                <w:lang w:val="en-US"/>
              </w:rPr>
            </w:pPr>
            <w:r w:rsidRPr="00635993">
              <w:rPr>
                <w:sz w:val="16"/>
                <w:lang w:val="en-US"/>
              </w:rPr>
              <w:t>TPR domain-containing protein</w:t>
            </w:r>
          </w:p>
        </w:tc>
      </w:tr>
      <w:tr w:rsidR="000D7D3D" w:rsidRPr="009004F9" w14:paraId="23C65AEA" w14:textId="77777777" w:rsidTr="002D60C9">
        <w:tc>
          <w:tcPr>
            <w:tcW w:w="4009" w:type="dxa"/>
          </w:tcPr>
          <w:p w14:paraId="0877ABD5" w14:textId="77777777" w:rsidR="000D7D3D" w:rsidRPr="00635993" w:rsidRDefault="000D7D3D" w:rsidP="003F7054">
            <w:pPr>
              <w:rPr>
                <w:sz w:val="16"/>
              </w:rPr>
            </w:pPr>
            <w:r w:rsidRPr="00635993">
              <w:rPr>
                <w:sz w:val="16"/>
              </w:rPr>
              <w:t>e_gw1.3.2019.1</w:t>
            </w:r>
          </w:p>
        </w:tc>
        <w:tc>
          <w:tcPr>
            <w:tcW w:w="1515" w:type="dxa"/>
          </w:tcPr>
          <w:p w14:paraId="7207C4BF" w14:textId="77777777" w:rsidR="000D7D3D" w:rsidRPr="00635993" w:rsidRDefault="000D7D3D" w:rsidP="007F746A">
            <w:pPr>
              <w:rPr>
                <w:sz w:val="16"/>
              </w:rPr>
            </w:pPr>
            <w:r w:rsidRPr="00635993">
              <w:rPr>
                <w:sz w:val="16"/>
              </w:rPr>
              <w:t>68402</w:t>
            </w:r>
          </w:p>
        </w:tc>
        <w:tc>
          <w:tcPr>
            <w:tcW w:w="4104" w:type="dxa"/>
          </w:tcPr>
          <w:p w14:paraId="2F13C055" w14:textId="77777777" w:rsidR="000D7D3D" w:rsidRPr="00635993" w:rsidRDefault="000D7D3D" w:rsidP="00FB36B8">
            <w:pPr>
              <w:rPr>
                <w:sz w:val="16"/>
                <w:lang w:val="en-US"/>
              </w:rPr>
            </w:pPr>
            <w:r w:rsidRPr="00635993">
              <w:rPr>
                <w:sz w:val="16"/>
                <w:lang w:val="en-US"/>
              </w:rPr>
              <w:t>Peroxiredoxin</w:t>
            </w:r>
          </w:p>
        </w:tc>
      </w:tr>
      <w:tr w:rsidR="000D7D3D" w:rsidRPr="009004F9" w14:paraId="08543F96" w14:textId="77777777" w:rsidTr="002D60C9">
        <w:tc>
          <w:tcPr>
            <w:tcW w:w="4009" w:type="dxa"/>
          </w:tcPr>
          <w:p w14:paraId="0B9A9B47" w14:textId="77777777" w:rsidR="000D7D3D" w:rsidRPr="00635993" w:rsidRDefault="000D7D3D" w:rsidP="003F7054">
            <w:pPr>
              <w:rPr>
                <w:sz w:val="16"/>
              </w:rPr>
            </w:pPr>
            <w:r w:rsidRPr="00635993">
              <w:rPr>
                <w:sz w:val="16"/>
              </w:rPr>
              <w:t>estExt_Genemark1.C_13710001</w:t>
            </w:r>
          </w:p>
        </w:tc>
        <w:tc>
          <w:tcPr>
            <w:tcW w:w="1515" w:type="dxa"/>
          </w:tcPr>
          <w:p w14:paraId="4543A538" w14:textId="77777777" w:rsidR="000D7D3D" w:rsidRPr="00635993" w:rsidRDefault="000D7D3D" w:rsidP="007F746A">
            <w:pPr>
              <w:rPr>
                <w:sz w:val="16"/>
              </w:rPr>
            </w:pPr>
            <w:r w:rsidRPr="00635993">
              <w:rPr>
                <w:sz w:val="16"/>
              </w:rPr>
              <w:t>103617</w:t>
            </w:r>
          </w:p>
        </w:tc>
        <w:tc>
          <w:tcPr>
            <w:tcW w:w="4104" w:type="dxa"/>
          </w:tcPr>
          <w:p w14:paraId="4F26388C" w14:textId="77777777" w:rsidR="000D7D3D" w:rsidRPr="00635993" w:rsidRDefault="000D7D3D" w:rsidP="00FB36B8">
            <w:pPr>
              <w:rPr>
                <w:sz w:val="16"/>
                <w:lang w:val="en-US"/>
              </w:rPr>
            </w:pPr>
            <w:r w:rsidRPr="00635993">
              <w:rPr>
                <w:sz w:val="16"/>
                <w:lang w:val="en-US"/>
              </w:rPr>
              <w:t>Glutamate--cysteine ligase</w:t>
            </w:r>
          </w:p>
        </w:tc>
      </w:tr>
      <w:tr w:rsidR="000D7D3D" w:rsidRPr="009004F9" w14:paraId="093CD2D3" w14:textId="77777777" w:rsidTr="002D60C9">
        <w:tc>
          <w:tcPr>
            <w:tcW w:w="4009" w:type="dxa"/>
          </w:tcPr>
          <w:p w14:paraId="2318001C" w14:textId="77777777" w:rsidR="000D7D3D" w:rsidRPr="00635993" w:rsidRDefault="000D7D3D" w:rsidP="003F7054">
            <w:pPr>
              <w:rPr>
                <w:sz w:val="16"/>
              </w:rPr>
            </w:pPr>
            <w:r w:rsidRPr="00635993">
              <w:rPr>
                <w:sz w:val="16"/>
              </w:rPr>
              <w:t>fgenesh1_kg.12_#_77_#_isotig10433</w:t>
            </w:r>
          </w:p>
        </w:tc>
        <w:tc>
          <w:tcPr>
            <w:tcW w:w="1515" w:type="dxa"/>
          </w:tcPr>
          <w:p w14:paraId="6AC908DD" w14:textId="77777777" w:rsidR="000D7D3D" w:rsidRPr="00635993" w:rsidRDefault="000D7D3D" w:rsidP="007F746A">
            <w:pPr>
              <w:rPr>
                <w:sz w:val="16"/>
              </w:rPr>
            </w:pPr>
            <w:r w:rsidRPr="00635993">
              <w:rPr>
                <w:sz w:val="16"/>
              </w:rPr>
              <w:t>168731</w:t>
            </w:r>
          </w:p>
        </w:tc>
        <w:tc>
          <w:tcPr>
            <w:tcW w:w="4104" w:type="dxa"/>
          </w:tcPr>
          <w:p w14:paraId="3D65E632" w14:textId="77777777" w:rsidR="000D7D3D" w:rsidRPr="00635993" w:rsidRDefault="000D7D3D" w:rsidP="00FB36B8">
            <w:pPr>
              <w:rPr>
                <w:sz w:val="16"/>
                <w:lang w:val="en-US"/>
              </w:rPr>
            </w:pPr>
            <w:r w:rsidRPr="00635993">
              <w:rPr>
                <w:sz w:val="16"/>
                <w:lang w:val="en-US"/>
              </w:rPr>
              <w:t>Digeranylgeranylglyceryl phosphate synthase</w:t>
            </w:r>
          </w:p>
        </w:tc>
      </w:tr>
      <w:tr w:rsidR="000D7D3D" w:rsidRPr="009004F9" w14:paraId="6361FDEC" w14:textId="77777777" w:rsidTr="002D60C9">
        <w:tc>
          <w:tcPr>
            <w:tcW w:w="4009" w:type="dxa"/>
          </w:tcPr>
          <w:p w14:paraId="7D70A724" w14:textId="77777777" w:rsidR="000D7D3D" w:rsidRPr="00635993" w:rsidRDefault="000D7D3D" w:rsidP="003F7054">
            <w:pPr>
              <w:rPr>
                <w:sz w:val="16"/>
              </w:rPr>
            </w:pPr>
            <w:r w:rsidRPr="00635993">
              <w:rPr>
                <w:sz w:val="16"/>
              </w:rPr>
              <w:t>e_gw1.609.7.1</w:t>
            </w:r>
          </w:p>
        </w:tc>
        <w:tc>
          <w:tcPr>
            <w:tcW w:w="1515" w:type="dxa"/>
          </w:tcPr>
          <w:p w14:paraId="65C8FCA6" w14:textId="77777777" w:rsidR="000D7D3D" w:rsidRPr="00635993" w:rsidRDefault="000D7D3D" w:rsidP="007F746A">
            <w:pPr>
              <w:rPr>
                <w:sz w:val="16"/>
              </w:rPr>
            </w:pPr>
            <w:r w:rsidRPr="00635993">
              <w:rPr>
                <w:sz w:val="16"/>
              </w:rPr>
              <w:t>90597</w:t>
            </w:r>
          </w:p>
        </w:tc>
        <w:tc>
          <w:tcPr>
            <w:tcW w:w="4104" w:type="dxa"/>
          </w:tcPr>
          <w:p w14:paraId="6A914DC9" w14:textId="77777777" w:rsidR="000D7D3D" w:rsidRPr="00635993" w:rsidRDefault="000D7D3D" w:rsidP="00FB36B8">
            <w:pPr>
              <w:rPr>
                <w:sz w:val="16"/>
                <w:lang w:val="en-US"/>
              </w:rPr>
            </w:pPr>
            <w:r w:rsidRPr="00635993">
              <w:rPr>
                <w:sz w:val="16"/>
                <w:lang w:val="en-US"/>
              </w:rPr>
              <w:t>Unknown</w:t>
            </w:r>
          </w:p>
        </w:tc>
      </w:tr>
      <w:tr w:rsidR="000D7D3D" w:rsidRPr="009004F9" w14:paraId="2041B9B8" w14:textId="77777777" w:rsidTr="002D60C9">
        <w:tc>
          <w:tcPr>
            <w:tcW w:w="4009" w:type="dxa"/>
          </w:tcPr>
          <w:p w14:paraId="415721C6" w14:textId="77777777" w:rsidR="000D7D3D" w:rsidRPr="00635993" w:rsidRDefault="000D7D3D" w:rsidP="003F7054">
            <w:pPr>
              <w:rPr>
                <w:sz w:val="16"/>
              </w:rPr>
            </w:pPr>
            <w:r w:rsidRPr="00635993">
              <w:rPr>
                <w:sz w:val="16"/>
              </w:rPr>
              <w:t>gw1.865.2.1</w:t>
            </w:r>
          </w:p>
        </w:tc>
        <w:tc>
          <w:tcPr>
            <w:tcW w:w="1515" w:type="dxa"/>
          </w:tcPr>
          <w:p w14:paraId="46B77701" w14:textId="77777777" w:rsidR="000D7D3D" w:rsidRPr="00635993" w:rsidRDefault="000D7D3D" w:rsidP="007F746A">
            <w:pPr>
              <w:rPr>
                <w:sz w:val="16"/>
              </w:rPr>
            </w:pPr>
            <w:r w:rsidRPr="00635993">
              <w:rPr>
                <w:sz w:val="16"/>
              </w:rPr>
              <w:t>51717</w:t>
            </w:r>
          </w:p>
        </w:tc>
        <w:tc>
          <w:tcPr>
            <w:tcW w:w="4104" w:type="dxa"/>
          </w:tcPr>
          <w:p w14:paraId="075D458C" w14:textId="77777777" w:rsidR="000D7D3D" w:rsidRPr="00635993" w:rsidRDefault="000D7D3D" w:rsidP="00FB36B8">
            <w:pPr>
              <w:rPr>
                <w:sz w:val="16"/>
                <w:lang w:val="en-US"/>
              </w:rPr>
            </w:pPr>
            <w:r w:rsidRPr="00635993">
              <w:rPr>
                <w:sz w:val="16"/>
                <w:lang w:val="en-US"/>
              </w:rPr>
              <w:t>TPR domain-containing protein</w:t>
            </w:r>
          </w:p>
        </w:tc>
      </w:tr>
      <w:tr w:rsidR="000D7D3D" w:rsidRPr="009004F9" w14:paraId="1E9E053D" w14:textId="77777777" w:rsidTr="002D60C9">
        <w:tc>
          <w:tcPr>
            <w:tcW w:w="4009" w:type="dxa"/>
          </w:tcPr>
          <w:p w14:paraId="147E819E" w14:textId="77777777" w:rsidR="000D7D3D" w:rsidRPr="00635993" w:rsidRDefault="000D7D3D" w:rsidP="003F7054">
            <w:pPr>
              <w:rPr>
                <w:sz w:val="16"/>
              </w:rPr>
            </w:pPr>
            <w:r w:rsidRPr="00635993">
              <w:rPr>
                <w:sz w:val="16"/>
              </w:rPr>
              <w:t>gw1.6.872.1</w:t>
            </w:r>
          </w:p>
        </w:tc>
        <w:tc>
          <w:tcPr>
            <w:tcW w:w="1515" w:type="dxa"/>
          </w:tcPr>
          <w:p w14:paraId="543F3F99" w14:textId="77777777" w:rsidR="000D7D3D" w:rsidRPr="00635993" w:rsidRDefault="000D7D3D" w:rsidP="007F746A">
            <w:pPr>
              <w:rPr>
                <w:sz w:val="16"/>
              </w:rPr>
            </w:pPr>
            <w:r w:rsidRPr="00635993">
              <w:rPr>
                <w:sz w:val="16"/>
              </w:rPr>
              <w:t>51773</w:t>
            </w:r>
          </w:p>
        </w:tc>
        <w:tc>
          <w:tcPr>
            <w:tcW w:w="4104" w:type="dxa"/>
          </w:tcPr>
          <w:p w14:paraId="1977A913" w14:textId="77777777" w:rsidR="000D7D3D" w:rsidRPr="00635993" w:rsidRDefault="000D7D3D" w:rsidP="00FB36B8">
            <w:pPr>
              <w:rPr>
                <w:sz w:val="16"/>
                <w:lang w:val="en-US"/>
              </w:rPr>
            </w:pPr>
            <w:r w:rsidRPr="00635993">
              <w:rPr>
                <w:sz w:val="16"/>
                <w:lang w:val="en-US"/>
              </w:rPr>
              <w:t>E3 ubiquitin ligase</w:t>
            </w:r>
          </w:p>
        </w:tc>
      </w:tr>
      <w:tr w:rsidR="000D7D3D" w:rsidRPr="009004F9" w14:paraId="7C8356AB" w14:textId="77777777" w:rsidTr="002D60C9">
        <w:tc>
          <w:tcPr>
            <w:tcW w:w="4009" w:type="dxa"/>
          </w:tcPr>
          <w:p w14:paraId="2F3BA5A4" w14:textId="77777777" w:rsidR="000D7D3D" w:rsidRPr="00635993" w:rsidRDefault="000D7D3D" w:rsidP="003F7054">
            <w:pPr>
              <w:rPr>
                <w:sz w:val="16"/>
              </w:rPr>
            </w:pPr>
            <w:r w:rsidRPr="00635993">
              <w:rPr>
                <w:sz w:val="16"/>
              </w:rPr>
              <w:t>fgenesh1_kg.61_#_22_#_isotig12332</w:t>
            </w:r>
          </w:p>
        </w:tc>
        <w:tc>
          <w:tcPr>
            <w:tcW w:w="1515" w:type="dxa"/>
          </w:tcPr>
          <w:p w14:paraId="1E4E4C10" w14:textId="77777777" w:rsidR="000D7D3D" w:rsidRPr="00635993" w:rsidRDefault="000D7D3D" w:rsidP="007F746A">
            <w:pPr>
              <w:rPr>
                <w:sz w:val="16"/>
              </w:rPr>
            </w:pPr>
            <w:r w:rsidRPr="00635993">
              <w:rPr>
                <w:sz w:val="16"/>
              </w:rPr>
              <w:t>171833</w:t>
            </w:r>
          </w:p>
        </w:tc>
        <w:tc>
          <w:tcPr>
            <w:tcW w:w="4104" w:type="dxa"/>
          </w:tcPr>
          <w:p w14:paraId="3CC8C03A" w14:textId="77777777" w:rsidR="000D7D3D" w:rsidRPr="00635993" w:rsidRDefault="000D7D3D" w:rsidP="00FB36B8">
            <w:pPr>
              <w:rPr>
                <w:sz w:val="16"/>
              </w:rPr>
            </w:pPr>
            <w:r w:rsidRPr="00635993">
              <w:rPr>
                <w:sz w:val="16"/>
                <w:lang w:val="en-US"/>
              </w:rPr>
              <w:t>Unknown</w:t>
            </w:r>
          </w:p>
        </w:tc>
      </w:tr>
      <w:tr w:rsidR="000D7D3D" w:rsidRPr="009004F9" w14:paraId="4332B4BE" w14:textId="77777777" w:rsidTr="002D60C9">
        <w:tc>
          <w:tcPr>
            <w:tcW w:w="4009" w:type="dxa"/>
          </w:tcPr>
          <w:p w14:paraId="55A0EA03" w14:textId="77777777" w:rsidR="000D7D3D" w:rsidRPr="00635993" w:rsidRDefault="000D7D3D" w:rsidP="003F7054">
            <w:pPr>
              <w:rPr>
                <w:sz w:val="16"/>
              </w:rPr>
            </w:pPr>
            <w:r w:rsidRPr="00635993">
              <w:rPr>
                <w:sz w:val="16"/>
              </w:rPr>
              <w:t>gm1.12767_g</w:t>
            </w:r>
          </w:p>
        </w:tc>
        <w:tc>
          <w:tcPr>
            <w:tcW w:w="1515" w:type="dxa"/>
          </w:tcPr>
          <w:p w14:paraId="193E53BA" w14:textId="77777777" w:rsidR="000D7D3D" w:rsidRPr="00635993" w:rsidRDefault="000D7D3D" w:rsidP="007F746A">
            <w:pPr>
              <w:rPr>
                <w:sz w:val="16"/>
              </w:rPr>
            </w:pPr>
            <w:r w:rsidRPr="00635993">
              <w:rPr>
                <w:sz w:val="16"/>
              </w:rPr>
              <w:t>18196</w:t>
            </w:r>
          </w:p>
        </w:tc>
        <w:tc>
          <w:tcPr>
            <w:tcW w:w="4104" w:type="dxa"/>
          </w:tcPr>
          <w:p w14:paraId="071EC9DC" w14:textId="77777777" w:rsidR="000D7D3D" w:rsidRPr="00635993" w:rsidRDefault="000D7D3D" w:rsidP="00FB36B8">
            <w:pPr>
              <w:rPr>
                <w:sz w:val="16"/>
              </w:rPr>
            </w:pPr>
            <w:r w:rsidRPr="00635993">
              <w:rPr>
                <w:sz w:val="16"/>
                <w:lang w:val="en-US"/>
              </w:rPr>
              <w:t>Unknown</w:t>
            </w:r>
          </w:p>
        </w:tc>
      </w:tr>
      <w:tr w:rsidR="000D7D3D" w:rsidRPr="009004F9" w14:paraId="31E02760" w14:textId="77777777" w:rsidTr="002D60C9">
        <w:tc>
          <w:tcPr>
            <w:tcW w:w="4009" w:type="dxa"/>
          </w:tcPr>
          <w:p w14:paraId="0B4CC33B" w14:textId="77777777" w:rsidR="000D7D3D" w:rsidRPr="00635993" w:rsidRDefault="000D7D3D" w:rsidP="003F7054">
            <w:pPr>
              <w:rPr>
                <w:sz w:val="16"/>
              </w:rPr>
            </w:pPr>
            <w:r w:rsidRPr="00635993">
              <w:rPr>
                <w:sz w:val="16"/>
              </w:rPr>
              <w:t>fgenesh1_kg.7_#_115_#_isotig05021</w:t>
            </w:r>
          </w:p>
        </w:tc>
        <w:tc>
          <w:tcPr>
            <w:tcW w:w="1515" w:type="dxa"/>
          </w:tcPr>
          <w:p w14:paraId="1AEA589F" w14:textId="77777777" w:rsidR="000D7D3D" w:rsidRPr="00635993" w:rsidRDefault="000D7D3D" w:rsidP="007F746A">
            <w:pPr>
              <w:rPr>
                <w:sz w:val="16"/>
              </w:rPr>
            </w:pPr>
            <w:r w:rsidRPr="00635993">
              <w:rPr>
                <w:sz w:val="16"/>
              </w:rPr>
              <w:t>167434</w:t>
            </w:r>
          </w:p>
        </w:tc>
        <w:tc>
          <w:tcPr>
            <w:tcW w:w="4104" w:type="dxa"/>
          </w:tcPr>
          <w:p w14:paraId="2B56895B" w14:textId="77777777" w:rsidR="000D7D3D" w:rsidRPr="00635993" w:rsidRDefault="000D7D3D" w:rsidP="00FB36B8">
            <w:pPr>
              <w:rPr>
                <w:sz w:val="16"/>
                <w:lang w:val="en-US"/>
              </w:rPr>
            </w:pPr>
            <w:r w:rsidRPr="00635993">
              <w:rPr>
                <w:sz w:val="16"/>
                <w:lang w:val="en-US"/>
              </w:rPr>
              <w:t>Polyamine oxidase</w:t>
            </w:r>
          </w:p>
        </w:tc>
      </w:tr>
      <w:tr w:rsidR="000D7D3D" w:rsidRPr="009004F9" w14:paraId="2846B4B8" w14:textId="77777777" w:rsidTr="002D60C9">
        <w:tc>
          <w:tcPr>
            <w:tcW w:w="4009" w:type="dxa"/>
          </w:tcPr>
          <w:p w14:paraId="7F535401" w14:textId="77777777" w:rsidR="000D7D3D" w:rsidRPr="00635993" w:rsidRDefault="000D7D3D" w:rsidP="003F7054">
            <w:pPr>
              <w:rPr>
                <w:sz w:val="16"/>
              </w:rPr>
            </w:pPr>
            <w:r w:rsidRPr="00635993">
              <w:rPr>
                <w:sz w:val="16"/>
              </w:rPr>
              <w:t>e_gw1.17.251.1</w:t>
            </w:r>
          </w:p>
        </w:tc>
        <w:tc>
          <w:tcPr>
            <w:tcW w:w="1515" w:type="dxa"/>
          </w:tcPr>
          <w:p w14:paraId="3ACAAB2A" w14:textId="77777777" w:rsidR="000D7D3D" w:rsidRPr="00635993" w:rsidRDefault="000D7D3D" w:rsidP="007F746A">
            <w:pPr>
              <w:rPr>
                <w:sz w:val="16"/>
              </w:rPr>
            </w:pPr>
            <w:r w:rsidRPr="00635993">
              <w:rPr>
                <w:sz w:val="16"/>
              </w:rPr>
              <w:t>78006</w:t>
            </w:r>
          </w:p>
        </w:tc>
        <w:tc>
          <w:tcPr>
            <w:tcW w:w="4104" w:type="dxa"/>
          </w:tcPr>
          <w:p w14:paraId="0C154D64" w14:textId="77777777" w:rsidR="000D7D3D" w:rsidRPr="00635993" w:rsidRDefault="000D7D3D" w:rsidP="00FB36B8">
            <w:pPr>
              <w:rPr>
                <w:sz w:val="16"/>
                <w:lang w:val="en-US"/>
              </w:rPr>
            </w:pPr>
            <w:r w:rsidRPr="00635993">
              <w:rPr>
                <w:sz w:val="16"/>
                <w:lang w:val="en-US"/>
              </w:rPr>
              <w:t>TPR domain-containing protein</w:t>
            </w:r>
          </w:p>
        </w:tc>
      </w:tr>
      <w:tr w:rsidR="000D7D3D" w:rsidRPr="009004F9" w14:paraId="5E94C48C" w14:textId="77777777" w:rsidTr="002D60C9">
        <w:tc>
          <w:tcPr>
            <w:tcW w:w="4009" w:type="dxa"/>
          </w:tcPr>
          <w:p w14:paraId="3B8FC3F2" w14:textId="77777777" w:rsidR="000D7D3D" w:rsidRPr="00635993" w:rsidRDefault="000D7D3D" w:rsidP="003F7054">
            <w:pPr>
              <w:rPr>
                <w:sz w:val="16"/>
              </w:rPr>
            </w:pPr>
            <w:r w:rsidRPr="00635993">
              <w:rPr>
                <w:sz w:val="16"/>
              </w:rPr>
              <w:t>fgenesh1_pm.3_#_506</w:t>
            </w:r>
          </w:p>
        </w:tc>
        <w:tc>
          <w:tcPr>
            <w:tcW w:w="1515" w:type="dxa"/>
          </w:tcPr>
          <w:p w14:paraId="155CF13C" w14:textId="77777777" w:rsidR="000D7D3D" w:rsidRPr="00635993" w:rsidRDefault="000D7D3D" w:rsidP="007F746A">
            <w:pPr>
              <w:rPr>
                <w:sz w:val="16"/>
              </w:rPr>
            </w:pPr>
            <w:r w:rsidRPr="00635993">
              <w:rPr>
                <w:sz w:val="16"/>
              </w:rPr>
              <w:t>160985</w:t>
            </w:r>
          </w:p>
        </w:tc>
        <w:tc>
          <w:tcPr>
            <w:tcW w:w="4104" w:type="dxa"/>
          </w:tcPr>
          <w:p w14:paraId="299F47DD" w14:textId="77777777" w:rsidR="000D7D3D" w:rsidRPr="00635993" w:rsidRDefault="000D7D3D" w:rsidP="00FB36B8">
            <w:pPr>
              <w:rPr>
                <w:sz w:val="16"/>
                <w:lang w:val="en-US"/>
              </w:rPr>
            </w:pPr>
            <w:r w:rsidRPr="00635993">
              <w:rPr>
                <w:sz w:val="16"/>
                <w:lang w:val="en-US"/>
              </w:rPr>
              <w:t>Unknown</w:t>
            </w:r>
          </w:p>
        </w:tc>
      </w:tr>
      <w:tr w:rsidR="000D7D3D" w:rsidRPr="009004F9" w14:paraId="243977D6" w14:textId="77777777" w:rsidTr="002D60C9">
        <w:tc>
          <w:tcPr>
            <w:tcW w:w="4009" w:type="dxa"/>
          </w:tcPr>
          <w:p w14:paraId="0C4511D8" w14:textId="77777777" w:rsidR="000D7D3D" w:rsidRPr="00635993" w:rsidRDefault="000D7D3D" w:rsidP="003F7054">
            <w:pPr>
              <w:rPr>
                <w:sz w:val="16"/>
              </w:rPr>
            </w:pPr>
            <w:r w:rsidRPr="00635993">
              <w:rPr>
                <w:sz w:val="16"/>
              </w:rPr>
              <w:t>gm1.9318_g</w:t>
            </w:r>
          </w:p>
        </w:tc>
        <w:tc>
          <w:tcPr>
            <w:tcW w:w="1515" w:type="dxa"/>
          </w:tcPr>
          <w:p w14:paraId="50CA3CEC" w14:textId="77777777" w:rsidR="000D7D3D" w:rsidRPr="00635993" w:rsidRDefault="000D7D3D" w:rsidP="007F746A">
            <w:pPr>
              <w:rPr>
                <w:sz w:val="16"/>
              </w:rPr>
            </w:pPr>
            <w:r w:rsidRPr="00635993">
              <w:rPr>
                <w:sz w:val="16"/>
              </w:rPr>
              <w:t>14747</w:t>
            </w:r>
          </w:p>
        </w:tc>
        <w:tc>
          <w:tcPr>
            <w:tcW w:w="4104" w:type="dxa"/>
          </w:tcPr>
          <w:p w14:paraId="798FFF13" w14:textId="77777777" w:rsidR="000D7D3D" w:rsidRPr="00635993" w:rsidRDefault="000D7D3D" w:rsidP="00FB36B8">
            <w:pPr>
              <w:rPr>
                <w:sz w:val="16"/>
                <w:lang w:val="en-US"/>
              </w:rPr>
            </w:pPr>
            <w:r w:rsidRPr="00635993">
              <w:rPr>
                <w:sz w:val="16"/>
                <w:lang w:val="en-US"/>
              </w:rPr>
              <w:t>Terpenoid synthase</w:t>
            </w:r>
          </w:p>
        </w:tc>
      </w:tr>
      <w:tr w:rsidR="000D7D3D" w:rsidRPr="009004F9" w14:paraId="79DA2A1C" w14:textId="77777777" w:rsidTr="002D60C9">
        <w:tc>
          <w:tcPr>
            <w:tcW w:w="4009" w:type="dxa"/>
          </w:tcPr>
          <w:p w14:paraId="4BB71100" w14:textId="77777777" w:rsidR="000D7D3D" w:rsidRPr="00635993" w:rsidRDefault="000D7D3D" w:rsidP="003F7054">
            <w:pPr>
              <w:rPr>
                <w:sz w:val="16"/>
              </w:rPr>
            </w:pPr>
            <w:r w:rsidRPr="00635993">
              <w:rPr>
                <w:sz w:val="16"/>
              </w:rPr>
              <w:t>gm1.9317_g</w:t>
            </w:r>
          </w:p>
        </w:tc>
        <w:tc>
          <w:tcPr>
            <w:tcW w:w="1515" w:type="dxa"/>
          </w:tcPr>
          <w:p w14:paraId="4914190C" w14:textId="77777777" w:rsidR="000D7D3D" w:rsidRPr="00635993" w:rsidRDefault="000D7D3D" w:rsidP="007F746A">
            <w:pPr>
              <w:rPr>
                <w:sz w:val="16"/>
              </w:rPr>
            </w:pPr>
            <w:r w:rsidRPr="00635993">
              <w:rPr>
                <w:sz w:val="16"/>
              </w:rPr>
              <w:t>14746</w:t>
            </w:r>
          </w:p>
        </w:tc>
        <w:tc>
          <w:tcPr>
            <w:tcW w:w="4104" w:type="dxa"/>
          </w:tcPr>
          <w:p w14:paraId="2311B85A" w14:textId="77777777" w:rsidR="000D7D3D" w:rsidRPr="00635993" w:rsidRDefault="000D7D3D" w:rsidP="00FB36B8">
            <w:pPr>
              <w:rPr>
                <w:sz w:val="16"/>
                <w:lang w:val="en-US"/>
              </w:rPr>
            </w:pPr>
            <w:r w:rsidRPr="00635993">
              <w:rPr>
                <w:sz w:val="16"/>
                <w:lang w:val="en-US"/>
              </w:rPr>
              <w:t>Terpenoid synthase</w:t>
            </w:r>
          </w:p>
        </w:tc>
      </w:tr>
      <w:tr w:rsidR="000D7D3D" w:rsidRPr="009004F9" w14:paraId="390232AB" w14:textId="77777777" w:rsidTr="002D60C9">
        <w:tc>
          <w:tcPr>
            <w:tcW w:w="4009" w:type="dxa"/>
          </w:tcPr>
          <w:p w14:paraId="418E7712" w14:textId="77777777" w:rsidR="000D7D3D" w:rsidRPr="00635993" w:rsidRDefault="000D7D3D" w:rsidP="003F7054">
            <w:pPr>
              <w:rPr>
                <w:sz w:val="16"/>
              </w:rPr>
            </w:pPr>
            <w:r w:rsidRPr="00635993">
              <w:rPr>
                <w:sz w:val="16"/>
              </w:rPr>
              <w:t>estExt_Genewise1Plus.C_420050</w:t>
            </w:r>
          </w:p>
        </w:tc>
        <w:tc>
          <w:tcPr>
            <w:tcW w:w="1515" w:type="dxa"/>
          </w:tcPr>
          <w:p w14:paraId="117AD3F8" w14:textId="77777777" w:rsidR="000D7D3D" w:rsidRPr="00635993" w:rsidRDefault="000D7D3D" w:rsidP="007F746A">
            <w:pPr>
              <w:rPr>
                <w:sz w:val="16"/>
              </w:rPr>
            </w:pPr>
            <w:r w:rsidRPr="00635993">
              <w:rPr>
                <w:sz w:val="16"/>
              </w:rPr>
              <w:t>118137</w:t>
            </w:r>
          </w:p>
        </w:tc>
        <w:tc>
          <w:tcPr>
            <w:tcW w:w="4104" w:type="dxa"/>
          </w:tcPr>
          <w:p w14:paraId="3022902F" w14:textId="77777777" w:rsidR="000D7D3D" w:rsidRPr="00635993" w:rsidRDefault="000D7D3D" w:rsidP="00FB36B8">
            <w:pPr>
              <w:rPr>
                <w:sz w:val="16"/>
                <w:lang w:val="en-US"/>
              </w:rPr>
            </w:pPr>
            <w:r w:rsidRPr="00635993">
              <w:rPr>
                <w:sz w:val="16"/>
                <w:lang w:val="en-US"/>
              </w:rPr>
              <w:t>Cytochrome P450</w:t>
            </w:r>
          </w:p>
        </w:tc>
      </w:tr>
      <w:tr w:rsidR="000D7D3D" w:rsidRPr="009004F9" w14:paraId="49D26AAB" w14:textId="77777777" w:rsidTr="002D60C9">
        <w:tc>
          <w:tcPr>
            <w:tcW w:w="4009" w:type="dxa"/>
          </w:tcPr>
          <w:p w14:paraId="245E8A90" w14:textId="77777777" w:rsidR="000D7D3D" w:rsidRPr="00635993" w:rsidRDefault="000D7D3D" w:rsidP="003F7054">
            <w:pPr>
              <w:rPr>
                <w:sz w:val="16"/>
              </w:rPr>
            </w:pPr>
            <w:r w:rsidRPr="00635993">
              <w:rPr>
                <w:sz w:val="16"/>
              </w:rPr>
              <w:t>fgenesh1_kg.9_#_167_#_AAX51843.1</w:t>
            </w:r>
          </w:p>
        </w:tc>
        <w:tc>
          <w:tcPr>
            <w:tcW w:w="1515" w:type="dxa"/>
          </w:tcPr>
          <w:p w14:paraId="59F671E1" w14:textId="77777777" w:rsidR="000D7D3D" w:rsidRPr="00635993" w:rsidRDefault="000D7D3D" w:rsidP="007F746A">
            <w:pPr>
              <w:rPr>
                <w:sz w:val="16"/>
              </w:rPr>
            </w:pPr>
            <w:r w:rsidRPr="00635993">
              <w:rPr>
                <w:sz w:val="16"/>
              </w:rPr>
              <w:t>168026</w:t>
            </w:r>
          </w:p>
        </w:tc>
        <w:tc>
          <w:tcPr>
            <w:tcW w:w="4104" w:type="dxa"/>
          </w:tcPr>
          <w:p w14:paraId="5E7BAE16" w14:textId="77777777" w:rsidR="000D7D3D" w:rsidRPr="00635993" w:rsidRDefault="000D7D3D" w:rsidP="00FB36B8">
            <w:pPr>
              <w:rPr>
                <w:sz w:val="16"/>
                <w:lang w:val="en-US"/>
              </w:rPr>
            </w:pPr>
            <w:r w:rsidRPr="00635993">
              <w:rPr>
                <w:sz w:val="16"/>
                <w:lang w:val="en-US"/>
              </w:rPr>
              <w:t>Glutamate decarboxylase</w:t>
            </w:r>
          </w:p>
        </w:tc>
      </w:tr>
      <w:tr w:rsidR="000D7D3D" w:rsidRPr="009004F9" w14:paraId="058A8DA8" w14:textId="77777777" w:rsidTr="002D60C9">
        <w:tc>
          <w:tcPr>
            <w:tcW w:w="4009" w:type="dxa"/>
          </w:tcPr>
          <w:p w14:paraId="2852F272" w14:textId="77777777" w:rsidR="000D7D3D" w:rsidRPr="00635993" w:rsidRDefault="000D7D3D" w:rsidP="003F7054">
            <w:pPr>
              <w:rPr>
                <w:sz w:val="16"/>
              </w:rPr>
            </w:pPr>
            <w:r w:rsidRPr="00635993">
              <w:rPr>
                <w:sz w:val="16"/>
              </w:rPr>
              <w:t>fgenesh1_pg.2_#_74</w:t>
            </w:r>
          </w:p>
        </w:tc>
        <w:tc>
          <w:tcPr>
            <w:tcW w:w="1515" w:type="dxa"/>
          </w:tcPr>
          <w:p w14:paraId="112BCE77" w14:textId="77777777" w:rsidR="000D7D3D" w:rsidRPr="00635993" w:rsidRDefault="000D7D3D" w:rsidP="007F746A">
            <w:pPr>
              <w:rPr>
                <w:sz w:val="16"/>
              </w:rPr>
            </w:pPr>
            <w:r w:rsidRPr="00635993">
              <w:rPr>
                <w:sz w:val="16"/>
              </w:rPr>
              <w:t>152508</w:t>
            </w:r>
          </w:p>
        </w:tc>
        <w:tc>
          <w:tcPr>
            <w:tcW w:w="4104" w:type="dxa"/>
          </w:tcPr>
          <w:p w14:paraId="589C76E8" w14:textId="77777777" w:rsidR="000D7D3D" w:rsidRPr="00635993" w:rsidRDefault="000D7D3D" w:rsidP="00FB36B8">
            <w:pPr>
              <w:rPr>
                <w:sz w:val="16"/>
              </w:rPr>
            </w:pPr>
            <w:r w:rsidRPr="00635993">
              <w:rPr>
                <w:sz w:val="16"/>
                <w:lang w:val="en-US"/>
              </w:rPr>
              <w:t>Unknown</w:t>
            </w:r>
          </w:p>
        </w:tc>
      </w:tr>
      <w:tr w:rsidR="000D7D3D" w:rsidRPr="009004F9" w14:paraId="68B8F980" w14:textId="77777777" w:rsidTr="002D60C9">
        <w:tc>
          <w:tcPr>
            <w:tcW w:w="4009" w:type="dxa"/>
          </w:tcPr>
          <w:p w14:paraId="2F6924AC" w14:textId="77777777" w:rsidR="000D7D3D" w:rsidRPr="00635993" w:rsidRDefault="000D7D3D" w:rsidP="003F7054">
            <w:pPr>
              <w:rPr>
                <w:sz w:val="16"/>
              </w:rPr>
            </w:pPr>
            <w:r w:rsidRPr="00635993">
              <w:rPr>
                <w:sz w:val="16"/>
              </w:rPr>
              <w:t>fgenesh1_kg.11_#_69_#_isotig06985</w:t>
            </w:r>
          </w:p>
        </w:tc>
        <w:tc>
          <w:tcPr>
            <w:tcW w:w="1515" w:type="dxa"/>
          </w:tcPr>
          <w:p w14:paraId="6FB0AEA0" w14:textId="77777777" w:rsidR="000D7D3D" w:rsidRPr="00635993" w:rsidRDefault="000D7D3D" w:rsidP="007F746A">
            <w:pPr>
              <w:rPr>
                <w:sz w:val="16"/>
              </w:rPr>
            </w:pPr>
            <w:r w:rsidRPr="00635993">
              <w:rPr>
                <w:sz w:val="16"/>
              </w:rPr>
              <w:t>168505</w:t>
            </w:r>
          </w:p>
        </w:tc>
        <w:tc>
          <w:tcPr>
            <w:tcW w:w="4104" w:type="dxa"/>
          </w:tcPr>
          <w:p w14:paraId="68282FA7" w14:textId="77777777" w:rsidR="000D7D3D" w:rsidRPr="00635993" w:rsidRDefault="000D7D3D" w:rsidP="00FB36B8">
            <w:pPr>
              <w:rPr>
                <w:sz w:val="16"/>
              </w:rPr>
            </w:pPr>
            <w:r w:rsidRPr="00635993">
              <w:rPr>
                <w:sz w:val="16"/>
                <w:lang w:val="en-US"/>
              </w:rPr>
              <w:t>Unknown</w:t>
            </w:r>
          </w:p>
        </w:tc>
      </w:tr>
      <w:tr w:rsidR="000D7D3D" w:rsidRPr="009004F9" w14:paraId="7CCFB759" w14:textId="77777777" w:rsidTr="002D60C9">
        <w:tc>
          <w:tcPr>
            <w:tcW w:w="4009" w:type="dxa"/>
          </w:tcPr>
          <w:p w14:paraId="1B48898E" w14:textId="77777777" w:rsidR="000D7D3D" w:rsidRPr="00635993" w:rsidRDefault="000D7D3D" w:rsidP="003F7054">
            <w:pPr>
              <w:rPr>
                <w:sz w:val="16"/>
              </w:rPr>
            </w:pPr>
            <w:r w:rsidRPr="00635993">
              <w:rPr>
                <w:sz w:val="16"/>
              </w:rPr>
              <w:t>estExt_Genewise1Plus.C_430011</w:t>
            </w:r>
          </w:p>
        </w:tc>
        <w:tc>
          <w:tcPr>
            <w:tcW w:w="1515" w:type="dxa"/>
          </w:tcPr>
          <w:p w14:paraId="48D1CF32" w14:textId="77777777" w:rsidR="000D7D3D" w:rsidRPr="00635993" w:rsidRDefault="000D7D3D" w:rsidP="007F746A">
            <w:pPr>
              <w:rPr>
                <w:sz w:val="16"/>
              </w:rPr>
            </w:pPr>
            <w:r w:rsidRPr="00635993">
              <w:rPr>
                <w:sz w:val="16"/>
              </w:rPr>
              <w:t>118183</w:t>
            </w:r>
          </w:p>
        </w:tc>
        <w:tc>
          <w:tcPr>
            <w:tcW w:w="4104" w:type="dxa"/>
          </w:tcPr>
          <w:p w14:paraId="34069D5D" w14:textId="77777777" w:rsidR="000D7D3D" w:rsidRPr="00635993" w:rsidRDefault="000D7D3D" w:rsidP="00FB36B8">
            <w:pPr>
              <w:rPr>
                <w:sz w:val="16"/>
              </w:rPr>
            </w:pPr>
            <w:r w:rsidRPr="00635993">
              <w:rPr>
                <w:sz w:val="16"/>
                <w:lang w:val="en-US"/>
              </w:rPr>
              <w:t>Unknown</w:t>
            </w:r>
          </w:p>
        </w:tc>
      </w:tr>
      <w:tr w:rsidR="000D7D3D" w:rsidRPr="009004F9" w14:paraId="37983CCA" w14:textId="77777777" w:rsidTr="002D60C9">
        <w:tc>
          <w:tcPr>
            <w:tcW w:w="4009" w:type="dxa"/>
          </w:tcPr>
          <w:p w14:paraId="47B9C4DF" w14:textId="77777777" w:rsidR="000D7D3D" w:rsidRPr="00635993" w:rsidRDefault="000D7D3D" w:rsidP="003F7054">
            <w:pPr>
              <w:rPr>
                <w:sz w:val="16"/>
              </w:rPr>
            </w:pPr>
            <w:r w:rsidRPr="00635993">
              <w:rPr>
                <w:sz w:val="16"/>
              </w:rPr>
              <w:t>estExt_Genemark1.C_420035</w:t>
            </w:r>
          </w:p>
        </w:tc>
        <w:tc>
          <w:tcPr>
            <w:tcW w:w="1515" w:type="dxa"/>
          </w:tcPr>
          <w:p w14:paraId="3CC27C73" w14:textId="77777777" w:rsidR="000D7D3D" w:rsidRPr="00635993" w:rsidRDefault="000D7D3D" w:rsidP="007F746A">
            <w:pPr>
              <w:rPr>
                <w:sz w:val="16"/>
              </w:rPr>
            </w:pPr>
            <w:r w:rsidRPr="00635993">
              <w:rPr>
                <w:sz w:val="16"/>
              </w:rPr>
              <w:t>101234</w:t>
            </w:r>
          </w:p>
        </w:tc>
        <w:tc>
          <w:tcPr>
            <w:tcW w:w="4104" w:type="dxa"/>
          </w:tcPr>
          <w:p w14:paraId="0C2D0EAA" w14:textId="77777777" w:rsidR="000D7D3D" w:rsidRPr="00635993" w:rsidRDefault="000D7D3D" w:rsidP="00FB36B8">
            <w:pPr>
              <w:rPr>
                <w:sz w:val="16"/>
                <w:lang w:val="en-US"/>
              </w:rPr>
            </w:pPr>
            <w:r w:rsidRPr="00635993">
              <w:rPr>
                <w:sz w:val="16"/>
                <w:lang w:val="en-US"/>
              </w:rPr>
              <w:t>Unknown</w:t>
            </w:r>
          </w:p>
        </w:tc>
      </w:tr>
      <w:tr w:rsidR="000D7D3D" w:rsidRPr="009004F9" w14:paraId="3227FCF3" w14:textId="77777777" w:rsidTr="002D60C9">
        <w:tc>
          <w:tcPr>
            <w:tcW w:w="4009" w:type="dxa"/>
          </w:tcPr>
          <w:p w14:paraId="6660F197" w14:textId="77777777" w:rsidR="000D7D3D" w:rsidRPr="00635993" w:rsidRDefault="000D7D3D" w:rsidP="003F7054">
            <w:pPr>
              <w:rPr>
                <w:sz w:val="16"/>
              </w:rPr>
            </w:pPr>
            <w:r w:rsidRPr="00635993">
              <w:rPr>
                <w:sz w:val="16"/>
              </w:rPr>
              <w:t>fgenesh1_kg.28_#_63_#_isotig00513</w:t>
            </w:r>
          </w:p>
        </w:tc>
        <w:tc>
          <w:tcPr>
            <w:tcW w:w="1515" w:type="dxa"/>
          </w:tcPr>
          <w:p w14:paraId="30211063" w14:textId="77777777" w:rsidR="000D7D3D" w:rsidRPr="00635993" w:rsidRDefault="000D7D3D" w:rsidP="007F746A">
            <w:pPr>
              <w:rPr>
                <w:sz w:val="16"/>
              </w:rPr>
            </w:pPr>
            <w:r w:rsidRPr="00635993">
              <w:rPr>
                <w:sz w:val="16"/>
              </w:rPr>
              <w:t>170348</w:t>
            </w:r>
          </w:p>
        </w:tc>
        <w:tc>
          <w:tcPr>
            <w:tcW w:w="4104" w:type="dxa"/>
          </w:tcPr>
          <w:p w14:paraId="7F7E7A55" w14:textId="77777777" w:rsidR="000D7D3D" w:rsidRPr="00635993" w:rsidRDefault="000D7D3D" w:rsidP="00FB36B8">
            <w:pPr>
              <w:rPr>
                <w:sz w:val="16"/>
                <w:lang w:val="en-US"/>
              </w:rPr>
            </w:pPr>
            <w:r w:rsidRPr="00635993">
              <w:rPr>
                <w:sz w:val="16"/>
                <w:lang w:val="en-US"/>
              </w:rPr>
              <w:t>FAD-dependent oxidoreductase</w:t>
            </w:r>
          </w:p>
        </w:tc>
      </w:tr>
      <w:tr w:rsidR="000D7D3D" w:rsidRPr="009004F9" w14:paraId="557ACABF" w14:textId="77777777" w:rsidTr="002D60C9">
        <w:tc>
          <w:tcPr>
            <w:tcW w:w="4009" w:type="dxa"/>
          </w:tcPr>
          <w:p w14:paraId="431FC9AC" w14:textId="77777777" w:rsidR="000D7D3D" w:rsidRPr="00635993" w:rsidRDefault="000D7D3D" w:rsidP="003F7054">
            <w:pPr>
              <w:rPr>
                <w:sz w:val="16"/>
              </w:rPr>
            </w:pPr>
            <w:r w:rsidRPr="00635993">
              <w:rPr>
                <w:sz w:val="16"/>
              </w:rPr>
              <w:t>e_gw1.8.973.1</w:t>
            </w:r>
          </w:p>
        </w:tc>
        <w:tc>
          <w:tcPr>
            <w:tcW w:w="1515" w:type="dxa"/>
          </w:tcPr>
          <w:p w14:paraId="3588ABB1" w14:textId="77777777" w:rsidR="000D7D3D" w:rsidRPr="00635993" w:rsidRDefault="000D7D3D" w:rsidP="007F746A">
            <w:pPr>
              <w:rPr>
                <w:sz w:val="16"/>
              </w:rPr>
            </w:pPr>
            <w:r w:rsidRPr="00635993">
              <w:rPr>
                <w:sz w:val="16"/>
              </w:rPr>
              <w:t>73078</w:t>
            </w:r>
          </w:p>
        </w:tc>
        <w:tc>
          <w:tcPr>
            <w:tcW w:w="4104" w:type="dxa"/>
          </w:tcPr>
          <w:p w14:paraId="572F87D5" w14:textId="77777777" w:rsidR="000D7D3D" w:rsidRPr="00635993" w:rsidRDefault="000D7D3D" w:rsidP="00FB36B8">
            <w:pPr>
              <w:rPr>
                <w:sz w:val="16"/>
                <w:lang w:val="en-US"/>
              </w:rPr>
            </w:pPr>
            <w:r w:rsidRPr="00635993">
              <w:rPr>
                <w:sz w:val="16"/>
                <w:lang w:val="en-US"/>
              </w:rPr>
              <w:t>Kinesin-like protein</w:t>
            </w:r>
          </w:p>
        </w:tc>
      </w:tr>
      <w:tr w:rsidR="000D7D3D" w:rsidRPr="009004F9" w14:paraId="52816A7B" w14:textId="77777777" w:rsidTr="002D60C9">
        <w:tc>
          <w:tcPr>
            <w:tcW w:w="4009" w:type="dxa"/>
          </w:tcPr>
          <w:p w14:paraId="62C0EF74" w14:textId="77777777" w:rsidR="000D7D3D" w:rsidRPr="00635993" w:rsidRDefault="000D7D3D" w:rsidP="003F7054">
            <w:pPr>
              <w:rPr>
                <w:sz w:val="16"/>
              </w:rPr>
            </w:pPr>
            <w:r w:rsidRPr="00635993">
              <w:rPr>
                <w:sz w:val="16"/>
              </w:rPr>
              <w:t>fgenesh1_kg.40_#_38_#_isotig03934</w:t>
            </w:r>
          </w:p>
        </w:tc>
        <w:tc>
          <w:tcPr>
            <w:tcW w:w="1515" w:type="dxa"/>
          </w:tcPr>
          <w:p w14:paraId="1EAF2ED4" w14:textId="77777777" w:rsidR="000D7D3D" w:rsidRPr="00635993" w:rsidRDefault="000D7D3D" w:rsidP="007F746A">
            <w:pPr>
              <w:rPr>
                <w:sz w:val="16"/>
              </w:rPr>
            </w:pPr>
            <w:r w:rsidRPr="00635993">
              <w:rPr>
                <w:sz w:val="16"/>
              </w:rPr>
              <w:t>171115</w:t>
            </w:r>
          </w:p>
        </w:tc>
        <w:tc>
          <w:tcPr>
            <w:tcW w:w="4104" w:type="dxa"/>
          </w:tcPr>
          <w:p w14:paraId="41A42DE4" w14:textId="77777777" w:rsidR="000D7D3D" w:rsidRPr="00635993" w:rsidRDefault="000D7D3D" w:rsidP="00FB36B8">
            <w:pPr>
              <w:rPr>
                <w:sz w:val="16"/>
                <w:lang w:val="en-US"/>
              </w:rPr>
            </w:pPr>
            <w:r w:rsidRPr="00635993">
              <w:rPr>
                <w:sz w:val="16"/>
                <w:lang w:val="en-US"/>
              </w:rPr>
              <w:t>Cytochrome P450</w:t>
            </w:r>
          </w:p>
        </w:tc>
      </w:tr>
      <w:tr w:rsidR="000D7D3D" w:rsidRPr="009004F9" w14:paraId="08F17068" w14:textId="77777777" w:rsidTr="002D60C9">
        <w:tc>
          <w:tcPr>
            <w:tcW w:w="4009" w:type="dxa"/>
          </w:tcPr>
          <w:p w14:paraId="49DEC4AE" w14:textId="77777777" w:rsidR="000D7D3D" w:rsidRPr="00635993" w:rsidRDefault="000D7D3D" w:rsidP="003F7054">
            <w:pPr>
              <w:rPr>
                <w:sz w:val="16"/>
              </w:rPr>
            </w:pPr>
            <w:r w:rsidRPr="00635993">
              <w:rPr>
                <w:sz w:val="16"/>
              </w:rPr>
              <w:lastRenderedPageBreak/>
              <w:t>estExt_Genewise1Plus.C_2_t30278</w:t>
            </w:r>
          </w:p>
        </w:tc>
        <w:tc>
          <w:tcPr>
            <w:tcW w:w="1515" w:type="dxa"/>
          </w:tcPr>
          <w:p w14:paraId="022C1271" w14:textId="77777777" w:rsidR="000D7D3D" w:rsidRPr="00635993" w:rsidRDefault="000D7D3D" w:rsidP="007F746A">
            <w:pPr>
              <w:rPr>
                <w:sz w:val="16"/>
              </w:rPr>
            </w:pPr>
            <w:r w:rsidRPr="00635993">
              <w:rPr>
                <w:sz w:val="16"/>
              </w:rPr>
              <w:t>107074</w:t>
            </w:r>
          </w:p>
        </w:tc>
        <w:tc>
          <w:tcPr>
            <w:tcW w:w="4104" w:type="dxa"/>
          </w:tcPr>
          <w:p w14:paraId="6FCC3A9C" w14:textId="77777777" w:rsidR="000D7D3D" w:rsidRPr="00635993" w:rsidRDefault="000D7D3D" w:rsidP="00FB36B8">
            <w:pPr>
              <w:rPr>
                <w:sz w:val="16"/>
                <w:lang w:val="en-US"/>
              </w:rPr>
            </w:pPr>
            <w:r w:rsidRPr="00635993">
              <w:rPr>
                <w:sz w:val="16"/>
                <w:lang w:val="en-US"/>
              </w:rPr>
              <w:t>P-loop containing nucleoside triphosphate hydrolase</w:t>
            </w:r>
          </w:p>
        </w:tc>
      </w:tr>
      <w:tr w:rsidR="000D7D3D" w:rsidRPr="009004F9" w14:paraId="7BBFF2EB" w14:textId="77777777" w:rsidTr="002D60C9">
        <w:tc>
          <w:tcPr>
            <w:tcW w:w="4009" w:type="dxa"/>
          </w:tcPr>
          <w:p w14:paraId="31720865" w14:textId="77777777" w:rsidR="000D7D3D" w:rsidRPr="00635993" w:rsidRDefault="000D7D3D" w:rsidP="003F7054">
            <w:pPr>
              <w:rPr>
                <w:sz w:val="16"/>
              </w:rPr>
            </w:pPr>
            <w:r w:rsidRPr="00635993">
              <w:rPr>
                <w:sz w:val="16"/>
              </w:rPr>
              <w:t>fgenesh1_kg.6_#_47_#_isotig11298</w:t>
            </w:r>
          </w:p>
        </w:tc>
        <w:tc>
          <w:tcPr>
            <w:tcW w:w="1515" w:type="dxa"/>
          </w:tcPr>
          <w:p w14:paraId="7EB8D085" w14:textId="77777777" w:rsidR="000D7D3D" w:rsidRPr="00635993" w:rsidRDefault="000D7D3D" w:rsidP="007F746A">
            <w:pPr>
              <w:rPr>
                <w:sz w:val="16"/>
              </w:rPr>
            </w:pPr>
            <w:r w:rsidRPr="00635993">
              <w:rPr>
                <w:sz w:val="16"/>
              </w:rPr>
              <w:t>167079</w:t>
            </w:r>
          </w:p>
        </w:tc>
        <w:tc>
          <w:tcPr>
            <w:tcW w:w="4104" w:type="dxa"/>
          </w:tcPr>
          <w:p w14:paraId="1324899C" w14:textId="77777777" w:rsidR="000D7D3D" w:rsidRPr="00635993" w:rsidRDefault="000D7D3D" w:rsidP="00FB36B8">
            <w:pPr>
              <w:rPr>
                <w:sz w:val="16"/>
                <w:lang w:val="en-US"/>
              </w:rPr>
            </w:pPr>
            <w:r w:rsidRPr="00635993">
              <w:rPr>
                <w:sz w:val="16"/>
                <w:lang w:val="en-US"/>
              </w:rPr>
              <w:t>Unknown</w:t>
            </w:r>
          </w:p>
        </w:tc>
      </w:tr>
      <w:tr w:rsidR="000D7D3D" w:rsidRPr="009004F9" w14:paraId="64C11B6F" w14:textId="77777777" w:rsidTr="002D60C9">
        <w:tc>
          <w:tcPr>
            <w:tcW w:w="4009" w:type="dxa"/>
          </w:tcPr>
          <w:p w14:paraId="0DD72BFE" w14:textId="77777777" w:rsidR="000D7D3D" w:rsidRPr="00635993" w:rsidRDefault="000D7D3D" w:rsidP="003F7054">
            <w:pPr>
              <w:rPr>
                <w:sz w:val="16"/>
              </w:rPr>
            </w:pPr>
            <w:r w:rsidRPr="00635993">
              <w:rPr>
                <w:sz w:val="16"/>
              </w:rPr>
              <w:t>fgenesh1_kg.470_#_1_#_isotig05939</w:t>
            </w:r>
          </w:p>
        </w:tc>
        <w:tc>
          <w:tcPr>
            <w:tcW w:w="1515" w:type="dxa"/>
          </w:tcPr>
          <w:p w14:paraId="12BF6440" w14:textId="77777777" w:rsidR="000D7D3D" w:rsidRPr="00635993" w:rsidRDefault="000D7D3D" w:rsidP="007F746A">
            <w:pPr>
              <w:rPr>
                <w:sz w:val="16"/>
              </w:rPr>
            </w:pPr>
            <w:r w:rsidRPr="00635993">
              <w:rPr>
                <w:sz w:val="16"/>
              </w:rPr>
              <w:t>173304</w:t>
            </w:r>
          </w:p>
        </w:tc>
        <w:tc>
          <w:tcPr>
            <w:tcW w:w="4104" w:type="dxa"/>
          </w:tcPr>
          <w:p w14:paraId="5375AED6" w14:textId="77777777" w:rsidR="000D7D3D" w:rsidRPr="00635993" w:rsidRDefault="000D7D3D" w:rsidP="00FB36B8">
            <w:pPr>
              <w:rPr>
                <w:sz w:val="16"/>
                <w:lang w:val="en-US"/>
              </w:rPr>
            </w:pPr>
            <w:r w:rsidRPr="00635993">
              <w:rPr>
                <w:sz w:val="16"/>
                <w:lang w:val="en-US"/>
              </w:rPr>
              <w:t>Alpha/beta-hydrolase</w:t>
            </w:r>
          </w:p>
        </w:tc>
      </w:tr>
      <w:tr w:rsidR="000D7D3D" w:rsidRPr="009004F9" w14:paraId="6C1EB015" w14:textId="77777777" w:rsidTr="002D60C9">
        <w:tc>
          <w:tcPr>
            <w:tcW w:w="4009" w:type="dxa"/>
          </w:tcPr>
          <w:p w14:paraId="5F466D67" w14:textId="77777777" w:rsidR="000D7D3D" w:rsidRPr="00635993" w:rsidRDefault="000D7D3D" w:rsidP="003F7054">
            <w:pPr>
              <w:rPr>
                <w:sz w:val="16"/>
              </w:rPr>
            </w:pPr>
            <w:r w:rsidRPr="00635993">
              <w:rPr>
                <w:sz w:val="16"/>
              </w:rPr>
              <w:t>fgenesh1_kg.1_#_553_#_isotig09286</w:t>
            </w:r>
          </w:p>
        </w:tc>
        <w:tc>
          <w:tcPr>
            <w:tcW w:w="1515" w:type="dxa"/>
          </w:tcPr>
          <w:p w14:paraId="2BE000D4" w14:textId="77777777" w:rsidR="000D7D3D" w:rsidRPr="00635993" w:rsidRDefault="000D7D3D" w:rsidP="007F746A">
            <w:pPr>
              <w:rPr>
                <w:sz w:val="16"/>
              </w:rPr>
            </w:pPr>
            <w:r w:rsidRPr="00635993">
              <w:rPr>
                <w:sz w:val="16"/>
              </w:rPr>
              <w:t>165385</w:t>
            </w:r>
          </w:p>
        </w:tc>
        <w:tc>
          <w:tcPr>
            <w:tcW w:w="4104" w:type="dxa"/>
          </w:tcPr>
          <w:p w14:paraId="4B8C9AE2" w14:textId="77777777" w:rsidR="000D7D3D" w:rsidRPr="00635993" w:rsidRDefault="000D7D3D" w:rsidP="00FB36B8">
            <w:pPr>
              <w:rPr>
                <w:sz w:val="16"/>
                <w:lang w:val="en-US"/>
              </w:rPr>
            </w:pPr>
            <w:r w:rsidRPr="00635993">
              <w:rPr>
                <w:sz w:val="16"/>
                <w:lang w:val="en-US"/>
              </w:rPr>
              <w:t>FAD-linked oxidoreductase</w:t>
            </w:r>
          </w:p>
        </w:tc>
      </w:tr>
      <w:tr w:rsidR="000D7D3D" w:rsidRPr="009004F9" w14:paraId="29E4DF95" w14:textId="77777777" w:rsidTr="002D60C9">
        <w:tc>
          <w:tcPr>
            <w:tcW w:w="4009" w:type="dxa"/>
          </w:tcPr>
          <w:p w14:paraId="7056099E" w14:textId="77777777" w:rsidR="000D7D3D" w:rsidRPr="00635993" w:rsidRDefault="000D7D3D" w:rsidP="003F7054">
            <w:pPr>
              <w:rPr>
                <w:sz w:val="16"/>
              </w:rPr>
            </w:pPr>
            <w:r w:rsidRPr="00635993">
              <w:rPr>
                <w:sz w:val="16"/>
              </w:rPr>
              <w:t>gm1.5728_g</w:t>
            </w:r>
          </w:p>
        </w:tc>
        <w:tc>
          <w:tcPr>
            <w:tcW w:w="1515" w:type="dxa"/>
          </w:tcPr>
          <w:p w14:paraId="2FBBD322" w14:textId="77777777" w:rsidR="000D7D3D" w:rsidRPr="00635993" w:rsidRDefault="000D7D3D" w:rsidP="007F746A">
            <w:pPr>
              <w:rPr>
                <w:sz w:val="16"/>
              </w:rPr>
            </w:pPr>
            <w:r w:rsidRPr="00635993">
              <w:rPr>
                <w:sz w:val="16"/>
              </w:rPr>
              <w:t>11157</w:t>
            </w:r>
          </w:p>
        </w:tc>
        <w:tc>
          <w:tcPr>
            <w:tcW w:w="4104" w:type="dxa"/>
          </w:tcPr>
          <w:p w14:paraId="539F8602" w14:textId="77777777" w:rsidR="000D7D3D" w:rsidRPr="00635993" w:rsidRDefault="000D7D3D" w:rsidP="00FB36B8">
            <w:pPr>
              <w:rPr>
                <w:sz w:val="16"/>
                <w:lang w:val="en-US"/>
              </w:rPr>
            </w:pPr>
            <w:r w:rsidRPr="00635993">
              <w:rPr>
                <w:sz w:val="16"/>
                <w:lang w:val="en-US"/>
              </w:rPr>
              <w:t>Unknown</w:t>
            </w:r>
          </w:p>
        </w:tc>
      </w:tr>
      <w:tr w:rsidR="000D7D3D" w:rsidRPr="009004F9" w14:paraId="26A7DB65" w14:textId="77777777" w:rsidTr="002D60C9">
        <w:tc>
          <w:tcPr>
            <w:tcW w:w="4009" w:type="dxa"/>
          </w:tcPr>
          <w:p w14:paraId="4C621D56" w14:textId="77777777" w:rsidR="000D7D3D" w:rsidRPr="00635993" w:rsidRDefault="000D7D3D" w:rsidP="003F7054">
            <w:pPr>
              <w:rPr>
                <w:sz w:val="16"/>
              </w:rPr>
            </w:pPr>
            <w:r w:rsidRPr="00635993">
              <w:rPr>
                <w:sz w:val="16"/>
              </w:rPr>
              <w:t>e_gw1.8.698.1</w:t>
            </w:r>
          </w:p>
        </w:tc>
        <w:tc>
          <w:tcPr>
            <w:tcW w:w="1515" w:type="dxa"/>
          </w:tcPr>
          <w:p w14:paraId="6B0C4DA6" w14:textId="77777777" w:rsidR="000D7D3D" w:rsidRPr="00635993" w:rsidRDefault="000D7D3D" w:rsidP="007F746A">
            <w:pPr>
              <w:rPr>
                <w:sz w:val="16"/>
              </w:rPr>
            </w:pPr>
            <w:r w:rsidRPr="00635993">
              <w:rPr>
                <w:sz w:val="16"/>
              </w:rPr>
              <w:t>72987</w:t>
            </w:r>
          </w:p>
        </w:tc>
        <w:tc>
          <w:tcPr>
            <w:tcW w:w="4104" w:type="dxa"/>
          </w:tcPr>
          <w:p w14:paraId="520BB83D" w14:textId="77777777" w:rsidR="000D7D3D" w:rsidRPr="00635993" w:rsidRDefault="000D7D3D" w:rsidP="00FB36B8">
            <w:pPr>
              <w:rPr>
                <w:sz w:val="16"/>
                <w:lang w:val="en-US"/>
              </w:rPr>
            </w:pPr>
            <w:r w:rsidRPr="00635993">
              <w:rPr>
                <w:sz w:val="16"/>
                <w:lang w:val="en-US"/>
              </w:rPr>
              <w:t>Unknown</w:t>
            </w:r>
          </w:p>
        </w:tc>
      </w:tr>
      <w:tr w:rsidR="000D7D3D" w:rsidRPr="009004F9" w14:paraId="53B09744" w14:textId="77777777" w:rsidTr="002D60C9">
        <w:tc>
          <w:tcPr>
            <w:tcW w:w="4009" w:type="dxa"/>
          </w:tcPr>
          <w:p w14:paraId="1098865D" w14:textId="77777777" w:rsidR="000D7D3D" w:rsidRPr="00635993" w:rsidRDefault="000D7D3D" w:rsidP="003F7054">
            <w:pPr>
              <w:rPr>
                <w:sz w:val="16"/>
              </w:rPr>
            </w:pPr>
            <w:r w:rsidRPr="00635993">
              <w:rPr>
                <w:sz w:val="16"/>
              </w:rPr>
              <w:t>e_gw1.10.644.1</w:t>
            </w:r>
          </w:p>
        </w:tc>
        <w:tc>
          <w:tcPr>
            <w:tcW w:w="1515" w:type="dxa"/>
          </w:tcPr>
          <w:p w14:paraId="46675B00" w14:textId="77777777" w:rsidR="000D7D3D" w:rsidRPr="00635993" w:rsidRDefault="000D7D3D" w:rsidP="007F746A">
            <w:pPr>
              <w:rPr>
                <w:sz w:val="16"/>
              </w:rPr>
            </w:pPr>
            <w:r w:rsidRPr="00635993">
              <w:rPr>
                <w:sz w:val="16"/>
              </w:rPr>
              <w:t>74581</w:t>
            </w:r>
          </w:p>
        </w:tc>
        <w:tc>
          <w:tcPr>
            <w:tcW w:w="4104" w:type="dxa"/>
          </w:tcPr>
          <w:p w14:paraId="061AF834" w14:textId="77777777" w:rsidR="000D7D3D" w:rsidRPr="00635993" w:rsidRDefault="000D7D3D" w:rsidP="00FB36B8">
            <w:pPr>
              <w:rPr>
                <w:sz w:val="16"/>
                <w:lang w:val="en-US"/>
              </w:rPr>
            </w:pPr>
            <w:r w:rsidRPr="00635993">
              <w:rPr>
                <w:sz w:val="16"/>
                <w:lang w:val="en-US"/>
              </w:rPr>
              <w:t>Aspartate transaminase</w:t>
            </w:r>
          </w:p>
        </w:tc>
      </w:tr>
      <w:tr w:rsidR="000D7D3D" w:rsidRPr="009004F9" w14:paraId="1A48FBDF" w14:textId="77777777" w:rsidTr="002D60C9">
        <w:tc>
          <w:tcPr>
            <w:tcW w:w="4009" w:type="dxa"/>
          </w:tcPr>
          <w:p w14:paraId="38A7E445" w14:textId="77777777" w:rsidR="000D7D3D" w:rsidRPr="00635993" w:rsidRDefault="000D7D3D" w:rsidP="003F7054">
            <w:pPr>
              <w:rPr>
                <w:sz w:val="16"/>
              </w:rPr>
            </w:pPr>
            <w:r w:rsidRPr="00635993">
              <w:rPr>
                <w:sz w:val="16"/>
              </w:rPr>
              <w:t>estExt_Genewise1Plus.C_730010</w:t>
            </w:r>
          </w:p>
        </w:tc>
        <w:tc>
          <w:tcPr>
            <w:tcW w:w="1515" w:type="dxa"/>
          </w:tcPr>
          <w:p w14:paraId="1BECF95E" w14:textId="77777777" w:rsidR="000D7D3D" w:rsidRPr="00635993" w:rsidRDefault="000D7D3D" w:rsidP="007F746A">
            <w:pPr>
              <w:rPr>
                <w:sz w:val="16"/>
              </w:rPr>
            </w:pPr>
            <w:r w:rsidRPr="00635993">
              <w:rPr>
                <w:sz w:val="16"/>
              </w:rPr>
              <w:t>119273</w:t>
            </w:r>
          </w:p>
        </w:tc>
        <w:tc>
          <w:tcPr>
            <w:tcW w:w="4104" w:type="dxa"/>
          </w:tcPr>
          <w:p w14:paraId="6D275DDE" w14:textId="77777777" w:rsidR="000D7D3D" w:rsidRPr="00635993" w:rsidRDefault="000D7D3D" w:rsidP="00FB36B8">
            <w:pPr>
              <w:rPr>
                <w:sz w:val="16"/>
              </w:rPr>
            </w:pPr>
            <w:r w:rsidRPr="00635993">
              <w:rPr>
                <w:sz w:val="16"/>
              </w:rPr>
              <w:t>WD40 domain-containing protein</w:t>
            </w:r>
          </w:p>
        </w:tc>
      </w:tr>
      <w:tr w:rsidR="000D7D3D" w:rsidRPr="009004F9" w14:paraId="5F537B0F" w14:textId="77777777" w:rsidTr="002D60C9">
        <w:tc>
          <w:tcPr>
            <w:tcW w:w="4009" w:type="dxa"/>
          </w:tcPr>
          <w:p w14:paraId="7CF354FA" w14:textId="77777777" w:rsidR="000D7D3D" w:rsidRPr="00635993" w:rsidRDefault="000D7D3D" w:rsidP="003F7054">
            <w:pPr>
              <w:rPr>
                <w:sz w:val="16"/>
              </w:rPr>
            </w:pPr>
            <w:r w:rsidRPr="00635993">
              <w:rPr>
                <w:sz w:val="16"/>
              </w:rPr>
              <w:t>e_gw1.1.834.1</w:t>
            </w:r>
          </w:p>
        </w:tc>
        <w:tc>
          <w:tcPr>
            <w:tcW w:w="1515" w:type="dxa"/>
          </w:tcPr>
          <w:p w14:paraId="1E0FF927" w14:textId="77777777" w:rsidR="000D7D3D" w:rsidRPr="00635993" w:rsidRDefault="000D7D3D" w:rsidP="007F746A">
            <w:pPr>
              <w:rPr>
                <w:sz w:val="16"/>
              </w:rPr>
            </w:pPr>
            <w:r w:rsidRPr="00635993">
              <w:rPr>
                <w:sz w:val="16"/>
              </w:rPr>
              <w:t>65306</w:t>
            </w:r>
          </w:p>
        </w:tc>
        <w:tc>
          <w:tcPr>
            <w:tcW w:w="4104" w:type="dxa"/>
          </w:tcPr>
          <w:p w14:paraId="65D60A3C" w14:textId="77777777" w:rsidR="000D7D3D" w:rsidRPr="00635993" w:rsidRDefault="000D7D3D" w:rsidP="00FB36B8">
            <w:pPr>
              <w:rPr>
                <w:sz w:val="16"/>
                <w:lang w:val="en-US"/>
              </w:rPr>
            </w:pPr>
            <w:r w:rsidRPr="00635993">
              <w:rPr>
                <w:sz w:val="16"/>
                <w:lang w:val="en-US"/>
              </w:rPr>
              <w:t>Unknown</w:t>
            </w:r>
          </w:p>
        </w:tc>
      </w:tr>
      <w:tr w:rsidR="000D7D3D" w:rsidRPr="009004F9" w14:paraId="553B2DDB" w14:textId="77777777" w:rsidTr="002D60C9">
        <w:tc>
          <w:tcPr>
            <w:tcW w:w="4009" w:type="dxa"/>
          </w:tcPr>
          <w:p w14:paraId="20A4D16F" w14:textId="77777777" w:rsidR="000D7D3D" w:rsidRPr="00635993" w:rsidRDefault="000D7D3D" w:rsidP="003F7054">
            <w:pPr>
              <w:rPr>
                <w:sz w:val="16"/>
              </w:rPr>
            </w:pPr>
            <w:r w:rsidRPr="00635993">
              <w:rPr>
                <w:sz w:val="16"/>
              </w:rPr>
              <w:t>fgenesh1_kg.13_#_171_#_isotig09404</w:t>
            </w:r>
          </w:p>
        </w:tc>
        <w:tc>
          <w:tcPr>
            <w:tcW w:w="1515" w:type="dxa"/>
          </w:tcPr>
          <w:p w14:paraId="6E0340C6" w14:textId="77777777" w:rsidR="000D7D3D" w:rsidRPr="00635993" w:rsidRDefault="000D7D3D" w:rsidP="007F746A">
            <w:pPr>
              <w:rPr>
                <w:sz w:val="16"/>
              </w:rPr>
            </w:pPr>
            <w:r w:rsidRPr="00635993">
              <w:rPr>
                <w:sz w:val="16"/>
              </w:rPr>
              <w:t>168940</w:t>
            </w:r>
          </w:p>
        </w:tc>
        <w:tc>
          <w:tcPr>
            <w:tcW w:w="4104" w:type="dxa"/>
          </w:tcPr>
          <w:p w14:paraId="0DD8E7A4" w14:textId="77777777" w:rsidR="000D7D3D" w:rsidRPr="00635993" w:rsidRDefault="000D7D3D" w:rsidP="00FB36B8">
            <w:pPr>
              <w:rPr>
                <w:sz w:val="16"/>
                <w:lang w:val="en-US"/>
              </w:rPr>
            </w:pPr>
            <w:r w:rsidRPr="00635993">
              <w:rPr>
                <w:sz w:val="16"/>
                <w:lang w:val="en-US"/>
              </w:rPr>
              <w:t>Cytochrome P450</w:t>
            </w:r>
          </w:p>
        </w:tc>
      </w:tr>
      <w:tr w:rsidR="000D7D3D" w:rsidRPr="009004F9" w14:paraId="2C5CB177" w14:textId="77777777" w:rsidTr="002D60C9">
        <w:tc>
          <w:tcPr>
            <w:tcW w:w="4009" w:type="dxa"/>
          </w:tcPr>
          <w:p w14:paraId="5A5B1C00" w14:textId="77777777" w:rsidR="000D7D3D" w:rsidRPr="00635993" w:rsidRDefault="000D7D3D" w:rsidP="003F7054">
            <w:pPr>
              <w:rPr>
                <w:sz w:val="16"/>
              </w:rPr>
            </w:pPr>
            <w:r w:rsidRPr="00635993">
              <w:rPr>
                <w:sz w:val="16"/>
              </w:rPr>
              <w:t>e_gw1.469.1.1</w:t>
            </w:r>
          </w:p>
        </w:tc>
        <w:tc>
          <w:tcPr>
            <w:tcW w:w="1515" w:type="dxa"/>
          </w:tcPr>
          <w:p w14:paraId="744E05FC" w14:textId="77777777" w:rsidR="000D7D3D" w:rsidRPr="00635993" w:rsidRDefault="000D7D3D" w:rsidP="007F746A">
            <w:pPr>
              <w:rPr>
                <w:sz w:val="16"/>
              </w:rPr>
            </w:pPr>
            <w:r w:rsidRPr="00635993">
              <w:rPr>
                <w:sz w:val="16"/>
              </w:rPr>
              <w:t>89864</w:t>
            </w:r>
          </w:p>
        </w:tc>
        <w:tc>
          <w:tcPr>
            <w:tcW w:w="4104" w:type="dxa"/>
          </w:tcPr>
          <w:p w14:paraId="70489A84" w14:textId="77777777" w:rsidR="000D7D3D" w:rsidRPr="00635993" w:rsidRDefault="000D7D3D" w:rsidP="00FB36B8">
            <w:pPr>
              <w:rPr>
                <w:sz w:val="16"/>
                <w:lang w:val="en-US"/>
              </w:rPr>
            </w:pPr>
            <w:r w:rsidRPr="00635993">
              <w:rPr>
                <w:sz w:val="16"/>
                <w:lang w:val="en-US"/>
              </w:rPr>
              <w:t>Unknown</w:t>
            </w:r>
          </w:p>
        </w:tc>
      </w:tr>
      <w:tr w:rsidR="000D7D3D" w:rsidRPr="009004F9" w14:paraId="425EDA7F" w14:textId="77777777" w:rsidTr="002D60C9">
        <w:tc>
          <w:tcPr>
            <w:tcW w:w="4009" w:type="dxa"/>
          </w:tcPr>
          <w:p w14:paraId="7B10F147" w14:textId="77777777" w:rsidR="000D7D3D" w:rsidRPr="00635993" w:rsidRDefault="000D7D3D" w:rsidP="003F7054">
            <w:pPr>
              <w:rPr>
                <w:sz w:val="16"/>
              </w:rPr>
            </w:pPr>
            <w:r w:rsidRPr="00635993">
              <w:rPr>
                <w:sz w:val="16"/>
              </w:rPr>
              <w:t>estExt_Genemark1.C_13190001</w:t>
            </w:r>
          </w:p>
        </w:tc>
        <w:tc>
          <w:tcPr>
            <w:tcW w:w="1515" w:type="dxa"/>
          </w:tcPr>
          <w:p w14:paraId="540522D5" w14:textId="77777777" w:rsidR="000D7D3D" w:rsidRPr="00635993" w:rsidRDefault="000D7D3D" w:rsidP="007F746A">
            <w:pPr>
              <w:rPr>
                <w:sz w:val="16"/>
              </w:rPr>
            </w:pPr>
            <w:r w:rsidRPr="00635993">
              <w:rPr>
                <w:sz w:val="16"/>
              </w:rPr>
              <w:t>103592</w:t>
            </w:r>
          </w:p>
        </w:tc>
        <w:tc>
          <w:tcPr>
            <w:tcW w:w="4104" w:type="dxa"/>
          </w:tcPr>
          <w:p w14:paraId="641630E6" w14:textId="77777777" w:rsidR="000D7D3D" w:rsidRPr="00635993" w:rsidRDefault="000D7D3D" w:rsidP="00FB36B8">
            <w:pPr>
              <w:rPr>
                <w:sz w:val="16"/>
                <w:lang w:val="en-US"/>
              </w:rPr>
            </w:pPr>
            <w:r w:rsidRPr="00635993">
              <w:rPr>
                <w:sz w:val="16"/>
                <w:lang w:val="en-US"/>
              </w:rPr>
              <w:t>MFS general substrate transporter</w:t>
            </w:r>
          </w:p>
        </w:tc>
      </w:tr>
      <w:tr w:rsidR="000D7D3D" w:rsidRPr="009004F9" w14:paraId="7319A9D7" w14:textId="77777777" w:rsidTr="002D60C9">
        <w:tc>
          <w:tcPr>
            <w:tcW w:w="4009" w:type="dxa"/>
          </w:tcPr>
          <w:p w14:paraId="4BF1060A" w14:textId="77777777" w:rsidR="000D7D3D" w:rsidRPr="00635993" w:rsidRDefault="000D7D3D" w:rsidP="003F7054">
            <w:pPr>
              <w:rPr>
                <w:sz w:val="16"/>
              </w:rPr>
            </w:pPr>
            <w:r w:rsidRPr="00635993">
              <w:rPr>
                <w:sz w:val="16"/>
              </w:rPr>
              <w:t>fgenesh1_kg.8_#_41_#_isotig01622</w:t>
            </w:r>
          </w:p>
        </w:tc>
        <w:tc>
          <w:tcPr>
            <w:tcW w:w="1515" w:type="dxa"/>
          </w:tcPr>
          <w:p w14:paraId="7881878B" w14:textId="77777777" w:rsidR="000D7D3D" w:rsidRPr="00635993" w:rsidRDefault="000D7D3D" w:rsidP="007F746A">
            <w:pPr>
              <w:rPr>
                <w:sz w:val="16"/>
              </w:rPr>
            </w:pPr>
            <w:r w:rsidRPr="00635993">
              <w:rPr>
                <w:sz w:val="16"/>
              </w:rPr>
              <w:t>167584</w:t>
            </w:r>
          </w:p>
        </w:tc>
        <w:tc>
          <w:tcPr>
            <w:tcW w:w="4104" w:type="dxa"/>
          </w:tcPr>
          <w:p w14:paraId="1C39DE81" w14:textId="77777777" w:rsidR="000D7D3D" w:rsidRPr="00635993" w:rsidRDefault="000D7D3D" w:rsidP="00FB36B8">
            <w:pPr>
              <w:rPr>
                <w:sz w:val="16"/>
                <w:lang w:val="en-US"/>
              </w:rPr>
            </w:pPr>
            <w:r w:rsidRPr="00635993">
              <w:rPr>
                <w:sz w:val="16"/>
                <w:lang w:val="en-US"/>
              </w:rPr>
              <w:t>Transaldolase</w:t>
            </w:r>
          </w:p>
        </w:tc>
      </w:tr>
      <w:tr w:rsidR="000D7D3D" w:rsidRPr="009004F9" w14:paraId="5AAAFE5E" w14:textId="77777777" w:rsidTr="002D60C9">
        <w:tc>
          <w:tcPr>
            <w:tcW w:w="4009" w:type="dxa"/>
          </w:tcPr>
          <w:p w14:paraId="3A95990A" w14:textId="77777777" w:rsidR="000D7D3D" w:rsidRPr="00635993" w:rsidRDefault="000D7D3D" w:rsidP="003F7054">
            <w:pPr>
              <w:rPr>
                <w:sz w:val="16"/>
              </w:rPr>
            </w:pPr>
            <w:r w:rsidRPr="00635993">
              <w:rPr>
                <w:sz w:val="16"/>
              </w:rPr>
              <w:t>fgenesh1_kg.1_#_270_#_isotig09587</w:t>
            </w:r>
          </w:p>
        </w:tc>
        <w:tc>
          <w:tcPr>
            <w:tcW w:w="1515" w:type="dxa"/>
          </w:tcPr>
          <w:p w14:paraId="181CD8E5" w14:textId="77777777" w:rsidR="000D7D3D" w:rsidRPr="00635993" w:rsidRDefault="000D7D3D" w:rsidP="007F746A">
            <w:pPr>
              <w:rPr>
                <w:sz w:val="16"/>
              </w:rPr>
            </w:pPr>
            <w:r w:rsidRPr="00635993">
              <w:rPr>
                <w:sz w:val="16"/>
              </w:rPr>
              <w:t>165102</w:t>
            </w:r>
          </w:p>
        </w:tc>
        <w:tc>
          <w:tcPr>
            <w:tcW w:w="4104" w:type="dxa"/>
          </w:tcPr>
          <w:p w14:paraId="25B98EE0" w14:textId="77777777" w:rsidR="000D7D3D" w:rsidRPr="00635993" w:rsidRDefault="000D7D3D" w:rsidP="00FB36B8">
            <w:pPr>
              <w:rPr>
                <w:sz w:val="16"/>
                <w:lang w:val="en-US"/>
              </w:rPr>
            </w:pPr>
            <w:r w:rsidRPr="00635993">
              <w:rPr>
                <w:sz w:val="16"/>
                <w:lang w:val="en-US"/>
              </w:rPr>
              <w:t>Expansin</w:t>
            </w:r>
          </w:p>
        </w:tc>
      </w:tr>
      <w:tr w:rsidR="000D7D3D" w:rsidRPr="009004F9" w14:paraId="61F05572" w14:textId="77777777" w:rsidTr="002D60C9">
        <w:tc>
          <w:tcPr>
            <w:tcW w:w="4009" w:type="dxa"/>
          </w:tcPr>
          <w:p w14:paraId="6CED3190" w14:textId="77777777" w:rsidR="000D7D3D" w:rsidRPr="00635993" w:rsidRDefault="000D7D3D" w:rsidP="003F7054">
            <w:pPr>
              <w:rPr>
                <w:sz w:val="16"/>
              </w:rPr>
            </w:pPr>
            <w:r w:rsidRPr="00635993">
              <w:rPr>
                <w:sz w:val="16"/>
              </w:rPr>
              <w:t>estExt_Genewise1Plus.C_10110003</w:t>
            </w:r>
          </w:p>
        </w:tc>
        <w:tc>
          <w:tcPr>
            <w:tcW w:w="1515" w:type="dxa"/>
          </w:tcPr>
          <w:p w14:paraId="62936436" w14:textId="77777777" w:rsidR="000D7D3D" w:rsidRPr="00635993" w:rsidRDefault="000D7D3D" w:rsidP="007F746A">
            <w:pPr>
              <w:rPr>
                <w:sz w:val="16"/>
              </w:rPr>
            </w:pPr>
            <w:r w:rsidRPr="00635993">
              <w:rPr>
                <w:sz w:val="16"/>
              </w:rPr>
              <w:t>121643</w:t>
            </w:r>
          </w:p>
        </w:tc>
        <w:tc>
          <w:tcPr>
            <w:tcW w:w="4104" w:type="dxa"/>
          </w:tcPr>
          <w:p w14:paraId="4B78520B" w14:textId="77777777" w:rsidR="000D7D3D" w:rsidRPr="00635993" w:rsidRDefault="000D7D3D" w:rsidP="00FB36B8">
            <w:pPr>
              <w:rPr>
                <w:sz w:val="16"/>
                <w:lang w:val="en-US"/>
              </w:rPr>
            </w:pPr>
            <w:r w:rsidRPr="00635993">
              <w:rPr>
                <w:sz w:val="16"/>
                <w:lang w:val="en-US"/>
              </w:rPr>
              <w:t>Alpha/beta hydrolase</w:t>
            </w:r>
          </w:p>
        </w:tc>
      </w:tr>
      <w:tr w:rsidR="000D7D3D" w:rsidRPr="009004F9" w14:paraId="7C58169A" w14:textId="77777777" w:rsidTr="002D60C9">
        <w:tc>
          <w:tcPr>
            <w:tcW w:w="4009" w:type="dxa"/>
          </w:tcPr>
          <w:p w14:paraId="5C0AF45E" w14:textId="77777777" w:rsidR="000D7D3D" w:rsidRPr="00635993" w:rsidRDefault="000D7D3D" w:rsidP="003F7054">
            <w:pPr>
              <w:rPr>
                <w:sz w:val="16"/>
              </w:rPr>
            </w:pPr>
            <w:r w:rsidRPr="00635993">
              <w:rPr>
                <w:sz w:val="16"/>
              </w:rPr>
              <w:t>fgenesh1_kg.11_#_108_#_isotig06135</w:t>
            </w:r>
          </w:p>
        </w:tc>
        <w:tc>
          <w:tcPr>
            <w:tcW w:w="1515" w:type="dxa"/>
          </w:tcPr>
          <w:p w14:paraId="2B4DA0F4" w14:textId="77777777" w:rsidR="000D7D3D" w:rsidRPr="00635993" w:rsidRDefault="000D7D3D" w:rsidP="007F746A">
            <w:pPr>
              <w:rPr>
                <w:sz w:val="16"/>
              </w:rPr>
            </w:pPr>
            <w:r w:rsidRPr="00635993">
              <w:rPr>
                <w:sz w:val="16"/>
              </w:rPr>
              <w:t>168544</w:t>
            </w:r>
          </w:p>
        </w:tc>
        <w:tc>
          <w:tcPr>
            <w:tcW w:w="4104" w:type="dxa"/>
          </w:tcPr>
          <w:p w14:paraId="5C246C35" w14:textId="77777777" w:rsidR="000D7D3D" w:rsidRPr="00635993" w:rsidRDefault="000D7D3D" w:rsidP="00FB36B8">
            <w:pPr>
              <w:rPr>
                <w:sz w:val="16"/>
                <w:lang w:val="en-US"/>
              </w:rPr>
            </w:pPr>
            <w:r w:rsidRPr="00635993">
              <w:rPr>
                <w:sz w:val="16"/>
                <w:lang w:val="en-US"/>
              </w:rPr>
              <w:t>Peroxidase</w:t>
            </w:r>
          </w:p>
        </w:tc>
      </w:tr>
      <w:tr w:rsidR="000D7D3D" w:rsidRPr="009004F9" w14:paraId="08615091" w14:textId="77777777" w:rsidTr="002D60C9">
        <w:tc>
          <w:tcPr>
            <w:tcW w:w="4009" w:type="dxa"/>
          </w:tcPr>
          <w:p w14:paraId="5A67FA9E" w14:textId="77777777" w:rsidR="000D7D3D" w:rsidRPr="00635993" w:rsidRDefault="000D7D3D" w:rsidP="003F7054">
            <w:pPr>
              <w:rPr>
                <w:sz w:val="16"/>
              </w:rPr>
            </w:pPr>
            <w:r w:rsidRPr="00635993">
              <w:rPr>
                <w:sz w:val="16"/>
              </w:rPr>
              <w:t>estExt_Genemark1.C_140197</w:t>
            </w:r>
          </w:p>
        </w:tc>
        <w:tc>
          <w:tcPr>
            <w:tcW w:w="1515" w:type="dxa"/>
          </w:tcPr>
          <w:p w14:paraId="62067628" w14:textId="77777777" w:rsidR="000D7D3D" w:rsidRPr="00635993" w:rsidRDefault="000D7D3D" w:rsidP="007F746A">
            <w:pPr>
              <w:rPr>
                <w:sz w:val="16"/>
              </w:rPr>
            </w:pPr>
            <w:r w:rsidRPr="00635993">
              <w:rPr>
                <w:sz w:val="16"/>
              </w:rPr>
              <w:t>99497</w:t>
            </w:r>
          </w:p>
        </w:tc>
        <w:tc>
          <w:tcPr>
            <w:tcW w:w="4104" w:type="dxa"/>
          </w:tcPr>
          <w:p w14:paraId="2CEFD8EA" w14:textId="77777777" w:rsidR="000D7D3D" w:rsidRPr="00635993" w:rsidRDefault="000D7D3D" w:rsidP="00FB36B8">
            <w:pPr>
              <w:rPr>
                <w:sz w:val="16"/>
                <w:lang w:val="en-US"/>
              </w:rPr>
            </w:pPr>
            <w:r w:rsidRPr="00635993">
              <w:rPr>
                <w:sz w:val="16"/>
                <w:lang w:val="en-US"/>
              </w:rPr>
              <w:t>Unknown</w:t>
            </w:r>
          </w:p>
        </w:tc>
      </w:tr>
      <w:tr w:rsidR="000D7D3D" w:rsidRPr="009004F9" w14:paraId="74EE0AD2" w14:textId="77777777" w:rsidTr="002D60C9">
        <w:tc>
          <w:tcPr>
            <w:tcW w:w="4009" w:type="dxa"/>
          </w:tcPr>
          <w:p w14:paraId="185C9010" w14:textId="77777777" w:rsidR="000D7D3D" w:rsidRPr="00635993" w:rsidRDefault="000D7D3D" w:rsidP="003F7054">
            <w:pPr>
              <w:rPr>
                <w:sz w:val="16"/>
              </w:rPr>
            </w:pPr>
            <w:r w:rsidRPr="00635993">
              <w:rPr>
                <w:sz w:val="16"/>
              </w:rPr>
              <w:t>gm1.11026_g</w:t>
            </w:r>
          </w:p>
        </w:tc>
        <w:tc>
          <w:tcPr>
            <w:tcW w:w="1515" w:type="dxa"/>
          </w:tcPr>
          <w:p w14:paraId="320F70EF" w14:textId="77777777" w:rsidR="000D7D3D" w:rsidRPr="00635993" w:rsidRDefault="000D7D3D" w:rsidP="007F746A">
            <w:pPr>
              <w:rPr>
                <w:sz w:val="16"/>
              </w:rPr>
            </w:pPr>
            <w:r w:rsidRPr="00635993">
              <w:rPr>
                <w:sz w:val="16"/>
              </w:rPr>
              <w:t>16455</w:t>
            </w:r>
          </w:p>
        </w:tc>
        <w:tc>
          <w:tcPr>
            <w:tcW w:w="4104" w:type="dxa"/>
          </w:tcPr>
          <w:p w14:paraId="156C405E" w14:textId="77777777" w:rsidR="000D7D3D" w:rsidRPr="00635993" w:rsidRDefault="000D7D3D" w:rsidP="00FB36B8">
            <w:pPr>
              <w:rPr>
                <w:sz w:val="16"/>
                <w:lang w:val="en-US"/>
              </w:rPr>
            </w:pPr>
            <w:r w:rsidRPr="00635993">
              <w:rPr>
                <w:sz w:val="16"/>
                <w:lang w:val="en-US"/>
              </w:rPr>
              <w:t>Adenylosuccinate synthase</w:t>
            </w:r>
          </w:p>
        </w:tc>
      </w:tr>
      <w:tr w:rsidR="000D7D3D" w:rsidRPr="009004F9" w14:paraId="2726B3E1" w14:textId="77777777" w:rsidTr="002D60C9">
        <w:tc>
          <w:tcPr>
            <w:tcW w:w="4009" w:type="dxa"/>
          </w:tcPr>
          <w:p w14:paraId="6B220EBA" w14:textId="77777777" w:rsidR="000D7D3D" w:rsidRPr="00635993" w:rsidRDefault="000D7D3D" w:rsidP="003F7054">
            <w:pPr>
              <w:rPr>
                <w:sz w:val="16"/>
              </w:rPr>
            </w:pPr>
            <w:r w:rsidRPr="00635993">
              <w:rPr>
                <w:sz w:val="16"/>
              </w:rPr>
              <w:t>gm1.4062_g</w:t>
            </w:r>
          </w:p>
        </w:tc>
        <w:tc>
          <w:tcPr>
            <w:tcW w:w="1515" w:type="dxa"/>
          </w:tcPr>
          <w:p w14:paraId="149BD9E7" w14:textId="77777777" w:rsidR="000D7D3D" w:rsidRPr="00635993" w:rsidRDefault="000D7D3D" w:rsidP="007F746A">
            <w:pPr>
              <w:rPr>
                <w:sz w:val="16"/>
              </w:rPr>
            </w:pPr>
            <w:r w:rsidRPr="00635993">
              <w:rPr>
                <w:sz w:val="16"/>
              </w:rPr>
              <w:t>9491</w:t>
            </w:r>
          </w:p>
        </w:tc>
        <w:tc>
          <w:tcPr>
            <w:tcW w:w="4104" w:type="dxa"/>
          </w:tcPr>
          <w:p w14:paraId="3A032EC9" w14:textId="77777777" w:rsidR="000D7D3D" w:rsidRPr="00635993" w:rsidRDefault="000D7D3D" w:rsidP="00FB36B8">
            <w:pPr>
              <w:rPr>
                <w:sz w:val="16"/>
                <w:lang w:val="en-US"/>
              </w:rPr>
            </w:pPr>
            <w:r w:rsidRPr="00635993">
              <w:rPr>
                <w:sz w:val="16"/>
                <w:lang w:val="en-US"/>
              </w:rPr>
              <w:t>Unknown</w:t>
            </w:r>
          </w:p>
        </w:tc>
      </w:tr>
      <w:tr w:rsidR="000D7D3D" w:rsidRPr="009004F9" w14:paraId="4CDBF208" w14:textId="77777777" w:rsidTr="002D60C9">
        <w:tc>
          <w:tcPr>
            <w:tcW w:w="4009" w:type="dxa"/>
          </w:tcPr>
          <w:p w14:paraId="12CF96EF" w14:textId="77777777" w:rsidR="000D7D3D" w:rsidRPr="00635993" w:rsidRDefault="000D7D3D" w:rsidP="003F7054">
            <w:pPr>
              <w:rPr>
                <w:sz w:val="16"/>
              </w:rPr>
            </w:pPr>
            <w:r w:rsidRPr="00635993">
              <w:rPr>
                <w:sz w:val="16"/>
              </w:rPr>
              <w:t>gm1.16031_g</w:t>
            </w:r>
          </w:p>
        </w:tc>
        <w:tc>
          <w:tcPr>
            <w:tcW w:w="1515" w:type="dxa"/>
          </w:tcPr>
          <w:p w14:paraId="40DDFA48" w14:textId="77777777" w:rsidR="000D7D3D" w:rsidRPr="00635993" w:rsidRDefault="000D7D3D" w:rsidP="007F746A">
            <w:pPr>
              <w:rPr>
                <w:sz w:val="16"/>
              </w:rPr>
            </w:pPr>
            <w:r w:rsidRPr="00635993">
              <w:rPr>
                <w:sz w:val="16"/>
              </w:rPr>
              <w:t>21460</w:t>
            </w:r>
          </w:p>
        </w:tc>
        <w:tc>
          <w:tcPr>
            <w:tcW w:w="4104" w:type="dxa"/>
          </w:tcPr>
          <w:p w14:paraId="1ED7837C" w14:textId="77777777" w:rsidR="000D7D3D" w:rsidRPr="00635993" w:rsidRDefault="000D7D3D" w:rsidP="00FB36B8">
            <w:pPr>
              <w:rPr>
                <w:sz w:val="16"/>
                <w:lang w:val="en-US"/>
              </w:rPr>
            </w:pPr>
            <w:r w:rsidRPr="00635993">
              <w:rPr>
                <w:sz w:val="16"/>
                <w:lang w:val="en-US"/>
              </w:rPr>
              <w:t>Unknown</w:t>
            </w:r>
          </w:p>
        </w:tc>
      </w:tr>
      <w:tr w:rsidR="000D7D3D" w:rsidRPr="009004F9" w14:paraId="7FB4813C" w14:textId="77777777" w:rsidTr="002D60C9">
        <w:tc>
          <w:tcPr>
            <w:tcW w:w="4009" w:type="dxa"/>
          </w:tcPr>
          <w:p w14:paraId="2CE0E969" w14:textId="77777777" w:rsidR="000D7D3D" w:rsidRPr="00635993" w:rsidRDefault="000D7D3D" w:rsidP="003F7054">
            <w:pPr>
              <w:rPr>
                <w:sz w:val="16"/>
              </w:rPr>
            </w:pPr>
            <w:r w:rsidRPr="00635993">
              <w:rPr>
                <w:sz w:val="16"/>
              </w:rPr>
              <w:t>e_gw1.1587.2.1</w:t>
            </w:r>
          </w:p>
        </w:tc>
        <w:tc>
          <w:tcPr>
            <w:tcW w:w="1515" w:type="dxa"/>
          </w:tcPr>
          <w:p w14:paraId="4B672614" w14:textId="77777777" w:rsidR="000D7D3D" w:rsidRPr="00635993" w:rsidRDefault="000D7D3D" w:rsidP="007F746A">
            <w:pPr>
              <w:rPr>
                <w:sz w:val="16"/>
              </w:rPr>
            </w:pPr>
            <w:r w:rsidRPr="00635993">
              <w:rPr>
                <w:sz w:val="16"/>
              </w:rPr>
              <w:t>93350</w:t>
            </w:r>
          </w:p>
        </w:tc>
        <w:tc>
          <w:tcPr>
            <w:tcW w:w="4104" w:type="dxa"/>
          </w:tcPr>
          <w:p w14:paraId="4F2CAB4D" w14:textId="77777777" w:rsidR="000D7D3D" w:rsidRPr="00635993" w:rsidRDefault="000D7D3D" w:rsidP="00FB36B8">
            <w:pPr>
              <w:rPr>
                <w:sz w:val="16"/>
                <w:lang w:val="en-US"/>
              </w:rPr>
            </w:pPr>
            <w:r w:rsidRPr="00635993">
              <w:rPr>
                <w:sz w:val="16"/>
                <w:lang w:val="en-US"/>
              </w:rPr>
              <w:t>Unknown</w:t>
            </w:r>
          </w:p>
        </w:tc>
      </w:tr>
      <w:tr w:rsidR="000D7D3D" w:rsidRPr="009004F9" w14:paraId="286989A7" w14:textId="77777777" w:rsidTr="002D60C9">
        <w:tc>
          <w:tcPr>
            <w:tcW w:w="4009" w:type="dxa"/>
          </w:tcPr>
          <w:p w14:paraId="4ACED9F3" w14:textId="77777777" w:rsidR="000D7D3D" w:rsidRPr="00635993" w:rsidRDefault="000D7D3D" w:rsidP="003F7054">
            <w:pPr>
              <w:rPr>
                <w:sz w:val="16"/>
              </w:rPr>
            </w:pPr>
            <w:r w:rsidRPr="00635993">
              <w:rPr>
                <w:sz w:val="16"/>
              </w:rPr>
              <w:t>fgenesh1_kg.14_#_101_#_isotig09274</w:t>
            </w:r>
          </w:p>
        </w:tc>
        <w:tc>
          <w:tcPr>
            <w:tcW w:w="1515" w:type="dxa"/>
          </w:tcPr>
          <w:p w14:paraId="7C8C228E" w14:textId="77777777" w:rsidR="000D7D3D" w:rsidRPr="00635993" w:rsidRDefault="000D7D3D" w:rsidP="007F746A">
            <w:pPr>
              <w:rPr>
                <w:sz w:val="16"/>
              </w:rPr>
            </w:pPr>
            <w:r w:rsidRPr="00635993">
              <w:rPr>
                <w:sz w:val="16"/>
              </w:rPr>
              <w:t>169046</w:t>
            </w:r>
          </w:p>
        </w:tc>
        <w:tc>
          <w:tcPr>
            <w:tcW w:w="4104" w:type="dxa"/>
          </w:tcPr>
          <w:p w14:paraId="27169547" w14:textId="77777777" w:rsidR="000D7D3D" w:rsidRPr="00635993" w:rsidRDefault="000D7D3D" w:rsidP="00FB36B8">
            <w:pPr>
              <w:rPr>
                <w:sz w:val="16"/>
                <w:lang w:val="en-US"/>
              </w:rPr>
            </w:pPr>
            <w:r w:rsidRPr="00635993">
              <w:rPr>
                <w:sz w:val="16"/>
                <w:lang w:val="en-US"/>
              </w:rPr>
              <w:t>Unknown</w:t>
            </w:r>
          </w:p>
        </w:tc>
      </w:tr>
      <w:tr w:rsidR="000D7D3D" w:rsidRPr="009004F9" w14:paraId="32B94F95" w14:textId="77777777" w:rsidTr="002D60C9">
        <w:tc>
          <w:tcPr>
            <w:tcW w:w="4009" w:type="dxa"/>
          </w:tcPr>
          <w:p w14:paraId="73D2A2BB" w14:textId="77777777" w:rsidR="000D7D3D" w:rsidRPr="00635993" w:rsidRDefault="000D7D3D" w:rsidP="003F7054">
            <w:pPr>
              <w:rPr>
                <w:sz w:val="16"/>
              </w:rPr>
            </w:pPr>
            <w:r w:rsidRPr="00635993">
              <w:rPr>
                <w:sz w:val="16"/>
              </w:rPr>
              <w:t>e_gw1.8.853.1</w:t>
            </w:r>
          </w:p>
        </w:tc>
        <w:tc>
          <w:tcPr>
            <w:tcW w:w="1515" w:type="dxa"/>
          </w:tcPr>
          <w:p w14:paraId="72B9E2AE" w14:textId="77777777" w:rsidR="000D7D3D" w:rsidRPr="00635993" w:rsidRDefault="000D7D3D" w:rsidP="007F746A">
            <w:pPr>
              <w:rPr>
                <w:sz w:val="16"/>
              </w:rPr>
            </w:pPr>
            <w:r w:rsidRPr="00635993">
              <w:rPr>
                <w:sz w:val="16"/>
              </w:rPr>
              <w:t>73002</w:t>
            </w:r>
          </w:p>
        </w:tc>
        <w:tc>
          <w:tcPr>
            <w:tcW w:w="4104" w:type="dxa"/>
          </w:tcPr>
          <w:p w14:paraId="603A2C10" w14:textId="77777777" w:rsidR="000D7D3D" w:rsidRPr="00635993" w:rsidRDefault="000D7D3D" w:rsidP="00FB36B8">
            <w:pPr>
              <w:rPr>
                <w:sz w:val="16"/>
                <w:lang w:val="en-US"/>
              </w:rPr>
            </w:pPr>
            <w:r w:rsidRPr="00635993">
              <w:rPr>
                <w:sz w:val="16"/>
                <w:lang w:val="en-US"/>
              </w:rPr>
              <w:t>Histone-like transcription factor (CBF/NF-Y)</w:t>
            </w:r>
          </w:p>
        </w:tc>
      </w:tr>
      <w:tr w:rsidR="000D7D3D" w:rsidRPr="009004F9" w14:paraId="640DFB30" w14:textId="77777777" w:rsidTr="002D60C9">
        <w:tc>
          <w:tcPr>
            <w:tcW w:w="4009" w:type="dxa"/>
          </w:tcPr>
          <w:p w14:paraId="0A2EE4F1" w14:textId="77777777" w:rsidR="000D7D3D" w:rsidRPr="00635993" w:rsidRDefault="000D7D3D" w:rsidP="003F7054">
            <w:pPr>
              <w:rPr>
                <w:sz w:val="16"/>
              </w:rPr>
            </w:pPr>
            <w:r w:rsidRPr="00635993">
              <w:rPr>
                <w:sz w:val="16"/>
              </w:rPr>
              <w:t>fgenesh1_kg.95_#_1_#_AAT91250.1</w:t>
            </w:r>
          </w:p>
        </w:tc>
        <w:tc>
          <w:tcPr>
            <w:tcW w:w="1515" w:type="dxa"/>
          </w:tcPr>
          <w:p w14:paraId="4411B4E9" w14:textId="77777777" w:rsidR="000D7D3D" w:rsidRPr="00635993" w:rsidRDefault="000D7D3D" w:rsidP="007F746A">
            <w:pPr>
              <w:rPr>
                <w:sz w:val="16"/>
              </w:rPr>
            </w:pPr>
            <w:r w:rsidRPr="00635993">
              <w:rPr>
                <w:sz w:val="16"/>
              </w:rPr>
              <w:t>172254</w:t>
            </w:r>
          </w:p>
        </w:tc>
        <w:tc>
          <w:tcPr>
            <w:tcW w:w="4104" w:type="dxa"/>
          </w:tcPr>
          <w:p w14:paraId="765633CB" w14:textId="77777777" w:rsidR="000D7D3D" w:rsidRPr="00635993" w:rsidRDefault="000D7D3D" w:rsidP="00FB36B8">
            <w:pPr>
              <w:rPr>
                <w:sz w:val="16"/>
                <w:lang w:val="en-US"/>
              </w:rPr>
            </w:pPr>
            <w:r w:rsidRPr="00635993">
              <w:rPr>
                <w:sz w:val="16"/>
                <w:lang w:val="en-US"/>
              </w:rPr>
              <w:t>Glutathione S-transferase</w:t>
            </w:r>
          </w:p>
        </w:tc>
      </w:tr>
      <w:tr w:rsidR="000D7D3D" w:rsidRPr="009004F9" w14:paraId="68C046E0" w14:textId="77777777" w:rsidTr="002D60C9">
        <w:tc>
          <w:tcPr>
            <w:tcW w:w="4009" w:type="dxa"/>
          </w:tcPr>
          <w:p w14:paraId="076A57CD" w14:textId="77777777" w:rsidR="000D7D3D" w:rsidRPr="00635993" w:rsidRDefault="000D7D3D" w:rsidP="003F7054">
            <w:pPr>
              <w:rPr>
                <w:sz w:val="16"/>
              </w:rPr>
            </w:pPr>
            <w:r w:rsidRPr="00635993">
              <w:rPr>
                <w:sz w:val="16"/>
              </w:rPr>
              <w:t>fgenesh1_kg.61_#_19_#_AAT91250.1</w:t>
            </w:r>
          </w:p>
        </w:tc>
        <w:tc>
          <w:tcPr>
            <w:tcW w:w="1515" w:type="dxa"/>
          </w:tcPr>
          <w:p w14:paraId="15B71483" w14:textId="77777777" w:rsidR="000D7D3D" w:rsidRPr="00635993" w:rsidRDefault="000D7D3D" w:rsidP="007F746A">
            <w:pPr>
              <w:rPr>
                <w:sz w:val="16"/>
              </w:rPr>
            </w:pPr>
            <w:r w:rsidRPr="00635993">
              <w:rPr>
                <w:sz w:val="16"/>
              </w:rPr>
              <w:t>171830</w:t>
            </w:r>
          </w:p>
        </w:tc>
        <w:tc>
          <w:tcPr>
            <w:tcW w:w="4104" w:type="dxa"/>
          </w:tcPr>
          <w:p w14:paraId="2B9AB28B" w14:textId="77777777" w:rsidR="000D7D3D" w:rsidRPr="00635993" w:rsidRDefault="000D7D3D" w:rsidP="00FB36B8">
            <w:pPr>
              <w:rPr>
                <w:sz w:val="16"/>
                <w:lang w:val="en-US"/>
              </w:rPr>
            </w:pPr>
            <w:r w:rsidRPr="00635993">
              <w:rPr>
                <w:sz w:val="16"/>
                <w:lang w:val="en-US"/>
              </w:rPr>
              <w:t>Glutathione S-transferase</w:t>
            </w:r>
          </w:p>
        </w:tc>
      </w:tr>
      <w:tr w:rsidR="000D7D3D" w:rsidRPr="009004F9" w14:paraId="464301EF" w14:textId="77777777" w:rsidTr="002D60C9">
        <w:tc>
          <w:tcPr>
            <w:tcW w:w="4009" w:type="dxa"/>
          </w:tcPr>
          <w:p w14:paraId="336BEB0C" w14:textId="77777777" w:rsidR="000D7D3D" w:rsidRPr="00635993" w:rsidRDefault="000D7D3D" w:rsidP="003F7054">
            <w:pPr>
              <w:rPr>
                <w:sz w:val="16"/>
              </w:rPr>
            </w:pPr>
            <w:r w:rsidRPr="00635993">
              <w:rPr>
                <w:sz w:val="16"/>
              </w:rPr>
              <w:t>fgenesh1_pm.8_#_23</w:t>
            </w:r>
          </w:p>
        </w:tc>
        <w:tc>
          <w:tcPr>
            <w:tcW w:w="1515" w:type="dxa"/>
          </w:tcPr>
          <w:p w14:paraId="4E2505DF" w14:textId="77777777" w:rsidR="000D7D3D" w:rsidRPr="00635993" w:rsidRDefault="000D7D3D" w:rsidP="007F746A">
            <w:pPr>
              <w:rPr>
                <w:sz w:val="16"/>
              </w:rPr>
            </w:pPr>
            <w:r w:rsidRPr="00635993">
              <w:rPr>
                <w:sz w:val="16"/>
              </w:rPr>
              <w:t>161749</w:t>
            </w:r>
          </w:p>
        </w:tc>
        <w:tc>
          <w:tcPr>
            <w:tcW w:w="4104" w:type="dxa"/>
          </w:tcPr>
          <w:p w14:paraId="7D5F2608" w14:textId="77777777" w:rsidR="000D7D3D" w:rsidRPr="00635993" w:rsidRDefault="000D7D3D" w:rsidP="00FB36B8">
            <w:pPr>
              <w:rPr>
                <w:sz w:val="16"/>
                <w:lang w:val="en-US"/>
              </w:rPr>
            </w:pPr>
            <w:r w:rsidRPr="00635993">
              <w:rPr>
                <w:sz w:val="16"/>
                <w:lang w:val="en-US"/>
              </w:rPr>
              <w:t>Transcription factor, ZF-fungal binuclear cluster type</w:t>
            </w:r>
          </w:p>
        </w:tc>
      </w:tr>
      <w:tr w:rsidR="000D7D3D" w:rsidRPr="009004F9" w14:paraId="137C5C06" w14:textId="77777777" w:rsidTr="002D60C9">
        <w:tc>
          <w:tcPr>
            <w:tcW w:w="4009" w:type="dxa"/>
          </w:tcPr>
          <w:p w14:paraId="13ADFF93" w14:textId="77777777" w:rsidR="000D7D3D" w:rsidRPr="00635993" w:rsidRDefault="000D7D3D" w:rsidP="003F7054">
            <w:pPr>
              <w:rPr>
                <w:sz w:val="16"/>
              </w:rPr>
            </w:pPr>
            <w:r w:rsidRPr="00635993">
              <w:rPr>
                <w:sz w:val="16"/>
              </w:rPr>
              <w:t>gw1.23.91.1</w:t>
            </w:r>
          </w:p>
        </w:tc>
        <w:tc>
          <w:tcPr>
            <w:tcW w:w="1515" w:type="dxa"/>
          </w:tcPr>
          <w:p w14:paraId="15326466" w14:textId="77777777" w:rsidR="000D7D3D" w:rsidRPr="00635993" w:rsidRDefault="000D7D3D" w:rsidP="007F746A">
            <w:pPr>
              <w:rPr>
                <w:sz w:val="16"/>
              </w:rPr>
            </w:pPr>
            <w:r w:rsidRPr="00635993">
              <w:rPr>
                <w:sz w:val="16"/>
              </w:rPr>
              <w:t>41990</w:t>
            </w:r>
          </w:p>
        </w:tc>
        <w:tc>
          <w:tcPr>
            <w:tcW w:w="4104" w:type="dxa"/>
          </w:tcPr>
          <w:p w14:paraId="49426729" w14:textId="77777777" w:rsidR="000D7D3D" w:rsidRPr="00635993" w:rsidRDefault="000D7D3D" w:rsidP="00FB36B8">
            <w:pPr>
              <w:rPr>
                <w:sz w:val="16"/>
                <w:lang w:val="en-US"/>
              </w:rPr>
            </w:pPr>
            <w:r w:rsidRPr="00635993">
              <w:rPr>
                <w:sz w:val="16"/>
                <w:lang w:val="en-US"/>
              </w:rPr>
              <w:t>Unknown</w:t>
            </w:r>
          </w:p>
        </w:tc>
      </w:tr>
      <w:tr w:rsidR="000D7D3D" w:rsidRPr="009004F9" w14:paraId="0FF750A9" w14:textId="77777777" w:rsidTr="002D60C9">
        <w:tc>
          <w:tcPr>
            <w:tcW w:w="4009" w:type="dxa"/>
          </w:tcPr>
          <w:p w14:paraId="24E31AA3" w14:textId="77777777" w:rsidR="000D7D3D" w:rsidRPr="00635993" w:rsidRDefault="000D7D3D" w:rsidP="003F7054">
            <w:pPr>
              <w:rPr>
                <w:sz w:val="16"/>
              </w:rPr>
            </w:pPr>
            <w:r w:rsidRPr="00635993">
              <w:rPr>
                <w:sz w:val="16"/>
              </w:rPr>
              <w:t>estExt_Genewise1.C_2_t30096</w:t>
            </w:r>
          </w:p>
        </w:tc>
        <w:tc>
          <w:tcPr>
            <w:tcW w:w="1515" w:type="dxa"/>
          </w:tcPr>
          <w:p w14:paraId="3781AB7E" w14:textId="77777777" w:rsidR="000D7D3D" w:rsidRPr="00635993" w:rsidRDefault="000D7D3D" w:rsidP="007F746A">
            <w:pPr>
              <w:rPr>
                <w:sz w:val="16"/>
              </w:rPr>
            </w:pPr>
            <w:r w:rsidRPr="00635993">
              <w:rPr>
                <w:sz w:val="16"/>
              </w:rPr>
              <w:t>125697</w:t>
            </w:r>
          </w:p>
        </w:tc>
        <w:tc>
          <w:tcPr>
            <w:tcW w:w="4104" w:type="dxa"/>
          </w:tcPr>
          <w:p w14:paraId="049CD72B" w14:textId="77777777" w:rsidR="000D7D3D" w:rsidRPr="00635993" w:rsidRDefault="000D7D3D" w:rsidP="00FB36B8">
            <w:pPr>
              <w:rPr>
                <w:sz w:val="16"/>
                <w:lang w:val="en-US"/>
              </w:rPr>
            </w:pPr>
            <w:r w:rsidRPr="00635993">
              <w:rPr>
                <w:sz w:val="16"/>
                <w:lang w:val="en-US"/>
              </w:rPr>
              <w:t>Unknown</w:t>
            </w:r>
          </w:p>
        </w:tc>
      </w:tr>
      <w:tr w:rsidR="000D7D3D" w:rsidRPr="009004F9" w14:paraId="44739EBB" w14:textId="77777777" w:rsidTr="002D60C9">
        <w:tc>
          <w:tcPr>
            <w:tcW w:w="4009" w:type="dxa"/>
          </w:tcPr>
          <w:p w14:paraId="1DDE142D" w14:textId="77777777" w:rsidR="000D7D3D" w:rsidRPr="00635993" w:rsidRDefault="000D7D3D" w:rsidP="003F7054">
            <w:pPr>
              <w:rPr>
                <w:sz w:val="16"/>
              </w:rPr>
            </w:pPr>
            <w:r w:rsidRPr="00635993">
              <w:rPr>
                <w:sz w:val="16"/>
              </w:rPr>
              <w:t>fgenesh1_kg.1_#_64_#_isotig04419</w:t>
            </w:r>
          </w:p>
        </w:tc>
        <w:tc>
          <w:tcPr>
            <w:tcW w:w="1515" w:type="dxa"/>
          </w:tcPr>
          <w:p w14:paraId="6BB8BF56" w14:textId="77777777" w:rsidR="000D7D3D" w:rsidRPr="00635993" w:rsidRDefault="000D7D3D" w:rsidP="007F746A">
            <w:pPr>
              <w:rPr>
                <w:sz w:val="16"/>
              </w:rPr>
            </w:pPr>
            <w:r w:rsidRPr="00635993">
              <w:rPr>
                <w:sz w:val="16"/>
              </w:rPr>
              <w:t>164896</w:t>
            </w:r>
          </w:p>
        </w:tc>
        <w:tc>
          <w:tcPr>
            <w:tcW w:w="4104" w:type="dxa"/>
          </w:tcPr>
          <w:p w14:paraId="299140E7" w14:textId="77777777" w:rsidR="000D7D3D" w:rsidRPr="00635993" w:rsidRDefault="000D7D3D" w:rsidP="00FB36B8">
            <w:pPr>
              <w:rPr>
                <w:sz w:val="16"/>
                <w:lang w:val="en-US"/>
              </w:rPr>
            </w:pPr>
            <w:r w:rsidRPr="00635993">
              <w:rPr>
                <w:sz w:val="16"/>
                <w:lang w:val="en-US"/>
              </w:rPr>
              <w:t>Cytochrome P450</w:t>
            </w:r>
          </w:p>
        </w:tc>
      </w:tr>
      <w:tr w:rsidR="000D7D3D" w:rsidRPr="009004F9" w14:paraId="752364D5" w14:textId="77777777" w:rsidTr="002D60C9">
        <w:tc>
          <w:tcPr>
            <w:tcW w:w="4009" w:type="dxa"/>
          </w:tcPr>
          <w:p w14:paraId="229D4A58" w14:textId="77777777" w:rsidR="000D7D3D" w:rsidRPr="00635993" w:rsidRDefault="000D7D3D" w:rsidP="003F7054">
            <w:pPr>
              <w:rPr>
                <w:sz w:val="16"/>
              </w:rPr>
            </w:pPr>
            <w:r w:rsidRPr="00635993">
              <w:rPr>
                <w:sz w:val="16"/>
              </w:rPr>
              <w:t>fgenesh1_kg.1_#_54_#_isotig09735</w:t>
            </w:r>
          </w:p>
        </w:tc>
        <w:tc>
          <w:tcPr>
            <w:tcW w:w="1515" w:type="dxa"/>
          </w:tcPr>
          <w:p w14:paraId="0739E6B7" w14:textId="77777777" w:rsidR="000D7D3D" w:rsidRPr="00635993" w:rsidRDefault="000D7D3D" w:rsidP="007F746A">
            <w:pPr>
              <w:rPr>
                <w:sz w:val="16"/>
              </w:rPr>
            </w:pPr>
            <w:r w:rsidRPr="00635993">
              <w:rPr>
                <w:sz w:val="16"/>
              </w:rPr>
              <w:t>164886</w:t>
            </w:r>
          </w:p>
        </w:tc>
        <w:tc>
          <w:tcPr>
            <w:tcW w:w="4104" w:type="dxa"/>
          </w:tcPr>
          <w:p w14:paraId="5354BEAA" w14:textId="77777777" w:rsidR="000D7D3D" w:rsidRPr="00635993" w:rsidRDefault="000D7D3D" w:rsidP="00FB36B8">
            <w:pPr>
              <w:rPr>
                <w:sz w:val="16"/>
                <w:lang w:val="en-US"/>
              </w:rPr>
            </w:pPr>
            <w:r w:rsidRPr="00635993">
              <w:rPr>
                <w:sz w:val="16"/>
                <w:lang w:val="en-US"/>
              </w:rPr>
              <w:t>Unknown</w:t>
            </w:r>
          </w:p>
        </w:tc>
      </w:tr>
      <w:tr w:rsidR="000D7D3D" w:rsidRPr="009004F9" w14:paraId="351B34F5" w14:textId="77777777" w:rsidTr="002D60C9">
        <w:tc>
          <w:tcPr>
            <w:tcW w:w="4009" w:type="dxa"/>
          </w:tcPr>
          <w:p w14:paraId="69E040DA" w14:textId="77777777" w:rsidR="000D7D3D" w:rsidRPr="00635993" w:rsidRDefault="000D7D3D" w:rsidP="003F7054">
            <w:pPr>
              <w:rPr>
                <w:sz w:val="16"/>
              </w:rPr>
            </w:pPr>
            <w:r w:rsidRPr="00635993">
              <w:rPr>
                <w:sz w:val="16"/>
              </w:rPr>
              <w:t>gm1.16380_g</w:t>
            </w:r>
          </w:p>
        </w:tc>
        <w:tc>
          <w:tcPr>
            <w:tcW w:w="1515" w:type="dxa"/>
          </w:tcPr>
          <w:p w14:paraId="5B24E69A" w14:textId="77777777" w:rsidR="000D7D3D" w:rsidRPr="00635993" w:rsidRDefault="000D7D3D" w:rsidP="007F746A">
            <w:pPr>
              <w:rPr>
                <w:sz w:val="16"/>
              </w:rPr>
            </w:pPr>
            <w:r w:rsidRPr="00635993">
              <w:rPr>
                <w:sz w:val="16"/>
              </w:rPr>
              <w:t>21809</w:t>
            </w:r>
          </w:p>
        </w:tc>
        <w:tc>
          <w:tcPr>
            <w:tcW w:w="4104" w:type="dxa"/>
          </w:tcPr>
          <w:p w14:paraId="31AF8201" w14:textId="77777777" w:rsidR="000D7D3D" w:rsidRPr="00635993" w:rsidRDefault="000D7D3D" w:rsidP="00FB36B8">
            <w:pPr>
              <w:rPr>
                <w:sz w:val="16"/>
                <w:lang w:val="en-US"/>
              </w:rPr>
            </w:pPr>
            <w:r w:rsidRPr="00635993">
              <w:rPr>
                <w:sz w:val="16"/>
                <w:lang w:val="en-US"/>
              </w:rPr>
              <w:t>Unknown</w:t>
            </w:r>
          </w:p>
        </w:tc>
      </w:tr>
      <w:tr w:rsidR="000D7D3D" w:rsidRPr="009004F9" w14:paraId="6081BB44" w14:textId="77777777" w:rsidTr="002D60C9">
        <w:tc>
          <w:tcPr>
            <w:tcW w:w="4009" w:type="dxa"/>
          </w:tcPr>
          <w:p w14:paraId="6FCB779D" w14:textId="77777777" w:rsidR="000D7D3D" w:rsidRPr="00635993" w:rsidRDefault="000D7D3D" w:rsidP="003F7054">
            <w:pPr>
              <w:rPr>
                <w:sz w:val="16"/>
              </w:rPr>
            </w:pPr>
            <w:r w:rsidRPr="00635993">
              <w:rPr>
                <w:sz w:val="16"/>
              </w:rPr>
              <w:t>fgenesh1_kg.2_#_274_#_isotig11827</w:t>
            </w:r>
          </w:p>
        </w:tc>
        <w:tc>
          <w:tcPr>
            <w:tcW w:w="1515" w:type="dxa"/>
          </w:tcPr>
          <w:p w14:paraId="6BB8AF5A" w14:textId="77777777" w:rsidR="000D7D3D" w:rsidRPr="00635993" w:rsidRDefault="000D7D3D" w:rsidP="007F746A">
            <w:pPr>
              <w:rPr>
                <w:sz w:val="16"/>
              </w:rPr>
            </w:pPr>
            <w:r w:rsidRPr="00635993">
              <w:rPr>
                <w:sz w:val="16"/>
              </w:rPr>
              <w:t>165740</w:t>
            </w:r>
          </w:p>
        </w:tc>
        <w:tc>
          <w:tcPr>
            <w:tcW w:w="4104" w:type="dxa"/>
          </w:tcPr>
          <w:p w14:paraId="272C1080" w14:textId="77777777" w:rsidR="000D7D3D" w:rsidRPr="00635993" w:rsidRDefault="000D7D3D" w:rsidP="00FB36B8">
            <w:pPr>
              <w:rPr>
                <w:sz w:val="16"/>
                <w:lang w:val="en-US"/>
              </w:rPr>
            </w:pPr>
            <w:r w:rsidRPr="00635993">
              <w:rPr>
                <w:sz w:val="16"/>
                <w:lang w:val="en-US"/>
              </w:rPr>
              <w:t>Unknown</w:t>
            </w:r>
          </w:p>
        </w:tc>
      </w:tr>
      <w:tr w:rsidR="000D7D3D" w:rsidRPr="009004F9" w14:paraId="7AFD637F" w14:textId="77777777" w:rsidTr="002D60C9">
        <w:tc>
          <w:tcPr>
            <w:tcW w:w="4009" w:type="dxa"/>
          </w:tcPr>
          <w:p w14:paraId="6BFA0574" w14:textId="77777777" w:rsidR="000D7D3D" w:rsidRPr="00635993" w:rsidRDefault="000D7D3D" w:rsidP="003F7054">
            <w:pPr>
              <w:rPr>
                <w:sz w:val="16"/>
              </w:rPr>
            </w:pPr>
            <w:r w:rsidRPr="00635993">
              <w:rPr>
                <w:sz w:val="16"/>
              </w:rPr>
              <w:t>fgenesh1_kg.42_#_42_#_isotig11301</w:t>
            </w:r>
          </w:p>
        </w:tc>
        <w:tc>
          <w:tcPr>
            <w:tcW w:w="1515" w:type="dxa"/>
          </w:tcPr>
          <w:p w14:paraId="71B0269A" w14:textId="77777777" w:rsidR="000D7D3D" w:rsidRPr="00635993" w:rsidRDefault="000D7D3D" w:rsidP="007F746A">
            <w:pPr>
              <w:rPr>
                <w:sz w:val="16"/>
              </w:rPr>
            </w:pPr>
            <w:r w:rsidRPr="00635993">
              <w:rPr>
                <w:sz w:val="16"/>
              </w:rPr>
              <w:t>171233</w:t>
            </w:r>
          </w:p>
        </w:tc>
        <w:tc>
          <w:tcPr>
            <w:tcW w:w="4104" w:type="dxa"/>
          </w:tcPr>
          <w:p w14:paraId="0DC5DEB4" w14:textId="77777777" w:rsidR="000D7D3D" w:rsidRPr="00635993" w:rsidRDefault="000D7D3D" w:rsidP="00FB36B8">
            <w:pPr>
              <w:rPr>
                <w:sz w:val="16"/>
                <w:lang w:val="en-US"/>
              </w:rPr>
            </w:pPr>
            <w:r w:rsidRPr="00635993">
              <w:rPr>
                <w:sz w:val="16"/>
                <w:lang w:val="en-US"/>
              </w:rPr>
              <w:t>Glutathione S-transferase</w:t>
            </w:r>
          </w:p>
        </w:tc>
      </w:tr>
      <w:tr w:rsidR="000D7D3D" w:rsidRPr="009004F9" w14:paraId="4FB70BDB" w14:textId="77777777" w:rsidTr="002D60C9">
        <w:tc>
          <w:tcPr>
            <w:tcW w:w="4009" w:type="dxa"/>
          </w:tcPr>
          <w:p w14:paraId="65DF039C" w14:textId="77777777" w:rsidR="000D7D3D" w:rsidRPr="00635993" w:rsidRDefault="000D7D3D" w:rsidP="003F7054">
            <w:pPr>
              <w:rPr>
                <w:sz w:val="16"/>
              </w:rPr>
            </w:pPr>
            <w:r w:rsidRPr="00635993">
              <w:rPr>
                <w:sz w:val="16"/>
              </w:rPr>
              <w:t>fgenesh1_kg.10_#_170_#_isotig09885</w:t>
            </w:r>
          </w:p>
        </w:tc>
        <w:tc>
          <w:tcPr>
            <w:tcW w:w="1515" w:type="dxa"/>
          </w:tcPr>
          <w:p w14:paraId="379A56E8" w14:textId="77777777" w:rsidR="000D7D3D" w:rsidRPr="00635993" w:rsidRDefault="000D7D3D" w:rsidP="007F746A">
            <w:pPr>
              <w:rPr>
                <w:sz w:val="16"/>
              </w:rPr>
            </w:pPr>
            <w:r w:rsidRPr="00635993">
              <w:rPr>
                <w:sz w:val="16"/>
              </w:rPr>
              <w:t>168300</w:t>
            </w:r>
          </w:p>
        </w:tc>
        <w:tc>
          <w:tcPr>
            <w:tcW w:w="4104" w:type="dxa"/>
          </w:tcPr>
          <w:p w14:paraId="3704D6F3" w14:textId="77777777" w:rsidR="000D7D3D" w:rsidRPr="00635993" w:rsidRDefault="000D7D3D" w:rsidP="00FB36B8">
            <w:pPr>
              <w:rPr>
                <w:sz w:val="16"/>
                <w:lang w:val="en-US"/>
              </w:rPr>
            </w:pPr>
            <w:r w:rsidRPr="00635993">
              <w:rPr>
                <w:sz w:val="16"/>
                <w:lang w:val="en-US"/>
              </w:rPr>
              <w:t>Unknown</w:t>
            </w:r>
          </w:p>
        </w:tc>
      </w:tr>
      <w:tr w:rsidR="000D7D3D" w:rsidRPr="009004F9" w14:paraId="57047929" w14:textId="77777777" w:rsidTr="002D60C9">
        <w:tc>
          <w:tcPr>
            <w:tcW w:w="4009" w:type="dxa"/>
          </w:tcPr>
          <w:p w14:paraId="3C4EB9C2" w14:textId="77777777" w:rsidR="000D7D3D" w:rsidRPr="00635993" w:rsidRDefault="000D7D3D" w:rsidP="003F7054">
            <w:pPr>
              <w:rPr>
                <w:sz w:val="16"/>
              </w:rPr>
            </w:pPr>
            <w:r w:rsidRPr="00635993">
              <w:rPr>
                <w:sz w:val="16"/>
              </w:rPr>
              <w:t>gw1.8.354.1</w:t>
            </w:r>
          </w:p>
        </w:tc>
        <w:tc>
          <w:tcPr>
            <w:tcW w:w="1515" w:type="dxa"/>
          </w:tcPr>
          <w:p w14:paraId="33392237" w14:textId="77777777" w:rsidR="000D7D3D" w:rsidRPr="00635993" w:rsidRDefault="000D7D3D" w:rsidP="007F746A">
            <w:pPr>
              <w:rPr>
                <w:sz w:val="16"/>
              </w:rPr>
            </w:pPr>
            <w:r w:rsidRPr="00635993">
              <w:rPr>
                <w:sz w:val="16"/>
              </w:rPr>
              <w:t>34452</w:t>
            </w:r>
          </w:p>
        </w:tc>
        <w:tc>
          <w:tcPr>
            <w:tcW w:w="4104" w:type="dxa"/>
          </w:tcPr>
          <w:p w14:paraId="31E2708C" w14:textId="77777777" w:rsidR="000D7D3D" w:rsidRPr="00635993" w:rsidRDefault="000D7D3D" w:rsidP="00FB36B8">
            <w:pPr>
              <w:rPr>
                <w:sz w:val="16"/>
                <w:lang w:val="en-US"/>
              </w:rPr>
            </w:pPr>
            <w:r w:rsidRPr="00635993">
              <w:rPr>
                <w:sz w:val="16"/>
                <w:lang w:val="en-US"/>
              </w:rPr>
              <w:t>Ran GTPase-activating protein</w:t>
            </w:r>
          </w:p>
        </w:tc>
      </w:tr>
      <w:tr w:rsidR="000D7D3D" w:rsidRPr="009004F9" w14:paraId="37871B03" w14:textId="77777777" w:rsidTr="002D60C9">
        <w:tc>
          <w:tcPr>
            <w:tcW w:w="4009" w:type="dxa"/>
          </w:tcPr>
          <w:p w14:paraId="61A8EC9D" w14:textId="77777777" w:rsidR="000D7D3D" w:rsidRPr="00635993" w:rsidRDefault="000D7D3D" w:rsidP="003F7054">
            <w:pPr>
              <w:rPr>
                <w:sz w:val="16"/>
              </w:rPr>
            </w:pPr>
            <w:r w:rsidRPr="00635993">
              <w:rPr>
                <w:sz w:val="16"/>
              </w:rPr>
              <w:t>fgenesh1_kg.7_#_172_#_isotig10101</w:t>
            </w:r>
          </w:p>
        </w:tc>
        <w:tc>
          <w:tcPr>
            <w:tcW w:w="1515" w:type="dxa"/>
          </w:tcPr>
          <w:p w14:paraId="288A3142" w14:textId="77777777" w:rsidR="000D7D3D" w:rsidRPr="00635993" w:rsidRDefault="000D7D3D" w:rsidP="007F746A">
            <w:pPr>
              <w:rPr>
                <w:sz w:val="16"/>
              </w:rPr>
            </w:pPr>
            <w:r w:rsidRPr="00635993">
              <w:rPr>
                <w:sz w:val="16"/>
              </w:rPr>
              <w:t>167491</w:t>
            </w:r>
          </w:p>
        </w:tc>
        <w:tc>
          <w:tcPr>
            <w:tcW w:w="4104" w:type="dxa"/>
          </w:tcPr>
          <w:p w14:paraId="58906BDE" w14:textId="77777777" w:rsidR="000D7D3D" w:rsidRPr="00635993" w:rsidRDefault="000D7D3D" w:rsidP="00FB36B8">
            <w:pPr>
              <w:rPr>
                <w:sz w:val="16"/>
                <w:lang w:val="en-US"/>
              </w:rPr>
            </w:pPr>
            <w:r w:rsidRPr="00635993">
              <w:rPr>
                <w:sz w:val="16"/>
                <w:lang w:val="en-US"/>
              </w:rPr>
              <w:t>Unknown</w:t>
            </w:r>
          </w:p>
        </w:tc>
      </w:tr>
      <w:tr w:rsidR="000D7D3D" w:rsidRPr="009004F9" w14:paraId="1F320423" w14:textId="77777777" w:rsidTr="002D60C9">
        <w:tc>
          <w:tcPr>
            <w:tcW w:w="4009" w:type="dxa"/>
          </w:tcPr>
          <w:p w14:paraId="55240320" w14:textId="77777777" w:rsidR="000D7D3D" w:rsidRPr="00635993" w:rsidRDefault="000D7D3D" w:rsidP="003F7054">
            <w:pPr>
              <w:rPr>
                <w:sz w:val="16"/>
              </w:rPr>
            </w:pPr>
            <w:r w:rsidRPr="00635993">
              <w:rPr>
                <w:sz w:val="16"/>
              </w:rPr>
              <w:t>fgenesh1_kg.1_#_172_#_isotig04374</w:t>
            </w:r>
          </w:p>
        </w:tc>
        <w:tc>
          <w:tcPr>
            <w:tcW w:w="1515" w:type="dxa"/>
          </w:tcPr>
          <w:p w14:paraId="6198D5F0" w14:textId="77777777" w:rsidR="000D7D3D" w:rsidRPr="00635993" w:rsidRDefault="000D7D3D" w:rsidP="007F746A">
            <w:pPr>
              <w:rPr>
                <w:sz w:val="16"/>
              </w:rPr>
            </w:pPr>
            <w:r w:rsidRPr="00635993">
              <w:rPr>
                <w:sz w:val="16"/>
              </w:rPr>
              <w:t>165004</w:t>
            </w:r>
          </w:p>
        </w:tc>
        <w:tc>
          <w:tcPr>
            <w:tcW w:w="4104" w:type="dxa"/>
          </w:tcPr>
          <w:p w14:paraId="3F5446EF" w14:textId="77777777" w:rsidR="000D7D3D" w:rsidRPr="00635993" w:rsidRDefault="000D7D3D" w:rsidP="00FB36B8">
            <w:pPr>
              <w:rPr>
                <w:sz w:val="16"/>
                <w:lang w:val="en-US"/>
              </w:rPr>
            </w:pPr>
            <w:r w:rsidRPr="00635993">
              <w:rPr>
                <w:sz w:val="16"/>
                <w:lang w:val="en-US"/>
              </w:rPr>
              <w:t>Serin-rich protein</w:t>
            </w:r>
          </w:p>
        </w:tc>
      </w:tr>
      <w:tr w:rsidR="000D7D3D" w:rsidRPr="009004F9" w14:paraId="02405463" w14:textId="77777777" w:rsidTr="002D60C9">
        <w:tc>
          <w:tcPr>
            <w:tcW w:w="4009" w:type="dxa"/>
          </w:tcPr>
          <w:p w14:paraId="5CD566DD" w14:textId="77777777" w:rsidR="000D7D3D" w:rsidRPr="00635993" w:rsidRDefault="000D7D3D" w:rsidP="003F7054">
            <w:pPr>
              <w:rPr>
                <w:sz w:val="16"/>
              </w:rPr>
            </w:pPr>
            <w:r w:rsidRPr="00635993">
              <w:rPr>
                <w:sz w:val="16"/>
              </w:rPr>
              <w:t>estExt_Genewise1.C_17880001</w:t>
            </w:r>
          </w:p>
        </w:tc>
        <w:tc>
          <w:tcPr>
            <w:tcW w:w="1515" w:type="dxa"/>
          </w:tcPr>
          <w:p w14:paraId="01D81650" w14:textId="77777777" w:rsidR="000D7D3D" w:rsidRPr="00635993" w:rsidRDefault="000D7D3D" w:rsidP="007F746A">
            <w:pPr>
              <w:rPr>
                <w:sz w:val="16"/>
              </w:rPr>
            </w:pPr>
            <w:r w:rsidRPr="00635993">
              <w:rPr>
                <w:sz w:val="16"/>
              </w:rPr>
              <w:t>141414</w:t>
            </w:r>
          </w:p>
        </w:tc>
        <w:tc>
          <w:tcPr>
            <w:tcW w:w="4104" w:type="dxa"/>
          </w:tcPr>
          <w:p w14:paraId="59DCAF5C" w14:textId="77777777" w:rsidR="000D7D3D" w:rsidRPr="00635993" w:rsidRDefault="000D7D3D" w:rsidP="00FB36B8">
            <w:pPr>
              <w:rPr>
                <w:sz w:val="16"/>
                <w:lang w:val="en-US"/>
              </w:rPr>
            </w:pPr>
            <w:r w:rsidRPr="00635993">
              <w:rPr>
                <w:sz w:val="16"/>
                <w:lang w:val="en-US"/>
              </w:rPr>
              <w:t>Phosphatidylserine synthase</w:t>
            </w:r>
          </w:p>
        </w:tc>
      </w:tr>
      <w:tr w:rsidR="000D7D3D" w:rsidRPr="009004F9" w14:paraId="5F014939" w14:textId="77777777" w:rsidTr="002D60C9">
        <w:tc>
          <w:tcPr>
            <w:tcW w:w="4009" w:type="dxa"/>
          </w:tcPr>
          <w:p w14:paraId="78F21D06" w14:textId="77777777" w:rsidR="000D7D3D" w:rsidRPr="00635993" w:rsidRDefault="000D7D3D" w:rsidP="003F7054">
            <w:pPr>
              <w:rPr>
                <w:sz w:val="16"/>
              </w:rPr>
            </w:pPr>
            <w:r w:rsidRPr="00635993">
              <w:rPr>
                <w:sz w:val="16"/>
              </w:rPr>
              <w:t>gm1.6540_g</w:t>
            </w:r>
          </w:p>
        </w:tc>
        <w:tc>
          <w:tcPr>
            <w:tcW w:w="1515" w:type="dxa"/>
          </w:tcPr>
          <w:p w14:paraId="7B505ED2" w14:textId="77777777" w:rsidR="000D7D3D" w:rsidRPr="00635993" w:rsidRDefault="000D7D3D" w:rsidP="007F746A">
            <w:pPr>
              <w:rPr>
                <w:sz w:val="16"/>
              </w:rPr>
            </w:pPr>
            <w:r w:rsidRPr="00635993">
              <w:rPr>
                <w:sz w:val="16"/>
              </w:rPr>
              <w:t>11969</w:t>
            </w:r>
          </w:p>
        </w:tc>
        <w:tc>
          <w:tcPr>
            <w:tcW w:w="4104" w:type="dxa"/>
          </w:tcPr>
          <w:p w14:paraId="5552A7EE" w14:textId="77777777" w:rsidR="000D7D3D" w:rsidRPr="00635993" w:rsidRDefault="000D7D3D" w:rsidP="00FB36B8">
            <w:pPr>
              <w:rPr>
                <w:sz w:val="16"/>
                <w:lang w:val="en-US"/>
              </w:rPr>
            </w:pPr>
            <w:r w:rsidRPr="00635993">
              <w:rPr>
                <w:sz w:val="16"/>
                <w:lang w:val="en-US"/>
              </w:rPr>
              <w:t>Hydrophobin</w:t>
            </w:r>
          </w:p>
        </w:tc>
      </w:tr>
      <w:tr w:rsidR="000D7D3D" w:rsidRPr="009004F9" w14:paraId="67D6FD3B" w14:textId="77777777" w:rsidTr="002D60C9">
        <w:tc>
          <w:tcPr>
            <w:tcW w:w="4009" w:type="dxa"/>
          </w:tcPr>
          <w:p w14:paraId="4F6301E6" w14:textId="77777777" w:rsidR="000D7D3D" w:rsidRPr="00635993" w:rsidRDefault="000D7D3D" w:rsidP="003F7054">
            <w:pPr>
              <w:rPr>
                <w:sz w:val="16"/>
              </w:rPr>
            </w:pPr>
            <w:r w:rsidRPr="00635993">
              <w:rPr>
                <w:sz w:val="16"/>
              </w:rPr>
              <w:t>fgenesh1_kg.9_#_48_#_isotig10700</w:t>
            </w:r>
          </w:p>
        </w:tc>
        <w:tc>
          <w:tcPr>
            <w:tcW w:w="1515" w:type="dxa"/>
          </w:tcPr>
          <w:p w14:paraId="244CA781" w14:textId="77777777" w:rsidR="000D7D3D" w:rsidRPr="00635993" w:rsidRDefault="000D7D3D" w:rsidP="007F746A">
            <w:pPr>
              <w:rPr>
                <w:sz w:val="16"/>
              </w:rPr>
            </w:pPr>
            <w:r w:rsidRPr="00635993">
              <w:rPr>
                <w:sz w:val="16"/>
              </w:rPr>
              <w:t>167907</w:t>
            </w:r>
          </w:p>
        </w:tc>
        <w:tc>
          <w:tcPr>
            <w:tcW w:w="4104" w:type="dxa"/>
          </w:tcPr>
          <w:p w14:paraId="2BC2B643" w14:textId="77777777" w:rsidR="000D7D3D" w:rsidRPr="00635993" w:rsidRDefault="000D7D3D" w:rsidP="00FB36B8">
            <w:pPr>
              <w:rPr>
                <w:sz w:val="16"/>
                <w:lang w:val="en-US"/>
              </w:rPr>
            </w:pPr>
            <w:r w:rsidRPr="00635993">
              <w:rPr>
                <w:sz w:val="16"/>
                <w:lang w:val="en-US"/>
              </w:rPr>
              <w:t>Unknown</w:t>
            </w:r>
          </w:p>
        </w:tc>
      </w:tr>
      <w:tr w:rsidR="000D7D3D" w:rsidRPr="009004F9" w14:paraId="600611E6" w14:textId="77777777" w:rsidTr="002D60C9">
        <w:tc>
          <w:tcPr>
            <w:tcW w:w="4009" w:type="dxa"/>
          </w:tcPr>
          <w:p w14:paraId="3DBDB8EB" w14:textId="77777777" w:rsidR="000D7D3D" w:rsidRPr="00635993" w:rsidRDefault="000D7D3D" w:rsidP="003F7054">
            <w:pPr>
              <w:rPr>
                <w:sz w:val="16"/>
              </w:rPr>
            </w:pPr>
            <w:r w:rsidRPr="00635993">
              <w:rPr>
                <w:sz w:val="16"/>
              </w:rPr>
              <w:t>gm1.15190_g</w:t>
            </w:r>
          </w:p>
        </w:tc>
        <w:tc>
          <w:tcPr>
            <w:tcW w:w="1515" w:type="dxa"/>
          </w:tcPr>
          <w:p w14:paraId="326BEC35" w14:textId="77777777" w:rsidR="000D7D3D" w:rsidRPr="00635993" w:rsidRDefault="000D7D3D" w:rsidP="007F746A">
            <w:pPr>
              <w:rPr>
                <w:sz w:val="16"/>
              </w:rPr>
            </w:pPr>
            <w:r w:rsidRPr="00635993">
              <w:rPr>
                <w:sz w:val="16"/>
              </w:rPr>
              <w:t>20619</w:t>
            </w:r>
          </w:p>
        </w:tc>
        <w:tc>
          <w:tcPr>
            <w:tcW w:w="4104" w:type="dxa"/>
          </w:tcPr>
          <w:p w14:paraId="7151891D" w14:textId="77777777" w:rsidR="000D7D3D" w:rsidRPr="00635993" w:rsidRDefault="000D7D3D" w:rsidP="00FB36B8">
            <w:pPr>
              <w:rPr>
                <w:sz w:val="16"/>
                <w:lang w:val="en-US"/>
              </w:rPr>
            </w:pPr>
            <w:r w:rsidRPr="00635993">
              <w:rPr>
                <w:sz w:val="16"/>
                <w:lang w:val="en-US"/>
              </w:rPr>
              <w:t>Unknown</w:t>
            </w:r>
          </w:p>
        </w:tc>
      </w:tr>
      <w:tr w:rsidR="000D7D3D" w:rsidRPr="009004F9" w14:paraId="357104E7" w14:textId="77777777" w:rsidTr="002D60C9">
        <w:tc>
          <w:tcPr>
            <w:tcW w:w="4009" w:type="dxa"/>
          </w:tcPr>
          <w:p w14:paraId="63E981D7" w14:textId="77777777" w:rsidR="000D7D3D" w:rsidRPr="00635993" w:rsidRDefault="000D7D3D" w:rsidP="003F7054">
            <w:pPr>
              <w:rPr>
                <w:sz w:val="16"/>
              </w:rPr>
            </w:pPr>
            <w:r w:rsidRPr="00635993">
              <w:rPr>
                <w:sz w:val="16"/>
              </w:rPr>
              <w:t>fgenesh1_pm.43_#_3</w:t>
            </w:r>
          </w:p>
        </w:tc>
        <w:tc>
          <w:tcPr>
            <w:tcW w:w="1515" w:type="dxa"/>
          </w:tcPr>
          <w:p w14:paraId="1026F46B" w14:textId="77777777" w:rsidR="000D7D3D" w:rsidRPr="00635993" w:rsidRDefault="000D7D3D" w:rsidP="007F746A">
            <w:pPr>
              <w:rPr>
                <w:sz w:val="16"/>
              </w:rPr>
            </w:pPr>
            <w:r w:rsidRPr="00635993">
              <w:rPr>
                <w:sz w:val="16"/>
              </w:rPr>
              <w:t>163925</w:t>
            </w:r>
          </w:p>
        </w:tc>
        <w:tc>
          <w:tcPr>
            <w:tcW w:w="4104" w:type="dxa"/>
          </w:tcPr>
          <w:p w14:paraId="417B6225" w14:textId="77777777" w:rsidR="000D7D3D" w:rsidRPr="00635993" w:rsidRDefault="000D7D3D" w:rsidP="00FB36B8">
            <w:pPr>
              <w:rPr>
                <w:sz w:val="16"/>
                <w:lang w:val="en-US"/>
              </w:rPr>
            </w:pPr>
            <w:r w:rsidRPr="00635993">
              <w:rPr>
                <w:sz w:val="16"/>
                <w:lang w:val="en-US"/>
              </w:rPr>
              <w:t>NmrA-domain-containing protein</w:t>
            </w:r>
          </w:p>
        </w:tc>
      </w:tr>
      <w:tr w:rsidR="000D7D3D" w:rsidRPr="009004F9" w14:paraId="7669C927" w14:textId="77777777" w:rsidTr="002D60C9">
        <w:tc>
          <w:tcPr>
            <w:tcW w:w="4009" w:type="dxa"/>
          </w:tcPr>
          <w:p w14:paraId="4BD5D521" w14:textId="77777777" w:rsidR="000D7D3D" w:rsidRPr="00635993" w:rsidRDefault="000D7D3D" w:rsidP="003F7054">
            <w:pPr>
              <w:rPr>
                <w:sz w:val="16"/>
              </w:rPr>
            </w:pPr>
            <w:r w:rsidRPr="00635993">
              <w:rPr>
                <w:sz w:val="16"/>
              </w:rPr>
              <w:t>fgenesh1_kg.16_#_80_#_AAT91249.1</w:t>
            </w:r>
          </w:p>
        </w:tc>
        <w:tc>
          <w:tcPr>
            <w:tcW w:w="1515" w:type="dxa"/>
          </w:tcPr>
          <w:p w14:paraId="655E2A34" w14:textId="77777777" w:rsidR="000D7D3D" w:rsidRPr="00635993" w:rsidRDefault="000D7D3D" w:rsidP="007F746A">
            <w:pPr>
              <w:rPr>
                <w:sz w:val="16"/>
              </w:rPr>
            </w:pPr>
            <w:r w:rsidRPr="00635993">
              <w:rPr>
                <w:sz w:val="16"/>
              </w:rPr>
              <w:t>169342</w:t>
            </w:r>
          </w:p>
        </w:tc>
        <w:tc>
          <w:tcPr>
            <w:tcW w:w="4104" w:type="dxa"/>
          </w:tcPr>
          <w:p w14:paraId="6885F736" w14:textId="77777777" w:rsidR="000D7D3D" w:rsidRPr="00635993" w:rsidRDefault="000D7D3D" w:rsidP="00FB36B8">
            <w:pPr>
              <w:rPr>
                <w:sz w:val="16"/>
                <w:lang w:val="en-US"/>
              </w:rPr>
            </w:pPr>
            <w:r w:rsidRPr="00635993">
              <w:rPr>
                <w:sz w:val="16"/>
                <w:lang w:val="en-US"/>
              </w:rPr>
              <w:t>Lectin</w:t>
            </w:r>
          </w:p>
        </w:tc>
      </w:tr>
      <w:tr w:rsidR="000D7D3D" w:rsidRPr="009004F9" w14:paraId="6B05CD6E" w14:textId="77777777" w:rsidTr="002D60C9">
        <w:tc>
          <w:tcPr>
            <w:tcW w:w="4009" w:type="dxa"/>
          </w:tcPr>
          <w:p w14:paraId="5356C4A5" w14:textId="77777777" w:rsidR="000D7D3D" w:rsidRPr="00635993" w:rsidRDefault="000D7D3D" w:rsidP="003F7054">
            <w:pPr>
              <w:rPr>
                <w:sz w:val="16"/>
              </w:rPr>
            </w:pPr>
            <w:r w:rsidRPr="00635993">
              <w:rPr>
                <w:sz w:val="16"/>
              </w:rPr>
              <w:t>fgenesh1_kg.432_#_4_#_AAT91249.1</w:t>
            </w:r>
          </w:p>
        </w:tc>
        <w:tc>
          <w:tcPr>
            <w:tcW w:w="1515" w:type="dxa"/>
          </w:tcPr>
          <w:p w14:paraId="42C2C1F0" w14:textId="77777777" w:rsidR="000D7D3D" w:rsidRPr="00635993" w:rsidRDefault="000D7D3D" w:rsidP="007F746A">
            <w:pPr>
              <w:rPr>
                <w:sz w:val="16"/>
              </w:rPr>
            </w:pPr>
            <w:r w:rsidRPr="00635993">
              <w:rPr>
                <w:sz w:val="16"/>
              </w:rPr>
              <w:t>173209</w:t>
            </w:r>
          </w:p>
        </w:tc>
        <w:tc>
          <w:tcPr>
            <w:tcW w:w="4104" w:type="dxa"/>
          </w:tcPr>
          <w:p w14:paraId="4496DF6A" w14:textId="77777777" w:rsidR="000D7D3D" w:rsidRPr="00635993" w:rsidRDefault="000D7D3D" w:rsidP="00FB36B8">
            <w:pPr>
              <w:rPr>
                <w:sz w:val="16"/>
                <w:lang w:val="en-US"/>
              </w:rPr>
            </w:pPr>
            <w:r w:rsidRPr="00635993">
              <w:rPr>
                <w:sz w:val="16"/>
                <w:lang w:val="en-US"/>
              </w:rPr>
              <w:t>Lectin</w:t>
            </w:r>
          </w:p>
        </w:tc>
      </w:tr>
      <w:tr w:rsidR="000D7D3D" w:rsidRPr="009004F9" w14:paraId="7A4D5282" w14:textId="77777777" w:rsidTr="002D60C9">
        <w:tc>
          <w:tcPr>
            <w:tcW w:w="4009" w:type="dxa"/>
          </w:tcPr>
          <w:p w14:paraId="58A6F2B0" w14:textId="77777777" w:rsidR="000D7D3D" w:rsidRPr="00635993" w:rsidRDefault="000D7D3D" w:rsidP="003F7054">
            <w:pPr>
              <w:rPr>
                <w:sz w:val="16"/>
              </w:rPr>
            </w:pPr>
            <w:r w:rsidRPr="00635993">
              <w:rPr>
                <w:sz w:val="16"/>
              </w:rPr>
              <w:t>gm1.12301_g</w:t>
            </w:r>
          </w:p>
        </w:tc>
        <w:tc>
          <w:tcPr>
            <w:tcW w:w="1515" w:type="dxa"/>
          </w:tcPr>
          <w:p w14:paraId="17B9425A" w14:textId="77777777" w:rsidR="000D7D3D" w:rsidRPr="00635993" w:rsidRDefault="000D7D3D" w:rsidP="007F746A">
            <w:pPr>
              <w:rPr>
                <w:sz w:val="16"/>
              </w:rPr>
            </w:pPr>
            <w:r w:rsidRPr="00635993">
              <w:rPr>
                <w:sz w:val="16"/>
              </w:rPr>
              <w:t>17730</w:t>
            </w:r>
          </w:p>
        </w:tc>
        <w:tc>
          <w:tcPr>
            <w:tcW w:w="4104" w:type="dxa"/>
          </w:tcPr>
          <w:p w14:paraId="39332633" w14:textId="77777777" w:rsidR="000D7D3D" w:rsidRPr="00635993" w:rsidRDefault="000D7D3D" w:rsidP="00FB36B8">
            <w:pPr>
              <w:rPr>
                <w:sz w:val="16"/>
                <w:lang w:val="en-US"/>
              </w:rPr>
            </w:pPr>
            <w:r w:rsidRPr="00635993">
              <w:rPr>
                <w:sz w:val="16"/>
                <w:lang w:val="en-US"/>
              </w:rPr>
              <w:t>Unknown</w:t>
            </w:r>
          </w:p>
        </w:tc>
      </w:tr>
      <w:tr w:rsidR="000D7D3D" w:rsidRPr="009004F9" w14:paraId="3D6E75B3" w14:textId="77777777" w:rsidTr="002D60C9">
        <w:tc>
          <w:tcPr>
            <w:tcW w:w="4009" w:type="dxa"/>
          </w:tcPr>
          <w:p w14:paraId="03633938" w14:textId="77777777" w:rsidR="000D7D3D" w:rsidRPr="00635993" w:rsidRDefault="000D7D3D" w:rsidP="003F7054">
            <w:pPr>
              <w:rPr>
                <w:sz w:val="16"/>
              </w:rPr>
            </w:pPr>
            <w:r w:rsidRPr="00635993">
              <w:rPr>
                <w:sz w:val="16"/>
              </w:rPr>
              <w:lastRenderedPageBreak/>
              <w:t>e_gw1.26.23.1</w:t>
            </w:r>
          </w:p>
        </w:tc>
        <w:tc>
          <w:tcPr>
            <w:tcW w:w="1515" w:type="dxa"/>
          </w:tcPr>
          <w:p w14:paraId="1096D3B7" w14:textId="77777777" w:rsidR="000D7D3D" w:rsidRPr="00635993" w:rsidRDefault="000D7D3D" w:rsidP="007F746A">
            <w:pPr>
              <w:rPr>
                <w:sz w:val="16"/>
              </w:rPr>
            </w:pPr>
            <w:r w:rsidRPr="00635993">
              <w:rPr>
                <w:sz w:val="16"/>
              </w:rPr>
              <w:t>80411</w:t>
            </w:r>
          </w:p>
        </w:tc>
        <w:tc>
          <w:tcPr>
            <w:tcW w:w="4104" w:type="dxa"/>
          </w:tcPr>
          <w:p w14:paraId="0544DA11" w14:textId="77777777" w:rsidR="000D7D3D" w:rsidRPr="00635993" w:rsidRDefault="000D7D3D" w:rsidP="00FB36B8">
            <w:pPr>
              <w:rPr>
                <w:sz w:val="16"/>
                <w:lang w:val="en-US"/>
              </w:rPr>
            </w:pPr>
            <w:r w:rsidRPr="00635993">
              <w:rPr>
                <w:sz w:val="16"/>
                <w:lang w:val="en-US"/>
              </w:rPr>
              <w:t>Unknown</w:t>
            </w:r>
          </w:p>
        </w:tc>
      </w:tr>
      <w:tr w:rsidR="000D7D3D" w:rsidRPr="009004F9" w14:paraId="4D86B71D" w14:textId="77777777" w:rsidTr="002D60C9">
        <w:tc>
          <w:tcPr>
            <w:tcW w:w="4009" w:type="dxa"/>
          </w:tcPr>
          <w:p w14:paraId="51A61E5B" w14:textId="77777777" w:rsidR="000D7D3D" w:rsidRPr="00635993" w:rsidRDefault="000D7D3D" w:rsidP="003F7054">
            <w:pPr>
              <w:rPr>
                <w:sz w:val="16"/>
              </w:rPr>
            </w:pPr>
            <w:r w:rsidRPr="00635993">
              <w:rPr>
                <w:sz w:val="16"/>
              </w:rPr>
              <w:t>estExt_Genemark1.C_320075</w:t>
            </w:r>
          </w:p>
        </w:tc>
        <w:tc>
          <w:tcPr>
            <w:tcW w:w="1515" w:type="dxa"/>
          </w:tcPr>
          <w:p w14:paraId="6CE76A17" w14:textId="77777777" w:rsidR="000D7D3D" w:rsidRPr="00635993" w:rsidRDefault="000D7D3D" w:rsidP="007F746A">
            <w:pPr>
              <w:rPr>
                <w:sz w:val="16"/>
              </w:rPr>
            </w:pPr>
            <w:r w:rsidRPr="00635993">
              <w:rPr>
                <w:sz w:val="16"/>
              </w:rPr>
              <w:t>100832</w:t>
            </w:r>
          </w:p>
        </w:tc>
        <w:tc>
          <w:tcPr>
            <w:tcW w:w="4104" w:type="dxa"/>
          </w:tcPr>
          <w:p w14:paraId="04DDD6D1" w14:textId="77777777" w:rsidR="000D7D3D" w:rsidRPr="00635993" w:rsidRDefault="000D7D3D" w:rsidP="00FB36B8">
            <w:pPr>
              <w:rPr>
                <w:sz w:val="16"/>
                <w:lang w:val="en-US"/>
              </w:rPr>
            </w:pPr>
            <w:r w:rsidRPr="00635993">
              <w:rPr>
                <w:sz w:val="16"/>
                <w:lang w:val="en-US"/>
              </w:rPr>
              <w:t>Indole-3-acetic acid-amido synthetase</w:t>
            </w:r>
          </w:p>
        </w:tc>
      </w:tr>
      <w:tr w:rsidR="000D7D3D" w:rsidRPr="009004F9" w14:paraId="2D4E4E46" w14:textId="77777777" w:rsidTr="002D60C9">
        <w:tc>
          <w:tcPr>
            <w:tcW w:w="4009" w:type="dxa"/>
          </w:tcPr>
          <w:p w14:paraId="442BAD4D" w14:textId="77777777" w:rsidR="000D7D3D" w:rsidRPr="00635993" w:rsidRDefault="000D7D3D" w:rsidP="003F7054">
            <w:pPr>
              <w:rPr>
                <w:sz w:val="16"/>
              </w:rPr>
            </w:pPr>
            <w:r w:rsidRPr="00635993">
              <w:rPr>
                <w:sz w:val="16"/>
              </w:rPr>
              <w:t>gm1.14142_g</w:t>
            </w:r>
          </w:p>
        </w:tc>
        <w:tc>
          <w:tcPr>
            <w:tcW w:w="1515" w:type="dxa"/>
          </w:tcPr>
          <w:p w14:paraId="5AA42DAD" w14:textId="77777777" w:rsidR="000D7D3D" w:rsidRPr="00635993" w:rsidRDefault="000D7D3D" w:rsidP="007F746A">
            <w:pPr>
              <w:rPr>
                <w:sz w:val="16"/>
              </w:rPr>
            </w:pPr>
            <w:r w:rsidRPr="00635993">
              <w:rPr>
                <w:sz w:val="16"/>
              </w:rPr>
              <w:t>19571</w:t>
            </w:r>
          </w:p>
        </w:tc>
        <w:tc>
          <w:tcPr>
            <w:tcW w:w="4104" w:type="dxa"/>
          </w:tcPr>
          <w:p w14:paraId="6779235B" w14:textId="77777777" w:rsidR="000D7D3D" w:rsidRPr="00635993" w:rsidRDefault="000D7D3D" w:rsidP="00FB36B8">
            <w:pPr>
              <w:rPr>
                <w:sz w:val="16"/>
                <w:lang w:val="en-US"/>
              </w:rPr>
            </w:pPr>
            <w:r w:rsidRPr="00635993">
              <w:rPr>
                <w:sz w:val="16"/>
                <w:lang w:val="en-US"/>
              </w:rPr>
              <w:t>Kynurenine 3-monooxygenase</w:t>
            </w:r>
          </w:p>
        </w:tc>
      </w:tr>
      <w:tr w:rsidR="000D7D3D" w:rsidRPr="009004F9" w14:paraId="30F6595C" w14:textId="77777777" w:rsidTr="002D60C9">
        <w:tc>
          <w:tcPr>
            <w:tcW w:w="4009" w:type="dxa"/>
          </w:tcPr>
          <w:p w14:paraId="301DA2B5" w14:textId="77777777" w:rsidR="000D7D3D" w:rsidRPr="00635993" w:rsidRDefault="000D7D3D" w:rsidP="003F7054">
            <w:pPr>
              <w:rPr>
                <w:sz w:val="16"/>
              </w:rPr>
            </w:pPr>
            <w:r w:rsidRPr="00635993">
              <w:rPr>
                <w:sz w:val="16"/>
              </w:rPr>
              <w:t>gw1.34.154.1</w:t>
            </w:r>
          </w:p>
        </w:tc>
        <w:tc>
          <w:tcPr>
            <w:tcW w:w="1515" w:type="dxa"/>
          </w:tcPr>
          <w:p w14:paraId="7BF7B3F8" w14:textId="77777777" w:rsidR="000D7D3D" w:rsidRPr="00635993" w:rsidRDefault="000D7D3D" w:rsidP="007F746A">
            <w:pPr>
              <w:rPr>
                <w:sz w:val="16"/>
              </w:rPr>
            </w:pPr>
            <w:r w:rsidRPr="00635993">
              <w:rPr>
                <w:sz w:val="16"/>
              </w:rPr>
              <w:t>56330</w:t>
            </w:r>
          </w:p>
        </w:tc>
        <w:tc>
          <w:tcPr>
            <w:tcW w:w="4104" w:type="dxa"/>
          </w:tcPr>
          <w:p w14:paraId="68C03677" w14:textId="77777777" w:rsidR="000D7D3D" w:rsidRPr="00635993" w:rsidRDefault="000D7D3D" w:rsidP="00FB36B8">
            <w:pPr>
              <w:rPr>
                <w:sz w:val="16"/>
                <w:lang w:val="en-US"/>
              </w:rPr>
            </w:pPr>
            <w:r w:rsidRPr="00635993">
              <w:rPr>
                <w:sz w:val="16"/>
                <w:lang w:val="en-US"/>
              </w:rPr>
              <w:t>WD40 domain-containing protein</w:t>
            </w:r>
          </w:p>
        </w:tc>
      </w:tr>
      <w:tr w:rsidR="000D7D3D" w:rsidRPr="009004F9" w14:paraId="4CB850C7" w14:textId="77777777" w:rsidTr="002D60C9">
        <w:tc>
          <w:tcPr>
            <w:tcW w:w="4009" w:type="dxa"/>
          </w:tcPr>
          <w:p w14:paraId="75CEE800" w14:textId="77777777" w:rsidR="000D7D3D" w:rsidRPr="00635993" w:rsidRDefault="000D7D3D" w:rsidP="003F7054">
            <w:pPr>
              <w:rPr>
                <w:sz w:val="16"/>
              </w:rPr>
            </w:pPr>
            <w:r w:rsidRPr="00635993">
              <w:rPr>
                <w:sz w:val="16"/>
              </w:rPr>
              <w:t>estExt_Genemark1.C_80159</w:t>
            </w:r>
          </w:p>
        </w:tc>
        <w:tc>
          <w:tcPr>
            <w:tcW w:w="1515" w:type="dxa"/>
          </w:tcPr>
          <w:p w14:paraId="1DA73014" w14:textId="77777777" w:rsidR="000D7D3D" w:rsidRPr="00635993" w:rsidRDefault="000D7D3D" w:rsidP="007F746A">
            <w:pPr>
              <w:rPr>
                <w:sz w:val="16"/>
              </w:rPr>
            </w:pPr>
            <w:r w:rsidRPr="00635993">
              <w:rPr>
                <w:sz w:val="16"/>
              </w:rPr>
              <w:t>97883</w:t>
            </w:r>
          </w:p>
        </w:tc>
        <w:tc>
          <w:tcPr>
            <w:tcW w:w="4104" w:type="dxa"/>
          </w:tcPr>
          <w:p w14:paraId="31EC2E48" w14:textId="77777777" w:rsidR="000D7D3D" w:rsidRPr="00635993" w:rsidRDefault="000D7D3D" w:rsidP="00FB36B8">
            <w:pPr>
              <w:rPr>
                <w:sz w:val="16"/>
                <w:lang w:val="en-US"/>
              </w:rPr>
            </w:pPr>
            <w:r w:rsidRPr="00635993">
              <w:rPr>
                <w:sz w:val="16"/>
                <w:lang w:val="en-US"/>
              </w:rPr>
              <w:t>Unknown</w:t>
            </w:r>
          </w:p>
        </w:tc>
      </w:tr>
      <w:tr w:rsidR="000D7D3D" w:rsidRPr="009004F9" w14:paraId="6723E67E" w14:textId="77777777" w:rsidTr="002D60C9">
        <w:tc>
          <w:tcPr>
            <w:tcW w:w="4009" w:type="dxa"/>
          </w:tcPr>
          <w:p w14:paraId="55FFCD37" w14:textId="77777777" w:rsidR="000D7D3D" w:rsidRPr="00635993" w:rsidRDefault="000D7D3D" w:rsidP="003F7054">
            <w:pPr>
              <w:rPr>
                <w:sz w:val="16"/>
              </w:rPr>
            </w:pPr>
            <w:r w:rsidRPr="00635993">
              <w:rPr>
                <w:sz w:val="16"/>
              </w:rPr>
              <w:t>gw1.715.6.1</w:t>
            </w:r>
          </w:p>
        </w:tc>
        <w:tc>
          <w:tcPr>
            <w:tcW w:w="1515" w:type="dxa"/>
          </w:tcPr>
          <w:p w14:paraId="51709889" w14:textId="77777777" w:rsidR="000D7D3D" w:rsidRPr="00635993" w:rsidRDefault="000D7D3D" w:rsidP="007F746A">
            <w:pPr>
              <w:rPr>
                <w:sz w:val="16"/>
              </w:rPr>
            </w:pPr>
            <w:r w:rsidRPr="00635993">
              <w:rPr>
                <w:sz w:val="16"/>
              </w:rPr>
              <w:t>45033</w:t>
            </w:r>
          </w:p>
        </w:tc>
        <w:tc>
          <w:tcPr>
            <w:tcW w:w="4104" w:type="dxa"/>
          </w:tcPr>
          <w:p w14:paraId="6798ACA3" w14:textId="77777777" w:rsidR="000D7D3D" w:rsidRPr="00635993" w:rsidRDefault="000D7D3D" w:rsidP="00FB36B8">
            <w:pPr>
              <w:rPr>
                <w:sz w:val="16"/>
                <w:lang w:val="en-US"/>
              </w:rPr>
            </w:pPr>
            <w:r w:rsidRPr="00635993">
              <w:rPr>
                <w:sz w:val="16"/>
                <w:lang w:val="en-US"/>
              </w:rPr>
              <w:t>Unknown</w:t>
            </w:r>
          </w:p>
        </w:tc>
      </w:tr>
      <w:tr w:rsidR="000D7D3D" w:rsidRPr="009004F9" w14:paraId="2FEF1CAA" w14:textId="77777777" w:rsidTr="002D60C9">
        <w:tc>
          <w:tcPr>
            <w:tcW w:w="4009" w:type="dxa"/>
          </w:tcPr>
          <w:p w14:paraId="674E6496" w14:textId="77777777" w:rsidR="000D7D3D" w:rsidRPr="00635993" w:rsidRDefault="000D7D3D" w:rsidP="003F7054">
            <w:pPr>
              <w:rPr>
                <w:sz w:val="16"/>
              </w:rPr>
            </w:pPr>
            <w:r w:rsidRPr="00635993">
              <w:rPr>
                <w:sz w:val="16"/>
              </w:rPr>
              <w:t>gm1.1278_g</w:t>
            </w:r>
          </w:p>
        </w:tc>
        <w:tc>
          <w:tcPr>
            <w:tcW w:w="1515" w:type="dxa"/>
          </w:tcPr>
          <w:p w14:paraId="4575AF26" w14:textId="77777777" w:rsidR="000D7D3D" w:rsidRPr="00635993" w:rsidRDefault="000D7D3D" w:rsidP="007F746A">
            <w:pPr>
              <w:rPr>
                <w:sz w:val="16"/>
              </w:rPr>
            </w:pPr>
            <w:r w:rsidRPr="00635993">
              <w:rPr>
                <w:sz w:val="16"/>
              </w:rPr>
              <w:t>6707</w:t>
            </w:r>
          </w:p>
        </w:tc>
        <w:tc>
          <w:tcPr>
            <w:tcW w:w="4104" w:type="dxa"/>
          </w:tcPr>
          <w:p w14:paraId="4ECD2AC8" w14:textId="77777777" w:rsidR="000D7D3D" w:rsidRPr="00635993" w:rsidRDefault="000D7D3D" w:rsidP="00FB36B8">
            <w:pPr>
              <w:rPr>
                <w:sz w:val="16"/>
                <w:lang w:val="en-US"/>
              </w:rPr>
            </w:pPr>
            <w:r w:rsidRPr="00635993">
              <w:rPr>
                <w:sz w:val="16"/>
                <w:lang w:val="en-US"/>
              </w:rPr>
              <w:t>Unknown</w:t>
            </w:r>
          </w:p>
        </w:tc>
      </w:tr>
      <w:tr w:rsidR="000D7D3D" w:rsidRPr="009004F9" w14:paraId="7D9EED9A" w14:textId="77777777" w:rsidTr="002D60C9">
        <w:tc>
          <w:tcPr>
            <w:tcW w:w="4009" w:type="dxa"/>
          </w:tcPr>
          <w:p w14:paraId="032B6FB7" w14:textId="77777777" w:rsidR="000D7D3D" w:rsidRPr="00635993" w:rsidRDefault="000D7D3D" w:rsidP="003F7054">
            <w:pPr>
              <w:rPr>
                <w:sz w:val="16"/>
              </w:rPr>
            </w:pPr>
            <w:r w:rsidRPr="00635993">
              <w:rPr>
                <w:sz w:val="16"/>
              </w:rPr>
              <w:t>e_gw1.34.26.1</w:t>
            </w:r>
          </w:p>
        </w:tc>
        <w:tc>
          <w:tcPr>
            <w:tcW w:w="1515" w:type="dxa"/>
          </w:tcPr>
          <w:p w14:paraId="34697DAC" w14:textId="77777777" w:rsidR="000D7D3D" w:rsidRPr="00635993" w:rsidRDefault="000D7D3D" w:rsidP="007F746A">
            <w:pPr>
              <w:rPr>
                <w:sz w:val="16"/>
              </w:rPr>
            </w:pPr>
            <w:r w:rsidRPr="00635993">
              <w:rPr>
                <w:sz w:val="16"/>
              </w:rPr>
              <w:t>81834</w:t>
            </w:r>
          </w:p>
        </w:tc>
        <w:tc>
          <w:tcPr>
            <w:tcW w:w="4104" w:type="dxa"/>
          </w:tcPr>
          <w:p w14:paraId="4E07002F" w14:textId="77777777" w:rsidR="000D7D3D" w:rsidRPr="00635993" w:rsidRDefault="000D7D3D" w:rsidP="00FB36B8">
            <w:pPr>
              <w:rPr>
                <w:sz w:val="16"/>
                <w:lang w:val="en-US"/>
              </w:rPr>
            </w:pPr>
            <w:r w:rsidRPr="00635993">
              <w:rPr>
                <w:sz w:val="16"/>
                <w:lang w:val="en-US"/>
              </w:rPr>
              <w:t>WD40 domain-containing protein</w:t>
            </w:r>
          </w:p>
        </w:tc>
      </w:tr>
      <w:tr w:rsidR="000D7D3D" w:rsidRPr="009004F9" w14:paraId="7CD5C251" w14:textId="77777777" w:rsidTr="002D60C9">
        <w:tc>
          <w:tcPr>
            <w:tcW w:w="4009" w:type="dxa"/>
          </w:tcPr>
          <w:p w14:paraId="550E27AD" w14:textId="77777777" w:rsidR="000D7D3D" w:rsidRPr="00635993" w:rsidRDefault="000D7D3D" w:rsidP="003F7054">
            <w:pPr>
              <w:rPr>
                <w:sz w:val="16"/>
              </w:rPr>
            </w:pPr>
            <w:r w:rsidRPr="00635993">
              <w:rPr>
                <w:sz w:val="16"/>
              </w:rPr>
              <w:t>e_gw1.34.81.1</w:t>
            </w:r>
          </w:p>
        </w:tc>
        <w:tc>
          <w:tcPr>
            <w:tcW w:w="1515" w:type="dxa"/>
          </w:tcPr>
          <w:p w14:paraId="1B150612" w14:textId="77777777" w:rsidR="000D7D3D" w:rsidRPr="00635993" w:rsidRDefault="000D7D3D" w:rsidP="007F746A">
            <w:pPr>
              <w:rPr>
                <w:sz w:val="16"/>
              </w:rPr>
            </w:pPr>
            <w:r w:rsidRPr="00635993">
              <w:rPr>
                <w:sz w:val="16"/>
              </w:rPr>
              <w:t>81836</w:t>
            </w:r>
          </w:p>
        </w:tc>
        <w:tc>
          <w:tcPr>
            <w:tcW w:w="4104" w:type="dxa"/>
          </w:tcPr>
          <w:p w14:paraId="10969B70" w14:textId="77777777" w:rsidR="000D7D3D" w:rsidRPr="00635993" w:rsidRDefault="000D7D3D" w:rsidP="00FB36B8">
            <w:pPr>
              <w:rPr>
                <w:sz w:val="16"/>
                <w:lang w:val="en-US"/>
              </w:rPr>
            </w:pPr>
            <w:r w:rsidRPr="00635993">
              <w:rPr>
                <w:sz w:val="16"/>
                <w:lang w:val="en-US"/>
              </w:rPr>
              <w:t>WD40 domain-containing protein</w:t>
            </w:r>
          </w:p>
        </w:tc>
      </w:tr>
      <w:tr w:rsidR="000D7D3D" w:rsidRPr="009004F9" w14:paraId="6BB9CC71" w14:textId="77777777" w:rsidTr="002D60C9">
        <w:tc>
          <w:tcPr>
            <w:tcW w:w="4009" w:type="dxa"/>
          </w:tcPr>
          <w:p w14:paraId="2F8CAB31" w14:textId="77777777" w:rsidR="000D7D3D" w:rsidRPr="00635993" w:rsidRDefault="000D7D3D" w:rsidP="003F7054">
            <w:pPr>
              <w:rPr>
                <w:sz w:val="16"/>
              </w:rPr>
            </w:pPr>
            <w:r w:rsidRPr="00635993">
              <w:rPr>
                <w:sz w:val="16"/>
              </w:rPr>
              <w:t>gm1.10780_g</w:t>
            </w:r>
          </w:p>
        </w:tc>
        <w:tc>
          <w:tcPr>
            <w:tcW w:w="1515" w:type="dxa"/>
          </w:tcPr>
          <w:p w14:paraId="429043C1" w14:textId="77777777" w:rsidR="000D7D3D" w:rsidRPr="00635993" w:rsidRDefault="000D7D3D" w:rsidP="007F746A">
            <w:pPr>
              <w:rPr>
                <w:sz w:val="16"/>
              </w:rPr>
            </w:pPr>
            <w:r w:rsidRPr="00635993">
              <w:rPr>
                <w:sz w:val="16"/>
              </w:rPr>
              <w:t>16209</w:t>
            </w:r>
          </w:p>
        </w:tc>
        <w:tc>
          <w:tcPr>
            <w:tcW w:w="4104" w:type="dxa"/>
          </w:tcPr>
          <w:p w14:paraId="33840B7F" w14:textId="77777777" w:rsidR="000D7D3D" w:rsidRPr="00635993" w:rsidRDefault="000D7D3D" w:rsidP="00FB36B8">
            <w:pPr>
              <w:rPr>
                <w:sz w:val="16"/>
                <w:lang w:val="en-US"/>
              </w:rPr>
            </w:pPr>
            <w:r w:rsidRPr="00635993">
              <w:rPr>
                <w:sz w:val="16"/>
                <w:lang w:val="en-US"/>
              </w:rPr>
              <w:t>Unknown</w:t>
            </w:r>
          </w:p>
        </w:tc>
      </w:tr>
      <w:tr w:rsidR="000D7D3D" w:rsidRPr="009004F9" w14:paraId="50B30DB2" w14:textId="77777777" w:rsidTr="002D60C9">
        <w:tc>
          <w:tcPr>
            <w:tcW w:w="4009" w:type="dxa"/>
          </w:tcPr>
          <w:p w14:paraId="51E50BED" w14:textId="77777777" w:rsidR="000D7D3D" w:rsidRPr="00635993" w:rsidRDefault="000D7D3D" w:rsidP="003F7054">
            <w:pPr>
              <w:rPr>
                <w:sz w:val="16"/>
              </w:rPr>
            </w:pPr>
            <w:r w:rsidRPr="00635993">
              <w:rPr>
                <w:sz w:val="16"/>
              </w:rPr>
              <w:t>gm1.4187_g</w:t>
            </w:r>
          </w:p>
        </w:tc>
        <w:tc>
          <w:tcPr>
            <w:tcW w:w="1515" w:type="dxa"/>
          </w:tcPr>
          <w:p w14:paraId="5B076D1F" w14:textId="77777777" w:rsidR="000D7D3D" w:rsidRPr="00635993" w:rsidRDefault="000D7D3D" w:rsidP="007F746A">
            <w:pPr>
              <w:rPr>
                <w:sz w:val="16"/>
              </w:rPr>
            </w:pPr>
            <w:r w:rsidRPr="00635993">
              <w:rPr>
                <w:sz w:val="16"/>
              </w:rPr>
              <w:t>9616</w:t>
            </w:r>
          </w:p>
        </w:tc>
        <w:tc>
          <w:tcPr>
            <w:tcW w:w="4104" w:type="dxa"/>
          </w:tcPr>
          <w:p w14:paraId="46F218ED" w14:textId="77777777" w:rsidR="000D7D3D" w:rsidRPr="00635993" w:rsidRDefault="000D7D3D" w:rsidP="00FB36B8">
            <w:pPr>
              <w:rPr>
                <w:sz w:val="16"/>
                <w:lang w:val="en-US"/>
              </w:rPr>
            </w:pPr>
            <w:r w:rsidRPr="00635993">
              <w:rPr>
                <w:sz w:val="16"/>
                <w:lang w:val="en-US"/>
              </w:rPr>
              <w:t>Unknown</w:t>
            </w:r>
          </w:p>
        </w:tc>
      </w:tr>
      <w:tr w:rsidR="000D7D3D" w:rsidRPr="009004F9" w14:paraId="6D404B69" w14:textId="77777777" w:rsidTr="002D60C9">
        <w:tc>
          <w:tcPr>
            <w:tcW w:w="4009" w:type="dxa"/>
          </w:tcPr>
          <w:p w14:paraId="00213817" w14:textId="77777777" w:rsidR="000D7D3D" w:rsidRPr="00635993" w:rsidRDefault="000D7D3D" w:rsidP="003F7054">
            <w:pPr>
              <w:rPr>
                <w:sz w:val="16"/>
              </w:rPr>
            </w:pPr>
            <w:r w:rsidRPr="00635993">
              <w:rPr>
                <w:sz w:val="16"/>
              </w:rPr>
              <w:t>estExt_Genemark1.C_19010001</w:t>
            </w:r>
          </w:p>
        </w:tc>
        <w:tc>
          <w:tcPr>
            <w:tcW w:w="1515" w:type="dxa"/>
          </w:tcPr>
          <w:p w14:paraId="15717657" w14:textId="77777777" w:rsidR="000D7D3D" w:rsidRPr="00635993" w:rsidRDefault="000D7D3D" w:rsidP="007F746A">
            <w:pPr>
              <w:rPr>
                <w:sz w:val="16"/>
              </w:rPr>
            </w:pPr>
            <w:r w:rsidRPr="00635993">
              <w:rPr>
                <w:sz w:val="16"/>
              </w:rPr>
              <w:t>103900</w:t>
            </w:r>
          </w:p>
        </w:tc>
        <w:tc>
          <w:tcPr>
            <w:tcW w:w="4104" w:type="dxa"/>
          </w:tcPr>
          <w:p w14:paraId="3CD5B2FC" w14:textId="77777777" w:rsidR="000D7D3D" w:rsidRPr="00635993" w:rsidRDefault="000D7D3D" w:rsidP="00FB36B8">
            <w:pPr>
              <w:rPr>
                <w:sz w:val="16"/>
                <w:lang w:val="en-US"/>
              </w:rPr>
            </w:pPr>
            <w:r w:rsidRPr="00635993">
              <w:rPr>
                <w:sz w:val="16"/>
                <w:lang w:val="en-US"/>
              </w:rPr>
              <w:t>P-loop containing nucleoside triphosphate hydrolase</w:t>
            </w:r>
          </w:p>
        </w:tc>
      </w:tr>
    </w:tbl>
    <w:p w14:paraId="5699F3B4" w14:textId="77777777" w:rsidR="000D7D3D" w:rsidRPr="000D7D3D" w:rsidRDefault="000D7D3D" w:rsidP="003F7054"/>
    <w:p w14:paraId="6B272445" w14:textId="77777777" w:rsidR="000D7D3D" w:rsidRPr="000D7D3D" w:rsidRDefault="000D7D3D" w:rsidP="003F7054">
      <w:pPr>
        <w:rPr>
          <w:lang w:val="en-US"/>
        </w:rPr>
      </w:pPr>
      <w:r w:rsidRPr="000D7D3D">
        <w:rPr>
          <w:lang w:val="en-US"/>
        </w:rPr>
        <w:br w:type="page"/>
      </w:r>
    </w:p>
    <w:p w14:paraId="57A749C6" w14:textId="265448A5" w:rsidR="000D7D3D" w:rsidRPr="00B46FB7" w:rsidRDefault="000D7D3D" w:rsidP="00635993">
      <w:pPr>
        <w:pStyle w:val="Heading2"/>
        <w:rPr>
          <w:lang w:val="en-US"/>
        </w:rPr>
      </w:pPr>
      <w:bookmarkStart w:id="618" w:name="_Toc507604109"/>
      <w:bookmarkStart w:id="619" w:name="_Toc507604376"/>
      <w:bookmarkStart w:id="620" w:name="_Toc519017078"/>
      <w:bookmarkStart w:id="621" w:name="_Toc520837991"/>
      <w:r w:rsidRPr="000D7D3D">
        <w:rPr>
          <w:lang w:val="en-US"/>
        </w:rPr>
        <w:lastRenderedPageBreak/>
        <w:t>Table 7.</w:t>
      </w:r>
      <w:r w:rsidRPr="000D7D3D">
        <w:rPr>
          <w:i/>
          <w:lang w:val="en-US"/>
        </w:rPr>
        <w:t xml:space="preserve"> </w:t>
      </w:r>
      <w:r w:rsidRPr="00635993">
        <w:rPr>
          <w:b w:val="0"/>
          <w:i/>
          <w:lang w:val="en-US"/>
        </w:rPr>
        <w:t>P. involutus ATCC 200175 g</w:t>
      </w:r>
      <w:r w:rsidRPr="00635993">
        <w:rPr>
          <w:b w:val="0"/>
          <w:lang w:val="en-US"/>
        </w:rPr>
        <w:t>enes downregulated by Low P and Symbiosis (1.5 fold-change threshold)</w:t>
      </w:r>
      <w:bookmarkEnd w:id="618"/>
      <w:bookmarkEnd w:id="619"/>
      <w:bookmarkEnd w:id="620"/>
      <w:bookmarkEnd w:id="621"/>
    </w:p>
    <w:tbl>
      <w:tblPr>
        <w:tblStyle w:val="TableGrid1"/>
        <w:tblW w:w="0" w:type="auto"/>
        <w:tblLook w:val="04A0" w:firstRow="1" w:lastRow="0" w:firstColumn="1" w:lastColumn="0" w:noHBand="0" w:noVBand="1"/>
      </w:tblPr>
      <w:tblGrid>
        <w:gridCol w:w="3934"/>
        <w:gridCol w:w="1465"/>
        <w:gridCol w:w="3951"/>
      </w:tblGrid>
      <w:tr w:rsidR="000D7D3D" w:rsidRPr="009004F9" w14:paraId="7C739716" w14:textId="77777777" w:rsidTr="002D60C9">
        <w:tc>
          <w:tcPr>
            <w:tcW w:w="4013" w:type="dxa"/>
          </w:tcPr>
          <w:p w14:paraId="47C6218C" w14:textId="77777777" w:rsidR="000D7D3D" w:rsidRPr="00635993" w:rsidRDefault="000D7D3D" w:rsidP="003F7054">
            <w:pPr>
              <w:rPr>
                <w:b/>
                <w:sz w:val="20"/>
                <w:lang w:val="en-US"/>
              </w:rPr>
            </w:pPr>
            <w:r w:rsidRPr="00635993">
              <w:rPr>
                <w:b/>
                <w:sz w:val="20"/>
                <w:lang w:val="en-US"/>
              </w:rPr>
              <w:t>Gene name (JGI)</w:t>
            </w:r>
          </w:p>
        </w:tc>
        <w:tc>
          <w:tcPr>
            <w:tcW w:w="1511" w:type="dxa"/>
          </w:tcPr>
          <w:p w14:paraId="1701D1ED" w14:textId="77777777" w:rsidR="000D7D3D" w:rsidRPr="00635993" w:rsidRDefault="000D7D3D" w:rsidP="007F746A">
            <w:pPr>
              <w:rPr>
                <w:b/>
                <w:sz w:val="20"/>
                <w:lang w:val="en-US"/>
              </w:rPr>
            </w:pPr>
            <w:r w:rsidRPr="00635993">
              <w:rPr>
                <w:b/>
                <w:sz w:val="20"/>
                <w:lang w:val="en-US"/>
              </w:rPr>
              <w:t>Protein ID</w:t>
            </w:r>
          </w:p>
        </w:tc>
        <w:tc>
          <w:tcPr>
            <w:tcW w:w="4104" w:type="dxa"/>
          </w:tcPr>
          <w:p w14:paraId="3BDF3150" w14:textId="77777777" w:rsidR="000D7D3D" w:rsidRPr="00635993" w:rsidRDefault="000D7D3D" w:rsidP="00FB36B8">
            <w:pPr>
              <w:rPr>
                <w:b/>
                <w:sz w:val="20"/>
                <w:lang w:val="en-US"/>
              </w:rPr>
            </w:pPr>
            <w:r w:rsidRPr="00635993">
              <w:rPr>
                <w:b/>
                <w:sz w:val="20"/>
                <w:lang w:val="en-US"/>
              </w:rPr>
              <w:t>Putative function</w:t>
            </w:r>
          </w:p>
        </w:tc>
      </w:tr>
      <w:tr w:rsidR="000D7D3D" w:rsidRPr="009004F9" w14:paraId="5AE87CF3" w14:textId="77777777" w:rsidTr="002D60C9">
        <w:tc>
          <w:tcPr>
            <w:tcW w:w="4013" w:type="dxa"/>
          </w:tcPr>
          <w:p w14:paraId="79781CB4" w14:textId="77777777" w:rsidR="000D7D3D" w:rsidRPr="00635993" w:rsidRDefault="000D7D3D" w:rsidP="003F7054">
            <w:pPr>
              <w:rPr>
                <w:sz w:val="16"/>
              </w:rPr>
            </w:pPr>
            <w:r w:rsidRPr="00635993">
              <w:rPr>
                <w:sz w:val="16"/>
              </w:rPr>
              <w:t>estExt_Genemark1.C_280062</w:t>
            </w:r>
          </w:p>
        </w:tc>
        <w:tc>
          <w:tcPr>
            <w:tcW w:w="1511" w:type="dxa"/>
          </w:tcPr>
          <w:p w14:paraId="0FF20D05" w14:textId="77777777" w:rsidR="000D7D3D" w:rsidRPr="00635993" w:rsidRDefault="000D7D3D" w:rsidP="007F746A">
            <w:pPr>
              <w:rPr>
                <w:sz w:val="16"/>
              </w:rPr>
            </w:pPr>
            <w:r w:rsidRPr="00635993">
              <w:rPr>
                <w:sz w:val="16"/>
              </w:rPr>
              <w:t>100587</w:t>
            </w:r>
          </w:p>
        </w:tc>
        <w:tc>
          <w:tcPr>
            <w:tcW w:w="4104" w:type="dxa"/>
          </w:tcPr>
          <w:p w14:paraId="53EA3462" w14:textId="77777777" w:rsidR="000D7D3D" w:rsidRPr="00635993" w:rsidRDefault="000D7D3D" w:rsidP="00FB36B8">
            <w:pPr>
              <w:rPr>
                <w:sz w:val="16"/>
                <w:lang w:val="en-US"/>
              </w:rPr>
            </w:pPr>
            <w:r w:rsidRPr="00635993">
              <w:rPr>
                <w:sz w:val="16"/>
                <w:lang w:val="en-US"/>
              </w:rPr>
              <w:t>FAD-dependent oxidoreductase</w:t>
            </w:r>
          </w:p>
        </w:tc>
      </w:tr>
      <w:tr w:rsidR="000D7D3D" w:rsidRPr="009004F9" w14:paraId="36CC4456" w14:textId="77777777" w:rsidTr="002D60C9">
        <w:tc>
          <w:tcPr>
            <w:tcW w:w="4013" w:type="dxa"/>
          </w:tcPr>
          <w:p w14:paraId="240E5EF4" w14:textId="77777777" w:rsidR="000D7D3D" w:rsidRPr="00635993" w:rsidRDefault="000D7D3D" w:rsidP="003F7054">
            <w:pPr>
              <w:rPr>
                <w:sz w:val="16"/>
              </w:rPr>
            </w:pPr>
            <w:r w:rsidRPr="00635993">
              <w:rPr>
                <w:sz w:val="16"/>
              </w:rPr>
              <w:t>gw1.8.573.1</w:t>
            </w:r>
          </w:p>
        </w:tc>
        <w:tc>
          <w:tcPr>
            <w:tcW w:w="1511" w:type="dxa"/>
          </w:tcPr>
          <w:p w14:paraId="565D86F6" w14:textId="77777777" w:rsidR="000D7D3D" w:rsidRPr="00635993" w:rsidRDefault="000D7D3D" w:rsidP="007F746A">
            <w:pPr>
              <w:rPr>
                <w:sz w:val="16"/>
              </w:rPr>
            </w:pPr>
            <w:r w:rsidRPr="00635993">
              <w:rPr>
                <w:sz w:val="16"/>
              </w:rPr>
              <w:t>41225</w:t>
            </w:r>
          </w:p>
        </w:tc>
        <w:tc>
          <w:tcPr>
            <w:tcW w:w="4104" w:type="dxa"/>
          </w:tcPr>
          <w:p w14:paraId="5D0F80C7" w14:textId="77777777" w:rsidR="000D7D3D" w:rsidRPr="00635993" w:rsidRDefault="000D7D3D" w:rsidP="00FB36B8">
            <w:pPr>
              <w:rPr>
                <w:sz w:val="16"/>
                <w:lang w:val="en-US"/>
              </w:rPr>
            </w:pPr>
            <w:r w:rsidRPr="00635993">
              <w:rPr>
                <w:sz w:val="16"/>
                <w:lang w:val="en-US"/>
              </w:rPr>
              <w:t>GTP-binding protein</w:t>
            </w:r>
          </w:p>
        </w:tc>
      </w:tr>
      <w:tr w:rsidR="000D7D3D" w:rsidRPr="009004F9" w14:paraId="24F5C0A5" w14:textId="77777777" w:rsidTr="002D60C9">
        <w:tc>
          <w:tcPr>
            <w:tcW w:w="4013" w:type="dxa"/>
          </w:tcPr>
          <w:p w14:paraId="55665C40" w14:textId="77777777" w:rsidR="000D7D3D" w:rsidRPr="00635993" w:rsidRDefault="000D7D3D" w:rsidP="003F7054">
            <w:pPr>
              <w:rPr>
                <w:sz w:val="16"/>
              </w:rPr>
            </w:pPr>
            <w:r w:rsidRPr="00635993">
              <w:rPr>
                <w:sz w:val="16"/>
              </w:rPr>
              <w:t>gm1.3484_g</w:t>
            </w:r>
          </w:p>
        </w:tc>
        <w:tc>
          <w:tcPr>
            <w:tcW w:w="1511" w:type="dxa"/>
          </w:tcPr>
          <w:p w14:paraId="52EDE841" w14:textId="77777777" w:rsidR="000D7D3D" w:rsidRPr="00635993" w:rsidRDefault="000D7D3D" w:rsidP="007F746A">
            <w:pPr>
              <w:rPr>
                <w:sz w:val="16"/>
              </w:rPr>
            </w:pPr>
            <w:r w:rsidRPr="00635993">
              <w:rPr>
                <w:sz w:val="16"/>
              </w:rPr>
              <w:t>8913</w:t>
            </w:r>
          </w:p>
        </w:tc>
        <w:tc>
          <w:tcPr>
            <w:tcW w:w="4104" w:type="dxa"/>
          </w:tcPr>
          <w:p w14:paraId="0BF3D9C3" w14:textId="77777777" w:rsidR="000D7D3D" w:rsidRPr="00635993" w:rsidRDefault="000D7D3D" w:rsidP="00FB36B8">
            <w:pPr>
              <w:rPr>
                <w:sz w:val="16"/>
                <w:lang w:val="en-US"/>
              </w:rPr>
            </w:pPr>
            <w:r w:rsidRPr="00635993">
              <w:rPr>
                <w:sz w:val="16"/>
                <w:lang w:val="en-US"/>
              </w:rPr>
              <w:t>Unknown</w:t>
            </w:r>
          </w:p>
        </w:tc>
      </w:tr>
      <w:tr w:rsidR="000D7D3D" w:rsidRPr="009004F9" w14:paraId="5CB73D82" w14:textId="77777777" w:rsidTr="002D60C9">
        <w:tc>
          <w:tcPr>
            <w:tcW w:w="4013" w:type="dxa"/>
          </w:tcPr>
          <w:p w14:paraId="02EC3344" w14:textId="77777777" w:rsidR="000D7D3D" w:rsidRPr="00635993" w:rsidRDefault="000D7D3D" w:rsidP="003F7054">
            <w:pPr>
              <w:rPr>
                <w:sz w:val="16"/>
              </w:rPr>
            </w:pPr>
            <w:r w:rsidRPr="00635993">
              <w:rPr>
                <w:sz w:val="16"/>
              </w:rPr>
              <w:t>gm1.7786_g</w:t>
            </w:r>
          </w:p>
        </w:tc>
        <w:tc>
          <w:tcPr>
            <w:tcW w:w="1511" w:type="dxa"/>
          </w:tcPr>
          <w:p w14:paraId="3A776975" w14:textId="77777777" w:rsidR="000D7D3D" w:rsidRPr="00635993" w:rsidRDefault="000D7D3D" w:rsidP="007F746A">
            <w:pPr>
              <w:rPr>
                <w:sz w:val="16"/>
              </w:rPr>
            </w:pPr>
            <w:r w:rsidRPr="00635993">
              <w:rPr>
                <w:sz w:val="16"/>
              </w:rPr>
              <w:t>13215</w:t>
            </w:r>
          </w:p>
        </w:tc>
        <w:tc>
          <w:tcPr>
            <w:tcW w:w="4104" w:type="dxa"/>
          </w:tcPr>
          <w:p w14:paraId="1215785D" w14:textId="77777777" w:rsidR="000D7D3D" w:rsidRPr="00635993" w:rsidRDefault="000D7D3D" w:rsidP="00FB36B8">
            <w:pPr>
              <w:rPr>
                <w:sz w:val="16"/>
                <w:lang w:val="en-US"/>
              </w:rPr>
            </w:pPr>
            <w:r w:rsidRPr="00635993">
              <w:rPr>
                <w:sz w:val="16"/>
                <w:lang w:val="en-US"/>
              </w:rPr>
              <w:t>Unknown</w:t>
            </w:r>
          </w:p>
        </w:tc>
      </w:tr>
      <w:tr w:rsidR="000D7D3D" w:rsidRPr="009004F9" w14:paraId="237FC257" w14:textId="77777777" w:rsidTr="002D60C9">
        <w:tc>
          <w:tcPr>
            <w:tcW w:w="4013" w:type="dxa"/>
          </w:tcPr>
          <w:p w14:paraId="7CBF8721" w14:textId="77777777" w:rsidR="000D7D3D" w:rsidRPr="00635993" w:rsidRDefault="000D7D3D" w:rsidP="003F7054">
            <w:pPr>
              <w:rPr>
                <w:sz w:val="16"/>
              </w:rPr>
            </w:pPr>
            <w:r w:rsidRPr="00635993">
              <w:rPr>
                <w:sz w:val="16"/>
              </w:rPr>
              <w:t>estExt_Genewise1.C_250011</w:t>
            </w:r>
          </w:p>
        </w:tc>
        <w:tc>
          <w:tcPr>
            <w:tcW w:w="1511" w:type="dxa"/>
          </w:tcPr>
          <w:p w14:paraId="5AAFF433" w14:textId="77777777" w:rsidR="000D7D3D" w:rsidRPr="00635993" w:rsidRDefault="000D7D3D" w:rsidP="007F746A">
            <w:pPr>
              <w:rPr>
                <w:sz w:val="16"/>
              </w:rPr>
            </w:pPr>
            <w:r w:rsidRPr="00635993">
              <w:rPr>
                <w:sz w:val="16"/>
              </w:rPr>
              <w:t>135503</w:t>
            </w:r>
          </w:p>
        </w:tc>
        <w:tc>
          <w:tcPr>
            <w:tcW w:w="4104" w:type="dxa"/>
          </w:tcPr>
          <w:p w14:paraId="2B382211" w14:textId="77777777" w:rsidR="000D7D3D" w:rsidRPr="00635993" w:rsidRDefault="000D7D3D" w:rsidP="00FB36B8">
            <w:pPr>
              <w:rPr>
                <w:sz w:val="16"/>
                <w:lang w:val="en-US"/>
              </w:rPr>
            </w:pPr>
            <w:r w:rsidRPr="00635993">
              <w:rPr>
                <w:sz w:val="16"/>
                <w:lang w:val="en-US"/>
              </w:rPr>
              <w:t>Unknown</w:t>
            </w:r>
          </w:p>
        </w:tc>
      </w:tr>
      <w:tr w:rsidR="000D7D3D" w:rsidRPr="009004F9" w14:paraId="31DBC267" w14:textId="77777777" w:rsidTr="002D60C9">
        <w:tc>
          <w:tcPr>
            <w:tcW w:w="4013" w:type="dxa"/>
          </w:tcPr>
          <w:p w14:paraId="774F471D" w14:textId="77777777" w:rsidR="000D7D3D" w:rsidRPr="00635993" w:rsidRDefault="000D7D3D" w:rsidP="003F7054">
            <w:pPr>
              <w:rPr>
                <w:sz w:val="16"/>
              </w:rPr>
            </w:pPr>
            <w:r w:rsidRPr="00635993">
              <w:rPr>
                <w:sz w:val="16"/>
              </w:rPr>
              <w:t>estExt_Genemark1.C_4350004</w:t>
            </w:r>
          </w:p>
        </w:tc>
        <w:tc>
          <w:tcPr>
            <w:tcW w:w="1511" w:type="dxa"/>
          </w:tcPr>
          <w:p w14:paraId="376816A0" w14:textId="77777777" w:rsidR="000D7D3D" w:rsidRPr="00635993" w:rsidRDefault="000D7D3D" w:rsidP="007F746A">
            <w:pPr>
              <w:rPr>
                <w:sz w:val="16"/>
              </w:rPr>
            </w:pPr>
            <w:r w:rsidRPr="00635993">
              <w:rPr>
                <w:sz w:val="16"/>
              </w:rPr>
              <w:t>102770</w:t>
            </w:r>
          </w:p>
        </w:tc>
        <w:tc>
          <w:tcPr>
            <w:tcW w:w="4104" w:type="dxa"/>
          </w:tcPr>
          <w:p w14:paraId="2F38D1F7" w14:textId="77777777" w:rsidR="000D7D3D" w:rsidRPr="00635993" w:rsidRDefault="000D7D3D" w:rsidP="00FB36B8">
            <w:pPr>
              <w:rPr>
                <w:sz w:val="16"/>
                <w:lang w:val="en-US"/>
              </w:rPr>
            </w:pPr>
            <w:r w:rsidRPr="00635993">
              <w:rPr>
                <w:sz w:val="16"/>
                <w:lang w:val="en-US"/>
              </w:rPr>
              <w:t>Unknown</w:t>
            </w:r>
          </w:p>
        </w:tc>
      </w:tr>
      <w:tr w:rsidR="000D7D3D" w:rsidRPr="009004F9" w14:paraId="3C09BAAC" w14:textId="77777777" w:rsidTr="002D60C9">
        <w:tc>
          <w:tcPr>
            <w:tcW w:w="4013" w:type="dxa"/>
          </w:tcPr>
          <w:p w14:paraId="56BDC2CE" w14:textId="77777777" w:rsidR="000D7D3D" w:rsidRPr="00635993" w:rsidRDefault="000D7D3D" w:rsidP="003F7054">
            <w:pPr>
              <w:rPr>
                <w:sz w:val="16"/>
              </w:rPr>
            </w:pPr>
            <w:r w:rsidRPr="00635993">
              <w:rPr>
                <w:sz w:val="16"/>
              </w:rPr>
              <w:t>fgenesh1_kg.21_#_23_#_isotig13707</w:t>
            </w:r>
          </w:p>
        </w:tc>
        <w:tc>
          <w:tcPr>
            <w:tcW w:w="1511" w:type="dxa"/>
          </w:tcPr>
          <w:p w14:paraId="48E74D6D" w14:textId="77777777" w:rsidR="000D7D3D" w:rsidRPr="00635993" w:rsidRDefault="000D7D3D" w:rsidP="007F746A">
            <w:pPr>
              <w:rPr>
                <w:sz w:val="16"/>
              </w:rPr>
            </w:pPr>
            <w:r w:rsidRPr="00635993">
              <w:rPr>
                <w:sz w:val="16"/>
              </w:rPr>
              <w:t>169772</w:t>
            </w:r>
          </w:p>
        </w:tc>
        <w:tc>
          <w:tcPr>
            <w:tcW w:w="4104" w:type="dxa"/>
          </w:tcPr>
          <w:p w14:paraId="6C921A59" w14:textId="77777777" w:rsidR="000D7D3D" w:rsidRPr="00635993" w:rsidRDefault="000D7D3D" w:rsidP="00FB36B8">
            <w:pPr>
              <w:rPr>
                <w:sz w:val="16"/>
                <w:lang w:val="en-US"/>
              </w:rPr>
            </w:pPr>
            <w:r w:rsidRPr="00635993">
              <w:rPr>
                <w:sz w:val="16"/>
                <w:lang w:val="en-US"/>
              </w:rPr>
              <w:t>Unknown</w:t>
            </w:r>
          </w:p>
        </w:tc>
      </w:tr>
      <w:tr w:rsidR="000D7D3D" w:rsidRPr="009004F9" w14:paraId="7DFD22AF" w14:textId="77777777" w:rsidTr="002D60C9">
        <w:tc>
          <w:tcPr>
            <w:tcW w:w="4013" w:type="dxa"/>
          </w:tcPr>
          <w:p w14:paraId="5C4B3984" w14:textId="77777777" w:rsidR="000D7D3D" w:rsidRPr="00635993" w:rsidRDefault="000D7D3D" w:rsidP="003F7054">
            <w:pPr>
              <w:rPr>
                <w:sz w:val="16"/>
              </w:rPr>
            </w:pPr>
            <w:r w:rsidRPr="00635993">
              <w:rPr>
                <w:sz w:val="16"/>
              </w:rPr>
              <w:t>e_gw1.30.9.1</w:t>
            </w:r>
          </w:p>
        </w:tc>
        <w:tc>
          <w:tcPr>
            <w:tcW w:w="1511" w:type="dxa"/>
          </w:tcPr>
          <w:p w14:paraId="4CEA5F69" w14:textId="77777777" w:rsidR="000D7D3D" w:rsidRPr="00635993" w:rsidRDefault="000D7D3D" w:rsidP="007F746A">
            <w:pPr>
              <w:rPr>
                <w:sz w:val="16"/>
              </w:rPr>
            </w:pPr>
            <w:r w:rsidRPr="00635993">
              <w:rPr>
                <w:sz w:val="16"/>
              </w:rPr>
              <w:t>81157</w:t>
            </w:r>
          </w:p>
        </w:tc>
        <w:tc>
          <w:tcPr>
            <w:tcW w:w="4104" w:type="dxa"/>
          </w:tcPr>
          <w:p w14:paraId="565B0C8B" w14:textId="77777777" w:rsidR="000D7D3D" w:rsidRPr="00635993" w:rsidRDefault="000D7D3D" w:rsidP="00FB36B8">
            <w:pPr>
              <w:rPr>
                <w:sz w:val="16"/>
                <w:lang w:val="en-US"/>
              </w:rPr>
            </w:pPr>
            <w:r w:rsidRPr="00635993">
              <w:rPr>
                <w:sz w:val="16"/>
                <w:lang w:val="en-US"/>
              </w:rPr>
              <w:t>Nucleoporin</w:t>
            </w:r>
          </w:p>
        </w:tc>
      </w:tr>
      <w:tr w:rsidR="000D7D3D" w:rsidRPr="009004F9" w14:paraId="294D0DAC" w14:textId="77777777" w:rsidTr="002D60C9">
        <w:tc>
          <w:tcPr>
            <w:tcW w:w="4013" w:type="dxa"/>
          </w:tcPr>
          <w:p w14:paraId="73288CE1" w14:textId="77777777" w:rsidR="000D7D3D" w:rsidRPr="00635993" w:rsidRDefault="000D7D3D" w:rsidP="003F7054">
            <w:pPr>
              <w:rPr>
                <w:sz w:val="16"/>
              </w:rPr>
            </w:pPr>
            <w:r w:rsidRPr="00635993">
              <w:rPr>
                <w:sz w:val="16"/>
              </w:rPr>
              <w:t>fgenesh1_pg.25_#_9</w:t>
            </w:r>
          </w:p>
        </w:tc>
        <w:tc>
          <w:tcPr>
            <w:tcW w:w="1511" w:type="dxa"/>
          </w:tcPr>
          <w:p w14:paraId="75B196EF" w14:textId="77777777" w:rsidR="000D7D3D" w:rsidRPr="00635993" w:rsidRDefault="000D7D3D" w:rsidP="007F746A">
            <w:pPr>
              <w:rPr>
                <w:sz w:val="16"/>
              </w:rPr>
            </w:pPr>
            <w:r w:rsidRPr="00635993">
              <w:rPr>
                <w:sz w:val="16"/>
              </w:rPr>
              <w:t>156301</w:t>
            </w:r>
          </w:p>
        </w:tc>
        <w:tc>
          <w:tcPr>
            <w:tcW w:w="4104" w:type="dxa"/>
          </w:tcPr>
          <w:p w14:paraId="38F85120" w14:textId="77777777" w:rsidR="000D7D3D" w:rsidRPr="00635993" w:rsidRDefault="000D7D3D" w:rsidP="00FB36B8">
            <w:pPr>
              <w:rPr>
                <w:sz w:val="16"/>
                <w:lang w:val="en-US"/>
              </w:rPr>
            </w:pPr>
            <w:r w:rsidRPr="00635993">
              <w:rPr>
                <w:sz w:val="16"/>
                <w:lang w:val="en-US"/>
              </w:rPr>
              <w:t>Unknown</w:t>
            </w:r>
          </w:p>
        </w:tc>
      </w:tr>
      <w:tr w:rsidR="000D7D3D" w:rsidRPr="009004F9" w14:paraId="64D86B3C" w14:textId="77777777" w:rsidTr="002D60C9">
        <w:tc>
          <w:tcPr>
            <w:tcW w:w="4013" w:type="dxa"/>
          </w:tcPr>
          <w:p w14:paraId="0C12392F" w14:textId="77777777" w:rsidR="000D7D3D" w:rsidRPr="00635993" w:rsidRDefault="000D7D3D" w:rsidP="003F7054">
            <w:pPr>
              <w:rPr>
                <w:sz w:val="16"/>
              </w:rPr>
            </w:pPr>
            <w:r w:rsidRPr="00635993">
              <w:rPr>
                <w:sz w:val="16"/>
              </w:rPr>
              <w:t>estExt_Genemark1.C_500012</w:t>
            </w:r>
          </w:p>
        </w:tc>
        <w:tc>
          <w:tcPr>
            <w:tcW w:w="1511" w:type="dxa"/>
          </w:tcPr>
          <w:p w14:paraId="32286E4E" w14:textId="77777777" w:rsidR="000D7D3D" w:rsidRPr="00635993" w:rsidRDefault="000D7D3D" w:rsidP="007F746A">
            <w:pPr>
              <w:rPr>
                <w:sz w:val="16"/>
              </w:rPr>
            </w:pPr>
            <w:r w:rsidRPr="00635993">
              <w:rPr>
                <w:sz w:val="16"/>
              </w:rPr>
              <w:t>101511</w:t>
            </w:r>
          </w:p>
        </w:tc>
        <w:tc>
          <w:tcPr>
            <w:tcW w:w="4104" w:type="dxa"/>
          </w:tcPr>
          <w:p w14:paraId="541C82F2" w14:textId="77777777" w:rsidR="000D7D3D" w:rsidRPr="00635993" w:rsidRDefault="000D7D3D" w:rsidP="00FB36B8">
            <w:pPr>
              <w:rPr>
                <w:sz w:val="16"/>
                <w:lang w:val="en-US"/>
              </w:rPr>
            </w:pPr>
            <w:r w:rsidRPr="00635993">
              <w:rPr>
                <w:sz w:val="16"/>
                <w:lang w:val="en-US"/>
              </w:rPr>
              <w:t>Unknown</w:t>
            </w:r>
          </w:p>
        </w:tc>
      </w:tr>
      <w:tr w:rsidR="000D7D3D" w:rsidRPr="009004F9" w14:paraId="2C3D5634" w14:textId="77777777" w:rsidTr="002D60C9">
        <w:tc>
          <w:tcPr>
            <w:tcW w:w="4013" w:type="dxa"/>
          </w:tcPr>
          <w:p w14:paraId="5D96B729" w14:textId="77777777" w:rsidR="000D7D3D" w:rsidRPr="00635993" w:rsidRDefault="000D7D3D" w:rsidP="003F7054">
            <w:pPr>
              <w:rPr>
                <w:sz w:val="16"/>
              </w:rPr>
            </w:pPr>
            <w:r w:rsidRPr="00635993">
              <w:rPr>
                <w:sz w:val="16"/>
              </w:rPr>
              <w:t>gm1.6922_g</w:t>
            </w:r>
          </w:p>
        </w:tc>
        <w:tc>
          <w:tcPr>
            <w:tcW w:w="1511" w:type="dxa"/>
          </w:tcPr>
          <w:p w14:paraId="79FD7BFA" w14:textId="77777777" w:rsidR="000D7D3D" w:rsidRPr="00635993" w:rsidRDefault="000D7D3D" w:rsidP="007F746A">
            <w:pPr>
              <w:rPr>
                <w:sz w:val="16"/>
              </w:rPr>
            </w:pPr>
            <w:r w:rsidRPr="00635993">
              <w:rPr>
                <w:sz w:val="16"/>
              </w:rPr>
              <w:t>12351</w:t>
            </w:r>
          </w:p>
        </w:tc>
        <w:tc>
          <w:tcPr>
            <w:tcW w:w="4104" w:type="dxa"/>
          </w:tcPr>
          <w:p w14:paraId="0C8A2F18" w14:textId="77777777" w:rsidR="000D7D3D" w:rsidRPr="00635993" w:rsidRDefault="000D7D3D" w:rsidP="00FB36B8">
            <w:pPr>
              <w:rPr>
                <w:sz w:val="16"/>
                <w:lang w:val="en-US"/>
              </w:rPr>
            </w:pPr>
            <w:r w:rsidRPr="00635993">
              <w:rPr>
                <w:sz w:val="16"/>
                <w:lang w:val="en-US"/>
              </w:rPr>
              <w:t>Cytochrome P450</w:t>
            </w:r>
          </w:p>
        </w:tc>
      </w:tr>
      <w:tr w:rsidR="000D7D3D" w:rsidRPr="009004F9" w14:paraId="0397303E" w14:textId="77777777" w:rsidTr="002D60C9">
        <w:tc>
          <w:tcPr>
            <w:tcW w:w="4013" w:type="dxa"/>
          </w:tcPr>
          <w:p w14:paraId="4820E25B" w14:textId="77777777" w:rsidR="000D7D3D" w:rsidRPr="00635993" w:rsidRDefault="000D7D3D" w:rsidP="003F7054">
            <w:pPr>
              <w:rPr>
                <w:sz w:val="16"/>
              </w:rPr>
            </w:pPr>
            <w:r w:rsidRPr="00635993">
              <w:rPr>
                <w:sz w:val="16"/>
              </w:rPr>
              <w:t>gm1.5824_g</w:t>
            </w:r>
          </w:p>
        </w:tc>
        <w:tc>
          <w:tcPr>
            <w:tcW w:w="1511" w:type="dxa"/>
          </w:tcPr>
          <w:p w14:paraId="30989241" w14:textId="77777777" w:rsidR="000D7D3D" w:rsidRPr="00635993" w:rsidRDefault="000D7D3D" w:rsidP="007F746A">
            <w:pPr>
              <w:rPr>
                <w:sz w:val="16"/>
              </w:rPr>
            </w:pPr>
            <w:r w:rsidRPr="00635993">
              <w:rPr>
                <w:sz w:val="16"/>
              </w:rPr>
              <w:t>11253</w:t>
            </w:r>
          </w:p>
        </w:tc>
        <w:tc>
          <w:tcPr>
            <w:tcW w:w="4104" w:type="dxa"/>
          </w:tcPr>
          <w:p w14:paraId="682F8F3E" w14:textId="77777777" w:rsidR="000D7D3D" w:rsidRPr="00635993" w:rsidRDefault="000D7D3D" w:rsidP="00FB36B8">
            <w:pPr>
              <w:rPr>
                <w:sz w:val="16"/>
                <w:lang w:val="en-US"/>
              </w:rPr>
            </w:pPr>
            <w:r w:rsidRPr="00635993">
              <w:rPr>
                <w:sz w:val="16"/>
                <w:lang w:val="en-US"/>
              </w:rPr>
              <w:t>Unknown</w:t>
            </w:r>
          </w:p>
        </w:tc>
      </w:tr>
      <w:tr w:rsidR="000D7D3D" w:rsidRPr="009004F9" w14:paraId="43CC1B21" w14:textId="77777777" w:rsidTr="002D60C9">
        <w:tc>
          <w:tcPr>
            <w:tcW w:w="4013" w:type="dxa"/>
          </w:tcPr>
          <w:p w14:paraId="5A227185" w14:textId="77777777" w:rsidR="000D7D3D" w:rsidRPr="00635993" w:rsidRDefault="000D7D3D" w:rsidP="003F7054">
            <w:pPr>
              <w:rPr>
                <w:sz w:val="16"/>
              </w:rPr>
            </w:pPr>
            <w:r w:rsidRPr="00635993">
              <w:rPr>
                <w:sz w:val="16"/>
              </w:rPr>
              <w:t>fgenesh1_kg.12_#_109_#_isotig09462</w:t>
            </w:r>
          </w:p>
        </w:tc>
        <w:tc>
          <w:tcPr>
            <w:tcW w:w="1511" w:type="dxa"/>
          </w:tcPr>
          <w:p w14:paraId="7669E197" w14:textId="77777777" w:rsidR="000D7D3D" w:rsidRPr="00635993" w:rsidRDefault="000D7D3D" w:rsidP="007F746A">
            <w:pPr>
              <w:rPr>
                <w:sz w:val="16"/>
              </w:rPr>
            </w:pPr>
            <w:r w:rsidRPr="00635993">
              <w:rPr>
                <w:sz w:val="16"/>
              </w:rPr>
              <w:t>168763</w:t>
            </w:r>
          </w:p>
        </w:tc>
        <w:tc>
          <w:tcPr>
            <w:tcW w:w="4104" w:type="dxa"/>
          </w:tcPr>
          <w:p w14:paraId="57005BBC" w14:textId="77777777" w:rsidR="000D7D3D" w:rsidRPr="00635993" w:rsidRDefault="000D7D3D" w:rsidP="00FB36B8">
            <w:pPr>
              <w:rPr>
                <w:sz w:val="16"/>
                <w:lang w:val="en-US"/>
              </w:rPr>
            </w:pPr>
            <w:r w:rsidRPr="00635993">
              <w:rPr>
                <w:sz w:val="16"/>
                <w:lang w:val="en-US"/>
              </w:rPr>
              <w:t>Cystein desulfurase</w:t>
            </w:r>
          </w:p>
        </w:tc>
      </w:tr>
      <w:tr w:rsidR="000D7D3D" w:rsidRPr="009004F9" w14:paraId="2695F2CB" w14:textId="77777777" w:rsidTr="002D60C9">
        <w:tc>
          <w:tcPr>
            <w:tcW w:w="4013" w:type="dxa"/>
          </w:tcPr>
          <w:p w14:paraId="0839A70B" w14:textId="77777777" w:rsidR="000D7D3D" w:rsidRPr="00635993" w:rsidRDefault="000D7D3D" w:rsidP="003F7054">
            <w:pPr>
              <w:rPr>
                <w:sz w:val="16"/>
              </w:rPr>
            </w:pPr>
            <w:r w:rsidRPr="00635993">
              <w:rPr>
                <w:sz w:val="16"/>
              </w:rPr>
              <w:t>estExt_Genewise1Plus.C_190169</w:t>
            </w:r>
          </w:p>
        </w:tc>
        <w:tc>
          <w:tcPr>
            <w:tcW w:w="1511" w:type="dxa"/>
          </w:tcPr>
          <w:p w14:paraId="26CA139C" w14:textId="77777777" w:rsidR="000D7D3D" w:rsidRPr="00635993" w:rsidRDefault="000D7D3D" w:rsidP="007F746A">
            <w:pPr>
              <w:rPr>
                <w:sz w:val="16"/>
              </w:rPr>
            </w:pPr>
            <w:r w:rsidRPr="00635993">
              <w:rPr>
                <w:sz w:val="16"/>
              </w:rPr>
              <w:t>115738</w:t>
            </w:r>
          </w:p>
        </w:tc>
        <w:tc>
          <w:tcPr>
            <w:tcW w:w="4104" w:type="dxa"/>
          </w:tcPr>
          <w:p w14:paraId="315F0D82" w14:textId="77777777" w:rsidR="000D7D3D" w:rsidRPr="00635993" w:rsidRDefault="000D7D3D" w:rsidP="00FB36B8">
            <w:pPr>
              <w:rPr>
                <w:sz w:val="16"/>
                <w:lang w:val="en-US"/>
              </w:rPr>
            </w:pPr>
            <w:r w:rsidRPr="00635993">
              <w:rPr>
                <w:sz w:val="16"/>
                <w:lang w:val="en-US"/>
              </w:rPr>
              <w:t>Unknown</w:t>
            </w:r>
          </w:p>
        </w:tc>
      </w:tr>
      <w:tr w:rsidR="000D7D3D" w:rsidRPr="009004F9" w14:paraId="766C6742" w14:textId="77777777" w:rsidTr="002D60C9">
        <w:tc>
          <w:tcPr>
            <w:tcW w:w="4013" w:type="dxa"/>
          </w:tcPr>
          <w:p w14:paraId="619022EC" w14:textId="77777777" w:rsidR="000D7D3D" w:rsidRPr="00635993" w:rsidRDefault="000D7D3D" w:rsidP="003F7054">
            <w:pPr>
              <w:rPr>
                <w:sz w:val="16"/>
              </w:rPr>
            </w:pPr>
            <w:r w:rsidRPr="00635993">
              <w:rPr>
                <w:sz w:val="16"/>
              </w:rPr>
              <w:t>estExt_Genemark1.C_50211</w:t>
            </w:r>
          </w:p>
        </w:tc>
        <w:tc>
          <w:tcPr>
            <w:tcW w:w="1511" w:type="dxa"/>
          </w:tcPr>
          <w:p w14:paraId="71989504" w14:textId="77777777" w:rsidR="000D7D3D" w:rsidRPr="00635993" w:rsidRDefault="000D7D3D" w:rsidP="007F746A">
            <w:pPr>
              <w:rPr>
                <w:sz w:val="16"/>
              </w:rPr>
            </w:pPr>
            <w:r w:rsidRPr="00635993">
              <w:rPr>
                <w:sz w:val="16"/>
              </w:rPr>
              <w:t>97128</w:t>
            </w:r>
          </w:p>
        </w:tc>
        <w:tc>
          <w:tcPr>
            <w:tcW w:w="4104" w:type="dxa"/>
          </w:tcPr>
          <w:p w14:paraId="0599C021" w14:textId="77777777" w:rsidR="000D7D3D" w:rsidRPr="00635993" w:rsidRDefault="000D7D3D" w:rsidP="00FB36B8">
            <w:pPr>
              <w:rPr>
                <w:sz w:val="16"/>
                <w:lang w:val="en-US"/>
              </w:rPr>
            </w:pPr>
            <w:r w:rsidRPr="00635993">
              <w:rPr>
                <w:sz w:val="16"/>
                <w:lang w:val="en-US"/>
              </w:rPr>
              <w:t>Formate dehydrogenase</w:t>
            </w:r>
          </w:p>
        </w:tc>
      </w:tr>
      <w:tr w:rsidR="000D7D3D" w:rsidRPr="009004F9" w14:paraId="79A70A7C" w14:textId="77777777" w:rsidTr="002D60C9">
        <w:tc>
          <w:tcPr>
            <w:tcW w:w="4013" w:type="dxa"/>
          </w:tcPr>
          <w:p w14:paraId="37C254CD" w14:textId="77777777" w:rsidR="000D7D3D" w:rsidRPr="00635993" w:rsidRDefault="000D7D3D" w:rsidP="003F7054">
            <w:pPr>
              <w:rPr>
                <w:sz w:val="16"/>
              </w:rPr>
            </w:pPr>
            <w:r w:rsidRPr="00635993">
              <w:rPr>
                <w:sz w:val="16"/>
              </w:rPr>
              <w:t>estExt_Genemark1.C_50209</w:t>
            </w:r>
          </w:p>
        </w:tc>
        <w:tc>
          <w:tcPr>
            <w:tcW w:w="1511" w:type="dxa"/>
          </w:tcPr>
          <w:p w14:paraId="353BFFD6" w14:textId="77777777" w:rsidR="000D7D3D" w:rsidRPr="00635993" w:rsidRDefault="000D7D3D" w:rsidP="007F746A">
            <w:pPr>
              <w:rPr>
                <w:sz w:val="16"/>
              </w:rPr>
            </w:pPr>
            <w:r w:rsidRPr="00635993">
              <w:rPr>
                <w:sz w:val="16"/>
              </w:rPr>
              <w:t>97127</w:t>
            </w:r>
          </w:p>
        </w:tc>
        <w:tc>
          <w:tcPr>
            <w:tcW w:w="4104" w:type="dxa"/>
          </w:tcPr>
          <w:p w14:paraId="59D27388" w14:textId="77777777" w:rsidR="000D7D3D" w:rsidRPr="00635993" w:rsidRDefault="000D7D3D" w:rsidP="00FB36B8">
            <w:pPr>
              <w:rPr>
                <w:sz w:val="16"/>
                <w:lang w:val="en-US"/>
              </w:rPr>
            </w:pPr>
            <w:r w:rsidRPr="00635993">
              <w:rPr>
                <w:sz w:val="16"/>
                <w:lang w:val="en-US"/>
              </w:rPr>
              <w:t>Cytochrome P450</w:t>
            </w:r>
          </w:p>
        </w:tc>
      </w:tr>
      <w:tr w:rsidR="000D7D3D" w:rsidRPr="009004F9" w14:paraId="4C1107DF" w14:textId="77777777" w:rsidTr="002D60C9">
        <w:tc>
          <w:tcPr>
            <w:tcW w:w="4013" w:type="dxa"/>
          </w:tcPr>
          <w:p w14:paraId="184A2E56" w14:textId="77777777" w:rsidR="000D7D3D" w:rsidRPr="00635993" w:rsidRDefault="000D7D3D" w:rsidP="003F7054">
            <w:pPr>
              <w:rPr>
                <w:sz w:val="16"/>
              </w:rPr>
            </w:pPr>
            <w:r w:rsidRPr="00635993">
              <w:rPr>
                <w:sz w:val="16"/>
              </w:rPr>
              <w:t>estExt_Genewise1.C_12520004</w:t>
            </w:r>
          </w:p>
        </w:tc>
        <w:tc>
          <w:tcPr>
            <w:tcW w:w="1511" w:type="dxa"/>
          </w:tcPr>
          <w:p w14:paraId="70E0534F" w14:textId="77777777" w:rsidR="000D7D3D" w:rsidRPr="00635993" w:rsidRDefault="000D7D3D" w:rsidP="007F746A">
            <w:pPr>
              <w:rPr>
                <w:sz w:val="16"/>
              </w:rPr>
            </w:pPr>
            <w:r w:rsidRPr="00635993">
              <w:rPr>
                <w:sz w:val="16"/>
              </w:rPr>
              <w:t>140914</w:t>
            </w:r>
          </w:p>
        </w:tc>
        <w:tc>
          <w:tcPr>
            <w:tcW w:w="4104" w:type="dxa"/>
          </w:tcPr>
          <w:p w14:paraId="68E8F522" w14:textId="77777777" w:rsidR="000D7D3D" w:rsidRPr="00635993" w:rsidRDefault="000D7D3D" w:rsidP="00FB36B8">
            <w:pPr>
              <w:rPr>
                <w:sz w:val="16"/>
                <w:lang w:val="en-US"/>
              </w:rPr>
            </w:pPr>
            <w:r w:rsidRPr="00635993">
              <w:rPr>
                <w:sz w:val="16"/>
                <w:lang w:val="en-US"/>
              </w:rPr>
              <w:t>Unknown</w:t>
            </w:r>
          </w:p>
        </w:tc>
      </w:tr>
      <w:tr w:rsidR="000D7D3D" w:rsidRPr="009004F9" w14:paraId="480BC28B" w14:textId="77777777" w:rsidTr="002D60C9">
        <w:tc>
          <w:tcPr>
            <w:tcW w:w="4013" w:type="dxa"/>
          </w:tcPr>
          <w:p w14:paraId="4467CCC7" w14:textId="77777777" w:rsidR="000D7D3D" w:rsidRPr="00635993" w:rsidRDefault="000D7D3D" w:rsidP="003F7054">
            <w:pPr>
              <w:rPr>
                <w:sz w:val="16"/>
              </w:rPr>
            </w:pPr>
            <w:r w:rsidRPr="00635993">
              <w:rPr>
                <w:sz w:val="16"/>
              </w:rPr>
              <w:t>estExt_Genemark1.C_130127</w:t>
            </w:r>
          </w:p>
        </w:tc>
        <w:tc>
          <w:tcPr>
            <w:tcW w:w="1511" w:type="dxa"/>
          </w:tcPr>
          <w:p w14:paraId="5D27D52B" w14:textId="77777777" w:rsidR="000D7D3D" w:rsidRPr="00635993" w:rsidRDefault="000D7D3D" w:rsidP="007F746A">
            <w:pPr>
              <w:rPr>
                <w:sz w:val="16"/>
              </w:rPr>
            </w:pPr>
            <w:r w:rsidRPr="00635993">
              <w:rPr>
                <w:sz w:val="16"/>
              </w:rPr>
              <w:t>99210</w:t>
            </w:r>
          </w:p>
        </w:tc>
        <w:tc>
          <w:tcPr>
            <w:tcW w:w="4104" w:type="dxa"/>
          </w:tcPr>
          <w:p w14:paraId="5C29BB85" w14:textId="77777777" w:rsidR="000D7D3D" w:rsidRPr="00635993" w:rsidRDefault="000D7D3D" w:rsidP="00FB36B8">
            <w:pPr>
              <w:rPr>
                <w:sz w:val="16"/>
                <w:lang w:val="en-US"/>
              </w:rPr>
            </w:pPr>
            <w:r w:rsidRPr="00635993">
              <w:rPr>
                <w:sz w:val="16"/>
                <w:lang w:val="en-US"/>
              </w:rPr>
              <w:t>Phosphatidylserine decarboxylase</w:t>
            </w:r>
          </w:p>
        </w:tc>
      </w:tr>
      <w:tr w:rsidR="000D7D3D" w:rsidRPr="009004F9" w14:paraId="5115CE71" w14:textId="77777777" w:rsidTr="002D60C9">
        <w:tc>
          <w:tcPr>
            <w:tcW w:w="4013" w:type="dxa"/>
          </w:tcPr>
          <w:p w14:paraId="0633378D" w14:textId="77777777" w:rsidR="000D7D3D" w:rsidRPr="00635993" w:rsidRDefault="000D7D3D" w:rsidP="003F7054">
            <w:pPr>
              <w:rPr>
                <w:sz w:val="16"/>
              </w:rPr>
            </w:pPr>
            <w:r w:rsidRPr="00635993">
              <w:rPr>
                <w:sz w:val="16"/>
              </w:rPr>
              <w:t>estExt_fgenesh1_pm.C_80256</w:t>
            </w:r>
          </w:p>
        </w:tc>
        <w:tc>
          <w:tcPr>
            <w:tcW w:w="1511" w:type="dxa"/>
          </w:tcPr>
          <w:p w14:paraId="75E6C2A8" w14:textId="77777777" w:rsidR="000D7D3D" w:rsidRPr="00635993" w:rsidRDefault="000D7D3D" w:rsidP="007F746A">
            <w:pPr>
              <w:rPr>
                <w:sz w:val="16"/>
              </w:rPr>
            </w:pPr>
            <w:r w:rsidRPr="00635993">
              <w:rPr>
                <w:sz w:val="16"/>
              </w:rPr>
              <w:t>175628</w:t>
            </w:r>
          </w:p>
        </w:tc>
        <w:tc>
          <w:tcPr>
            <w:tcW w:w="4104" w:type="dxa"/>
          </w:tcPr>
          <w:p w14:paraId="30C6AE34" w14:textId="77777777" w:rsidR="000D7D3D" w:rsidRPr="00635993" w:rsidRDefault="000D7D3D" w:rsidP="00FB36B8">
            <w:pPr>
              <w:rPr>
                <w:sz w:val="16"/>
                <w:lang w:val="en-US"/>
              </w:rPr>
            </w:pPr>
            <w:r w:rsidRPr="00635993">
              <w:rPr>
                <w:sz w:val="16"/>
                <w:lang w:val="en-US"/>
              </w:rPr>
              <w:t>Metallo-dependent hydrolase</w:t>
            </w:r>
          </w:p>
        </w:tc>
      </w:tr>
      <w:tr w:rsidR="000D7D3D" w:rsidRPr="009004F9" w14:paraId="1C0325DA" w14:textId="77777777" w:rsidTr="002D60C9">
        <w:tc>
          <w:tcPr>
            <w:tcW w:w="4013" w:type="dxa"/>
          </w:tcPr>
          <w:p w14:paraId="4C9D9ED0" w14:textId="77777777" w:rsidR="000D7D3D" w:rsidRPr="00635993" w:rsidRDefault="000D7D3D" w:rsidP="003F7054">
            <w:pPr>
              <w:rPr>
                <w:sz w:val="16"/>
              </w:rPr>
            </w:pPr>
            <w:r w:rsidRPr="00635993">
              <w:rPr>
                <w:sz w:val="16"/>
              </w:rPr>
              <w:t>e_gw1.2219.3.1</w:t>
            </w:r>
          </w:p>
        </w:tc>
        <w:tc>
          <w:tcPr>
            <w:tcW w:w="1511" w:type="dxa"/>
          </w:tcPr>
          <w:p w14:paraId="55E282A1" w14:textId="77777777" w:rsidR="000D7D3D" w:rsidRPr="00635993" w:rsidRDefault="000D7D3D" w:rsidP="007F746A">
            <w:pPr>
              <w:rPr>
                <w:sz w:val="16"/>
              </w:rPr>
            </w:pPr>
            <w:r w:rsidRPr="00635993">
              <w:rPr>
                <w:sz w:val="16"/>
              </w:rPr>
              <w:t>94341</w:t>
            </w:r>
          </w:p>
        </w:tc>
        <w:tc>
          <w:tcPr>
            <w:tcW w:w="4104" w:type="dxa"/>
          </w:tcPr>
          <w:p w14:paraId="6DBA37FF" w14:textId="77777777" w:rsidR="000D7D3D" w:rsidRPr="00635993" w:rsidRDefault="000D7D3D" w:rsidP="00FB36B8">
            <w:pPr>
              <w:rPr>
                <w:sz w:val="16"/>
                <w:lang w:val="en-US"/>
              </w:rPr>
            </w:pPr>
            <w:r w:rsidRPr="00635993">
              <w:rPr>
                <w:sz w:val="16"/>
                <w:lang w:val="en-US"/>
              </w:rPr>
              <w:t>Spermidine transporter</w:t>
            </w:r>
          </w:p>
        </w:tc>
      </w:tr>
      <w:tr w:rsidR="000D7D3D" w:rsidRPr="009004F9" w14:paraId="75233563" w14:textId="77777777" w:rsidTr="002D60C9">
        <w:tc>
          <w:tcPr>
            <w:tcW w:w="4013" w:type="dxa"/>
          </w:tcPr>
          <w:p w14:paraId="3FCFEB8B" w14:textId="77777777" w:rsidR="000D7D3D" w:rsidRPr="00635993" w:rsidRDefault="000D7D3D" w:rsidP="003F7054">
            <w:pPr>
              <w:rPr>
                <w:sz w:val="16"/>
                <w:lang w:val="en-US"/>
              </w:rPr>
            </w:pPr>
            <w:r w:rsidRPr="00635993">
              <w:rPr>
                <w:sz w:val="16"/>
                <w:lang w:val="en-US"/>
              </w:rPr>
              <w:t>e_gw1.82.71.1</w:t>
            </w:r>
          </w:p>
        </w:tc>
        <w:tc>
          <w:tcPr>
            <w:tcW w:w="1511" w:type="dxa"/>
          </w:tcPr>
          <w:p w14:paraId="268C1B0D" w14:textId="77777777" w:rsidR="000D7D3D" w:rsidRPr="00635993" w:rsidRDefault="000D7D3D" w:rsidP="007F746A">
            <w:pPr>
              <w:rPr>
                <w:sz w:val="16"/>
                <w:lang w:val="en-US"/>
              </w:rPr>
            </w:pPr>
            <w:r w:rsidRPr="00635993">
              <w:rPr>
                <w:sz w:val="16"/>
                <w:lang w:val="en-US"/>
              </w:rPr>
              <w:t>86018</w:t>
            </w:r>
          </w:p>
        </w:tc>
        <w:tc>
          <w:tcPr>
            <w:tcW w:w="4104" w:type="dxa"/>
          </w:tcPr>
          <w:p w14:paraId="67F6763F" w14:textId="77777777" w:rsidR="000D7D3D" w:rsidRPr="00635993" w:rsidRDefault="000D7D3D" w:rsidP="00FB36B8">
            <w:pPr>
              <w:rPr>
                <w:sz w:val="16"/>
                <w:lang w:val="en-US"/>
              </w:rPr>
            </w:pPr>
            <w:r w:rsidRPr="00635993">
              <w:rPr>
                <w:sz w:val="16"/>
                <w:lang w:val="en-US"/>
              </w:rPr>
              <w:t>Terpenoid synthase</w:t>
            </w:r>
          </w:p>
        </w:tc>
      </w:tr>
      <w:tr w:rsidR="000D7D3D" w:rsidRPr="009004F9" w14:paraId="1A1FFBCE" w14:textId="77777777" w:rsidTr="002D60C9">
        <w:tc>
          <w:tcPr>
            <w:tcW w:w="4013" w:type="dxa"/>
          </w:tcPr>
          <w:p w14:paraId="62C40362" w14:textId="77777777" w:rsidR="000D7D3D" w:rsidRPr="00635993" w:rsidRDefault="000D7D3D" w:rsidP="003F7054">
            <w:pPr>
              <w:rPr>
                <w:sz w:val="16"/>
                <w:lang w:val="en-US"/>
              </w:rPr>
            </w:pPr>
            <w:r w:rsidRPr="00635993">
              <w:rPr>
                <w:sz w:val="16"/>
                <w:lang w:val="en-US"/>
              </w:rPr>
              <w:t>gw1.21.17.1</w:t>
            </w:r>
          </w:p>
        </w:tc>
        <w:tc>
          <w:tcPr>
            <w:tcW w:w="1511" w:type="dxa"/>
          </w:tcPr>
          <w:p w14:paraId="14C2C083" w14:textId="77777777" w:rsidR="000D7D3D" w:rsidRPr="00635993" w:rsidRDefault="000D7D3D" w:rsidP="007F746A">
            <w:pPr>
              <w:rPr>
                <w:sz w:val="16"/>
                <w:lang w:val="en-US"/>
              </w:rPr>
            </w:pPr>
            <w:r w:rsidRPr="00635993">
              <w:rPr>
                <w:sz w:val="16"/>
                <w:lang w:val="en-US"/>
              </w:rPr>
              <w:t>24300</w:t>
            </w:r>
          </w:p>
        </w:tc>
        <w:tc>
          <w:tcPr>
            <w:tcW w:w="4104" w:type="dxa"/>
          </w:tcPr>
          <w:p w14:paraId="0E602960" w14:textId="77777777" w:rsidR="000D7D3D" w:rsidRPr="00635993" w:rsidRDefault="000D7D3D" w:rsidP="00FB36B8">
            <w:pPr>
              <w:rPr>
                <w:sz w:val="16"/>
                <w:lang w:val="en-US"/>
              </w:rPr>
            </w:pPr>
            <w:r w:rsidRPr="00635993">
              <w:rPr>
                <w:sz w:val="16"/>
                <w:lang w:val="en-US"/>
              </w:rPr>
              <w:t>Cytochrome P450</w:t>
            </w:r>
          </w:p>
        </w:tc>
      </w:tr>
      <w:tr w:rsidR="000D7D3D" w:rsidRPr="009004F9" w14:paraId="0296C564" w14:textId="77777777" w:rsidTr="002D60C9">
        <w:tc>
          <w:tcPr>
            <w:tcW w:w="4013" w:type="dxa"/>
          </w:tcPr>
          <w:p w14:paraId="580BBC97" w14:textId="77777777" w:rsidR="000D7D3D" w:rsidRPr="00635993" w:rsidRDefault="000D7D3D" w:rsidP="003F7054">
            <w:pPr>
              <w:rPr>
                <w:sz w:val="16"/>
                <w:lang w:val="en-US"/>
              </w:rPr>
            </w:pPr>
            <w:r w:rsidRPr="00635993">
              <w:rPr>
                <w:sz w:val="16"/>
                <w:lang w:val="en-US"/>
              </w:rPr>
              <w:t>gm1.16232_g</w:t>
            </w:r>
          </w:p>
        </w:tc>
        <w:tc>
          <w:tcPr>
            <w:tcW w:w="1511" w:type="dxa"/>
          </w:tcPr>
          <w:p w14:paraId="554ED3E2" w14:textId="77777777" w:rsidR="000D7D3D" w:rsidRPr="00635993" w:rsidRDefault="000D7D3D" w:rsidP="007F746A">
            <w:pPr>
              <w:rPr>
                <w:sz w:val="16"/>
                <w:lang w:val="en-US"/>
              </w:rPr>
            </w:pPr>
            <w:r w:rsidRPr="00635993">
              <w:rPr>
                <w:sz w:val="16"/>
                <w:lang w:val="en-US"/>
              </w:rPr>
              <w:t>21661</w:t>
            </w:r>
          </w:p>
        </w:tc>
        <w:tc>
          <w:tcPr>
            <w:tcW w:w="4104" w:type="dxa"/>
          </w:tcPr>
          <w:p w14:paraId="4C235593" w14:textId="77777777" w:rsidR="000D7D3D" w:rsidRPr="00635993" w:rsidRDefault="000D7D3D" w:rsidP="00FB36B8">
            <w:pPr>
              <w:rPr>
                <w:sz w:val="16"/>
                <w:lang w:val="en-US"/>
              </w:rPr>
            </w:pPr>
            <w:r w:rsidRPr="00635993">
              <w:rPr>
                <w:sz w:val="16"/>
                <w:lang w:val="en-US"/>
              </w:rPr>
              <w:t>Spermidine transporter</w:t>
            </w:r>
          </w:p>
        </w:tc>
      </w:tr>
      <w:tr w:rsidR="000D7D3D" w:rsidRPr="009004F9" w14:paraId="3625A31C" w14:textId="77777777" w:rsidTr="002D60C9">
        <w:tc>
          <w:tcPr>
            <w:tcW w:w="4013" w:type="dxa"/>
          </w:tcPr>
          <w:p w14:paraId="6D1F50C3" w14:textId="77777777" w:rsidR="000D7D3D" w:rsidRPr="00635993" w:rsidRDefault="000D7D3D" w:rsidP="003F7054">
            <w:pPr>
              <w:rPr>
                <w:sz w:val="16"/>
                <w:lang w:val="en-US"/>
              </w:rPr>
            </w:pPr>
            <w:r w:rsidRPr="00635993">
              <w:rPr>
                <w:sz w:val="16"/>
                <w:lang w:val="en-US"/>
              </w:rPr>
              <w:t>fgenesh1_kg.40_#_4_#_isotig05075</w:t>
            </w:r>
          </w:p>
        </w:tc>
        <w:tc>
          <w:tcPr>
            <w:tcW w:w="1511" w:type="dxa"/>
          </w:tcPr>
          <w:p w14:paraId="656A34F6" w14:textId="77777777" w:rsidR="000D7D3D" w:rsidRPr="00635993" w:rsidRDefault="000D7D3D" w:rsidP="007F746A">
            <w:pPr>
              <w:rPr>
                <w:sz w:val="16"/>
                <w:lang w:val="en-US"/>
              </w:rPr>
            </w:pPr>
            <w:r w:rsidRPr="00635993">
              <w:rPr>
                <w:sz w:val="16"/>
                <w:lang w:val="en-US"/>
              </w:rPr>
              <w:t>171081</w:t>
            </w:r>
          </w:p>
        </w:tc>
        <w:tc>
          <w:tcPr>
            <w:tcW w:w="4104" w:type="dxa"/>
          </w:tcPr>
          <w:p w14:paraId="367EB655" w14:textId="77777777" w:rsidR="000D7D3D" w:rsidRPr="00635993" w:rsidRDefault="000D7D3D" w:rsidP="00FB36B8">
            <w:pPr>
              <w:rPr>
                <w:sz w:val="16"/>
                <w:lang w:val="en-US"/>
              </w:rPr>
            </w:pPr>
            <w:r w:rsidRPr="00635993">
              <w:rPr>
                <w:sz w:val="16"/>
                <w:lang w:val="en-US"/>
              </w:rPr>
              <w:t>Cerato-platanin</w:t>
            </w:r>
          </w:p>
        </w:tc>
      </w:tr>
      <w:tr w:rsidR="000D7D3D" w:rsidRPr="009004F9" w14:paraId="1E2D2D34" w14:textId="77777777" w:rsidTr="002D60C9">
        <w:tc>
          <w:tcPr>
            <w:tcW w:w="4013" w:type="dxa"/>
          </w:tcPr>
          <w:p w14:paraId="5CEF46E8" w14:textId="77777777" w:rsidR="000D7D3D" w:rsidRPr="00635993" w:rsidRDefault="000D7D3D" w:rsidP="003F7054">
            <w:pPr>
              <w:rPr>
                <w:sz w:val="16"/>
                <w:lang w:val="en-US"/>
              </w:rPr>
            </w:pPr>
            <w:r w:rsidRPr="00635993">
              <w:rPr>
                <w:sz w:val="16"/>
                <w:lang w:val="en-US"/>
              </w:rPr>
              <w:t>e_gw1.2536.2.1</w:t>
            </w:r>
          </w:p>
        </w:tc>
        <w:tc>
          <w:tcPr>
            <w:tcW w:w="1511" w:type="dxa"/>
          </w:tcPr>
          <w:p w14:paraId="62801509" w14:textId="77777777" w:rsidR="000D7D3D" w:rsidRPr="00635993" w:rsidRDefault="000D7D3D" w:rsidP="007F746A">
            <w:pPr>
              <w:rPr>
                <w:sz w:val="16"/>
                <w:lang w:val="en-US"/>
              </w:rPr>
            </w:pPr>
            <w:r w:rsidRPr="00635993">
              <w:rPr>
                <w:sz w:val="16"/>
                <w:lang w:val="en-US"/>
              </w:rPr>
              <w:t>94742</w:t>
            </w:r>
          </w:p>
        </w:tc>
        <w:tc>
          <w:tcPr>
            <w:tcW w:w="4104" w:type="dxa"/>
          </w:tcPr>
          <w:p w14:paraId="66B3E38B" w14:textId="77777777" w:rsidR="000D7D3D" w:rsidRPr="00635993" w:rsidRDefault="000D7D3D" w:rsidP="00FB36B8">
            <w:pPr>
              <w:rPr>
                <w:sz w:val="16"/>
                <w:lang w:val="en-US"/>
              </w:rPr>
            </w:pPr>
            <w:r w:rsidRPr="00635993">
              <w:rPr>
                <w:sz w:val="16"/>
                <w:lang w:val="en-US"/>
              </w:rPr>
              <w:t>Cytochrome P450</w:t>
            </w:r>
          </w:p>
        </w:tc>
      </w:tr>
      <w:tr w:rsidR="000D7D3D" w:rsidRPr="009004F9" w14:paraId="0AEDB9A8" w14:textId="77777777" w:rsidTr="002D60C9">
        <w:tc>
          <w:tcPr>
            <w:tcW w:w="4013" w:type="dxa"/>
          </w:tcPr>
          <w:p w14:paraId="462BF856" w14:textId="77777777" w:rsidR="000D7D3D" w:rsidRPr="00635993" w:rsidRDefault="000D7D3D" w:rsidP="003F7054">
            <w:pPr>
              <w:rPr>
                <w:sz w:val="16"/>
              </w:rPr>
            </w:pPr>
            <w:r w:rsidRPr="00635993">
              <w:rPr>
                <w:sz w:val="16"/>
                <w:lang w:val="en-US"/>
              </w:rPr>
              <w:t>f</w:t>
            </w:r>
            <w:r w:rsidRPr="00635993">
              <w:rPr>
                <w:sz w:val="16"/>
              </w:rPr>
              <w:t>genesh1_kg.14_#_45_#_isotig12205</w:t>
            </w:r>
          </w:p>
        </w:tc>
        <w:tc>
          <w:tcPr>
            <w:tcW w:w="1511" w:type="dxa"/>
          </w:tcPr>
          <w:p w14:paraId="1FE2C9EB" w14:textId="77777777" w:rsidR="000D7D3D" w:rsidRPr="00635993" w:rsidRDefault="000D7D3D" w:rsidP="007F746A">
            <w:pPr>
              <w:rPr>
                <w:sz w:val="16"/>
              </w:rPr>
            </w:pPr>
            <w:r w:rsidRPr="00635993">
              <w:rPr>
                <w:sz w:val="16"/>
              </w:rPr>
              <w:t>168990</w:t>
            </w:r>
          </w:p>
        </w:tc>
        <w:tc>
          <w:tcPr>
            <w:tcW w:w="4104" w:type="dxa"/>
          </w:tcPr>
          <w:p w14:paraId="5A690B92" w14:textId="77777777" w:rsidR="000D7D3D" w:rsidRPr="00635993" w:rsidRDefault="000D7D3D" w:rsidP="00FB36B8">
            <w:pPr>
              <w:rPr>
                <w:sz w:val="16"/>
                <w:lang w:val="en-US"/>
              </w:rPr>
            </w:pPr>
            <w:r w:rsidRPr="00635993">
              <w:rPr>
                <w:sz w:val="16"/>
                <w:lang w:val="en-US"/>
              </w:rPr>
              <w:t>Acetyl-CoA synthetase-like</w:t>
            </w:r>
          </w:p>
        </w:tc>
      </w:tr>
      <w:tr w:rsidR="000D7D3D" w:rsidRPr="009004F9" w14:paraId="62F01048" w14:textId="77777777" w:rsidTr="002D60C9">
        <w:tc>
          <w:tcPr>
            <w:tcW w:w="4013" w:type="dxa"/>
          </w:tcPr>
          <w:p w14:paraId="5CF81ECC" w14:textId="77777777" w:rsidR="000D7D3D" w:rsidRPr="00635993" w:rsidRDefault="000D7D3D" w:rsidP="003F7054">
            <w:pPr>
              <w:rPr>
                <w:sz w:val="16"/>
              </w:rPr>
            </w:pPr>
            <w:r w:rsidRPr="00635993">
              <w:rPr>
                <w:sz w:val="16"/>
              </w:rPr>
              <w:t>gm1.6529_g</w:t>
            </w:r>
          </w:p>
        </w:tc>
        <w:tc>
          <w:tcPr>
            <w:tcW w:w="1511" w:type="dxa"/>
          </w:tcPr>
          <w:p w14:paraId="35C25DDD" w14:textId="77777777" w:rsidR="000D7D3D" w:rsidRPr="00635993" w:rsidRDefault="000D7D3D" w:rsidP="007F746A">
            <w:pPr>
              <w:rPr>
                <w:sz w:val="16"/>
              </w:rPr>
            </w:pPr>
            <w:r w:rsidRPr="00635993">
              <w:rPr>
                <w:sz w:val="16"/>
              </w:rPr>
              <w:t>11958</w:t>
            </w:r>
          </w:p>
        </w:tc>
        <w:tc>
          <w:tcPr>
            <w:tcW w:w="4104" w:type="dxa"/>
          </w:tcPr>
          <w:p w14:paraId="7C97B462" w14:textId="77777777" w:rsidR="000D7D3D" w:rsidRPr="00635993" w:rsidRDefault="000D7D3D" w:rsidP="00FB36B8">
            <w:pPr>
              <w:rPr>
                <w:sz w:val="16"/>
                <w:lang w:val="en-US"/>
              </w:rPr>
            </w:pPr>
            <w:r w:rsidRPr="00635993">
              <w:rPr>
                <w:sz w:val="16"/>
                <w:lang w:val="en-US"/>
              </w:rPr>
              <w:t>Unknown</w:t>
            </w:r>
          </w:p>
        </w:tc>
      </w:tr>
      <w:tr w:rsidR="000D7D3D" w:rsidRPr="009004F9" w14:paraId="7784D188" w14:textId="77777777" w:rsidTr="002D60C9">
        <w:tc>
          <w:tcPr>
            <w:tcW w:w="4013" w:type="dxa"/>
          </w:tcPr>
          <w:p w14:paraId="2EAD7D96" w14:textId="77777777" w:rsidR="000D7D3D" w:rsidRPr="00635993" w:rsidRDefault="000D7D3D" w:rsidP="003F7054">
            <w:pPr>
              <w:rPr>
                <w:sz w:val="16"/>
              </w:rPr>
            </w:pPr>
            <w:r w:rsidRPr="00635993">
              <w:rPr>
                <w:sz w:val="16"/>
              </w:rPr>
              <w:t>estExt_Genemark1.C_180103</w:t>
            </w:r>
          </w:p>
        </w:tc>
        <w:tc>
          <w:tcPr>
            <w:tcW w:w="1511" w:type="dxa"/>
          </w:tcPr>
          <w:p w14:paraId="50B7BEC1" w14:textId="77777777" w:rsidR="000D7D3D" w:rsidRPr="00635993" w:rsidRDefault="000D7D3D" w:rsidP="007F746A">
            <w:pPr>
              <w:rPr>
                <w:sz w:val="16"/>
              </w:rPr>
            </w:pPr>
            <w:r w:rsidRPr="00635993">
              <w:rPr>
                <w:sz w:val="16"/>
              </w:rPr>
              <w:t>99888</w:t>
            </w:r>
          </w:p>
        </w:tc>
        <w:tc>
          <w:tcPr>
            <w:tcW w:w="4104" w:type="dxa"/>
          </w:tcPr>
          <w:p w14:paraId="341DD518" w14:textId="77777777" w:rsidR="000D7D3D" w:rsidRPr="00635993" w:rsidRDefault="000D7D3D" w:rsidP="00FB36B8">
            <w:pPr>
              <w:rPr>
                <w:sz w:val="16"/>
                <w:lang w:val="en-US"/>
              </w:rPr>
            </w:pPr>
            <w:r w:rsidRPr="00635993">
              <w:rPr>
                <w:sz w:val="16"/>
                <w:lang w:val="en-US"/>
              </w:rPr>
              <w:t>Branched-chain amino-acid transaminase</w:t>
            </w:r>
          </w:p>
        </w:tc>
      </w:tr>
      <w:tr w:rsidR="000D7D3D" w:rsidRPr="009004F9" w14:paraId="01934260" w14:textId="77777777" w:rsidTr="002D60C9">
        <w:tc>
          <w:tcPr>
            <w:tcW w:w="4013" w:type="dxa"/>
          </w:tcPr>
          <w:p w14:paraId="3D674A1D" w14:textId="77777777" w:rsidR="000D7D3D" w:rsidRPr="00635993" w:rsidRDefault="000D7D3D" w:rsidP="003F7054">
            <w:pPr>
              <w:rPr>
                <w:sz w:val="16"/>
              </w:rPr>
            </w:pPr>
            <w:r w:rsidRPr="00635993">
              <w:rPr>
                <w:sz w:val="16"/>
              </w:rPr>
              <w:t>estExt_Genemark1.C_360012</w:t>
            </w:r>
          </w:p>
        </w:tc>
        <w:tc>
          <w:tcPr>
            <w:tcW w:w="1511" w:type="dxa"/>
          </w:tcPr>
          <w:p w14:paraId="3E93102E" w14:textId="77777777" w:rsidR="000D7D3D" w:rsidRPr="00635993" w:rsidRDefault="000D7D3D" w:rsidP="007F746A">
            <w:pPr>
              <w:rPr>
                <w:sz w:val="16"/>
              </w:rPr>
            </w:pPr>
            <w:r w:rsidRPr="00635993">
              <w:rPr>
                <w:sz w:val="16"/>
              </w:rPr>
              <w:t>100954</w:t>
            </w:r>
          </w:p>
        </w:tc>
        <w:tc>
          <w:tcPr>
            <w:tcW w:w="4104" w:type="dxa"/>
          </w:tcPr>
          <w:p w14:paraId="2AE07FCA" w14:textId="77777777" w:rsidR="000D7D3D" w:rsidRPr="00635993" w:rsidRDefault="000D7D3D" w:rsidP="00FB36B8">
            <w:pPr>
              <w:rPr>
                <w:sz w:val="16"/>
                <w:lang w:val="en-US"/>
              </w:rPr>
            </w:pPr>
            <w:r w:rsidRPr="00635993">
              <w:rPr>
                <w:sz w:val="16"/>
                <w:lang w:val="en-US"/>
              </w:rPr>
              <w:t>Cytochrome P450</w:t>
            </w:r>
          </w:p>
        </w:tc>
      </w:tr>
      <w:tr w:rsidR="000D7D3D" w:rsidRPr="009004F9" w14:paraId="73CD391E" w14:textId="77777777" w:rsidTr="002D60C9">
        <w:tc>
          <w:tcPr>
            <w:tcW w:w="4013" w:type="dxa"/>
          </w:tcPr>
          <w:p w14:paraId="09661620" w14:textId="77777777" w:rsidR="000D7D3D" w:rsidRPr="00635993" w:rsidRDefault="000D7D3D" w:rsidP="003F7054">
            <w:pPr>
              <w:rPr>
                <w:sz w:val="16"/>
              </w:rPr>
            </w:pPr>
            <w:r w:rsidRPr="00635993">
              <w:rPr>
                <w:sz w:val="16"/>
              </w:rPr>
              <w:t>estExt_Genemark1.C_160079</w:t>
            </w:r>
          </w:p>
        </w:tc>
        <w:tc>
          <w:tcPr>
            <w:tcW w:w="1511" w:type="dxa"/>
          </w:tcPr>
          <w:p w14:paraId="2C6B7469" w14:textId="77777777" w:rsidR="000D7D3D" w:rsidRPr="00635993" w:rsidRDefault="000D7D3D" w:rsidP="007F746A">
            <w:pPr>
              <w:rPr>
                <w:sz w:val="16"/>
              </w:rPr>
            </w:pPr>
            <w:r w:rsidRPr="00635993">
              <w:rPr>
                <w:sz w:val="16"/>
              </w:rPr>
              <w:t>99664</w:t>
            </w:r>
          </w:p>
        </w:tc>
        <w:tc>
          <w:tcPr>
            <w:tcW w:w="4104" w:type="dxa"/>
          </w:tcPr>
          <w:p w14:paraId="315DBA9F" w14:textId="77777777" w:rsidR="000D7D3D" w:rsidRPr="00635993" w:rsidRDefault="000D7D3D" w:rsidP="00FB36B8">
            <w:pPr>
              <w:rPr>
                <w:sz w:val="16"/>
                <w:lang w:val="en-US"/>
              </w:rPr>
            </w:pPr>
            <w:r w:rsidRPr="00635993">
              <w:rPr>
                <w:sz w:val="16"/>
                <w:lang w:val="en-US"/>
              </w:rPr>
              <w:t>Unknown</w:t>
            </w:r>
          </w:p>
        </w:tc>
      </w:tr>
      <w:tr w:rsidR="000D7D3D" w:rsidRPr="009004F9" w14:paraId="6986A119" w14:textId="77777777" w:rsidTr="002D60C9">
        <w:tc>
          <w:tcPr>
            <w:tcW w:w="4013" w:type="dxa"/>
          </w:tcPr>
          <w:p w14:paraId="231523CE" w14:textId="77777777" w:rsidR="000D7D3D" w:rsidRPr="00635993" w:rsidRDefault="000D7D3D" w:rsidP="003F7054">
            <w:pPr>
              <w:rPr>
                <w:sz w:val="16"/>
              </w:rPr>
            </w:pPr>
            <w:r w:rsidRPr="00635993">
              <w:rPr>
                <w:sz w:val="16"/>
              </w:rPr>
              <w:t>estExt_Genewise1.C_6_t20266</w:t>
            </w:r>
          </w:p>
        </w:tc>
        <w:tc>
          <w:tcPr>
            <w:tcW w:w="1511" w:type="dxa"/>
          </w:tcPr>
          <w:p w14:paraId="7D0B6748" w14:textId="77777777" w:rsidR="000D7D3D" w:rsidRPr="00635993" w:rsidRDefault="000D7D3D" w:rsidP="007F746A">
            <w:pPr>
              <w:rPr>
                <w:sz w:val="16"/>
              </w:rPr>
            </w:pPr>
            <w:r w:rsidRPr="00635993">
              <w:rPr>
                <w:sz w:val="16"/>
              </w:rPr>
              <w:t>129099</w:t>
            </w:r>
          </w:p>
        </w:tc>
        <w:tc>
          <w:tcPr>
            <w:tcW w:w="4104" w:type="dxa"/>
          </w:tcPr>
          <w:p w14:paraId="39862001" w14:textId="77777777" w:rsidR="000D7D3D" w:rsidRPr="00635993" w:rsidRDefault="000D7D3D" w:rsidP="00FB36B8">
            <w:pPr>
              <w:rPr>
                <w:sz w:val="16"/>
                <w:lang w:val="en-US"/>
              </w:rPr>
            </w:pPr>
            <w:r w:rsidRPr="00635993">
              <w:rPr>
                <w:sz w:val="16"/>
                <w:lang w:val="en-US"/>
              </w:rPr>
              <w:t>Trichothecene efflux pump</w:t>
            </w:r>
          </w:p>
        </w:tc>
      </w:tr>
      <w:tr w:rsidR="000D7D3D" w:rsidRPr="009004F9" w14:paraId="41BEFD73" w14:textId="77777777" w:rsidTr="002D60C9">
        <w:tc>
          <w:tcPr>
            <w:tcW w:w="4013" w:type="dxa"/>
          </w:tcPr>
          <w:p w14:paraId="6CDF3B02" w14:textId="77777777" w:rsidR="000D7D3D" w:rsidRPr="00635993" w:rsidRDefault="000D7D3D" w:rsidP="003F7054">
            <w:pPr>
              <w:rPr>
                <w:sz w:val="16"/>
              </w:rPr>
            </w:pPr>
            <w:r w:rsidRPr="00635993">
              <w:rPr>
                <w:sz w:val="16"/>
              </w:rPr>
              <w:t>fgenesh1_pm.3_#_47</w:t>
            </w:r>
          </w:p>
        </w:tc>
        <w:tc>
          <w:tcPr>
            <w:tcW w:w="1511" w:type="dxa"/>
          </w:tcPr>
          <w:p w14:paraId="4AE7B064" w14:textId="77777777" w:rsidR="000D7D3D" w:rsidRPr="00635993" w:rsidRDefault="000D7D3D" w:rsidP="007F746A">
            <w:pPr>
              <w:rPr>
                <w:sz w:val="16"/>
              </w:rPr>
            </w:pPr>
            <w:r w:rsidRPr="00635993">
              <w:rPr>
                <w:sz w:val="16"/>
              </w:rPr>
              <w:t>160526</w:t>
            </w:r>
          </w:p>
        </w:tc>
        <w:tc>
          <w:tcPr>
            <w:tcW w:w="4104" w:type="dxa"/>
          </w:tcPr>
          <w:p w14:paraId="3566BF20" w14:textId="77777777" w:rsidR="000D7D3D" w:rsidRPr="00635993" w:rsidRDefault="000D7D3D" w:rsidP="00FB36B8">
            <w:pPr>
              <w:rPr>
                <w:sz w:val="16"/>
                <w:lang w:val="en-US"/>
              </w:rPr>
            </w:pPr>
            <w:r w:rsidRPr="00635993">
              <w:rPr>
                <w:sz w:val="16"/>
                <w:lang w:val="en-US"/>
              </w:rPr>
              <w:t>Unknown</w:t>
            </w:r>
          </w:p>
        </w:tc>
      </w:tr>
      <w:tr w:rsidR="000D7D3D" w:rsidRPr="009004F9" w14:paraId="4DB66D9B" w14:textId="77777777" w:rsidTr="002D60C9">
        <w:tc>
          <w:tcPr>
            <w:tcW w:w="4013" w:type="dxa"/>
          </w:tcPr>
          <w:p w14:paraId="570E01EA" w14:textId="77777777" w:rsidR="000D7D3D" w:rsidRPr="00635993" w:rsidRDefault="000D7D3D" w:rsidP="003F7054">
            <w:pPr>
              <w:rPr>
                <w:sz w:val="16"/>
              </w:rPr>
            </w:pPr>
            <w:r w:rsidRPr="00635993">
              <w:rPr>
                <w:sz w:val="16"/>
              </w:rPr>
              <w:t>estExt_Genemark1.C_2190002</w:t>
            </w:r>
          </w:p>
        </w:tc>
        <w:tc>
          <w:tcPr>
            <w:tcW w:w="1511" w:type="dxa"/>
          </w:tcPr>
          <w:p w14:paraId="4F6C3F61" w14:textId="77777777" w:rsidR="000D7D3D" w:rsidRPr="00635993" w:rsidRDefault="000D7D3D" w:rsidP="007F746A">
            <w:pPr>
              <w:rPr>
                <w:sz w:val="16"/>
              </w:rPr>
            </w:pPr>
            <w:r w:rsidRPr="00635993">
              <w:rPr>
                <w:sz w:val="16"/>
              </w:rPr>
              <w:t>102424</w:t>
            </w:r>
          </w:p>
        </w:tc>
        <w:tc>
          <w:tcPr>
            <w:tcW w:w="4104" w:type="dxa"/>
          </w:tcPr>
          <w:p w14:paraId="06C8501F" w14:textId="77777777" w:rsidR="000D7D3D" w:rsidRPr="00635993" w:rsidRDefault="000D7D3D" w:rsidP="00FB36B8">
            <w:pPr>
              <w:rPr>
                <w:sz w:val="16"/>
                <w:lang w:val="en-US"/>
              </w:rPr>
            </w:pPr>
            <w:r w:rsidRPr="00635993">
              <w:rPr>
                <w:sz w:val="16"/>
                <w:lang w:val="en-US"/>
              </w:rPr>
              <w:t>Unknown</w:t>
            </w:r>
          </w:p>
        </w:tc>
      </w:tr>
      <w:tr w:rsidR="000D7D3D" w:rsidRPr="009004F9" w14:paraId="535A8AFC" w14:textId="77777777" w:rsidTr="002D60C9">
        <w:tc>
          <w:tcPr>
            <w:tcW w:w="4013" w:type="dxa"/>
          </w:tcPr>
          <w:p w14:paraId="6A97C3EC" w14:textId="77777777" w:rsidR="000D7D3D" w:rsidRPr="00635993" w:rsidRDefault="000D7D3D" w:rsidP="003F7054">
            <w:pPr>
              <w:rPr>
                <w:sz w:val="16"/>
              </w:rPr>
            </w:pPr>
            <w:r w:rsidRPr="00635993">
              <w:rPr>
                <w:sz w:val="16"/>
              </w:rPr>
              <w:t>gw1.30.245.1</w:t>
            </w:r>
          </w:p>
        </w:tc>
        <w:tc>
          <w:tcPr>
            <w:tcW w:w="1511" w:type="dxa"/>
          </w:tcPr>
          <w:p w14:paraId="5B443529" w14:textId="77777777" w:rsidR="000D7D3D" w:rsidRPr="00635993" w:rsidRDefault="000D7D3D" w:rsidP="007F746A">
            <w:pPr>
              <w:rPr>
                <w:sz w:val="16"/>
              </w:rPr>
            </w:pPr>
            <w:r w:rsidRPr="00635993">
              <w:rPr>
                <w:sz w:val="16"/>
              </w:rPr>
              <w:t>51074</w:t>
            </w:r>
          </w:p>
        </w:tc>
        <w:tc>
          <w:tcPr>
            <w:tcW w:w="4104" w:type="dxa"/>
          </w:tcPr>
          <w:p w14:paraId="62B84C78" w14:textId="77777777" w:rsidR="000D7D3D" w:rsidRPr="00635993" w:rsidRDefault="000D7D3D" w:rsidP="00FB36B8">
            <w:pPr>
              <w:rPr>
                <w:sz w:val="16"/>
                <w:lang w:val="en-US"/>
              </w:rPr>
            </w:pPr>
            <w:r w:rsidRPr="00635993">
              <w:rPr>
                <w:sz w:val="16"/>
                <w:lang w:val="en-US"/>
              </w:rPr>
              <w:t>Guanine nucleotide-binding protein</w:t>
            </w:r>
          </w:p>
        </w:tc>
      </w:tr>
      <w:tr w:rsidR="000D7D3D" w:rsidRPr="009004F9" w14:paraId="326D7426" w14:textId="77777777" w:rsidTr="002D60C9">
        <w:tc>
          <w:tcPr>
            <w:tcW w:w="4013" w:type="dxa"/>
          </w:tcPr>
          <w:p w14:paraId="5392B4E5" w14:textId="77777777" w:rsidR="000D7D3D" w:rsidRPr="00635993" w:rsidRDefault="000D7D3D" w:rsidP="003F7054">
            <w:pPr>
              <w:rPr>
                <w:sz w:val="16"/>
              </w:rPr>
            </w:pPr>
            <w:r w:rsidRPr="00635993">
              <w:rPr>
                <w:sz w:val="16"/>
              </w:rPr>
              <w:t>estExt_Genewise1.C_1950003</w:t>
            </w:r>
          </w:p>
        </w:tc>
        <w:tc>
          <w:tcPr>
            <w:tcW w:w="1511" w:type="dxa"/>
          </w:tcPr>
          <w:p w14:paraId="3E329CBE" w14:textId="77777777" w:rsidR="000D7D3D" w:rsidRPr="00635993" w:rsidRDefault="000D7D3D" w:rsidP="007F746A">
            <w:pPr>
              <w:rPr>
                <w:sz w:val="16"/>
              </w:rPr>
            </w:pPr>
            <w:r w:rsidRPr="00635993">
              <w:rPr>
                <w:sz w:val="16"/>
              </w:rPr>
              <w:t>139014</w:t>
            </w:r>
          </w:p>
        </w:tc>
        <w:tc>
          <w:tcPr>
            <w:tcW w:w="4104" w:type="dxa"/>
          </w:tcPr>
          <w:p w14:paraId="36B3FFEA" w14:textId="77777777" w:rsidR="000D7D3D" w:rsidRPr="00635993" w:rsidRDefault="000D7D3D" w:rsidP="00FB36B8">
            <w:pPr>
              <w:rPr>
                <w:sz w:val="16"/>
                <w:lang w:val="en-US"/>
              </w:rPr>
            </w:pPr>
            <w:r w:rsidRPr="00635993">
              <w:rPr>
                <w:sz w:val="16"/>
                <w:lang w:val="en-US"/>
              </w:rPr>
              <w:t xml:space="preserve">Dehydroalanine exporter </w:t>
            </w:r>
          </w:p>
        </w:tc>
      </w:tr>
      <w:tr w:rsidR="000D7D3D" w:rsidRPr="009004F9" w14:paraId="7DF6DC4A" w14:textId="77777777" w:rsidTr="002D60C9">
        <w:tc>
          <w:tcPr>
            <w:tcW w:w="4013" w:type="dxa"/>
          </w:tcPr>
          <w:p w14:paraId="2C0D9BDD" w14:textId="77777777" w:rsidR="000D7D3D" w:rsidRPr="00635993" w:rsidRDefault="000D7D3D" w:rsidP="003F7054">
            <w:pPr>
              <w:rPr>
                <w:sz w:val="16"/>
              </w:rPr>
            </w:pPr>
            <w:r w:rsidRPr="00635993">
              <w:rPr>
                <w:sz w:val="16"/>
              </w:rPr>
              <w:t>gm1.5704_g</w:t>
            </w:r>
          </w:p>
        </w:tc>
        <w:tc>
          <w:tcPr>
            <w:tcW w:w="1511" w:type="dxa"/>
          </w:tcPr>
          <w:p w14:paraId="212140C2" w14:textId="77777777" w:rsidR="000D7D3D" w:rsidRPr="00635993" w:rsidRDefault="000D7D3D" w:rsidP="007F746A">
            <w:pPr>
              <w:rPr>
                <w:sz w:val="16"/>
              </w:rPr>
            </w:pPr>
            <w:r w:rsidRPr="00635993">
              <w:rPr>
                <w:sz w:val="16"/>
              </w:rPr>
              <w:t>11133</w:t>
            </w:r>
          </w:p>
        </w:tc>
        <w:tc>
          <w:tcPr>
            <w:tcW w:w="4104" w:type="dxa"/>
          </w:tcPr>
          <w:p w14:paraId="13BE134B" w14:textId="77777777" w:rsidR="000D7D3D" w:rsidRPr="00635993" w:rsidRDefault="000D7D3D" w:rsidP="00FB36B8">
            <w:pPr>
              <w:rPr>
                <w:sz w:val="16"/>
                <w:lang w:val="en-US"/>
              </w:rPr>
            </w:pPr>
            <w:r w:rsidRPr="00635993">
              <w:rPr>
                <w:sz w:val="16"/>
                <w:lang w:val="en-US"/>
              </w:rPr>
              <w:t>MFS general substrate transporter</w:t>
            </w:r>
          </w:p>
        </w:tc>
      </w:tr>
      <w:tr w:rsidR="000D7D3D" w:rsidRPr="009004F9" w14:paraId="75DFAE22" w14:textId="77777777" w:rsidTr="002D60C9">
        <w:tc>
          <w:tcPr>
            <w:tcW w:w="4013" w:type="dxa"/>
          </w:tcPr>
          <w:p w14:paraId="026DFDFE" w14:textId="77777777" w:rsidR="000D7D3D" w:rsidRPr="00635993" w:rsidRDefault="000D7D3D" w:rsidP="003F7054">
            <w:pPr>
              <w:rPr>
                <w:sz w:val="16"/>
              </w:rPr>
            </w:pPr>
            <w:r w:rsidRPr="00635993">
              <w:rPr>
                <w:sz w:val="16"/>
              </w:rPr>
              <w:t>estExt_Genemark1.C_160080</w:t>
            </w:r>
          </w:p>
        </w:tc>
        <w:tc>
          <w:tcPr>
            <w:tcW w:w="1511" w:type="dxa"/>
          </w:tcPr>
          <w:p w14:paraId="50B5BD88" w14:textId="77777777" w:rsidR="000D7D3D" w:rsidRPr="00635993" w:rsidRDefault="000D7D3D" w:rsidP="007F746A">
            <w:pPr>
              <w:rPr>
                <w:sz w:val="16"/>
              </w:rPr>
            </w:pPr>
            <w:r w:rsidRPr="00635993">
              <w:rPr>
                <w:sz w:val="16"/>
              </w:rPr>
              <w:t>99665</w:t>
            </w:r>
          </w:p>
        </w:tc>
        <w:tc>
          <w:tcPr>
            <w:tcW w:w="4104" w:type="dxa"/>
          </w:tcPr>
          <w:p w14:paraId="6734F674" w14:textId="77777777" w:rsidR="000D7D3D" w:rsidRPr="00635993" w:rsidRDefault="000D7D3D" w:rsidP="00FB36B8">
            <w:pPr>
              <w:rPr>
                <w:sz w:val="16"/>
                <w:lang w:val="en-US"/>
              </w:rPr>
            </w:pPr>
            <w:r w:rsidRPr="00635993">
              <w:rPr>
                <w:sz w:val="16"/>
                <w:lang w:val="en-US"/>
              </w:rPr>
              <w:t>Spermidine transporter</w:t>
            </w:r>
          </w:p>
        </w:tc>
      </w:tr>
      <w:tr w:rsidR="000D7D3D" w:rsidRPr="009004F9" w14:paraId="7CFDB9C3" w14:textId="77777777" w:rsidTr="002D60C9">
        <w:tc>
          <w:tcPr>
            <w:tcW w:w="4013" w:type="dxa"/>
          </w:tcPr>
          <w:p w14:paraId="21284112" w14:textId="77777777" w:rsidR="000D7D3D" w:rsidRPr="00635993" w:rsidRDefault="000D7D3D" w:rsidP="003F7054">
            <w:pPr>
              <w:rPr>
                <w:sz w:val="16"/>
              </w:rPr>
            </w:pPr>
            <w:r w:rsidRPr="00635993">
              <w:rPr>
                <w:sz w:val="16"/>
              </w:rPr>
              <w:t>estExt_Genewise1Plus.C_1_t50084</w:t>
            </w:r>
          </w:p>
        </w:tc>
        <w:tc>
          <w:tcPr>
            <w:tcW w:w="1511" w:type="dxa"/>
          </w:tcPr>
          <w:p w14:paraId="2055069D" w14:textId="77777777" w:rsidR="000D7D3D" w:rsidRPr="00635993" w:rsidRDefault="000D7D3D" w:rsidP="007F746A">
            <w:pPr>
              <w:rPr>
                <w:sz w:val="16"/>
              </w:rPr>
            </w:pPr>
            <w:r w:rsidRPr="00635993">
              <w:rPr>
                <w:sz w:val="16"/>
              </w:rPr>
              <w:t>105941</w:t>
            </w:r>
          </w:p>
        </w:tc>
        <w:tc>
          <w:tcPr>
            <w:tcW w:w="4104" w:type="dxa"/>
          </w:tcPr>
          <w:p w14:paraId="78EB7BEA" w14:textId="77777777" w:rsidR="000D7D3D" w:rsidRPr="00635993" w:rsidRDefault="000D7D3D" w:rsidP="00FB36B8">
            <w:pPr>
              <w:rPr>
                <w:sz w:val="16"/>
                <w:lang w:val="en-US"/>
              </w:rPr>
            </w:pPr>
            <w:r w:rsidRPr="00635993">
              <w:rPr>
                <w:sz w:val="16"/>
                <w:lang w:val="en-US"/>
              </w:rPr>
              <w:t xml:space="preserve">Cation transporter </w:t>
            </w:r>
          </w:p>
        </w:tc>
      </w:tr>
      <w:tr w:rsidR="000D7D3D" w:rsidRPr="009004F9" w14:paraId="2D1E5525" w14:textId="77777777" w:rsidTr="002D60C9">
        <w:tc>
          <w:tcPr>
            <w:tcW w:w="4013" w:type="dxa"/>
          </w:tcPr>
          <w:p w14:paraId="2CCC747D" w14:textId="77777777" w:rsidR="000D7D3D" w:rsidRPr="00635993" w:rsidRDefault="000D7D3D" w:rsidP="003F7054">
            <w:pPr>
              <w:rPr>
                <w:sz w:val="16"/>
              </w:rPr>
            </w:pPr>
            <w:r w:rsidRPr="00635993">
              <w:rPr>
                <w:sz w:val="16"/>
              </w:rPr>
              <w:t>fgenesh1_pg.13_#_164</w:t>
            </w:r>
          </w:p>
        </w:tc>
        <w:tc>
          <w:tcPr>
            <w:tcW w:w="1511" w:type="dxa"/>
          </w:tcPr>
          <w:p w14:paraId="3A9DA29F" w14:textId="77777777" w:rsidR="000D7D3D" w:rsidRPr="00635993" w:rsidRDefault="000D7D3D" w:rsidP="007F746A">
            <w:pPr>
              <w:rPr>
                <w:sz w:val="16"/>
              </w:rPr>
            </w:pPr>
            <w:r w:rsidRPr="00635993">
              <w:rPr>
                <w:sz w:val="16"/>
              </w:rPr>
              <w:t>155473</w:t>
            </w:r>
          </w:p>
        </w:tc>
        <w:tc>
          <w:tcPr>
            <w:tcW w:w="4104" w:type="dxa"/>
          </w:tcPr>
          <w:p w14:paraId="4C7484FA" w14:textId="77777777" w:rsidR="000D7D3D" w:rsidRPr="00635993" w:rsidRDefault="000D7D3D" w:rsidP="00FB36B8">
            <w:pPr>
              <w:rPr>
                <w:sz w:val="16"/>
                <w:lang w:val="en-US"/>
              </w:rPr>
            </w:pPr>
            <w:r w:rsidRPr="00635993">
              <w:rPr>
                <w:sz w:val="16"/>
                <w:lang w:val="en-US"/>
              </w:rPr>
              <w:t>Phosphate transporter PHO1</w:t>
            </w:r>
          </w:p>
        </w:tc>
      </w:tr>
      <w:tr w:rsidR="000D7D3D" w:rsidRPr="009004F9" w14:paraId="178650B9" w14:textId="77777777" w:rsidTr="002D60C9">
        <w:tc>
          <w:tcPr>
            <w:tcW w:w="4013" w:type="dxa"/>
          </w:tcPr>
          <w:p w14:paraId="7FB53C9C" w14:textId="77777777" w:rsidR="000D7D3D" w:rsidRPr="00635993" w:rsidRDefault="000D7D3D" w:rsidP="003F7054">
            <w:pPr>
              <w:rPr>
                <w:sz w:val="16"/>
              </w:rPr>
            </w:pPr>
            <w:r w:rsidRPr="00635993">
              <w:rPr>
                <w:sz w:val="16"/>
              </w:rPr>
              <w:t>estExt_Genewise1Plus.C_6_t10387</w:t>
            </w:r>
          </w:p>
        </w:tc>
        <w:tc>
          <w:tcPr>
            <w:tcW w:w="1511" w:type="dxa"/>
          </w:tcPr>
          <w:p w14:paraId="66E33A82" w14:textId="77777777" w:rsidR="000D7D3D" w:rsidRPr="00635993" w:rsidRDefault="000D7D3D" w:rsidP="007F746A">
            <w:pPr>
              <w:rPr>
                <w:sz w:val="16"/>
              </w:rPr>
            </w:pPr>
            <w:r w:rsidRPr="00635993">
              <w:rPr>
                <w:sz w:val="16"/>
              </w:rPr>
              <w:t>110020</w:t>
            </w:r>
          </w:p>
        </w:tc>
        <w:tc>
          <w:tcPr>
            <w:tcW w:w="4104" w:type="dxa"/>
          </w:tcPr>
          <w:p w14:paraId="36488796" w14:textId="77777777" w:rsidR="000D7D3D" w:rsidRPr="00635993" w:rsidRDefault="000D7D3D" w:rsidP="00FB36B8">
            <w:pPr>
              <w:rPr>
                <w:sz w:val="16"/>
                <w:lang w:val="en-US"/>
              </w:rPr>
            </w:pPr>
            <w:r w:rsidRPr="00635993">
              <w:rPr>
                <w:sz w:val="16"/>
                <w:lang w:val="en-US"/>
              </w:rPr>
              <w:t>UV-damage endonuclease</w:t>
            </w:r>
          </w:p>
        </w:tc>
      </w:tr>
      <w:tr w:rsidR="000D7D3D" w:rsidRPr="009004F9" w14:paraId="65FF4923" w14:textId="77777777" w:rsidTr="002D60C9">
        <w:tc>
          <w:tcPr>
            <w:tcW w:w="4013" w:type="dxa"/>
          </w:tcPr>
          <w:p w14:paraId="16D38AC6" w14:textId="77777777" w:rsidR="000D7D3D" w:rsidRPr="00635993" w:rsidRDefault="000D7D3D" w:rsidP="003F7054">
            <w:pPr>
              <w:rPr>
                <w:sz w:val="16"/>
              </w:rPr>
            </w:pPr>
            <w:r w:rsidRPr="00635993">
              <w:rPr>
                <w:sz w:val="16"/>
              </w:rPr>
              <w:lastRenderedPageBreak/>
              <w:t>fgenesh1_pg.74_#_16</w:t>
            </w:r>
          </w:p>
        </w:tc>
        <w:tc>
          <w:tcPr>
            <w:tcW w:w="1511" w:type="dxa"/>
          </w:tcPr>
          <w:p w14:paraId="4C7F7EEF" w14:textId="77777777" w:rsidR="000D7D3D" w:rsidRPr="00635993" w:rsidRDefault="000D7D3D" w:rsidP="007F746A">
            <w:pPr>
              <w:rPr>
                <w:sz w:val="16"/>
              </w:rPr>
            </w:pPr>
            <w:r w:rsidRPr="00635993">
              <w:rPr>
                <w:sz w:val="16"/>
              </w:rPr>
              <w:t>157528</w:t>
            </w:r>
          </w:p>
        </w:tc>
        <w:tc>
          <w:tcPr>
            <w:tcW w:w="4104" w:type="dxa"/>
          </w:tcPr>
          <w:p w14:paraId="523568B8" w14:textId="77777777" w:rsidR="000D7D3D" w:rsidRPr="00635993" w:rsidRDefault="000D7D3D" w:rsidP="00FB36B8">
            <w:pPr>
              <w:rPr>
                <w:sz w:val="16"/>
                <w:lang w:val="en-US"/>
              </w:rPr>
            </w:pPr>
            <w:r w:rsidRPr="00635993">
              <w:rPr>
                <w:sz w:val="16"/>
                <w:lang w:val="en-US"/>
              </w:rPr>
              <w:t>Aldo/keto reductase</w:t>
            </w:r>
          </w:p>
        </w:tc>
      </w:tr>
      <w:tr w:rsidR="000D7D3D" w:rsidRPr="009004F9" w14:paraId="7AC6664D" w14:textId="77777777" w:rsidTr="002D60C9">
        <w:tc>
          <w:tcPr>
            <w:tcW w:w="4013" w:type="dxa"/>
          </w:tcPr>
          <w:p w14:paraId="0DA5ABF2" w14:textId="77777777" w:rsidR="000D7D3D" w:rsidRPr="00635993" w:rsidRDefault="000D7D3D" w:rsidP="003F7054">
            <w:pPr>
              <w:rPr>
                <w:sz w:val="16"/>
              </w:rPr>
            </w:pPr>
            <w:r w:rsidRPr="00635993">
              <w:rPr>
                <w:sz w:val="16"/>
              </w:rPr>
              <w:t>estExt_Genemark1.C_370027</w:t>
            </w:r>
          </w:p>
        </w:tc>
        <w:tc>
          <w:tcPr>
            <w:tcW w:w="1511" w:type="dxa"/>
          </w:tcPr>
          <w:p w14:paraId="27C2096E" w14:textId="77777777" w:rsidR="000D7D3D" w:rsidRPr="00635993" w:rsidRDefault="000D7D3D" w:rsidP="007F746A">
            <w:pPr>
              <w:rPr>
                <w:sz w:val="16"/>
              </w:rPr>
            </w:pPr>
            <w:r w:rsidRPr="00635993">
              <w:rPr>
                <w:sz w:val="16"/>
              </w:rPr>
              <w:t>101010</w:t>
            </w:r>
          </w:p>
        </w:tc>
        <w:tc>
          <w:tcPr>
            <w:tcW w:w="4104" w:type="dxa"/>
          </w:tcPr>
          <w:p w14:paraId="59F0825F" w14:textId="77777777" w:rsidR="000D7D3D" w:rsidRPr="00635993" w:rsidRDefault="000D7D3D" w:rsidP="00FB36B8">
            <w:pPr>
              <w:rPr>
                <w:sz w:val="16"/>
                <w:lang w:val="en-US"/>
              </w:rPr>
            </w:pPr>
            <w:r w:rsidRPr="00635993">
              <w:rPr>
                <w:sz w:val="16"/>
                <w:lang w:val="en-US"/>
              </w:rPr>
              <w:t>Unknown</w:t>
            </w:r>
          </w:p>
        </w:tc>
      </w:tr>
      <w:tr w:rsidR="000D7D3D" w:rsidRPr="009004F9" w14:paraId="532D072E" w14:textId="77777777" w:rsidTr="002D60C9">
        <w:tc>
          <w:tcPr>
            <w:tcW w:w="4013" w:type="dxa"/>
          </w:tcPr>
          <w:p w14:paraId="284F987A" w14:textId="77777777" w:rsidR="000D7D3D" w:rsidRPr="00635993" w:rsidRDefault="000D7D3D" w:rsidP="003F7054">
            <w:pPr>
              <w:rPr>
                <w:sz w:val="16"/>
              </w:rPr>
            </w:pPr>
            <w:r w:rsidRPr="00635993">
              <w:rPr>
                <w:sz w:val="16"/>
              </w:rPr>
              <w:t>gm1.5851_g</w:t>
            </w:r>
          </w:p>
        </w:tc>
        <w:tc>
          <w:tcPr>
            <w:tcW w:w="1511" w:type="dxa"/>
          </w:tcPr>
          <w:p w14:paraId="10994795" w14:textId="77777777" w:rsidR="000D7D3D" w:rsidRPr="00635993" w:rsidRDefault="000D7D3D" w:rsidP="007F746A">
            <w:pPr>
              <w:rPr>
                <w:sz w:val="16"/>
              </w:rPr>
            </w:pPr>
            <w:r w:rsidRPr="00635993">
              <w:rPr>
                <w:sz w:val="16"/>
              </w:rPr>
              <w:t>11280</w:t>
            </w:r>
          </w:p>
        </w:tc>
        <w:tc>
          <w:tcPr>
            <w:tcW w:w="4104" w:type="dxa"/>
          </w:tcPr>
          <w:p w14:paraId="635BC8A3" w14:textId="77777777" w:rsidR="000D7D3D" w:rsidRPr="00635993" w:rsidRDefault="000D7D3D" w:rsidP="00FB36B8">
            <w:pPr>
              <w:rPr>
                <w:sz w:val="16"/>
                <w:lang w:val="en-US"/>
              </w:rPr>
            </w:pPr>
            <w:r w:rsidRPr="00635993">
              <w:rPr>
                <w:sz w:val="16"/>
                <w:lang w:val="en-US"/>
              </w:rPr>
              <w:t>FAD/NAD(P)-binding domain-containing protein</w:t>
            </w:r>
          </w:p>
        </w:tc>
      </w:tr>
      <w:tr w:rsidR="000D7D3D" w:rsidRPr="009004F9" w14:paraId="2B410B72" w14:textId="77777777" w:rsidTr="002D60C9">
        <w:tc>
          <w:tcPr>
            <w:tcW w:w="4013" w:type="dxa"/>
          </w:tcPr>
          <w:p w14:paraId="0179541E" w14:textId="77777777" w:rsidR="000D7D3D" w:rsidRPr="00635993" w:rsidRDefault="000D7D3D" w:rsidP="003F7054">
            <w:pPr>
              <w:rPr>
                <w:sz w:val="16"/>
              </w:rPr>
            </w:pPr>
            <w:r w:rsidRPr="00635993">
              <w:rPr>
                <w:sz w:val="16"/>
              </w:rPr>
              <w:t>estExt_Genemark1.C_120240</w:t>
            </w:r>
          </w:p>
        </w:tc>
        <w:tc>
          <w:tcPr>
            <w:tcW w:w="1511" w:type="dxa"/>
          </w:tcPr>
          <w:p w14:paraId="269CC5A9" w14:textId="77777777" w:rsidR="000D7D3D" w:rsidRPr="00635993" w:rsidRDefault="000D7D3D" w:rsidP="007F746A">
            <w:pPr>
              <w:rPr>
                <w:sz w:val="16"/>
              </w:rPr>
            </w:pPr>
            <w:r w:rsidRPr="00635993">
              <w:rPr>
                <w:sz w:val="16"/>
              </w:rPr>
              <w:t>99127</w:t>
            </w:r>
          </w:p>
        </w:tc>
        <w:tc>
          <w:tcPr>
            <w:tcW w:w="4104" w:type="dxa"/>
          </w:tcPr>
          <w:p w14:paraId="6757B82A" w14:textId="77777777" w:rsidR="000D7D3D" w:rsidRPr="00635993" w:rsidRDefault="000D7D3D" w:rsidP="00FB36B8">
            <w:pPr>
              <w:rPr>
                <w:sz w:val="16"/>
                <w:lang w:val="en-US"/>
              </w:rPr>
            </w:pPr>
            <w:r w:rsidRPr="00635993">
              <w:rPr>
                <w:sz w:val="16"/>
                <w:lang w:val="en-US"/>
              </w:rPr>
              <w:t>FAD/NAD(P)-binding domain-containing protein</w:t>
            </w:r>
          </w:p>
        </w:tc>
      </w:tr>
      <w:tr w:rsidR="000D7D3D" w:rsidRPr="009004F9" w14:paraId="54D2223E" w14:textId="77777777" w:rsidTr="002D60C9">
        <w:tc>
          <w:tcPr>
            <w:tcW w:w="4013" w:type="dxa"/>
          </w:tcPr>
          <w:p w14:paraId="7960F106" w14:textId="77777777" w:rsidR="000D7D3D" w:rsidRPr="00635993" w:rsidRDefault="000D7D3D" w:rsidP="003F7054">
            <w:pPr>
              <w:rPr>
                <w:sz w:val="16"/>
              </w:rPr>
            </w:pPr>
            <w:r w:rsidRPr="00635993">
              <w:rPr>
                <w:sz w:val="16"/>
              </w:rPr>
              <w:t>estExt_Genemark1.C_50150</w:t>
            </w:r>
          </w:p>
        </w:tc>
        <w:tc>
          <w:tcPr>
            <w:tcW w:w="1511" w:type="dxa"/>
          </w:tcPr>
          <w:p w14:paraId="170B6081" w14:textId="77777777" w:rsidR="000D7D3D" w:rsidRPr="00635993" w:rsidRDefault="000D7D3D" w:rsidP="007F746A">
            <w:pPr>
              <w:rPr>
                <w:sz w:val="16"/>
              </w:rPr>
            </w:pPr>
            <w:r w:rsidRPr="00635993">
              <w:rPr>
                <w:sz w:val="16"/>
              </w:rPr>
              <w:t>97080</w:t>
            </w:r>
          </w:p>
        </w:tc>
        <w:tc>
          <w:tcPr>
            <w:tcW w:w="4104" w:type="dxa"/>
          </w:tcPr>
          <w:p w14:paraId="2A81E8F1" w14:textId="77777777" w:rsidR="000D7D3D" w:rsidRPr="00635993" w:rsidRDefault="000D7D3D" w:rsidP="00FB36B8">
            <w:pPr>
              <w:rPr>
                <w:sz w:val="16"/>
                <w:lang w:val="en-US"/>
              </w:rPr>
            </w:pPr>
            <w:r w:rsidRPr="00635993">
              <w:rPr>
                <w:sz w:val="16"/>
                <w:lang w:val="en-US"/>
              </w:rPr>
              <w:t>Transcriptional regulator medusa</w:t>
            </w:r>
          </w:p>
        </w:tc>
      </w:tr>
      <w:tr w:rsidR="000D7D3D" w:rsidRPr="009004F9" w14:paraId="639408CC" w14:textId="77777777" w:rsidTr="002D60C9">
        <w:tc>
          <w:tcPr>
            <w:tcW w:w="4013" w:type="dxa"/>
          </w:tcPr>
          <w:p w14:paraId="1C78834F" w14:textId="77777777" w:rsidR="000D7D3D" w:rsidRPr="00635993" w:rsidRDefault="000D7D3D" w:rsidP="003F7054">
            <w:pPr>
              <w:rPr>
                <w:sz w:val="16"/>
              </w:rPr>
            </w:pPr>
            <w:r w:rsidRPr="00635993">
              <w:rPr>
                <w:sz w:val="16"/>
              </w:rPr>
              <w:t>estExt_Genewise1Plus.C_480125</w:t>
            </w:r>
          </w:p>
        </w:tc>
        <w:tc>
          <w:tcPr>
            <w:tcW w:w="1511" w:type="dxa"/>
          </w:tcPr>
          <w:p w14:paraId="56523EEC" w14:textId="77777777" w:rsidR="000D7D3D" w:rsidRPr="00635993" w:rsidRDefault="000D7D3D" w:rsidP="007F746A">
            <w:pPr>
              <w:rPr>
                <w:sz w:val="16"/>
              </w:rPr>
            </w:pPr>
            <w:r w:rsidRPr="00635993">
              <w:rPr>
                <w:sz w:val="16"/>
              </w:rPr>
              <w:t>118531</w:t>
            </w:r>
          </w:p>
        </w:tc>
        <w:tc>
          <w:tcPr>
            <w:tcW w:w="4104" w:type="dxa"/>
          </w:tcPr>
          <w:p w14:paraId="2C44B9AE" w14:textId="77777777" w:rsidR="000D7D3D" w:rsidRPr="00635993" w:rsidRDefault="000D7D3D" w:rsidP="00FB36B8">
            <w:pPr>
              <w:rPr>
                <w:sz w:val="16"/>
                <w:lang w:val="en-US"/>
              </w:rPr>
            </w:pPr>
            <w:r w:rsidRPr="00635993">
              <w:rPr>
                <w:sz w:val="16"/>
                <w:shd w:val="clear" w:color="auto" w:fill="FFFFFF"/>
              </w:rPr>
              <w:t xml:space="preserve">Nicotinate phosphoribosyltransferase </w:t>
            </w:r>
          </w:p>
        </w:tc>
      </w:tr>
      <w:tr w:rsidR="000D7D3D" w:rsidRPr="009004F9" w14:paraId="4C5BD2F6" w14:textId="77777777" w:rsidTr="002D60C9">
        <w:tc>
          <w:tcPr>
            <w:tcW w:w="4013" w:type="dxa"/>
          </w:tcPr>
          <w:p w14:paraId="412269FA" w14:textId="77777777" w:rsidR="000D7D3D" w:rsidRPr="00635993" w:rsidRDefault="000D7D3D" w:rsidP="003F7054">
            <w:pPr>
              <w:rPr>
                <w:sz w:val="16"/>
              </w:rPr>
            </w:pPr>
            <w:r w:rsidRPr="00635993">
              <w:rPr>
                <w:sz w:val="16"/>
              </w:rPr>
              <w:t>gm1.12688_g</w:t>
            </w:r>
          </w:p>
        </w:tc>
        <w:tc>
          <w:tcPr>
            <w:tcW w:w="1511" w:type="dxa"/>
          </w:tcPr>
          <w:p w14:paraId="60487CED" w14:textId="77777777" w:rsidR="000D7D3D" w:rsidRPr="00635993" w:rsidRDefault="000D7D3D" w:rsidP="007F746A">
            <w:pPr>
              <w:rPr>
                <w:sz w:val="16"/>
              </w:rPr>
            </w:pPr>
            <w:r w:rsidRPr="00635993">
              <w:rPr>
                <w:sz w:val="16"/>
              </w:rPr>
              <w:t>18117</w:t>
            </w:r>
          </w:p>
        </w:tc>
        <w:tc>
          <w:tcPr>
            <w:tcW w:w="4104" w:type="dxa"/>
          </w:tcPr>
          <w:p w14:paraId="57ED7985" w14:textId="77777777" w:rsidR="000D7D3D" w:rsidRPr="00635993" w:rsidRDefault="000D7D3D" w:rsidP="00FB36B8">
            <w:pPr>
              <w:rPr>
                <w:sz w:val="16"/>
                <w:lang w:val="en-US"/>
              </w:rPr>
            </w:pPr>
            <w:r w:rsidRPr="00635993">
              <w:rPr>
                <w:sz w:val="16"/>
                <w:lang w:val="en-US"/>
              </w:rPr>
              <w:t>Unknown</w:t>
            </w:r>
          </w:p>
        </w:tc>
      </w:tr>
    </w:tbl>
    <w:p w14:paraId="79B8F391" w14:textId="46C1E15B" w:rsidR="009004F9" w:rsidRDefault="009004F9" w:rsidP="00BA3E77">
      <w:pPr>
        <w:rPr>
          <w:lang w:val="en-US"/>
        </w:rPr>
      </w:pPr>
    </w:p>
    <w:p w14:paraId="500ABB57" w14:textId="722B429F" w:rsidR="000D7D3D" w:rsidRPr="000D7D3D" w:rsidRDefault="009004F9" w:rsidP="00635993">
      <w:pPr>
        <w:spacing w:line="259" w:lineRule="auto"/>
        <w:jc w:val="left"/>
        <w:rPr>
          <w:lang w:val="en-US"/>
        </w:rPr>
      </w:pPr>
      <w:r>
        <w:rPr>
          <w:lang w:val="en-US"/>
        </w:rPr>
        <w:br w:type="page"/>
      </w:r>
    </w:p>
    <w:p w14:paraId="4764F777" w14:textId="7B0D9161" w:rsidR="000D7D3D" w:rsidRPr="00B46FB7" w:rsidRDefault="000D7D3D" w:rsidP="00635993">
      <w:pPr>
        <w:pStyle w:val="Heading2"/>
      </w:pPr>
      <w:bookmarkStart w:id="622" w:name="_Toc507604110"/>
      <w:bookmarkStart w:id="623" w:name="_Toc507604377"/>
      <w:bookmarkStart w:id="624" w:name="_Toc519017079"/>
      <w:bookmarkStart w:id="625" w:name="_Toc520837992"/>
      <w:r w:rsidRPr="000D7D3D">
        <w:lastRenderedPageBreak/>
        <w:t xml:space="preserve">Table 8. </w:t>
      </w:r>
      <w:r w:rsidRPr="00635993">
        <w:rPr>
          <w:b w:val="0"/>
        </w:rPr>
        <w:t xml:space="preserve">Media composition of each compartment of the </w:t>
      </w:r>
      <w:r w:rsidR="009004F9">
        <w:rPr>
          <w:b w:val="0"/>
        </w:rPr>
        <w:t>HAP</w:t>
      </w:r>
      <w:r w:rsidR="009004F9" w:rsidRPr="00635993">
        <w:rPr>
          <w:b w:val="0"/>
        </w:rPr>
        <w:t xml:space="preserve"> </w:t>
      </w:r>
      <w:r w:rsidRPr="00635993">
        <w:rPr>
          <w:b w:val="0"/>
        </w:rPr>
        <w:t>solubilisation experimental system.</w:t>
      </w:r>
      <w:bookmarkEnd w:id="622"/>
      <w:bookmarkEnd w:id="623"/>
      <w:bookmarkEnd w:id="624"/>
      <w:bookmarkEnd w:id="625"/>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2916"/>
        <w:gridCol w:w="2333"/>
      </w:tblGrid>
      <w:tr w:rsidR="000D7D3D" w:rsidRPr="009004F9" w14:paraId="39EF0508" w14:textId="77777777" w:rsidTr="002D60C9">
        <w:trPr>
          <w:trHeight w:val="414"/>
        </w:trPr>
        <w:tc>
          <w:tcPr>
            <w:tcW w:w="1843" w:type="dxa"/>
            <w:tcBorders>
              <w:top w:val="single" w:sz="4" w:space="0" w:color="auto"/>
              <w:bottom w:val="single" w:sz="4" w:space="0" w:color="auto"/>
            </w:tcBorders>
          </w:tcPr>
          <w:p w14:paraId="07765864" w14:textId="77777777" w:rsidR="000D7D3D" w:rsidRPr="00635993" w:rsidRDefault="000D7D3D" w:rsidP="00635993">
            <w:pPr>
              <w:jc w:val="left"/>
              <w:rPr>
                <w:b/>
                <w:sz w:val="20"/>
              </w:rPr>
            </w:pPr>
            <w:r w:rsidRPr="00635993">
              <w:rPr>
                <w:b/>
                <w:sz w:val="20"/>
              </w:rPr>
              <w:t>Compound</w:t>
            </w:r>
          </w:p>
        </w:tc>
        <w:tc>
          <w:tcPr>
            <w:tcW w:w="2268" w:type="dxa"/>
            <w:tcBorders>
              <w:top w:val="single" w:sz="4" w:space="0" w:color="auto"/>
              <w:bottom w:val="single" w:sz="4" w:space="0" w:color="auto"/>
            </w:tcBorders>
          </w:tcPr>
          <w:p w14:paraId="6229A4BB" w14:textId="7ED31740" w:rsidR="000D7D3D" w:rsidRPr="00635993" w:rsidRDefault="000D7D3D" w:rsidP="00635993">
            <w:pPr>
              <w:jc w:val="left"/>
              <w:rPr>
                <w:b/>
                <w:sz w:val="20"/>
              </w:rPr>
            </w:pPr>
            <w:r w:rsidRPr="00635993">
              <w:rPr>
                <w:b/>
                <w:sz w:val="20"/>
              </w:rPr>
              <w:t>Fungal</w:t>
            </w:r>
          </w:p>
          <w:p w14:paraId="72A180CF" w14:textId="77777777" w:rsidR="000D7D3D" w:rsidRPr="00635993" w:rsidRDefault="000D7D3D" w:rsidP="00635993">
            <w:pPr>
              <w:jc w:val="left"/>
              <w:rPr>
                <w:b/>
                <w:sz w:val="20"/>
              </w:rPr>
            </w:pPr>
            <w:r w:rsidRPr="00635993">
              <w:rPr>
                <w:b/>
                <w:sz w:val="20"/>
              </w:rPr>
              <w:t>inoculum site</w:t>
            </w:r>
          </w:p>
        </w:tc>
        <w:tc>
          <w:tcPr>
            <w:tcW w:w="2916" w:type="dxa"/>
            <w:tcBorders>
              <w:top w:val="single" w:sz="4" w:space="0" w:color="auto"/>
              <w:bottom w:val="single" w:sz="4" w:space="0" w:color="auto"/>
            </w:tcBorders>
          </w:tcPr>
          <w:p w14:paraId="38D76E19" w14:textId="77777777" w:rsidR="000D7D3D" w:rsidRPr="00635993" w:rsidRDefault="000D7D3D" w:rsidP="00635993">
            <w:pPr>
              <w:jc w:val="left"/>
              <w:rPr>
                <w:b/>
                <w:sz w:val="20"/>
              </w:rPr>
            </w:pPr>
            <w:r w:rsidRPr="00635993">
              <w:rPr>
                <w:b/>
                <w:sz w:val="20"/>
              </w:rPr>
              <w:t>Hydroxyapatite</w:t>
            </w:r>
          </w:p>
          <w:p w14:paraId="3BA79A50" w14:textId="77777777" w:rsidR="000D7D3D" w:rsidRPr="00635993" w:rsidRDefault="000D7D3D" w:rsidP="00635993">
            <w:pPr>
              <w:jc w:val="left"/>
              <w:rPr>
                <w:b/>
                <w:sz w:val="20"/>
              </w:rPr>
            </w:pPr>
            <w:r w:rsidRPr="00635993">
              <w:rPr>
                <w:b/>
                <w:sz w:val="20"/>
              </w:rPr>
              <w:t>solubilisation</w:t>
            </w:r>
          </w:p>
          <w:p w14:paraId="27D7B1C0" w14:textId="77777777" w:rsidR="000D7D3D" w:rsidRPr="00635993" w:rsidRDefault="000D7D3D" w:rsidP="00635993">
            <w:pPr>
              <w:jc w:val="left"/>
              <w:rPr>
                <w:b/>
                <w:sz w:val="20"/>
              </w:rPr>
            </w:pPr>
            <w:r w:rsidRPr="00635993">
              <w:rPr>
                <w:b/>
                <w:sz w:val="20"/>
              </w:rPr>
              <w:t>study site</w:t>
            </w:r>
          </w:p>
        </w:tc>
        <w:tc>
          <w:tcPr>
            <w:tcW w:w="2333" w:type="dxa"/>
            <w:tcBorders>
              <w:top w:val="single" w:sz="4" w:space="0" w:color="auto"/>
              <w:bottom w:val="single" w:sz="4" w:space="0" w:color="auto"/>
            </w:tcBorders>
          </w:tcPr>
          <w:p w14:paraId="18CADF8E" w14:textId="77777777" w:rsidR="000D7D3D" w:rsidRPr="00635993" w:rsidRDefault="000D7D3D" w:rsidP="00635993">
            <w:pPr>
              <w:jc w:val="left"/>
              <w:rPr>
                <w:b/>
                <w:sz w:val="20"/>
              </w:rPr>
            </w:pPr>
            <w:r w:rsidRPr="00635993">
              <w:rPr>
                <w:b/>
                <w:sz w:val="20"/>
              </w:rPr>
              <w:t>Supplier</w:t>
            </w:r>
          </w:p>
        </w:tc>
      </w:tr>
      <w:tr w:rsidR="000D7D3D" w:rsidRPr="009004F9" w14:paraId="0E37381F" w14:textId="77777777" w:rsidTr="002D60C9">
        <w:trPr>
          <w:trHeight w:val="414"/>
        </w:trPr>
        <w:tc>
          <w:tcPr>
            <w:tcW w:w="1843" w:type="dxa"/>
            <w:tcBorders>
              <w:top w:val="single" w:sz="4" w:space="0" w:color="auto"/>
            </w:tcBorders>
          </w:tcPr>
          <w:p w14:paraId="21A0D176" w14:textId="77777777" w:rsidR="000D7D3D" w:rsidRPr="00635993" w:rsidRDefault="000D7D3D" w:rsidP="003F7054">
            <w:pPr>
              <w:rPr>
                <w:sz w:val="20"/>
              </w:rPr>
            </w:pPr>
            <w:r w:rsidRPr="00635993">
              <w:rPr>
                <w:sz w:val="20"/>
                <w:lang w:eastAsia="en-GB"/>
              </w:rPr>
              <w:t>CaCl</w:t>
            </w:r>
            <w:r w:rsidRPr="00635993">
              <w:rPr>
                <w:sz w:val="20"/>
                <w:vertAlign w:val="subscript"/>
                <w:lang w:eastAsia="en-GB"/>
              </w:rPr>
              <w:t>2</w:t>
            </w:r>
            <w:r w:rsidRPr="00635993">
              <w:rPr>
                <w:sz w:val="20"/>
                <w:lang w:eastAsia="en-GB"/>
              </w:rPr>
              <w:t>*2H</w:t>
            </w:r>
            <w:r w:rsidRPr="00635993">
              <w:rPr>
                <w:sz w:val="20"/>
                <w:vertAlign w:val="subscript"/>
                <w:lang w:eastAsia="en-GB"/>
              </w:rPr>
              <w:t>2</w:t>
            </w:r>
            <w:r w:rsidRPr="00635993">
              <w:rPr>
                <w:sz w:val="20"/>
                <w:lang w:eastAsia="en-GB"/>
              </w:rPr>
              <w:t>O</w:t>
            </w:r>
          </w:p>
        </w:tc>
        <w:tc>
          <w:tcPr>
            <w:tcW w:w="2268" w:type="dxa"/>
            <w:tcBorders>
              <w:top w:val="single" w:sz="4" w:space="0" w:color="auto"/>
            </w:tcBorders>
          </w:tcPr>
          <w:p w14:paraId="31904F45" w14:textId="77777777" w:rsidR="000D7D3D" w:rsidRPr="00635993" w:rsidRDefault="000D7D3D" w:rsidP="00635993">
            <w:pPr>
              <w:rPr>
                <w:sz w:val="20"/>
              </w:rPr>
            </w:pPr>
            <w:r w:rsidRPr="00635993">
              <w:rPr>
                <w:sz w:val="20"/>
                <w:lang w:eastAsia="en-GB"/>
              </w:rPr>
              <w:t>0.34 mM</w:t>
            </w:r>
          </w:p>
        </w:tc>
        <w:tc>
          <w:tcPr>
            <w:tcW w:w="2916" w:type="dxa"/>
            <w:tcBorders>
              <w:top w:val="single" w:sz="4" w:space="0" w:color="auto"/>
            </w:tcBorders>
          </w:tcPr>
          <w:p w14:paraId="083DD4C6" w14:textId="77777777" w:rsidR="000D7D3D" w:rsidRPr="00635993" w:rsidRDefault="000D7D3D" w:rsidP="00635993">
            <w:pPr>
              <w:rPr>
                <w:sz w:val="20"/>
              </w:rPr>
            </w:pPr>
            <w:r w:rsidRPr="00635993">
              <w:rPr>
                <w:sz w:val="20"/>
                <w:lang w:eastAsia="en-GB"/>
              </w:rPr>
              <w:t>0.34 mM</w:t>
            </w:r>
          </w:p>
        </w:tc>
        <w:tc>
          <w:tcPr>
            <w:tcW w:w="2333" w:type="dxa"/>
            <w:tcBorders>
              <w:top w:val="single" w:sz="4" w:space="0" w:color="auto"/>
            </w:tcBorders>
          </w:tcPr>
          <w:p w14:paraId="47186714" w14:textId="77777777" w:rsidR="000D7D3D" w:rsidRPr="00635993" w:rsidRDefault="000D7D3D" w:rsidP="00635993">
            <w:pPr>
              <w:rPr>
                <w:sz w:val="20"/>
              </w:rPr>
            </w:pPr>
            <w:r w:rsidRPr="00635993">
              <w:rPr>
                <w:sz w:val="20"/>
                <w:lang w:eastAsia="en-GB"/>
              </w:rPr>
              <w:t>VWR</w:t>
            </w:r>
          </w:p>
        </w:tc>
      </w:tr>
      <w:tr w:rsidR="000D7D3D" w:rsidRPr="009004F9" w14:paraId="70406EDC" w14:textId="77777777" w:rsidTr="002D60C9">
        <w:trPr>
          <w:trHeight w:val="414"/>
        </w:trPr>
        <w:tc>
          <w:tcPr>
            <w:tcW w:w="1843" w:type="dxa"/>
          </w:tcPr>
          <w:p w14:paraId="7770A62B" w14:textId="77777777" w:rsidR="000D7D3D" w:rsidRPr="00635993" w:rsidRDefault="000D7D3D" w:rsidP="003F7054">
            <w:pPr>
              <w:rPr>
                <w:sz w:val="20"/>
              </w:rPr>
            </w:pPr>
            <w:r w:rsidRPr="00635993">
              <w:rPr>
                <w:sz w:val="20"/>
                <w:lang w:eastAsia="en-GB"/>
              </w:rPr>
              <w:t>NaCl</w:t>
            </w:r>
          </w:p>
        </w:tc>
        <w:tc>
          <w:tcPr>
            <w:tcW w:w="2268" w:type="dxa"/>
          </w:tcPr>
          <w:p w14:paraId="37A3C691" w14:textId="77777777" w:rsidR="000D7D3D" w:rsidRPr="00635993" w:rsidRDefault="000D7D3D" w:rsidP="00635993">
            <w:pPr>
              <w:rPr>
                <w:sz w:val="20"/>
              </w:rPr>
            </w:pPr>
            <w:r w:rsidRPr="00635993">
              <w:rPr>
                <w:sz w:val="20"/>
                <w:lang w:eastAsia="en-GB"/>
              </w:rPr>
              <w:t>0.43 mM</w:t>
            </w:r>
          </w:p>
        </w:tc>
        <w:tc>
          <w:tcPr>
            <w:tcW w:w="2916" w:type="dxa"/>
          </w:tcPr>
          <w:p w14:paraId="210587C3" w14:textId="77777777" w:rsidR="000D7D3D" w:rsidRPr="00635993" w:rsidRDefault="000D7D3D" w:rsidP="00635993">
            <w:pPr>
              <w:rPr>
                <w:sz w:val="20"/>
              </w:rPr>
            </w:pPr>
            <w:r w:rsidRPr="00635993">
              <w:rPr>
                <w:sz w:val="20"/>
                <w:lang w:eastAsia="en-GB"/>
              </w:rPr>
              <w:t>0.43 mM</w:t>
            </w:r>
          </w:p>
        </w:tc>
        <w:tc>
          <w:tcPr>
            <w:tcW w:w="2333" w:type="dxa"/>
          </w:tcPr>
          <w:p w14:paraId="6C360A92" w14:textId="77777777" w:rsidR="000D7D3D" w:rsidRPr="00635993" w:rsidRDefault="000D7D3D" w:rsidP="00635993">
            <w:pPr>
              <w:rPr>
                <w:sz w:val="20"/>
              </w:rPr>
            </w:pPr>
            <w:r w:rsidRPr="00635993">
              <w:rPr>
                <w:sz w:val="20"/>
                <w:lang w:eastAsia="en-GB"/>
              </w:rPr>
              <w:t>VWR</w:t>
            </w:r>
          </w:p>
        </w:tc>
      </w:tr>
      <w:tr w:rsidR="000D7D3D" w:rsidRPr="009004F9" w14:paraId="27277877" w14:textId="77777777" w:rsidTr="002D60C9">
        <w:trPr>
          <w:trHeight w:val="414"/>
        </w:trPr>
        <w:tc>
          <w:tcPr>
            <w:tcW w:w="1843" w:type="dxa"/>
          </w:tcPr>
          <w:p w14:paraId="72E9D672" w14:textId="77777777" w:rsidR="000D7D3D" w:rsidRPr="00635993" w:rsidRDefault="000D7D3D" w:rsidP="003F7054">
            <w:pPr>
              <w:rPr>
                <w:sz w:val="20"/>
              </w:rPr>
            </w:pPr>
            <w:r w:rsidRPr="00635993">
              <w:rPr>
                <w:sz w:val="20"/>
                <w:lang w:eastAsia="en-GB"/>
              </w:rPr>
              <w:t>MgSO</w:t>
            </w:r>
            <w:r w:rsidRPr="00635993">
              <w:rPr>
                <w:sz w:val="20"/>
                <w:vertAlign w:val="subscript"/>
                <w:lang w:eastAsia="en-GB"/>
              </w:rPr>
              <w:t>4</w:t>
            </w:r>
            <w:r w:rsidRPr="00635993">
              <w:rPr>
                <w:sz w:val="20"/>
                <w:lang w:eastAsia="en-GB"/>
              </w:rPr>
              <w:t>*7H</w:t>
            </w:r>
            <w:r w:rsidRPr="00635993">
              <w:rPr>
                <w:sz w:val="20"/>
                <w:vertAlign w:val="subscript"/>
                <w:lang w:eastAsia="en-GB"/>
              </w:rPr>
              <w:t>2</w:t>
            </w:r>
            <w:r w:rsidRPr="00635993">
              <w:rPr>
                <w:sz w:val="20"/>
                <w:lang w:eastAsia="en-GB"/>
              </w:rPr>
              <w:t>O</w:t>
            </w:r>
          </w:p>
        </w:tc>
        <w:tc>
          <w:tcPr>
            <w:tcW w:w="2268" w:type="dxa"/>
          </w:tcPr>
          <w:p w14:paraId="0FD4BC3E" w14:textId="77777777" w:rsidR="000D7D3D" w:rsidRPr="00635993" w:rsidRDefault="000D7D3D" w:rsidP="00635993">
            <w:pPr>
              <w:rPr>
                <w:sz w:val="20"/>
              </w:rPr>
            </w:pPr>
            <w:r w:rsidRPr="00635993">
              <w:rPr>
                <w:sz w:val="20"/>
                <w:lang w:eastAsia="en-GB"/>
              </w:rPr>
              <w:t>0.61 mM</w:t>
            </w:r>
          </w:p>
        </w:tc>
        <w:tc>
          <w:tcPr>
            <w:tcW w:w="2916" w:type="dxa"/>
          </w:tcPr>
          <w:p w14:paraId="6F464E7E" w14:textId="77777777" w:rsidR="000D7D3D" w:rsidRPr="00635993" w:rsidRDefault="000D7D3D" w:rsidP="00635993">
            <w:pPr>
              <w:rPr>
                <w:sz w:val="20"/>
              </w:rPr>
            </w:pPr>
            <w:r w:rsidRPr="00635993">
              <w:rPr>
                <w:sz w:val="20"/>
                <w:lang w:eastAsia="en-GB"/>
              </w:rPr>
              <w:t>0.61 mM</w:t>
            </w:r>
          </w:p>
        </w:tc>
        <w:tc>
          <w:tcPr>
            <w:tcW w:w="2333" w:type="dxa"/>
          </w:tcPr>
          <w:p w14:paraId="773E2BE9" w14:textId="77777777" w:rsidR="000D7D3D" w:rsidRPr="00635993" w:rsidRDefault="000D7D3D" w:rsidP="00635993">
            <w:pPr>
              <w:rPr>
                <w:sz w:val="20"/>
              </w:rPr>
            </w:pPr>
            <w:r w:rsidRPr="00635993">
              <w:rPr>
                <w:sz w:val="20"/>
                <w:lang w:eastAsia="en-GB"/>
              </w:rPr>
              <w:t>VWR</w:t>
            </w:r>
          </w:p>
        </w:tc>
      </w:tr>
      <w:tr w:rsidR="000D7D3D" w:rsidRPr="009004F9" w14:paraId="5AA423F9" w14:textId="77777777" w:rsidTr="002D60C9">
        <w:trPr>
          <w:trHeight w:val="414"/>
        </w:trPr>
        <w:tc>
          <w:tcPr>
            <w:tcW w:w="1843" w:type="dxa"/>
          </w:tcPr>
          <w:p w14:paraId="30453995" w14:textId="77777777" w:rsidR="000D7D3D" w:rsidRPr="00635993" w:rsidRDefault="000D7D3D" w:rsidP="003F7054">
            <w:pPr>
              <w:rPr>
                <w:sz w:val="20"/>
              </w:rPr>
            </w:pPr>
            <w:r w:rsidRPr="00635993">
              <w:rPr>
                <w:sz w:val="20"/>
                <w:lang w:eastAsia="en-GB"/>
              </w:rPr>
              <w:t>(NH</w:t>
            </w:r>
            <w:r w:rsidRPr="00635993">
              <w:rPr>
                <w:sz w:val="20"/>
                <w:vertAlign w:val="subscript"/>
                <w:lang w:eastAsia="en-GB"/>
              </w:rPr>
              <w:t>4</w:t>
            </w:r>
            <w:r w:rsidRPr="00635993">
              <w:rPr>
                <w:sz w:val="20"/>
                <w:lang w:eastAsia="en-GB"/>
              </w:rPr>
              <w:t>)</w:t>
            </w:r>
            <w:r w:rsidRPr="00635993">
              <w:rPr>
                <w:sz w:val="20"/>
                <w:vertAlign w:val="subscript"/>
                <w:lang w:eastAsia="en-GB"/>
              </w:rPr>
              <w:t>2</w:t>
            </w:r>
            <w:r w:rsidRPr="00635993">
              <w:rPr>
                <w:sz w:val="20"/>
                <w:lang w:eastAsia="en-GB"/>
              </w:rPr>
              <w:t>SO</w:t>
            </w:r>
            <w:r w:rsidRPr="00635993">
              <w:rPr>
                <w:sz w:val="20"/>
                <w:vertAlign w:val="subscript"/>
                <w:lang w:eastAsia="en-GB"/>
              </w:rPr>
              <w:t>4</w:t>
            </w:r>
          </w:p>
        </w:tc>
        <w:tc>
          <w:tcPr>
            <w:tcW w:w="2268" w:type="dxa"/>
          </w:tcPr>
          <w:p w14:paraId="6ABEE67D" w14:textId="77777777" w:rsidR="000D7D3D" w:rsidRPr="00635993" w:rsidRDefault="000D7D3D" w:rsidP="00635993">
            <w:pPr>
              <w:rPr>
                <w:sz w:val="20"/>
              </w:rPr>
            </w:pPr>
            <w:r w:rsidRPr="00635993">
              <w:rPr>
                <w:sz w:val="20"/>
                <w:lang w:eastAsia="en-GB"/>
              </w:rPr>
              <w:t>1.89 mM</w:t>
            </w:r>
          </w:p>
        </w:tc>
        <w:tc>
          <w:tcPr>
            <w:tcW w:w="2916" w:type="dxa"/>
          </w:tcPr>
          <w:p w14:paraId="389D2FB0" w14:textId="77777777" w:rsidR="000D7D3D" w:rsidRPr="00635993" w:rsidRDefault="000D7D3D" w:rsidP="00635993">
            <w:pPr>
              <w:rPr>
                <w:sz w:val="20"/>
              </w:rPr>
            </w:pPr>
            <w:r w:rsidRPr="00635993">
              <w:rPr>
                <w:sz w:val="20"/>
                <w:lang w:eastAsia="en-GB"/>
              </w:rPr>
              <w:t>1.89</w:t>
            </w:r>
            <w:r w:rsidRPr="00635993">
              <w:rPr>
                <w:sz w:val="20"/>
              </w:rPr>
              <w:t xml:space="preserve"> mM</w:t>
            </w:r>
          </w:p>
        </w:tc>
        <w:tc>
          <w:tcPr>
            <w:tcW w:w="2333" w:type="dxa"/>
          </w:tcPr>
          <w:p w14:paraId="013B4A75" w14:textId="77777777" w:rsidR="000D7D3D" w:rsidRPr="00635993" w:rsidRDefault="000D7D3D" w:rsidP="00635993">
            <w:pPr>
              <w:rPr>
                <w:sz w:val="20"/>
              </w:rPr>
            </w:pPr>
            <w:r w:rsidRPr="00635993">
              <w:rPr>
                <w:sz w:val="20"/>
                <w:lang w:eastAsia="en-GB"/>
              </w:rPr>
              <w:t>VWR</w:t>
            </w:r>
          </w:p>
        </w:tc>
      </w:tr>
      <w:tr w:rsidR="000D7D3D" w:rsidRPr="009004F9" w14:paraId="017AE1EB" w14:textId="77777777" w:rsidTr="002D60C9">
        <w:trPr>
          <w:trHeight w:val="414"/>
        </w:trPr>
        <w:tc>
          <w:tcPr>
            <w:tcW w:w="1843" w:type="dxa"/>
          </w:tcPr>
          <w:p w14:paraId="6604ED82" w14:textId="77777777" w:rsidR="000D7D3D" w:rsidRPr="00635993" w:rsidRDefault="000D7D3D" w:rsidP="003F7054">
            <w:pPr>
              <w:rPr>
                <w:sz w:val="20"/>
              </w:rPr>
            </w:pPr>
            <w:r w:rsidRPr="00635993">
              <w:rPr>
                <w:sz w:val="20"/>
                <w:lang w:eastAsia="en-GB"/>
              </w:rPr>
              <w:t>KH</w:t>
            </w:r>
            <w:r w:rsidRPr="00635993">
              <w:rPr>
                <w:sz w:val="20"/>
                <w:vertAlign w:val="subscript"/>
                <w:lang w:eastAsia="en-GB"/>
              </w:rPr>
              <w:t>2</w:t>
            </w:r>
            <w:r w:rsidRPr="00635993">
              <w:rPr>
                <w:sz w:val="20"/>
                <w:lang w:eastAsia="en-GB"/>
              </w:rPr>
              <w:t>PO</w:t>
            </w:r>
            <w:r w:rsidRPr="00635993">
              <w:rPr>
                <w:sz w:val="20"/>
                <w:vertAlign w:val="subscript"/>
                <w:lang w:eastAsia="en-GB"/>
              </w:rPr>
              <w:t>4</w:t>
            </w:r>
          </w:p>
        </w:tc>
        <w:tc>
          <w:tcPr>
            <w:tcW w:w="2268" w:type="dxa"/>
          </w:tcPr>
          <w:p w14:paraId="661888AA" w14:textId="77777777" w:rsidR="000D7D3D" w:rsidRPr="00635993" w:rsidRDefault="000D7D3D" w:rsidP="007F746A">
            <w:pPr>
              <w:rPr>
                <w:sz w:val="20"/>
              </w:rPr>
            </w:pPr>
            <w:r w:rsidRPr="00635993">
              <w:rPr>
                <w:sz w:val="20"/>
              </w:rPr>
              <w:t>0.15 or 0.37 or 1.84</w:t>
            </w:r>
            <w:r w:rsidRPr="00635993">
              <w:rPr>
                <w:sz w:val="20"/>
                <w:lang w:val="el-GR"/>
              </w:rPr>
              <w:t xml:space="preserve"> μ</w:t>
            </w:r>
            <w:r w:rsidRPr="00635993">
              <w:rPr>
                <w:sz w:val="20"/>
              </w:rPr>
              <w:t>M</w:t>
            </w:r>
          </w:p>
        </w:tc>
        <w:tc>
          <w:tcPr>
            <w:tcW w:w="2916" w:type="dxa"/>
          </w:tcPr>
          <w:p w14:paraId="563FC5F0" w14:textId="77777777" w:rsidR="000D7D3D" w:rsidRPr="00635993" w:rsidRDefault="000D7D3D" w:rsidP="00635993">
            <w:pPr>
              <w:rPr>
                <w:sz w:val="20"/>
              </w:rPr>
            </w:pPr>
            <w:r w:rsidRPr="00635993">
              <w:rPr>
                <w:sz w:val="20"/>
              </w:rPr>
              <w:t>-</w:t>
            </w:r>
          </w:p>
        </w:tc>
        <w:tc>
          <w:tcPr>
            <w:tcW w:w="2333" w:type="dxa"/>
          </w:tcPr>
          <w:p w14:paraId="67995C68" w14:textId="77777777" w:rsidR="000D7D3D" w:rsidRPr="00635993" w:rsidRDefault="000D7D3D" w:rsidP="00635993">
            <w:pPr>
              <w:rPr>
                <w:sz w:val="20"/>
              </w:rPr>
            </w:pPr>
            <w:r w:rsidRPr="00635993">
              <w:rPr>
                <w:sz w:val="20"/>
                <w:lang w:eastAsia="en-GB"/>
              </w:rPr>
              <w:t>VWR</w:t>
            </w:r>
          </w:p>
        </w:tc>
      </w:tr>
      <w:tr w:rsidR="000D7D3D" w:rsidRPr="009004F9" w14:paraId="4417489E" w14:textId="77777777" w:rsidTr="002D60C9">
        <w:trPr>
          <w:trHeight w:val="414"/>
        </w:trPr>
        <w:tc>
          <w:tcPr>
            <w:tcW w:w="1843" w:type="dxa"/>
          </w:tcPr>
          <w:p w14:paraId="6239A992" w14:textId="77777777" w:rsidR="000D7D3D" w:rsidRPr="00635993" w:rsidRDefault="000D7D3D" w:rsidP="003F7054">
            <w:pPr>
              <w:rPr>
                <w:sz w:val="20"/>
              </w:rPr>
            </w:pPr>
            <w:r w:rsidRPr="00635993">
              <w:rPr>
                <w:sz w:val="20"/>
                <w:lang w:eastAsia="en-GB"/>
              </w:rPr>
              <w:t>FeCl</w:t>
            </w:r>
            <w:r w:rsidRPr="00635993">
              <w:rPr>
                <w:sz w:val="20"/>
                <w:vertAlign w:val="subscript"/>
                <w:lang w:eastAsia="en-GB"/>
              </w:rPr>
              <w:t>3</w:t>
            </w:r>
            <w:r w:rsidRPr="00635993">
              <w:rPr>
                <w:sz w:val="20"/>
              </w:rPr>
              <w:t>*6H</w:t>
            </w:r>
            <w:r w:rsidRPr="00635993">
              <w:rPr>
                <w:sz w:val="20"/>
                <w:vertAlign w:val="subscript"/>
              </w:rPr>
              <w:t>2</w:t>
            </w:r>
            <w:r w:rsidRPr="00635993">
              <w:rPr>
                <w:sz w:val="20"/>
              </w:rPr>
              <w:t>O</w:t>
            </w:r>
          </w:p>
        </w:tc>
        <w:tc>
          <w:tcPr>
            <w:tcW w:w="2268" w:type="dxa"/>
          </w:tcPr>
          <w:p w14:paraId="592B1E88" w14:textId="77777777" w:rsidR="000D7D3D" w:rsidRPr="00635993" w:rsidRDefault="000D7D3D" w:rsidP="00635993">
            <w:pPr>
              <w:rPr>
                <w:sz w:val="20"/>
              </w:rPr>
            </w:pPr>
            <w:r w:rsidRPr="00635993">
              <w:rPr>
                <w:sz w:val="20"/>
              </w:rPr>
              <w:t xml:space="preserve">0.037 </w:t>
            </w:r>
            <w:r w:rsidRPr="00635993">
              <w:rPr>
                <w:sz w:val="20"/>
                <w:lang w:eastAsia="en-GB"/>
              </w:rPr>
              <w:t>mM</w:t>
            </w:r>
          </w:p>
        </w:tc>
        <w:tc>
          <w:tcPr>
            <w:tcW w:w="2916" w:type="dxa"/>
          </w:tcPr>
          <w:p w14:paraId="663F1A33" w14:textId="77777777" w:rsidR="000D7D3D" w:rsidRPr="00635993" w:rsidRDefault="000D7D3D" w:rsidP="00635993">
            <w:pPr>
              <w:rPr>
                <w:sz w:val="20"/>
              </w:rPr>
            </w:pPr>
            <w:r w:rsidRPr="00635993">
              <w:rPr>
                <w:sz w:val="20"/>
              </w:rPr>
              <w:t xml:space="preserve">0.037 </w:t>
            </w:r>
            <w:r w:rsidRPr="00635993">
              <w:rPr>
                <w:sz w:val="20"/>
                <w:lang w:eastAsia="en-GB"/>
              </w:rPr>
              <w:t>mM</w:t>
            </w:r>
          </w:p>
        </w:tc>
        <w:tc>
          <w:tcPr>
            <w:tcW w:w="2333" w:type="dxa"/>
          </w:tcPr>
          <w:p w14:paraId="1DDD0BB8" w14:textId="77777777" w:rsidR="000D7D3D" w:rsidRPr="00635993" w:rsidRDefault="000D7D3D" w:rsidP="00635993">
            <w:pPr>
              <w:rPr>
                <w:sz w:val="20"/>
              </w:rPr>
            </w:pPr>
            <w:r w:rsidRPr="00635993">
              <w:rPr>
                <w:sz w:val="20"/>
                <w:lang w:eastAsia="en-GB"/>
              </w:rPr>
              <w:t>Sigma</w:t>
            </w:r>
          </w:p>
        </w:tc>
      </w:tr>
      <w:tr w:rsidR="000D7D3D" w:rsidRPr="009004F9" w14:paraId="5F1ED9CD" w14:textId="77777777" w:rsidTr="002D60C9">
        <w:trPr>
          <w:trHeight w:val="414"/>
        </w:trPr>
        <w:tc>
          <w:tcPr>
            <w:tcW w:w="1843" w:type="dxa"/>
          </w:tcPr>
          <w:p w14:paraId="4C49A6C5" w14:textId="77777777" w:rsidR="000D7D3D" w:rsidRPr="00635993" w:rsidRDefault="000D7D3D" w:rsidP="003F7054">
            <w:pPr>
              <w:rPr>
                <w:rFonts w:eastAsia="Times New Roman"/>
                <w:sz w:val="20"/>
                <w:lang w:eastAsia="en-GB"/>
              </w:rPr>
            </w:pPr>
            <w:r w:rsidRPr="00635993">
              <w:rPr>
                <w:rFonts w:eastAsia="Times New Roman"/>
                <w:sz w:val="20"/>
                <w:lang w:eastAsia="en-GB"/>
              </w:rPr>
              <w:t>B1</w:t>
            </w:r>
            <w:r w:rsidRPr="00635993">
              <w:rPr>
                <w:sz w:val="20"/>
              </w:rPr>
              <w:t xml:space="preserve"> (thiamine HCl)</w:t>
            </w:r>
          </w:p>
        </w:tc>
        <w:tc>
          <w:tcPr>
            <w:tcW w:w="2268" w:type="dxa"/>
          </w:tcPr>
          <w:p w14:paraId="408FB772" w14:textId="77777777" w:rsidR="000D7D3D" w:rsidRPr="00635993" w:rsidRDefault="000D7D3D" w:rsidP="00635993">
            <w:pPr>
              <w:rPr>
                <w:sz w:val="20"/>
                <w:lang w:eastAsia="en-GB"/>
              </w:rPr>
            </w:pPr>
            <w:r w:rsidRPr="00635993">
              <w:rPr>
                <w:sz w:val="20"/>
              </w:rPr>
              <w:t xml:space="preserve">0.3 </w:t>
            </w:r>
            <w:r w:rsidRPr="00635993">
              <w:rPr>
                <w:sz w:val="20"/>
                <w:lang w:val="el-GR"/>
              </w:rPr>
              <w:t>μ</w:t>
            </w:r>
            <w:r w:rsidRPr="00635993">
              <w:rPr>
                <w:sz w:val="20"/>
              </w:rPr>
              <w:t>M</w:t>
            </w:r>
          </w:p>
        </w:tc>
        <w:tc>
          <w:tcPr>
            <w:tcW w:w="2916" w:type="dxa"/>
          </w:tcPr>
          <w:p w14:paraId="647D6F1F" w14:textId="77777777" w:rsidR="000D7D3D" w:rsidRPr="00635993" w:rsidRDefault="000D7D3D" w:rsidP="00635993">
            <w:pPr>
              <w:rPr>
                <w:sz w:val="20"/>
                <w:lang w:eastAsia="en-GB"/>
              </w:rPr>
            </w:pPr>
            <w:r w:rsidRPr="00635993">
              <w:rPr>
                <w:sz w:val="20"/>
              </w:rPr>
              <w:t xml:space="preserve">0.3 </w:t>
            </w:r>
            <w:r w:rsidRPr="00635993">
              <w:rPr>
                <w:sz w:val="20"/>
                <w:lang w:val="el-GR"/>
              </w:rPr>
              <w:t>μ</w:t>
            </w:r>
            <w:r w:rsidRPr="00635993">
              <w:rPr>
                <w:sz w:val="20"/>
              </w:rPr>
              <w:t>M</w:t>
            </w:r>
          </w:p>
        </w:tc>
        <w:tc>
          <w:tcPr>
            <w:tcW w:w="2333" w:type="dxa"/>
          </w:tcPr>
          <w:p w14:paraId="3B1CE8E1" w14:textId="77777777" w:rsidR="000D7D3D" w:rsidRPr="00635993" w:rsidRDefault="000D7D3D" w:rsidP="00635993">
            <w:pPr>
              <w:rPr>
                <w:sz w:val="20"/>
                <w:lang w:eastAsia="en-GB"/>
              </w:rPr>
            </w:pPr>
            <w:r w:rsidRPr="00635993">
              <w:rPr>
                <w:sz w:val="20"/>
                <w:lang w:eastAsia="en-GB"/>
              </w:rPr>
              <w:t>Sigma</w:t>
            </w:r>
          </w:p>
        </w:tc>
      </w:tr>
      <w:tr w:rsidR="000D7D3D" w:rsidRPr="009004F9" w14:paraId="647EDBBD" w14:textId="77777777" w:rsidTr="002D60C9">
        <w:trPr>
          <w:trHeight w:val="414"/>
        </w:trPr>
        <w:tc>
          <w:tcPr>
            <w:tcW w:w="1843" w:type="dxa"/>
          </w:tcPr>
          <w:p w14:paraId="3D96740D" w14:textId="77777777" w:rsidR="000D7D3D" w:rsidRPr="00635993" w:rsidRDefault="000D7D3D" w:rsidP="003F7054">
            <w:pPr>
              <w:rPr>
                <w:sz w:val="20"/>
              </w:rPr>
            </w:pPr>
            <w:r w:rsidRPr="00635993">
              <w:rPr>
                <w:sz w:val="20"/>
                <w:lang w:eastAsia="en-GB"/>
              </w:rPr>
              <w:t>Glucose D+</w:t>
            </w:r>
          </w:p>
        </w:tc>
        <w:tc>
          <w:tcPr>
            <w:tcW w:w="2268" w:type="dxa"/>
          </w:tcPr>
          <w:p w14:paraId="4FEEE3C0" w14:textId="77777777" w:rsidR="000D7D3D" w:rsidRPr="00635993" w:rsidRDefault="000D7D3D" w:rsidP="00635993">
            <w:pPr>
              <w:rPr>
                <w:sz w:val="20"/>
              </w:rPr>
            </w:pPr>
            <w:r w:rsidRPr="00635993">
              <w:rPr>
                <w:sz w:val="20"/>
                <w:lang w:eastAsia="en-GB"/>
              </w:rPr>
              <w:t>55.5 mM</w:t>
            </w:r>
          </w:p>
        </w:tc>
        <w:tc>
          <w:tcPr>
            <w:tcW w:w="2916" w:type="dxa"/>
          </w:tcPr>
          <w:p w14:paraId="1AA40C1A" w14:textId="77777777" w:rsidR="000D7D3D" w:rsidRPr="00635993" w:rsidRDefault="000D7D3D" w:rsidP="00635993">
            <w:pPr>
              <w:rPr>
                <w:sz w:val="20"/>
              </w:rPr>
            </w:pPr>
            <w:r w:rsidRPr="00635993">
              <w:rPr>
                <w:sz w:val="20"/>
              </w:rPr>
              <w:t xml:space="preserve">16.65 </w:t>
            </w:r>
            <w:r w:rsidRPr="00635993">
              <w:rPr>
                <w:rFonts w:eastAsia="Times New Roman"/>
                <w:sz w:val="20"/>
                <w:lang w:eastAsia="en-GB"/>
              </w:rPr>
              <w:t>mM</w:t>
            </w:r>
          </w:p>
        </w:tc>
        <w:tc>
          <w:tcPr>
            <w:tcW w:w="2333" w:type="dxa"/>
          </w:tcPr>
          <w:p w14:paraId="227102A3" w14:textId="77777777" w:rsidR="000D7D3D" w:rsidRPr="00635993" w:rsidRDefault="000D7D3D" w:rsidP="00635993">
            <w:pPr>
              <w:rPr>
                <w:sz w:val="20"/>
              </w:rPr>
            </w:pPr>
            <w:r w:rsidRPr="00635993">
              <w:rPr>
                <w:sz w:val="20"/>
                <w:lang w:eastAsia="en-GB"/>
              </w:rPr>
              <w:t>VWR</w:t>
            </w:r>
          </w:p>
        </w:tc>
      </w:tr>
      <w:tr w:rsidR="000D7D3D" w:rsidRPr="009004F9" w14:paraId="08927974" w14:textId="77777777" w:rsidTr="002D60C9">
        <w:trPr>
          <w:trHeight w:val="414"/>
        </w:trPr>
        <w:tc>
          <w:tcPr>
            <w:tcW w:w="1843" w:type="dxa"/>
          </w:tcPr>
          <w:p w14:paraId="71C0C829" w14:textId="77777777" w:rsidR="000D7D3D" w:rsidRPr="00635993" w:rsidRDefault="000D7D3D" w:rsidP="003F7054">
            <w:pPr>
              <w:rPr>
                <w:sz w:val="20"/>
                <w:lang w:eastAsia="en-GB"/>
              </w:rPr>
            </w:pPr>
            <w:r w:rsidRPr="00635993">
              <w:rPr>
                <w:sz w:val="20"/>
                <w:lang w:eastAsia="en-GB"/>
              </w:rPr>
              <w:t>Maltose D+</w:t>
            </w:r>
          </w:p>
        </w:tc>
        <w:tc>
          <w:tcPr>
            <w:tcW w:w="2268" w:type="dxa"/>
          </w:tcPr>
          <w:p w14:paraId="0BCBB952" w14:textId="77777777" w:rsidR="000D7D3D" w:rsidRPr="00635993" w:rsidRDefault="000D7D3D" w:rsidP="00635993">
            <w:pPr>
              <w:rPr>
                <w:sz w:val="20"/>
              </w:rPr>
            </w:pPr>
            <w:r w:rsidRPr="00635993">
              <w:rPr>
                <w:sz w:val="20"/>
              </w:rPr>
              <w:t>8.32 mM</w:t>
            </w:r>
          </w:p>
        </w:tc>
        <w:tc>
          <w:tcPr>
            <w:tcW w:w="2916" w:type="dxa"/>
          </w:tcPr>
          <w:p w14:paraId="21912BF9" w14:textId="77777777" w:rsidR="000D7D3D" w:rsidRPr="00635993" w:rsidRDefault="000D7D3D" w:rsidP="00635993">
            <w:pPr>
              <w:rPr>
                <w:sz w:val="20"/>
              </w:rPr>
            </w:pPr>
            <w:r w:rsidRPr="00635993">
              <w:rPr>
                <w:sz w:val="20"/>
              </w:rPr>
              <w:t>-</w:t>
            </w:r>
          </w:p>
        </w:tc>
        <w:tc>
          <w:tcPr>
            <w:tcW w:w="2333" w:type="dxa"/>
          </w:tcPr>
          <w:p w14:paraId="5950B73D" w14:textId="77777777" w:rsidR="000D7D3D" w:rsidRPr="00635993" w:rsidRDefault="000D7D3D" w:rsidP="00635993">
            <w:pPr>
              <w:rPr>
                <w:sz w:val="20"/>
              </w:rPr>
            </w:pPr>
            <w:r w:rsidRPr="00635993">
              <w:rPr>
                <w:sz w:val="20"/>
                <w:lang w:eastAsia="en-GB"/>
              </w:rPr>
              <w:t>Sigma</w:t>
            </w:r>
          </w:p>
        </w:tc>
      </w:tr>
      <w:tr w:rsidR="000D7D3D" w:rsidRPr="009004F9" w14:paraId="3C7DF556" w14:textId="77777777" w:rsidTr="002D60C9">
        <w:trPr>
          <w:trHeight w:val="414"/>
        </w:trPr>
        <w:tc>
          <w:tcPr>
            <w:tcW w:w="1843" w:type="dxa"/>
          </w:tcPr>
          <w:p w14:paraId="764A05E5" w14:textId="77777777" w:rsidR="000D7D3D" w:rsidRPr="00635993" w:rsidRDefault="000D7D3D" w:rsidP="003F7054">
            <w:pPr>
              <w:rPr>
                <w:sz w:val="20"/>
                <w:lang w:eastAsia="en-GB"/>
              </w:rPr>
            </w:pPr>
            <w:r w:rsidRPr="00635993">
              <w:rPr>
                <w:sz w:val="20"/>
                <w:lang w:eastAsia="en-GB"/>
              </w:rPr>
              <w:t>Activated charcoal</w:t>
            </w:r>
          </w:p>
        </w:tc>
        <w:tc>
          <w:tcPr>
            <w:tcW w:w="2268" w:type="dxa"/>
          </w:tcPr>
          <w:p w14:paraId="10D10939" w14:textId="77777777" w:rsidR="000D7D3D" w:rsidRPr="00635993" w:rsidRDefault="000D7D3D" w:rsidP="00635993">
            <w:pPr>
              <w:rPr>
                <w:sz w:val="20"/>
              </w:rPr>
            </w:pPr>
            <w:r w:rsidRPr="00635993">
              <w:rPr>
                <w:sz w:val="20"/>
              </w:rPr>
              <w:t>0.3% w/v</w:t>
            </w:r>
          </w:p>
        </w:tc>
        <w:tc>
          <w:tcPr>
            <w:tcW w:w="2916" w:type="dxa"/>
          </w:tcPr>
          <w:p w14:paraId="3E5B79E4" w14:textId="77777777" w:rsidR="000D7D3D" w:rsidRPr="00635993" w:rsidRDefault="000D7D3D" w:rsidP="00635993">
            <w:pPr>
              <w:rPr>
                <w:sz w:val="20"/>
              </w:rPr>
            </w:pPr>
            <w:r w:rsidRPr="00635993">
              <w:rPr>
                <w:sz w:val="20"/>
              </w:rPr>
              <w:t>-</w:t>
            </w:r>
          </w:p>
        </w:tc>
        <w:tc>
          <w:tcPr>
            <w:tcW w:w="2333" w:type="dxa"/>
          </w:tcPr>
          <w:p w14:paraId="566003C8" w14:textId="77777777" w:rsidR="000D7D3D" w:rsidRPr="00635993" w:rsidRDefault="000D7D3D" w:rsidP="00635993">
            <w:pPr>
              <w:rPr>
                <w:sz w:val="20"/>
              </w:rPr>
            </w:pPr>
            <w:r w:rsidRPr="00635993">
              <w:rPr>
                <w:sz w:val="20"/>
              </w:rPr>
              <w:t>Sigma</w:t>
            </w:r>
          </w:p>
        </w:tc>
      </w:tr>
      <w:tr w:rsidR="000D7D3D" w:rsidRPr="009004F9" w14:paraId="77D5AECB" w14:textId="77777777" w:rsidTr="002D60C9">
        <w:trPr>
          <w:trHeight w:val="414"/>
        </w:trPr>
        <w:tc>
          <w:tcPr>
            <w:tcW w:w="1843" w:type="dxa"/>
            <w:tcBorders>
              <w:bottom w:val="single" w:sz="4" w:space="0" w:color="auto"/>
            </w:tcBorders>
          </w:tcPr>
          <w:p w14:paraId="4739AA60" w14:textId="77777777" w:rsidR="000D7D3D" w:rsidRPr="00635993" w:rsidRDefault="000D7D3D" w:rsidP="003F7054">
            <w:pPr>
              <w:rPr>
                <w:rFonts w:eastAsia="Times New Roman"/>
                <w:sz w:val="20"/>
                <w:lang w:eastAsia="en-GB"/>
              </w:rPr>
            </w:pPr>
            <w:r w:rsidRPr="00635993">
              <w:rPr>
                <w:rFonts w:eastAsia="Times New Roman"/>
                <w:sz w:val="20"/>
                <w:lang w:eastAsia="en-GB"/>
              </w:rPr>
              <w:t xml:space="preserve">Agar </w:t>
            </w:r>
            <w:r w:rsidRPr="00635993">
              <w:rPr>
                <w:sz w:val="20"/>
              </w:rPr>
              <w:t>(Nobel)</w:t>
            </w:r>
          </w:p>
        </w:tc>
        <w:tc>
          <w:tcPr>
            <w:tcW w:w="2268" w:type="dxa"/>
            <w:tcBorders>
              <w:bottom w:val="single" w:sz="4" w:space="0" w:color="auto"/>
            </w:tcBorders>
          </w:tcPr>
          <w:p w14:paraId="0A49FF51" w14:textId="77777777" w:rsidR="000D7D3D" w:rsidRPr="00635993" w:rsidRDefault="000D7D3D" w:rsidP="00635993">
            <w:pPr>
              <w:rPr>
                <w:sz w:val="20"/>
              </w:rPr>
            </w:pPr>
            <w:r w:rsidRPr="00635993">
              <w:rPr>
                <w:sz w:val="20"/>
              </w:rPr>
              <w:t>1.5% w/v</w:t>
            </w:r>
          </w:p>
        </w:tc>
        <w:tc>
          <w:tcPr>
            <w:tcW w:w="2916" w:type="dxa"/>
            <w:tcBorders>
              <w:bottom w:val="single" w:sz="4" w:space="0" w:color="auto"/>
            </w:tcBorders>
          </w:tcPr>
          <w:p w14:paraId="53D4831E" w14:textId="77777777" w:rsidR="000D7D3D" w:rsidRPr="00635993" w:rsidRDefault="000D7D3D" w:rsidP="00635993">
            <w:pPr>
              <w:rPr>
                <w:sz w:val="20"/>
              </w:rPr>
            </w:pPr>
            <w:r w:rsidRPr="00635993">
              <w:rPr>
                <w:sz w:val="20"/>
              </w:rPr>
              <w:t>1.5% w/v</w:t>
            </w:r>
          </w:p>
        </w:tc>
        <w:tc>
          <w:tcPr>
            <w:tcW w:w="2333" w:type="dxa"/>
            <w:tcBorders>
              <w:bottom w:val="single" w:sz="4" w:space="0" w:color="auto"/>
            </w:tcBorders>
          </w:tcPr>
          <w:p w14:paraId="1AB6F4AF" w14:textId="77777777" w:rsidR="000D7D3D" w:rsidRPr="00635993" w:rsidRDefault="000D7D3D" w:rsidP="00635993">
            <w:pPr>
              <w:rPr>
                <w:sz w:val="20"/>
              </w:rPr>
            </w:pPr>
            <w:r w:rsidRPr="00635993">
              <w:rPr>
                <w:sz w:val="20"/>
              </w:rPr>
              <w:t>Difco</w:t>
            </w:r>
          </w:p>
        </w:tc>
      </w:tr>
    </w:tbl>
    <w:p w14:paraId="5B9F9E0D" w14:textId="77777777" w:rsidR="000D7D3D" w:rsidRPr="00635993" w:rsidRDefault="000D7D3D" w:rsidP="003F7054">
      <w:pPr>
        <w:rPr>
          <w:rFonts w:eastAsia="CECEH G+ MTSYN" w:cs="Arial"/>
          <w:sz w:val="22"/>
        </w:rPr>
      </w:pPr>
      <w:r w:rsidRPr="00635993">
        <w:rPr>
          <w:sz w:val="22"/>
        </w:rPr>
        <w:t>The concentrations are given as final concentrations. The total volume of the media was brought to 1 L with UHP water. The pH of the media was adjusted to 5.2 for the M-MMN</w:t>
      </w:r>
      <w:r w:rsidRPr="00635993">
        <w:rPr>
          <w:sz w:val="22"/>
          <w:vertAlign w:val="subscript"/>
        </w:rPr>
        <w:t>NS</w:t>
      </w:r>
      <w:r w:rsidRPr="00635993">
        <w:rPr>
          <w:sz w:val="22"/>
        </w:rPr>
        <w:t xml:space="preserve"> and to 5.5-5.7 for the M-MMN</w:t>
      </w:r>
      <w:r w:rsidRPr="00635993">
        <w:rPr>
          <w:sz w:val="22"/>
          <w:vertAlign w:val="subscript"/>
        </w:rPr>
        <w:t>S</w:t>
      </w:r>
      <w:r w:rsidRPr="00635993">
        <w:rPr>
          <w:sz w:val="22"/>
        </w:rPr>
        <w:t xml:space="preserve"> with 10% HCl. The media were autoclaved at 15 psi for 15 minutes at 120</w:t>
      </w:r>
      <w:r w:rsidRPr="00635993">
        <w:rPr>
          <w:rFonts w:cs="Arial"/>
          <w:sz w:val="22"/>
        </w:rPr>
        <w:t>°</w:t>
      </w:r>
      <w:r w:rsidRPr="00635993">
        <w:rPr>
          <w:sz w:val="22"/>
        </w:rPr>
        <w:t xml:space="preserve">C. </w:t>
      </w:r>
      <w:r w:rsidRPr="00635993">
        <w:rPr>
          <w:rFonts w:cs="Arial"/>
          <w:sz w:val="22"/>
        </w:rPr>
        <w:t xml:space="preserve">Stock solutions of 37 mM </w:t>
      </w:r>
      <w:r w:rsidRPr="00635993">
        <w:rPr>
          <w:rFonts w:eastAsia="Times New Roman" w:cs="Arial"/>
          <w:sz w:val="22"/>
          <w:lang w:eastAsia="en-GB"/>
        </w:rPr>
        <w:t>FeCl</w:t>
      </w:r>
      <w:r w:rsidRPr="00635993">
        <w:rPr>
          <w:rFonts w:eastAsia="Times New Roman" w:cs="Arial"/>
          <w:sz w:val="22"/>
          <w:vertAlign w:val="subscript"/>
          <w:lang w:eastAsia="en-GB"/>
        </w:rPr>
        <w:t>3</w:t>
      </w:r>
      <w:r w:rsidRPr="00635993">
        <w:rPr>
          <w:rFonts w:eastAsia="Times New Roman" w:cs="Arial"/>
          <w:sz w:val="22"/>
        </w:rPr>
        <w:t>*6H</w:t>
      </w:r>
      <w:r w:rsidRPr="00635993">
        <w:rPr>
          <w:rFonts w:eastAsia="Times New Roman" w:cs="Arial"/>
          <w:sz w:val="22"/>
          <w:vertAlign w:val="subscript"/>
        </w:rPr>
        <w:t>2</w:t>
      </w:r>
      <w:r w:rsidRPr="00635993">
        <w:rPr>
          <w:rFonts w:eastAsia="Times New Roman" w:cs="Arial"/>
          <w:sz w:val="22"/>
        </w:rPr>
        <w:t>O</w:t>
      </w:r>
      <w:r w:rsidRPr="00635993">
        <w:rPr>
          <w:rFonts w:cs="Arial"/>
          <w:sz w:val="22"/>
        </w:rPr>
        <w:t xml:space="preserve"> and 3 mM B1 (thiamine HCl), which were filtered sterilized through a 0.22 μm filter (Millex), were added to the media to their final concentration when media temperature was </w:t>
      </w:r>
      <w:r w:rsidRPr="00635993">
        <w:rPr>
          <w:rFonts w:ascii="Cambria Math" w:eastAsia="CECEH G+ MTSYN" w:hAnsi="Cambria Math" w:cs="Cambria Math"/>
          <w:sz w:val="22"/>
        </w:rPr>
        <w:t>∼</w:t>
      </w:r>
      <w:r w:rsidRPr="00635993">
        <w:rPr>
          <w:rFonts w:eastAsia="CECEH G+ MTSYN" w:cs="Arial"/>
          <w:sz w:val="22"/>
        </w:rPr>
        <w:t>50°C.</w:t>
      </w:r>
    </w:p>
    <w:p w14:paraId="157F3FC1" w14:textId="77777777" w:rsidR="000D7D3D" w:rsidRPr="000D7D3D" w:rsidRDefault="000D7D3D" w:rsidP="003F7054">
      <w:r w:rsidRPr="000D7D3D">
        <w:br w:type="page"/>
      </w:r>
    </w:p>
    <w:p w14:paraId="4DBD7939" w14:textId="72356ED0" w:rsidR="000D7D3D" w:rsidRPr="00B46FB7" w:rsidRDefault="000D7D3D" w:rsidP="00635993">
      <w:pPr>
        <w:pStyle w:val="Heading2"/>
      </w:pPr>
      <w:bookmarkStart w:id="626" w:name="_Toc507604111"/>
      <w:bookmarkStart w:id="627" w:name="_Toc507604378"/>
      <w:bookmarkStart w:id="628" w:name="_Toc519017080"/>
      <w:bookmarkStart w:id="629" w:name="_Toc520837993"/>
      <w:r w:rsidRPr="000D7D3D">
        <w:lastRenderedPageBreak/>
        <w:t xml:space="preserve">Table 9. </w:t>
      </w:r>
      <w:r w:rsidRPr="00635993">
        <w:rPr>
          <w:b w:val="0"/>
        </w:rPr>
        <w:t xml:space="preserve">Characteristics of the putative </w:t>
      </w:r>
      <w:r w:rsidRPr="00635993">
        <w:rPr>
          <w:b w:val="0"/>
          <w:i/>
        </w:rPr>
        <w:t>P. involutus</w:t>
      </w:r>
      <w:r w:rsidRPr="00635993">
        <w:rPr>
          <w:b w:val="0"/>
        </w:rPr>
        <w:t xml:space="preserve"> </w:t>
      </w:r>
      <w:r w:rsidRPr="00635993">
        <w:rPr>
          <w:b w:val="0"/>
          <w:i/>
        </w:rPr>
        <w:t>ATCC 200175</w:t>
      </w:r>
      <w:r w:rsidRPr="00635993">
        <w:rPr>
          <w:b w:val="0"/>
        </w:rPr>
        <w:t xml:space="preserve"> weathering genes and their corresponding proteins based on the JGI database.</w:t>
      </w:r>
      <w:bookmarkEnd w:id="626"/>
      <w:bookmarkEnd w:id="627"/>
      <w:bookmarkEnd w:id="628"/>
      <w:bookmarkEnd w:id="629"/>
    </w:p>
    <w:tbl>
      <w:tblPr>
        <w:tblStyle w:val="TableGrid11"/>
        <w:tblW w:w="4942" w:type="pct"/>
        <w:tblLayout w:type="fixed"/>
        <w:tblLook w:val="04A0" w:firstRow="1" w:lastRow="0" w:firstColumn="1" w:lastColumn="0" w:noHBand="0" w:noVBand="1"/>
      </w:tblPr>
      <w:tblGrid>
        <w:gridCol w:w="1435"/>
        <w:gridCol w:w="970"/>
        <w:gridCol w:w="1275"/>
        <w:gridCol w:w="1105"/>
        <w:gridCol w:w="1163"/>
        <w:gridCol w:w="1712"/>
        <w:gridCol w:w="1582"/>
      </w:tblGrid>
      <w:tr w:rsidR="000D7D3D" w:rsidRPr="008F789F" w14:paraId="481F173B" w14:textId="77777777" w:rsidTr="002D60C9">
        <w:trPr>
          <w:trHeight w:val="983"/>
        </w:trPr>
        <w:tc>
          <w:tcPr>
            <w:tcW w:w="776" w:type="pct"/>
            <w:hideMark/>
          </w:tcPr>
          <w:p w14:paraId="78E05CB1" w14:textId="77777777" w:rsidR="000D7D3D" w:rsidRPr="00635993" w:rsidRDefault="000D7D3D" w:rsidP="00635993">
            <w:pPr>
              <w:rPr>
                <w:b/>
                <w:sz w:val="18"/>
                <w:lang w:eastAsia="en-GB"/>
              </w:rPr>
            </w:pPr>
            <w:r w:rsidRPr="00635993">
              <w:rPr>
                <w:b/>
                <w:sz w:val="18"/>
                <w:lang w:eastAsia="en-GB"/>
              </w:rPr>
              <w:t>Gene model name</w:t>
            </w:r>
          </w:p>
        </w:tc>
        <w:tc>
          <w:tcPr>
            <w:tcW w:w="525" w:type="pct"/>
            <w:hideMark/>
          </w:tcPr>
          <w:p w14:paraId="5250DC19" w14:textId="77777777" w:rsidR="000D7D3D" w:rsidRPr="00635993" w:rsidRDefault="000D7D3D" w:rsidP="00635993">
            <w:pPr>
              <w:rPr>
                <w:b/>
                <w:sz w:val="18"/>
                <w:lang w:eastAsia="en-GB"/>
              </w:rPr>
            </w:pPr>
            <w:r w:rsidRPr="00635993">
              <w:rPr>
                <w:b/>
                <w:sz w:val="18"/>
                <w:lang w:eastAsia="en-GB"/>
              </w:rPr>
              <w:t>Protein  id</w:t>
            </w:r>
          </w:p>
        </w:tc>
        <w:tc>
          <w:tcPr>
            <w:tcW w:w="690" w:type="pct"/>
            <w:hideMark/>
          </w:tcPr>
          <w:p w14:paraId="03189735" w14:textId="77777777" w:rsidR="000D7D3D" w:rsidRPr="00635993" w:rsidRDefault="000D7D3D" w:rsidP="003F7054">
            <w:pPr>
              <w:rPr>
                <w:b/>
                <w:sz w:val="18"/>
                <w:lang w:eastAsia="en-GB"/>
              </w:rPr>
            </w:pPr>
            <w:r w:rsidRPr="00635993">
              <w:rPr>
                <w:b/>
                <w:sz w:val="18"/>
                <w:lang w:eastAsia="en-GB"/>
              </w:rPr>
              <w:t>KOG Description</w:t>
            </w:r>
          </w:p>
        </w:tc>
        <w:tc>
          <w:tcPr>
            <w:tcW w:w="598" w:type="pct"/>
          </w:tcPr>
          <w:p w14:paraId="616D83D9" w14:textId="77777777" w:rsidR="000D7D3D" w:rsidRPr="00635993" w:rsidRDefault="000D7D3D" w:rsidP="007F746A">
            <w:pPr>
              <w:rPr>
                <w:b/>
                <w:sz w:val="18"/>
                <w:lang w:eastAsia="en-GB"/>
              </w:rPr>
            </w:pPr>
            <w:r w:rsidRPr="00635993">
              <w:rPr>
                <w:b/>
                <w:sz w:val="18"/>
                <w:lang w:eastAsia="en-GB"/>
              </w:rPr>
              <w:t>Gene name in this study</w:t>
            </w:r>
          </w:p>
        </w:tc>
        <w:tc>
          <w:tcPr>
            <w:tcW w:w="629" w:type="pct"/>
          </w:tcPr>
          <w:p w14:paraId="4168137F" w14:textId="77777777" w:rsidR="000D7D3D" w:rsidRPr="00635993" w:rsidRDefault="000D7D3D" w:rsidP="00FB36B8">
            <w:pPr>
              <w:rPr>
                <w:b/>
                <w:sz w:val="18"/>
                <w:lang w:eastAsia="en-GB"/>
              </w:rPr>
            </w:pPr>
            <w:r w:rsidRPr="00635993">
              <w:rPr>
                <w:b/>
                <w:sz w:val="18"/>
                <w:lang w:eastAsia="en-GB"/>
              </w:rPr>
              <w:t>Number of exons</w:t>
            </w:r>
          </w:p>
        </w:tc>
        <w:tc>
          <w:tcPr>
            <w:tcW w:w="926" w:type="pct"/>
          </w:tcPr>
          <w:p w14:paraId="50C0BCB0" w14:textId="77777777" w:rsidR="000D7D3D" w:rsidRPr="00635993" w:rsidRDefault="000D7D3D" w:rsidP="00635993">
            <w:pPr>
              <w:rPr>
                <w:b/>
                <w:sz w:val="18"/>
                <w:lang w:val="it-IT" w:eastAsia="en-GB"/>
              </w:rPr>
            </w:pPr>
            <w:r w:rsidRPr="00635993">
              <w:rPr>
                <w:b/>
                <w:sz w:val="18"/>
                <w:lang w:val="it-IT" w:eastAsia="en-GB"/>
              </w:rPr>
              <w:t>Theoretical (Av.)</w:t>
            </w:r>
          </w:p>
          <w:p w14:paraId="0D1385B4" w14:textId="77777777" w:rsidR="000D7D3D" w:rsidRPr="00635993" w:rsidRDefault="000D7D3D" w:rsidP="00635993">
            <w:pPr>
              <w:rPr>
                <w:b/>
                <w:sz w:val="18"/>
                <w:lang w:val="it-IT" w:eastAsia="en-GB"/>
              </w:rPr>
            </w:pPr>
            <w:r w:rsidRPr="00635993">
              <w:rPr>
                <w:b/>
                <w:sz w:val="18"/>
                <w:lang w:val="it-IT" w:eastAsia="en-GB"/>
              </w:rPr>
              <w:t>pI /Mw (Da)</w:t>
            </w:r>
          </w:p>
        </w:tc>
        <w:tc>
          <w:tcPr>
            <w:tcW w:w="856" w:type="pct"/>
          </w:tcPr>
          <w:p w14:paraId="40FD1518" w14:textId="77777777" w:rsidR="000D7D3D" w:rsidRPr="00635993" w:rsidRDefault="000D7D3D" w:rsidP="003F7054">
            <w:pPr>
              <w:rPr>
                <w:b/>
                <w:sz w:val="18"/>
                <w:lang w:eastAsia="en-GB"/>
              </w:rPr>
            </w:pPr>
            <w:r w:rsidRPr="00635993">
              <w:rPr>
                <w:b/>
                <w:sz w:val="18"/>
                <w:lang w:eastAsia="en-GB"/>
              </w:rPr>
              <w:t xml:space="preserve">Predicted subcellular localisation </w:t>
            </w:r>
          </w:p>
        </w:tc>
      </w:tr>
      <w:tr w:rsidR="000D7D3D" w:rsidRPr="008F789F" w14:paraId="60FADBAB" w14:textId="77777777" w:rsidTr="002D60C9">
        <w:trPr>
          <w:trHeight w:val="524"/>
        </w:trPr>
        <w:tc>
          <w:tcPr>
            <w:tcW w:w="776" w:type="pct"/>
          </w:tcPr>
          <w:p w14:paraId="6BCB0048" w14:textId="77777777" w:rsidR="000D7D3D" w:rsidRPr="00635993" w:rsidRDefault="000D7D3D" w:rsidP="003F7054">
            <w:pPr>
              <w:rPr>
                <w:rFonts w:eastAsia="Times New Roman" w:cs="Arial"/>
                <w:sz w:val="16"/>
                <w:szCs w:val="18"/>
                <w:lang w:eastAsia="en-GB"/>
              </w:rPr>
            </w:pPr>
            <w:r w:rsidRPr="00635993">
              <w:rPr>
                <w:sz w:val="16"/>
              </w:rPr>
              <w:t>fgenesh1_kg.19_#_17_#_isotig00268</w:t>
            </w:r>
          </w:p>
        </w:tc>
        <w:tc>
          <w:tcPr>
            <w:tcW w:w="525" w:type="pct"/>
          </w:tcPr>
          <w:p w14:paraId="65D6BFCB" w14:textId="77777777" w:rsidR="000D7D3D" w:rsidRPr="00635993" w:rsidRDefault="000D7D3D" w:rsidP="00635993">
            <w:pPr>
              <w:rPr>
                <w:rFonts w:eastAsia="Times New Roman"/>
                <w:sz w:val="16"/>
                <w:u w:val="single"/>
                <w:lang w:eastAsia="en-GB"/>
              </w:rPr>
            </w:pPr>
            <w:r w:rsidRPr="00635993">
              <w:rPr>
                <w:sz w:val="16"/>
              </w:rPr>
              <w:t>169584</w:t>
            </w:r>
          </w:p>
        </w:tc>
        <w:tc>
          <w:tcPr>
            <w:tcW w:w="690" w:type="pct"/>
          </w:tcPr>
          <w:p w14:paraId="7A88AF7A" w14:textId="77777777" w:rsidR="000D7D3D" w:rsidRPr="00635993" w:rsidRDefault="000D7D3D" w:rsidP="00635993">
            <w:pPr>
              <w:rPr>
                <w:sz w:val="16"/>
                <w:lang w:eastAsia="en-GB"/>
              </w:rPr>
            </w:pPr>
            <w:r w:rsidRPr="00635993">
              <w:rPr>
                <w:sz w:val="16"/>
                <w:lang w:eastAsia="en-GB"/>
              </w:rPr>
              <w:t>H</w:t>
            </w:r>
            <w:r w:rsidRPr="00635993">
              <w:rPr>
                <w:sz w:val="16"/>
                <w:vertAlign w:val="superscript"/>
                <w:lang w:eastAsia="en-GB"/>
              </w:rPr>
              <w:t>+</w:t>
            </w:r>
            <w:r w:rsidRPr="00635993">
              <w:rPr>
                <w:sz w:val="16"/>
                <w:lang w:eastAsia="en-GB"/>
              </w:rPr>
              <w:t>- ATPase</w:t>
            </w:r>
          </w:p>
        </w:tc>
        <w:tc>
          <w:tcPr>
            <w:tcW w:w="598" w:type="pct"/>
          </w:tcPr>
          <w:p w14:paraId="68C0C844" w14:textId="77777777" w:rsidR="000D7D3D" w:rsidRPr="00635993" w:rsidRDefault="000D7D3D" w:rsidP="003F7054">
            <w:pPr>
              <w:rPr>
                <w:sz w:val="16"/>
                <w:lang w:eastAsia="en-GB"/>
              </w:rPr>
            </w:pPr>
            <w:r w:rsidRPr="00635993">
              <w:rPr>
                <w:sz w:val="16"/>
                <w:lang w:eastAsia="en-GB"/>
              </w:rPr>
              <w:t>PiPMA</w:t>
            </w:r>
          </w:p>
        </w:tc>
        <w:tc>
          <w:tcPr>
            <w:tcW w:w="629" w:type="pct"/>
          </w:tcPr>
          <w:p w14:paraId="46CFB6BD" w14:textId="77777777" w:rsidR="000D7D3D" w:rsidRPr="00635993" w:rsidRDefault="000D7D3D" w:rsidP="007F746A">
            <w:pPr>
              <w:rPr>
                <w:sz w:val="16"/>
                <w:lang w:eastAsia="en-GB"/>
              </w:rPr>
            </w:pPr>
            <w:r w:rsidRPr="00635993">
              <w:rPr>
                <w:sz w:val="16"/>
                <w:lang w:eastAsia="en-GB"/>
              </w:rPr>
              <w:t>7</w:t>
            </w:r>
          </w:p>
        </w:tc>
        <w:tc>
          <w:tcPr>
            <w:tcW w:w="926" w:type="pct"/>
          </w:tcPr>
          <w:p w14:paraId="29A248ED" w14:textId="77777777" w:rsidR="000D7D3D" w:rsidRPr="00635993" w:rsidRDefault="000D7D3D" w:rsidP="00FB36B8">
            <w:pPr>
              <w:rPr>
                <w:sz w:val="16"/>
                <w:lang w:eastAsia="en-GB"/>
              </w:rPr>
            </w:pPr>
            <w:r w:rsidRPr="00635993">
              <w:rPr>
                <w:sz w:val="16"/>
                <w:lang w:eastAsia="en-GB"/>
              </w:rPr>
              <w:t>5.43 / 108933.12</w:t>
            </w:r>
          </w:p>
        </w:tc>
        <w:tc>
          <w:tcPr>
            <w:tcW w:w="856" w:type="pct"/>
          </w:tcPr>
          <w:p w14:paraId="51D484E3" w14:textId="77777777" w:rsidR="000D7D3D" w:rsidRPr="00635993" w:rsidRDefault="000D7D3D" w:rsidP="007C3C15">
            <w:pPr>
              <w:rPr>
                <w:sz w:val="16"/>
                <w:lang w:eastAsia="en-GB"/>
              </w:rPr>
            </w:pPr>
            <w:r w:rsidRPr="00635993">
              <w:rPr>
                <w:sz w:val="16"/>
                <w:lang w:eastAsia="en-GB"/>
              </w:rPr>
              <w:t>Plasma membrane</w:t>
            </w:r>
          </w:p>
        </w:tc>
      </w:tr>
      <w:tr w:rsidR="000D7D3D" w:rsidRPr="008F789F" w14:paraId="0858C373" w14:textId="77777777" w:rsidTr="002D60C9">
        <w:trPr>
          <w:trHeight w:val="524"/>
        </w:trPr>
        <w:tc>
          <w:tcPr>
            <w:tcW w:w="776" w:type="pct"/>
          </w:tcPr>
          <w:p w14:paraId="12CA1BD8" w14:textId="77777777" w:rsidR="000D7D3D" w:rsidRPr="00635993" w:rsidRDefault="000D7D3D" w:rsidP="003F7054">
            <w:pPr>
              <w:rPr>
                <w:sz w:val="16"/>
                <w:lang w:eastAsia="en-GB"/>
              </w:rPr>
            </w:pPr>
            <w:r w:rsidRPr="00635993">
              <w:rPr>
                <w:sz w:val="16"/>
                <w:lang w:eastAsia="en-GB"/>
              </w:rPr>
              <w:t>fgenesh1_kg.13_#_50_#_isotig08800</w:t>
            </w:r>
          </w:p>
        </w:tc>
        <w:tc>
          <w:tcPr>
            <w:tcW w:w="525" w:type="pct"/>
          </w:tcPr>
          <w:p w14:paraId="6E9AF672" w14:textId="77777777" w:rsidR="000D7D3D" w:rsidRPr="00635993" w:rsidRDefault="000D7D3D" w:rsidP="00635993">
            <w:pPr>
              <w:rPr>
                <w:rFonts w:eastAsia="Times New Roman"/>
                <w:sz w:val="16"/>
                <w:szCs w:val="18"/>
                <w:u w:val="single"/>
                <w:lang w:eastAsia="en-GB"/>
              </w:rPr>
            </w:pPr>
            <w:r w:rsidRPr="00635993">
              <w:rPr>
                <w:sz w:val="16"/>
              </w:rPr>
              <w:t>168819</w:t>
            </w:r>
          </w:p>
        </w:tc>
        <w:tc>
          <w:tcPr>
            <w:tcW w:w="690" w:type="pct"/>
          </w:tcPr>
          <w:p w14:paraId="49ED7078" w14:textId="77777777" w:rsidR="000D7D3D" w:rsidRPr="00635993" w:rsidRDefault="000D7D3D" w:rsidP="003F7054">
            <w:pPr>
              <w:rPr>
                <w:sz w:val="16"/>
                <w:lang w:eastAsia="en-GB"/>
              </w:rPr>
            </w:pPr>
            <w:r w:rsidRPr="00635993">
              <w:rPr>
                <w:sz w:val="16"/>
                <w:lang w:eastAsia="en-GB"/>
              </w:rPr>
              <w:t>Unknown</w:t>
            </w:r>
          </w:p>
        </w:tc>
        <w:tc>
          <w:tcPr>
            <w:tcW w:w="598" w:type="pct"/>
          </w:tcPr>
          <w:p w14:paraId="35008B94" w14:textId="77777777" w:rsidR="000D7D3D" w:rsidRPr="00635993" w:rsidRDefault="000D7D3D" w:rsidP="007F746A">
            <w:pPr>
              <w:rPr>
                <w:rFonts w:eastAsia="Times New Roman"/>
                <w:sz w:val="16"/>
                <w:szCs w:val="18"/>
                <w:lang w:eastAsia="en-GB"/>
              </w:rPr>
            </w:pPr>
            <w:r w:rsidRPr="00635993">
              <w:rPr>
                <w:sz w:val="16"/>
                <w:lang w:eastAsia="en-GB"/>
              </w:rPr>
              <w:t>PiBEST</w:t>
            </w:r>
          </w:p>
        </w:tc>
        <w:tc>
          <w:tcPr>
            <w:tcW w:w="629" w:type="pct"/>
          </w:tcPr>
          <w:p w14:paraId="70F77A64" w14:textId="77777777" w:rsidR="000D7D3D" w:rsidRPr="00635993" w:rsidRDefault="000D7D3D" w:rsidP="00FB36B8">
            <w:pPr>
              <w:rPr>
                <w:sz w:val="16"/>
                <w:lang w:eastAsia="en-GB"/>
              </w:rPr>
            </w:pPr>
            <w:r w:rsidRPr="00635993">
              <w:rPr>
                <w:sz w:val="16"/>
                <w:lang w:eastAsia="en-GB"/>
              </w:rPr>
              <w:t>12</w:t>
            </w:r>
          </w:p>
        </w:tc>
        <w:tc>
          <w:tcPr>
            <w:tcW w:w="926" w:type="pct"/>
          </w:tcPr>
          <w:p w14:paraId="611F2F0F" w14:textId="77777777" w:rsidR="000D7D3D" w:rsidRPr="00635993" w:rsidRDefault="000D7D3D" w:rsidP="007C3C15">
            <w:pPr>
              <w:rPr>
                <w:sz w:val="16"/>
                <w:lang w:eastAsia="en-GB"/>
              </w:rPr>
            </w:pPr>
            <w:r w:rsidRPr="00635993">
              <w:rPr>
                <w:sz w:val="16"/>
                <w:lang w:eastAsia="en-GB"/>
              </w:rPr>
              <w:t>8.59 / 57752.65</w:t>
            </w:r>
          </w:p>
        </w:tc>
        <w:tc>
          <w:tcPr>
            <w:tcW w:w="856" w:type="pct"/>
          </w:tcPr>
          <w:p w14:paraId="045D3F79" w14:textId="77777777" w:rsidR="000D7D3D" w:rsidRPr="00635993" w:rsidRDefault="000D7D3D" w:rsidP="007C3C15">
            <w:pPr>
              <w:rPr>
                <w:sz w:val="16"/>
                <w:lang w:eastAsia="en-GB"/>
              </w:rPr>
            </w:pPr>
            <w:r w:rsidRPr="00635993">
              <w:rPr>
                <w:sz w:val="16"/>
                <w:lang w:eastAsia="en-GB"/>
              </w:rPr>
              <w:t>Plasma membrane</w:t>
            </w:r>
          </w:p>
        </w:tc>
      </w:tr>
      <w:tr w:rsidR="000D7D3D" w:rsidRPr="008F789F" w14:paraId="2050862A" w14:textId="77777777" w:rsidTr="002D60C9">
        <w:trPr>
          <w:trHeight w:val="524"/>
        </w:trPr>
        <w:tc>
          <w:tcPr>
            <w:tcW w:w="776" w:type="pct"/>
          </w:tcPr>
          <w:p w14:paraId="504ED8FC" w14:textId="77777777" w:rsidR="000D7D3D" w:rsidRPr="00635993" w:rsidRDefault="000D7D3D" w:rsidP="003F7054">
            <w:pPr>
              <w:rPr>
                <w:sz w:val="16"/>
                <w:lang w:eastAsia="en-GB"/>
              </w:rPr>
            </w:pPr>
            <w:r w:rsidRPr="00635993">
              <w:rPr>
                <w:sz w:val="16"/>
                <w:lang w:eastAsia="en-GB"/>
              </w:rPr>
              <w:t>estExt_fgenesh1_pg.C_220011</w:t>
            </w:r>
          </w:p>
        </w:tc>
        <w:tc>
          <w:tcPr>
            <w:tcW w:w="525" w:type="pct"/>
          </w:tcPr>
          <w:p w14:paraId="7BE71CF3" w14:textId="77777777" w:rsidR="000D7D3D" w:rsidRPr="00635993" w:rsidRDefault="000D7D3D" w:rsidP="00635993">
            <w:pPr>
              <w:rPr>
                <w:rFonts w:eastAsia="Times New Roman"/>
                <w:sz w:val="16"/>
                <w:szCs w:val="18"/>
                <w:u w:val="single"/>
                <w:lang w:eastAsia="en-GB"/>
              </w:rPr>
            </w:pPr>
            <w:r w:rsidRPr="00635993">
              <w:rPr>
                <w:sz w:val="16"/>
              </w:rPr>
              <w:t>181044</w:t>
            </w:r>
          </w:p>
        </w:tc>
        <w:tc>
          <w:tcPr>
            <w:tcW w:w="690" w:type="pct"/>
          </w:tcPr>
          <w:p w14:paraId="6C4E9B93" w14:textId="77777777" w:rsidR="000D7D3D" w:rsidRPr="00635993" w:rsidRDefault="000D7D3D" w:rsidP="003F7054">
            <w:pPr>
              <w:rPr>
                <w:sz w:val="16"/>
                <w:lang w:eastAsia="en-GB"/>
              </w:rPr>
            </w:pPr>
            <w:r w:rsidRPr="00635993">
              <w:rPr>
                <w:sz w:val="16"/>
                <w:lang w:eastAsia="en-GB"/>
              </w:rPr>
              <w:t>Predicted membrane protein</w:t>
            </w:r>
          </w:p>
        </w:tc>
        <w:tc>
          <w:tcPr>
            <w:tcW w:w="598" w:type="pct"/>
          </w:tcPr>
          <w:p w14:paraId="1EB335A3" w14:textId="77777777" w:rsidR="000D7D3D" w:rsidRPr="00635993" w:rsidRDefault="000D7D3D" w:rsidP="007F746A">
            <w:pPr>
              <w:rPr>
                <w:rFonts w:eastAsia="Times New Roman"/>
                <w:sz w:val="16"/>
                <w:szCs w:val="18"/>
                <w:lang w:eastAsia="en-GB"/>
              </w:rPr>
            </w:pPr>
            <w:r w:rsidRPr="00635993">
              <w:rPr>
                <w:sz w:val="16"/>
                <w:lang w:eastAsia="en-GB"/>
              </w:rPr>
              <w:t>PiOAR</w:t>
            </w:r>
          </w:p>
        </w:tc>
        <w:tc>
          <w:tcPr>
            <w:tcW w:w="629" w:type="pct"/>
          </w:tcPr>
          <w:p w14:paraId="5C1D82F5" w14:textId="77777777" w:rsidR="000D7D3D" w:rsidRPr="00635993" w:rsidRDefault="000D7D3D" w:rsidP="00FB36B8">
            <w:pPr>
              <w:rPr>
                <w:sz w:val="16"/>
                <w:lang w:eastAsia="en-GB"/>
              </w:rPr>
            </w:pPr>
            <w:r w:rsidRPr="00635993">
              <w:rPr>
                <w:sz w:val="16"/>
                <w:lang w:eastAsia="en-GB"/>
              </w:rPr>
              <w:t>3</w:t>
            </w:r>
          </w:p>
        </w:tc>
        <w:tc>
          <w:tcPr>
            <w:tcW w:w="926" w:type="pct"/>
          </w:tcPr>
          <w:p w14:paraId="7335DB8D" w14:textId="77777777" w:rsidR="000D7D3D" w:rsidRPr="00635993" w:rsidRDefault="000D7D3D" w:rsidP="007C3C15">
            <w:pPr>
              <w:rPr>
                <w:sz w:val="16"/>
                <w:lang w:eastAsia="en-GB"/>
              </w:rPr>
            </w:pPr>
            <w:r w:rsidRPr="00635993">
              <w:rPr>
                <w:sz w:val="16"/>
                <w:lang w:eastAsia="en-GB"/>
              </w:rPr>
              <w:t>4.70 / 35696.34</w:t>
            </w:r>
          </w:p>
        </w:tc>
        <w:tc>
          <w:tcPr>
            <w:tcW w:w="856" w:type="pct"/>
          </w:tcPr>
          <w:p w14:paraId="7434954C" w14:textId="77777777" w:rsidR="000D7D3D" w:rsidRPr="00635993" w:rsidRDefault="000D7D3D" w:rsidP="007C3C15">
            <w:pPr>
              <w:rPr>
                <w:sz w:val="16"/>
                <w:lang w:eastAsia="en-GB"/>
              </w:rPr>
            </w:pPr>
            <w:r w:rsidRPr="00635993">
              <w:rPr>
                <w:sz w:val="16"/>
                <w:lang w:eastAsia="en-GB"/>
              </w:rPr>
              <w:t>Plasma membrane</w:t>
            </w:r>
          </w:p>
        </w:tc>
      </w:tr>
    </w:tbl>
    <w:p w14:paraId="4C37AEFB" w14:textId="77777777" w:rsidR="000D7D3D" w:rsidRPr="000D7D3D" w:rsidRDefault="000D7D3D" w:rsidP="003F7054"/>
    <w:p w14:paraId="0F40B618" w14:textId="77777777" w:rsidR="000D7D3D" w:rsidRPr="000D7D3D" w:rsidRDefault="000D7D3D" w:rsidP="003F7054">
      <w:r w:rsidRPr="000D7D3D">
        <w:br w:type="page"/>
      </w:r>
    </w:p>
    <w:p w14:paraId="40966134" w14:textId="77777777" w:rsidR="000D7D3D" w:rsidRPr="00AF36E4" w:rsidRDefault="000D7D3D" w:rsidP="00AF36E4">
      <w:pPr>
        <w:pStyle w:val="Title"/>
      </w:pPr>
      <w:bookmarkStart w:id="630" w:name="_Toc507604112"/>
      <w:bookmarkStart w:id="631" w:name="_Toc507604379"/>
      <w:bookmarkStart w:id="632" w:name="_Toc519017081"/>
      <w:bookmarkStart w:id="633" w:name="_Toc520837994"/>
      <w:r w:rsidRPr="00AF36E4">
        <w:lastRenderedPageBreak/>
        <w:t>References</w:t>
      </w:r>
      <w:bookmarkEnd w:id="630"/>
      <w:bookmarkEnd w:id="631"/>
      <w:bookmarkEnd w:id="632"/>
      <w:bookmarkEnd w:id="633"/>
    </w:p>
    <w:p w14:paraId="74A001CD" w14:textId="3531D14B" w:rsidR="00DF0AA5" w:rsidRPr="00DF0AA5" w:rsidRDefault="000D7D3D" w:rsidP="00DF0AA5">
      <w:pPr>
        <w:widowControl w:val="0"/>
        <w:autoSpaceDE w:val="0"/>
        <w:autoSpaceDN w:val="0"/>
        <w:adjustRightInd w:val="0"/>
        <w:ind w:left="480" w:hanging="480"/>
        <w:rPr>
          <w:rFonts w:cs="Arial"/>
          <w:noProof/>
        </w:rPr>
      </w:pPr>
      <w:r>
        <w:fldChar w:fldCharType="begin" w:fldLock="1"/>
      </w:r>
      <w:r>
        <w:instrText xml:space="preserve">ADDIN Mendeley Bibliography CSL_BIBLIOGRAPHY </w:instrText>
      </w:r>
      <w:r>
        <w:fldChar w:fldCharType="separate"/>
      </w:r>
      <w:r w:rsidR="00DF0AA5" w:rsidRPr="00DF0AA5">
        <w:rPr>
          <w:rFonts w:cs="Arial"/>
          <w:b/>
          <w:bCs/>
          <w:noProof/>
        </w:rPr>
        <w:t>Adeleke, R.A., Cloete, T.E., Bertrand, A., and Khasa, D.P.</w:t>
      </w:r>
      <w:r w:rsidR="00DF0AA5" w:rsidRPr="00DF0AA5">
        <w:rPr>
          <w:rFonts w:cs="Arial"/>
          <w:noProof/>
        </w:rPr>
        <w:t xml:space="preserve"> (2012). Iron ore weathering potentials of ectomycorrhizal plants. Mycorrhiza </w:t>
      </w:r>
      <w:r w:rsidR="00DF0AA5" w:rsidRPr="00DF0AA5">
        <w:rPr>
          <w:rFonts w:cs="Arial"/>
          <w:b/>
          <w:bCs/>
          <w:noProof/>
        </w:rPr>
        <w:t>22</w:t>
      </w:r>
      <w:r w:rsidR="00DF0AA5" w:rsidRPr="00DF0AA5">
        <w:rPr>
          <w:rFonts w:cs="Arial"/>
          <w:noProof/>
        </w:rPr>
        <w:t>: 535–44.</w:t>
      </w:r>
    </w:p>
    <w:p w14:paraId="3972090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Adeyemi, A.O. and Gadd, G.M.</w:t>
      </w:r>
      <w:r w:rsidRPr="00DF0AA5">
        <w:rPr>
          <w:rFonts w:cs="Arial"/>
          <w:noProof/>
        </w:rPr>
        <w:t xml:space="preserve"> (2005). Fungal degradation of calcium-, lead- and silicon-bearing minerals. BioMetals </w:t>
      </w:r>
      <w:r w:rsidRPr="00DF0AA5">
        <w:rPr>
          <w:rFonts w:cs="Arial"/>
          <w:b/>
          <w:bCs/>
          <w:noProof/>
        </w:rPr>
        <w:t>18</w:t>
      </w:r>
      <w:r w:rsidRPr="00DF0AA5">
        <w:rPr>
          <w:rFonts w:cs="Arial"/>
          <w:noProof/>
        </w:rPr>
        <w:t>: 269–281.</w:t>
      </w:r>
    </w:p>
    <w:p w14:paraId="66D0958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Agarwala, R. et al.</w:t>
      </w:r>
      <w:r w:rsidRPr="00DF0AA5">
        <w:rPr>
          <w:rFonts w:cs="Arial"/>
          <w:noProof/>
        </w:rPr>
        <w:t xml:space="preserve"> (2016). Database resources of the National Center for Biotechnology Information. Nucleic Acids Res. </w:t>
      </w:r>
      <w:r w:rsidRPr="00DF0AA5">
        <w:rPr>
          <w:rFonts w:cs="Arial"/>
          <w:b/>
          <w:bCs/>
          <w:noProof/>
        </w:rPr>
        <w:t>44</w:t>
      </w:r>
      <w:r w:rsidRPr="00DF0AA5">
        <w:rPr>
          <w:rFonts w:cs="Arial"/>
          <w:noProof/>
        </w:rPr>
        <w:t>: D7–D19.</w:t>
      </w:r>
    </w:p>
    <w:p w14:paraId="6B0522E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Akopian, D., Shen, K., Zhang, X., and Shan, S.</w:t>
      </w:r>
      <w:r w:rsidRPr="00DF0AA5">
        <w:rPr>
          <w:rFonts w:cs="Arial"/>
          <w:noProof/>
        </w:rPr>
        <w:t xml:space="preserve"> (2013). Signal Recognition Particle: An Essential Protein-Targeting Machine. Annu. Rev. Biochem. </w:t>
      </w:r>
      <w:r w:rsidRPr="00DF0AA5">
        <w:rPr>
          <w:rFonts w:cs="Arial"/>
          <w:b/>
          <w:bCs/>
          <w:noProof/>
        </w:rPr>
        <w:t>82</w:t>
      </w:r>
      <w:r w:rsidRPr="00DF0AA5">
        <w:rPr>
          <w:rFonts w:cs="Arial"/>
          <w:noProof/>
        </w:rPr>
        <w:t>: 693–721.</w:t>
      </w:r>
    </w:p>
    <w:p w14:paraId="3F19B17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Albataineh, M.T. and Kadosh, D.</w:t>
      </w:r>
      <w:r w:rsidRPr="00DF0AA5">
        <w:rPr>
          <w:rFonts w:cs="Arial"/>
          <w:noProof/>
        </w:rPr>
        <w:t xml:space="preserve"> (2016). Regulatory roles of phosphorylation in model and pathogenic fungi. Med. Mycol. </w:t>
      </w:r>
      <w:r w:rsidRPr="00DF0AA5">
        <w:rPr>
          <w:rFonts w:cs="Arial"/>
          <w:b/>
          <w:bCs/>
          <w:noProof/>
        </w:rPr>
        <w:t>54</w:t>
      </w:r>
      <w:r w:rsidRPr="00DF0AA5">
        <w:rPr>
          <w:rFonts w:cs="Arial"/>
          <w:noProof/>
        </w:rPr>
        <w:t>: 333–352.</w:t>
      </w:r>
    </w:p>
    <w:p w14:paraId="57BB0F0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Alcaíno, J., Romero, I., Niklitschek, M., Sepúlveda, D., Rojas, M.C., Baeza, M., and Cifuentes, V.</w:t>
      </w:r>
      <w:r w:rsidRPr="00DF0AA5">
        <w:rPr>
          <w:rFonts w:cs="Arial"/>
          <w:noProof/>
        </w:rPr>
        <w:t xml:space="preserve"> (2014). Functional characterization of the </w:t>
      </w:r>
      <w:r w:rsidRPr="00F83CB2">
        <w:rPr>
          <w:rFonts w:cs="Arial"/>
          <w:i/>
          <w:noProof/>
        </w:rPr>
        <w:t>Xanthophyllomyces dendrorhous</w:t>
      </w:r>
      <w:r w:rsidRPr="00DF0AA5">
        <w:rPr>
          <w:rFonts w:cs="Arial"/>
          <w:noProof/>
        </w:rPr>
        <w:t xml:space="preserve"> farnesyl pyrophosphate synthase and geranylgeranyl pyrophosphate synthase encoding genes that are involved in the synthesis of isoprenoid precursors. PLoS One </w:t>
      </w:r>
      <w:r w:rsidRPr="00DF0AA5">
        <w:rPr>
          <w:rFonts w:cs="Arial"/>
          <w:b/>
          <w:bCs/>
          <w:noProof/>
        </w:rPr>
        <w:t>9</w:t>
      </w:r>
      <w:r w:rsidRPr="00DF0AA5">
        <w:rPr>
          <w:rFonts w:cs="Arial"/>
          <w:noProof/>
        </w:rPr>
        <w:t>: 1–12.</w:t>
      </w:r>
    </w:p>
    <w:p w14:paraId="3E3D759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Alm Rosenblad, M., Martín, M.P., Tedersoo, L., Ryberg, M.K., Larsson, E., Wurzbacher, C., Abarenkov, K., and Nilsson, R.H.</w:t>
      </w:r>
      <w:r w:rsidRPr="00DF0AA5">
        <w:rPr>
          <w:rFonts w:cs="Arial"/>
          <w:noProof/>
        </w:rPr>
        <w:t xml:space="preserve"> (2016). Detection of signal recognition particle (SRP) RNAs in the nuclear ribosomal internal transcribed spacer 1 (ITS1) of three lineages of ectomycorrhizal fungi (Agaricomycetes, Basidiomycota). MycoKeys </w:t>
      </w:r>
      <w:r w:rsidRPr="00DF0AA5">
        <w:rPr>
          <w:rFonts w:cs="Arial"/>
          <w:b/>
          <w:bCs/>
          <w:noProof/>
        </w:rPr>
        <w:t>13</w:t>
      </w:r>
      <w:r w:rsidRPr="00DF0AA5">
        <w:rPr>
          <w:rFonts w:cs="Arial"/>
          <w:noProof/>
        </w:rPr>
        <w:t>: 21–33.</w:t>
      </w:r>
    </w:p>
    <w:p w14:paraId="56D4CBB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Altschul, S.F., Madden, T.L., Schäffer, A. a, Zhang, J., Zhang, Z., Miller, W., and Lipman, D.J.</w:t>
      </w:r>
      <w:r w:rsidRPr="00DF0AA5">
        <w:rPr>
          <w:rFonts w:cs="Arial"/>
          <w:noProof/>
        </w:rPr>
        <w:t xml:space="preserve"> (1997). Gapped BLAST and PSI-BLAST:a new generation of protein database search programs. Nucleic Acids Res. </w:t>
      </w:r>
      <w:r w:rsidRPr="00DF0AA5">
        <w:rPr>
          <w:rFonts w:cs="Arial"/>
          <w:b/>
          <w:bCs/>
          <w:noProof/>
        </w:rPr>
        <w:t>25</w:t>
      </w:r>
      <w:r w:rsidRPr="00DF0AA5">
        <w:rPr>
          <w:rFonts w:cs="Arial"/>
          <w:noProof/>
        </w:rPr>
        <w:t>: 3389–3402.</w:t>
      </w:r>
    </w:p>
    <w:p w14:paraId="3C99001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Arocena, J.M. and Glowa, K.R.</w:t>
      </w:r>
      <w:r w:rsidRPr="00DF0AA5">
        <w:rPr>
          <w:rFonts w:cs="Arial"/>
          <w:noProof/>
        </w:rPr>
        <w:t xml:space="preserve"> (2000). Mineral weathering in ectomycorrhizosphere of subalpine fir (</w:t>
      </w:r>
      <w:r w:rsidRPr="00F83CB2">
        <w:rPr>
          <w:rFonts w:cs="Arial"/>
          <w:i/>
          <w:noProof/>
        </w:rPr>
        <w:t>Abies lasiocarpa</w:t>
      </w:r>
      <w:r w:rsidRPr="00DF0AA5">
        <w:rPr>
          <w:rFonts w:cs="Arial"/>
          <w:noProof/>
        </w:rPr>
        <w:t xml:space="preserve"> (Hook.) Nutt.) as revealed by soil solution composition. For. Ecol. Manage. </w:t>
      </w:r>
      <w:r w:rsidRPr="00DF0AA5">
        <w:rPr>
          <w:rFonts w:cs="Arial"/>
          <w:b/>
          <w:bCs/>
          <w:noProof/>
        </w:rPr>
        <w:t>133</w:t>
      </w:r>
      <w:r w:rsidRPr="00DF0AA5">
        <w:rPr>
          <w:rFonts w:cs="Arial"/>
          <w:noProof/>
        </w:rPr>
        <w:t>: 61–70.</w:t>
      </w:r>
    </w:p>
    <w:p w14:paraId="54A5DB9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Arocena, J.M., Velde, B., and Robertson, S.J.</w:t>
      </w:r>
      <w:r w:rsidRPr="00DF0AA5">
        <w:rPr>
          <w:rFonts w:cs="Arial"/>
          <w:noProof/>
        </w:rPr>
        <w:t xml:space="preserve"> (2012). Weathering of biotite in the presence of arbuscular mycorrhizae in selected agricultural crops. Appl. Clay Sci. </w:t>
      </w:r>
      <w:r w:rsidRPr="00DF0AA5">
        <w:rPr>
          <w:rFonts w:cs="Arial"/>
          <w:b/>
          <w:bCs/>
          <w:noProof/>
        </w:rPr>
        <w:t>64</w:t>
      </w:r>
      <w:r w:rsidRPr="00DF0AA5">
        <w:rPr>
          <w:rFonts w:cs="Arial"/>
          <w:noProof/>
        </w:rPr>
        <w:t>: 12–17.</w:t>
      </w:r>
    </w:p>
    <w:p w14:paraId="79E6B44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Artimo, P. et al.</w:t>
      </w:r>
      <w:r w:rsidRPr="00DF0AA5">
        <w:rPr>
          <w:rFonts w:cs="Arial"/>
          <w:noProof/>
        </w:rPr>
        <w:t xml:space="preserve"> (2012). ExPASy: SIB bioinformatics resource portal. Nucleic Acids Res. </w:t>
      </w:r>
      <w:r w:rsidRPr="00DF0AA5">
        <w:rPr>
          <w:rFonts w:cs="Arial"/>
          <w:b/>
          <w:bCs/>
          <w:noProof/>
        </w:rPr>
        <w:t>40</w:t>
      </w:r>
      <w:r w:rsidRPr="00DF0AA5">
        <w:rPr>
          <w:rFonts w:cs="Arial"/>
          <w:noProof/>
        </w:rPr>
        <w:t>: 597–603.</w:t>
      </w:r>
    </w:p>
    <w:p w14:paraId="229FFCD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Ashford, A. and Allaway, W.</w:t>
      </w:r>
      <w:r w:rsidRPr="00DF0AA5">
        <w:rPr>
          <w:rFonts w:cs="Arial"/>
          <w:noProof/>
        </w:rPr>
        <w:t xml:space="preserve"> (2002). The role of the motile tubular vacuole system in mycorrhizal fungi. Plant Soil </w:t>
      </w:r>
      <w:r w:rsidRPr="00DF0AA5">
        <w:rPr>
          <w:rFonts w:cs="Arial"/>
          <w:b/>
          <w:bCs/>
          <w:noProof/>
        </w:rPr>
        <w:t>244</w:t>
      </w:r>
      <w:r w:rsidRPr="00DF0AA5">
        <w:rPr>
          <w:rFonts w:cs="Arial"/>
          <w:noProof/>
        </w:rPr>
        <w:t>: 177–187.</w:t>
      </w:r>
    </w:p>
    <w:p w14:paraId="6EB46CB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Balogh-Brunstad, Z., Keller, C.K., Gill, R.A., Bormann, B.T., and Li, C.Y.</w:t>
      </w:r>
      <w:r w:rsidRPr="00DF0AA5">
        <w:rPr>
          <w:rFonts w:cs="Arial"/>
          <w:noProof/>
        </w:rPr>
        <w:t xml:space="preserve"> (2008). The effect of bacteria and fungi on chemical weathering and chemical denudation fluxes in pine growth experiments. Biogeochemistry </w:t>
      </w:r>
      <w:r w:rsidRPr="00DF0AA5">
        <w:rPr>
          <w:rFonts w:cs="Arial"/>
          <w:b/>
          <w:bCs/>
          <w:noProof/>
        </w:rPr>
        <w:t>88</w:t>
      </w:r>
      <w:r w:rsidRPr="00DF0AA5">
        <w:rPr>
          <w:rFonts w:cs="Arial"/>
          <w:noProof/>
        </w:rPr>
        <w:t>: 153–167.</w:t>
      </w:r>
    </w:p>
    <w:p w14:paraId="1ABCB9A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Bauer, Y., Knechtle, P., Wendland, J., Helfer, H., and Philippsen, P.</w:t>
      </w:r>
      <w:r w:rsidRPr="00DF0AA5">
        <w:rPr>
          <w:rFonts w:cs="Arial"/>
          <w:noProof/>
        </w:rPr>
        <w:t xml:space="preserve"> (2005). A Ras-like GTPase Is Involved in Hyphal Growth Guidance in the Filamentous Fungus </w:t>
      </w:r>
      <w:r w:rsidRPr="00F83CB2">
        <w:rPr>
          <w:rFonts w:cs="Arial"/>
          <w:i/>
          <w:noProof/>
        </w:rPr>
        <w:t>Ashbya gossypii</w:t>
      </w:r>
      <w:r w:rsidRPr="00DF0AA5">
        <w:rPr>
          <w:rFonts w:cs="Arial"/>
          <w:noProof/>
        </w:rPr>
        <w:t xml:space="preserve">. Mol. Biol. Cell </w:t>
      </w:r>
      <w:r w:rsidRPr="00DF0AA5">
        <w:rPr>
          <w:rFonts w:cs="Arial"/>
          <w:b/>
          <w:bCs/>
          <w:noProof/>
        </w:rPr>
        <w:t>15</w:t>
      </w:r>
      <w:r w:rsidRPr="00DF0AA5">
        <w:rPr>
          <w:rFonts w:cs="Arial"/>
          <w:noProof/>
        </w:rPr>
        <w:t>: 4622–4632.</w:t>
      </w:r>
    </w:p>
    <w:p w14:paraId="552ADC4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Benton, M.J. and Xie, S.</w:t>
      </w:r>
      <w:r w:rsidRPr="00DF0AA5">
        <w:rPr>
          <w:rFonts w:cs="Arial"/>
          <w:noProof/>
        </w:rPr>
        <w:t xml:space="preserve"> (2014). Defining the discipline of geobiology. Natl. Sci. Rev. </w:t>
      </w:r>
      <w:r w:rsidRPr="00DF0AA5">
        <w:rPr>
          <w:rFonts w:cs="Arial"/>
          <w:b/>
          <w:bCs/>
          <w:noProof/>
        </w:rPr>
        <w:t>1</w:t>
      </w:r>
      <w:r w:rsidRPr="00DF0AA5">
        <w:rPr>
          <w:rFonts w:cs="Arial"/>
          <w:noProof/>
        </w:rPr>
        <w:t>: 483–485.</w:t>
      </w:r>
    </w:p>
    <w:p w14:paraId="6850D0B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Bhattacharya, S., John, P.J., and Ledwani, L.</w:t>
      </w:r>
      <w:r w:rsidRPr="00DF0AA5">
        <w:rPr>
          <w:rFonts w:cs="Arial"/>
          <w:noProof/>
        </w:rPr>
        <w:t xml:space="preserve"> (2016). Fungal weathering of asbestos in semi arid regions of India. Ecotoxicol. Environ. Saf. </w:t>
      </w:r>
      <w:r w:rsidRPr="00DF0AA5">
        <w:rPr>
          <w:rFonts w:cs="Arial"/>
          <w:b/>
          <w:bCs/>
          <w:noProof/>
        </w:rPr>
        <w:t>124</w:t>
      </w:r>
      <w:r w:rsidRPr="00DF0AA5">
        <w:rPr>
          <w:rFonts w:cs="Arial"/>
          <w:noProof/>
        </w:rPr>
        <w:t>: 186–192.</w:t>
      </w:r>
    </w:p>
    <w:p w14:paraId="7F63657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Bieleski, R.L.</w:t>
      </w:r>
      <w:r w:rsidRPr="00DF0AA5">
        <w:rPr>
          <w:rFonts w:cs="Arial"/>
          <w:noProof/>
        </w:rPr>
        <w:t xml:space="preserve"> (1973). Phosphate pools, phosphate transport, and phosphate availability. Annu. Rev. Plant Physiol. </w:t>
      </w:r>
      <w:r w:rsidRPr="00DF0AA5">
        <w:rPr>
          <w:rFonts w:cs="Arial"/>
          <w:b/>
          <w:bCs/>
          <w:noProof/>
        </w:rPr>
        <w:t>24</w:t>
      </w:r>
      <w:r w:rsidRPr="00DF0AA5">
        <w:rPr>
          <w:rFonts w:cs="Arial"/>
          <w:noProof/>
        </w:rPr>
        <w:t>: 225–252.</w:t>
      </w:r>
    </w:p>
    <w:p w14:paraId="2338DC3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Bindschedler, S., Cailleau, G., and Verrecchia, E.</w:t>
      </w:r>
      <w:r w:rsidRPr="00DF0AA5">
        <w:rPr>
          <w:rFonts w:cs="Arial"/>
          <w:noProof/>
        </w:rPr>
        <w:t xml:space="preserve"> (2016). Role of Fungi in the Biomineralization of Calcite. Minerals </w:t>
      </w:r>
      <w:r w:rsidRPr="00DF0AA5">
        <w:rPr>
          <w:rFonts w:cs="Arial"/>
          <w:b/>
          <w:bCs/>
          <w:noProof/>
        </w:rPr>
        <w:t>6</w:t>
      </w:r>
      <w:r w:rsidRPr="00DF0AA5">
        <w:rPr>
          <w:rFonts w:cs="Arial"/>
          <w:noProof/>
        </w:rPr>
        <w:t>: 41.</w:t>
      </w:r>
    </w:p>
    <w:p w14:paraId="57656DE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Blobel, G.</w:t>
      </w:r>
      <w:r w:rsidRPr="00DF0AA5">
        <w:rPr>
          <w:rFonts w:cs="Arial"/>
          <w:noProof/>
        </w:rPr>
        <w:t xml:space="preserve"> (1985). Gene gating: a hypothesis. Proc. Natl. Acad. Sci. </w:t>
      </w:r>
      <w:r w:rsidRPr="00DF0AA5">
        <w:rPr>
          <w:rFonts w:cs="Arial"/>
          <w:b/>
          <w:bCs/>
          <w:noProof/>
        </w:rPr>
        <w:t>82</w:t>
      </w:r>
      <w:r w:rsidRPr="00DF0AA5">
        <w:rPr>
          <w:rFonts w:cs="Arial"/>
          <w:noProof/>
        </w:rPr>
        <w:t>: 8527–8529.</w:t>
      </w:r>
    </w:p>
    <w:p w14:paraId="6936A9D5"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Bonfante, P. and Genre, A.</w:t>
      </w:r>
      <w:r w:rsidRPr="00DF0AA5">
        <w:rPr>
          <w:rFonts w:cs="Arial"/>
          <w:noProof/>
        </w:rPr>
        <w:t xml:space="preserve"> (2010). Mechanisms underlying beneficial plant-fungus interactions in mycorrhizal symbiosis. Nat. Commun. </w:t>
      </w:r>
      <w:r w:rsidRPr="00DF0AA5">
        <w:rPr>
          <w:rFonts w:cs="Arial"/>
          <w:b/>
          <w:bCs/>
          <w:noProof/>
        </w:rPr>
        <w:t>1</w:t>
      </w:r>
      <w:r w:rsidRPr="00DF0AA5">
        <w:rPr>
          <w:rFonts w:cs="Arial"/>
          <w:noProof/>
        </w:rPr>
        <w:t>: 48.</w:t>
      </w:r>
    </w:p>
    <w:p w14:paraId="711E4BE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Bonneville, S., Bray, A.W., and Benning, L.G.</w:t>
      </w:r>
      <w:r w:rsidRPr="00DF0AA5">
        <w:rPr>
          <w:rFonts w:cs="Arial"/>
          <w:noProof/>
        </w:rPr>
        <w:t xml:space="preserve"> (2016). Structural Fe(II) Oxidation in Biotite by an Ectomycorrhizal Fungi Drives Mechanical Forcing. Environ. Sci. Technol. </w:t>
      </w:r>
      <w:r w:rsidRPr="00DF0AA5">
        <w:rPr>
          <w:rFonts w:cs="Arial"/>
          <w:b/>
          <w:bCs/>
          <w:noProof/>
        </w:rPr>
        <w:t>50</w:t>
      </w:r>
      <w:r w:rsidRPr="00DF0AA5">
        <w:rPr>
          <w:rFonts w:cs="Arial"/>
          <w:noProof/>
        </w:rPr>
        <w:t>: 5589–5596.</w:t>
      </w:r>
    </w:p>
    <w:p w14:paraId="3253FDD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Bonneville, S., Smits, M.M., Brown, A., Harrington, J., Leake, J.R., Brydson, R., and Benning, L.G.</w:t>
      </w:r>
      <w:r w:rsidRPr="00DF0AA5">
        <w:rPr>
          <w:rFonts w:cs="Arial"/>
          <w:noProof/>
        </w:rPr>
        <w:t xml:space="preserve"> (2009). Plant-driven fungal weathering: Early stages of mineral alteration at the nanometer scale. Geology </w:t>
      </w:r>
      <w:r w:rsidRPr="00DF0AA5">
        <w:rPr>
          <w:rFonts w:cs="Arial"/>
          <w:b/>
          <w:bCs/>
          <w:noProof/>
        </w:rPr>
        <w:t>37</w:t>
      </w:r>
      <w:r w:rsidRPr="00DF0AA5">
        <w:rPr>
          <w:rFonts w:cs="Arial"/>
          <w:noProof/>
        </w:rPr>
        <w:t>: 615–618.</w:t>
      </w:r>
    </w:p>
    <w:p w14:paraId="5B3D2DA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Böttcher, C., Keyzers, R.A., Boss, P.K., and Davies, C.</w:t>
      </w:r>
      <w:r w:rsidRPr="00DF0AA5">
        <w:rPr>
          <w:rFonts w:cs="Arial"/>
          <w:noProof/>
        </w:rPr>
        <w:t xml:space="preserve"> (2010). Sequestration of auxin by the indole-3-acetic acid-amido synthetase GH3-1 in grape berry (Vitis vinifera L.) and the proposed role of auxin conjugation during ripening. J. Exp. Bot. </w:t>
      </w:r>
      <w:r w:rsidRPr="00DF0AA5">
        <w:rPr>
          <w:rFonts w:cs="Arial"/>
          <w:b/>
          <w:bCs/>
          <w:noProof/>
        </w:rPr>
        <w:t>61</w:t>
      </w:r>
      <w:r w:rsidRPr="00DF0AA5">
        <w:rPr>
          <w:rFonts w:cs="Arial"/>
          <w:noProof/>
        </w:rPr>
        <w:t>: 3615–3625.</w:t>
      </w:r>
    </w:p>
    <w:p w14:paraId="550CC9F0" w14:textId="60CF9671"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Braesel, J., Götze, S., Shah, F., Heine, D., Tauber, J., Hertweck, C., Tunlid, A., Stallforth, P., and Hoffmeister, D.</w:t>
      </w:r>
      <w:r w:rsidRPr="00DF0AA5">
        <w:rPr>
          <w:rFonts w:cs="Arial"/>
          <w:noProof/>
        </w:rPr>
        <w:t xml:space="preserve"> (2015). Three redundant synthetases secure redox-active pigment p</w:t>
      </w:r>
      <w:r w:rsidR="00F83CB2">
        <w:rPr>
          <w:rFonts w:cs="Arial"/>
          <w:noProof/>
        </w:rPr>
        <w:t xml:space="preserve">roduction in the basidiomycete </w:t>
      </w:r>
      <w:r w:rsidR="00F83CB2" w:rsidRPr="00F83CB2">
        <w:rPr>
          <w:rFonts w:cs="Arial"/>
          <w:i/>
          <w:noProof/>
        </w:rPr>
        <w:t>P</w:t>
      </w:r>
      <w:r w:rsidRPr="00F83CB2">
        <w:rPr>
          <w:rFonts w:cs="Arial"/>
          <w:i/>
          <w:noProof/>
        </w:rPr>
        <w:t>axillus involutus</w:t>
      </w:r>
      <w:r w:rsidRPr="00DF0AA5">
        <w:rPr>
          <w:rFonts w:cs="Arial"/>
          <w:noProof/>
        </w:rPr>
        <w:t xml:space="preserve">. Chem. Biol. </w:t>
      </w:r>
      <w:r w:rsidRPr="00DF0AA5">
        <w:rPr>
          <w:rFonts w:cs="Arial"/>
          <w:b/>
          <w:bCs/>
          <w:noProof/>
        </w:rPr>
        <w:t>22</w:t>
      </w:r>
      <w:r w:rsidRPr="00DF0AA5">
        <w:rPr>
          <w:rFonts w:cs="Arial"/>
          <w:noProof/>
        </w:rPr>
        <w:t>: 1325–1334.</w:t>
      </w:r>
    </w:p>
    <w:p w14:paraId="66ABE27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Brandes, B., Godbold, D.L., Kuhn, A.J., Jentschke, G., Brandes, B.Y.B., and Godbold, L.</w:t>
      </w:r>
      <w:r w:rsidRPr="00DF0AA5">
        <w:rPr>
          <w:rFonts w:cs="Arial"/>
          <w:noProof/>
        </w:rPr>
        <w:t xml:space="preserve"> (1998). Nitrogen and phosphorus acquisition by the mycelium of the ectomycorrhizal fungus </w:t>
      </w:r>
      <w:r w:rsidRPr="00F83CB2">
        <w:rPr>
          <w:rFonts w:cs="Arial"/>
          <w:i/>
          <w:noProof/>
        </w:rPr>
        <w:t>Paxillus invointus</w:t>
      </w:r>
      <w:r w:rsidRPr="00DF0AA5">
        <w:rPr>
          <w:rFonts w:cs="Arial"/>
          <w:noProof/>
        </w:rPr>
        <w:t xml:space="preserve"> and its effect on host nutrition. New Phytol. </w:t>
      </w:r>
      <w:r w:rsidRPr="00DF0AA5">
        <w:rPr>
          <w:rFonts w:cs="Arial"/>
          <w:b/>
          <w:bCs/>
          <w:noProof/>
        </w:rPr>
        <w:t>140</w:t>
      </w:r>
      <w:r w:rsidRPr="00DF0AA5">
        <w:rPr>
          <w:rFonts w:cs="Arial"/>
          <w:noProof/>
        </w:rPr>
        <w:t>: 735–743.</w:t>
      </w:r>
    </w:p>
    <w:p w14:paraId="6B1BC6B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Brantley, S.L. et al.</w:t>
      </w:r>
      <w:r w:rsidRPr="00DF0AA5">
        <w:rPr>
          <w:rFonts w:cs="Arial"/>
          <w:noProof/>
        </w:rPr>
        <w:t xml:space="preserve"> (2011). Twelve testable hypotheses on the geobiology of weathering. Geobiology </w:t>
      </w:r>
      <w:r w:rsidRPr="00DF0AA5">
        <w:rPr>
          <w:rFonts w:cs="Arial"/>
          <w:b/>
          <w:bCs/>
          <w:noProof/>
        </w:rPr>
        <w:t>9</w:t>
      </w:r>
      <w:r w:rsidRPr="00DF0AA5">
        <w:rPr>
          <w:rFonts w:cs="Arial"/>
          <w:noProof/>
        </w:rPr>
        <w:t>: 140–65.</w:t>
      </w:r>
    </w:p>
    <w:p w14:paraId="23A46D3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Britton, K., Langridge, S., Baker, P.J., Weeradechapon, K., Sedelnikova, S.E., De Lucas, J.R., Rice, D.W., and Turner, G.</w:t>
      </w:r>
      <w:r w:rsidRPr="00DF0AA5">
        <w:rPr>
          <w:rFonts w:cs="Arial"/>
          <w:noProof/>
        </w:rPr>
        <w:t xml:space="preserve"> (2000). The crystal structure and active site location of isocitrate lyase from the fungus </w:t>
      </w:r>
      <w:r w:rsidRPr="00F83CB2">
        <w:rPr>
          <w:rFonts w:cs="Arial"/>
          <w:i/>
          <w:noProof/>
        </w:rPr>
        <w:t>Aspergillus nidulans</w:t>
      </w:r>
      <w:r w:rsidRPr="00DF0AA5">
        <w:rPr>
          <w:rFonts w:cs="Arial"/>
          <w:noProof/>
        </w:rPr>
        <w:t xml:space="preserve">. Structure </w:t>
      </w:r>
      <w:r w:rsidRPr="00DF0AA5">
        <w:rPr>
          <w:rFonts w:cs="Arial"/>
          <w:b/>
          <w:bCs/>
          <w:noProof/>
        </w:rPr>
        <w:t>8</w:t>
      </w:r>
      <w:r w:rsidRPr="00DF0AA5">
        <w:rPr>
          <w:rFonts w:cs="Arial"/>
          <w:noProof/>
        </w:rPr>
        <w:t>: 349–362.</w:t>
      </w:r>
    </w:p>
    <w:p w14:paraId="75FEE378"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Brun, A., Chalot, M., Finlay, R.D., and Soderstrom, B.</w:t>
      </w:r>
      <w:r w:rsidRPr="00DF0AA5">
        <w:rPr>
          <w:rFonts w:cs="Arial"/>
          <w:noProof/>
        </w:rPr>
        <w:t xml:space="preserve"> (1995). Structure and function of the ectomycorrhizal association between </w:t>
      </w:r>
      <w:r w:rsidRPr="00F83CB2">
        <w:rPr>
          <w:rFonts w:cs="Arial"/>
          <w:i/>
          <w:noProof/>
        </w:rPr>
        <w:t>Paxillus involutus</w:t>
      </w:r>
      <w:r w:rsidRPr="00DF0AA5">
        <w:rPr>
          <w:rFonts w:cs="Arial"/>
          <w:noProof/>
        </w:rPr>
        <w:t xml:space="preserve"> ( Batsch ) Fr . and </w:t>
      </w:r>
      <w:r w:rsidRPr="00F83CB2">
        <w:rPr>
          <w:rFonts w:cs="Arial"/>
          <w:i/>
          <w:noProof/>
        </w:rPr>
        <w:t>Betula pendula</w:t>
      </w:r>
      <w:r w:rsidRPr="00DF0AA5">
        <w:rPr>
          <w:rFonts w:cs="Arial"/>
          <w:noProof/>
        </w:rPr>
        <w:t xml:space="preserve"> Roth . New Phytol. </w:t>
      </w:r>
      <w:r w:rsidRPr="00DF0AA5">
        <w:rPr>
          <w:rFonts w:cs="Arial"/>
          <w:b/>
          <w:bCs/>
          <w:noProof/>
        </w:rPr>
        <w:t>129</w:t>
      </w:r>
      <w:r w:rsidRPr="00DF0AA5">
        <w:rPr>
          <w:rFonts w:cs="Arial"/>
          <w:noProof/>
        </w:rPr>
        <w:t>: 487–493.</w:t>
      </w:r>
    </w:p>
    <w:p w14:paraId="4E69628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Bucher, M.</w:t>
      </w:r>
      <w:r w:rsidRPr="00DF0AA5">
        <w:rPr>
          <w:rFonts w:cs="Arial"/>
          <w:noProof/>
        </w:rPr>
        <w:t xml:space="preserve"> (2010). A Novel Lipid Signal in the Arbuscular Mycorrhizal Symbiosis within Eyesight? New Phytol. </w:t>
      </w:r>
      <w:r w:rsidRPr="00DF0AA5">
        <w:rPr>
          <w:rFonts w:cs="Arial"/>
          <w:b/>
          <w:bCs/>
          <w:noProof/>
        </w:rPr>
        <w:t>185</w:t>
      </w:r>
      <w:r w:rsidRPr="00DF0AA5">
        <w:rPr>
          <w:rFonts w:cs="Arial"/>
          <w:noProof/>
        </w:rPr>
        <w:t>: 539–595.</w:t>
      </w:r>
    </w:p>
    <w:p w14:paraId="3BF609F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Bücking, H.</w:t>
      </w:r>
      <w:r w:rsidRPr="00DF0AA5">
        <w:rPr>
          <w:rFonts w:cs="Arial"/>
          <w:noProof/>
        </w:rPr>
        <w:t xml:space="preserve"> (2004). Phosphate absorption and efflux of three ectomycorrhizal fungi as affected by external phosphate, cation and carbohydrate concentrations. Mycol. Res. </w:t>
      </w:r>
      <w:r w:rsidRPr="00DF0AA5">
        <w:rPr>
          <w:rFonts w:cs="Arial"/>
          <w:b/>
          <w:bCs/>
          <w:noProof/>
        </w:rPr>
        <w:lastRenderedPageBreak/>
        <w:t>108</w:t>
      </w:r>
      <w:r w:rsidRPr="00DF0AA5">
        <w:rPr>
          <w:rFonts w:cs="Arial"/>
          <w:noProof/>
        </w:rPr>
        <w:t>: 599–609.</w:t>
      </w:r>
    </w:p>
    <w:p w14:paraId="68EA488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Bücking, H. and Heyser, W.</w:t>
      </w:r>
      <w:r w:rsidRPr="00DF0AA5">
        <w:rPr>
          <w:rFonts w:cs="Arial"/>
          <w:noProof/>
        </w:rPr>
        <w:t xml:space="preserve"> (2003). Uptake and transfer of nutrients in ectomycorrhizal associations: interactions between photosynthesis and phosphate nutrition. Mycorrhiza </w:t>
      </w:r>
      <w:r w:rsidRPr="00DF0AA5">
        <w:rPr>
          <w:rFonts w:cs="Arial"/>
          <w:b/>
          <w:bCs/>
          <w:noProof/>
        </w:rPr>
        <w:t>13</w:t>
      </w:r>
      <w:r w:rsidRPr="00DF0AA5">
        <w:rPr>
          <w:rFonts w:cs="Arial"/>
          <w:noProof/>
        </w:rPr>
        <w:t>: 59–68.</w:t>
      </w:r>
    </w:p>
    <w:p w14:paraId="7EECB15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Bücking, H., Liepold, E., and Ambilwade, P.</w:t>
      </w:r>
      <w:r w:rsidRPr="00DF0AA5">
        <w:rPr>
          <w:rFonts w:cs="Arial"/>
          <w:noProof/>
        </w:rPr>
        <w:t xml:space="preserve"> (2012). The Role of the Mycorrhizal Symbiosis in Nutrient Uptake of Plants and the Regulatory Mechanisms Underlying These Transport Processes. In Plant science.</w:t>
      </w:r>
    </w:p>
    <w:p w14:paraId="595D2C9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Bull, H.</w:t>
      </w:r>
      <w:r w:rsidRPr="00DF0AA5">
        <w:rPr>
          <w:rFonts w:cs="Arial"/>
          <w:noProof/>
        </w:rPr>
        <w:t xml:space="preserve"> (2002). Acid phosphatases. Mol. Pathol. </w:t>
      </w:r>
      <w:r w:rsidRPr="00DF0AA5">
        <w:rPr>
          <w:rFonts w:cs="Arial"/>
          <w:b/>
          <w:bCs/>
          <w:noProof/>
        </w:rPr>
        <w:t>55</w:t>
      </w:r>
      <w:r w:rsidRPr="00DF0AA5">
        <w:rPr>
          <w:rFonts w:cs="Arial"/>
          <w:noProof/>
        </w:rPr>
        <w:t>: 65–72.</w:t>
      </w:r>
    </w:p>
    <w:p w14:paraId="668403E7"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Bun-ya, M., Nishimura, M., Harashima, S., and Oshima, Y.</w:t>
      </w:r>
      <w:r w:rsidRPr="00DF0AA5">
        <w:rPr>
          <w:rFonts w:cs="Arial"/>
          <w:noProof/>
        </w:rPr>
        <w:t xml:space="preserve"> (1991). The PH084 Gene of </w:t>
      </w:r>
      <w:r w:rsidRPr="00F83CB2">
        <w:rPr>
          <w:rFonts w:cs="Arial"/>
          <w:i/>
          <w:noProof/>
        </w:rPr>
        <w:t>Saccharomyces cerevisiae</w:t>
      </w:r>
      <w:r w:rsidRPr="00DF0AA5">
        <w:rPr>
          <w:rFonts w:cs="Arial"/>
          <w:noProof/>
        </w:rPr>
        <w:t xml:space="preserve"> Encodes an Inorganic Phosphate Transporter. </w:t>
      </w:r>
      <w:r w:rsidRPr="00DF0AA5">
        <w:rPr>
          <w:rFonts w:cs="Arial"/>
          <w:b/>
          <w:bCs/>
          <w:noProof/>
        </w:rPr>
        <w:t>11</w:t>
      </w:r>
      <w:r w:rsidRPr="00DF0AA5">
        <w:rPr>
          <w:rFonts w:cs="Arial"/>
          <w:noProof/>
        </w:rPr>
        <w:t>: 3229–3238.</w:t>
      </w:r>
    </w:p>
    <w:p w14:paraId="7196A27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Burford, E.P., Fomina, M., and Gadd, G.M.</w:t>
      </w:r>
      <w:r w:rsidRPr="00DF0AA5">
        <w:rPr>
          <w:rFonts w:cs="Arial"/>
          <w:noProof/>
        </w:rPr>
        <w:t xml:space="preserve"> (2003). Fungal involvement in bioweathering and biotransformation of rocks and minerals. Mineral. Mag. </w:t>
      </w:r>
      <w:r w:rsidRPr="00DF0AA5">
        <w:rPr>
          <w:rFonts w:cs="Arial"/>
          <w:b/>
          <w:bCs/>
          <w:noProof/>
        </w:rPr>
        <w:t>67</w:t>
      </w:r>
      <w:r w:rsidRPr="00DF0AA5">
        <w:rPr>
          <w:rFonts w:cs="Arial"/>
          <w:noProof/>
        </w:rPr>
        <w:t>: 1127–1155.</w:t>
      </w:r>
    </w:p>
    <w:p w14:paraId="3AE3782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Cairney, J. and Burke, R.</w:t>
      </w:r>
      <w:r w:rsidRPr="00DF0AA5">
        <w:rPr>
          <w:rFonts w:cs="Arial"/>
          <w:noProof/>
        </w:rPr>
        <w:t xml:space="preserve"> (1996). Physiological heterogeneity within fungal mycelia: an important concept for a functional understanding of the ectomycorrhizal symbiosis. New Phytol. </w:t>
      </w:r>
      <w:r w:rsidRPr="00DF0AA5">
        <w:rPr>
          <w:rFonts w:cs="Arial"/>
          <w:b/>
          <w:bCs/>
          <w:noProof/>
        </w:rPr>
        <w:t>134</w:t>
      </w:r>
      <w:r w:rsidRPr="00DF0AA5">
        <w:rPr>
          <w:rFonts w:cs="Arial"/>
          <w:noProof/>
        </w:rPr>
        <w:t>: 685–695.</w:t>
      </w:r>
    </w:p>
    <w:p w14:paraId="4384A68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Cairney, J.W.G.</w:t>
      </w:r>
      <w:r w:rsidRPr="00DF0AA5">
        <w:rPr>
          <w:rFonts w:cs="Arial"/>
          <w:noProof/>
        </w:rPr>
        <w:t xml:space="preserve"> (2011). Ectomycorrhizal fungi: the symbiotic route to the root for phosphorus in forest soils. Plant Soil </w:t>
      </w:r>
      <w:r w:rsidRPr="00DF0AA5">
        <w:rPr>
          <w:rFonts w:cs="Arial"/>
          <w:b/>
          <w:bCs/>
          <w:noProof/>
        </w:rPr>
        <w:t>344</w:t>
      </w:r>
      <w:r w:rsidRPr="00DF0AA5">
        <w:rPr>
          <w:rFonts w:cs="Arial"/>
          <w:noProof/>
        </w:rPr>
        <w:t>: 51–71.</w:t>
      </w:r>
    </w:p>
    <w:p w14:paraId="52F4DA9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Cairney, J.W.G.</w:t>
      </w:r>
      <w:r w:rsidRPr="00DF0AA5">
        <w:rPr>
          <w:rFonts w:cs="Arial"/>
          <w:noProof/>
        </w:rPr>
        <w:t xml:space="preserve"> (2000). Evolution of mycorrhiza systems. Naturwissenschaften </w:t>
      </w:r>
      <w:r w:rsidRPr="00DF0AA5">
        <w:rPr>
          <w:rFonts w:cs="Arial"/>
          <w:b/>
          <w:bCs/>
          <w:noProof/>
        </w:rPr>
        <w:t>87</w:t>
      </w:r>
      <w:r w:rsidRPr="00DF0AA5">
        <w:rPr>
          <w:rFonts w:cs="Arial"/>
          <w:noProof/>
        </w:rPr>
        <w:t>: 467–475.</w:t>
      </w:r>
    </w:p>
    <w:p w14:paraId="16729505"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Cairney, J.W.G. and Alexander, I.J.</w:t>
      </w:r>
      <w:r w:rsidRPr="00DF0AA5">
        <w:rPr>
          <w:rFonts w:cs="Arial"/>
          <w:noProof/>
        </w:rPr>
        <w:t xml:space="preserve"> (1992). A study of ageing of spruce [</w:t>
      </w:r>
      <w:r w:rsidRPr="00556732">
        <w:rPr>
          <w:rFonts w:cs="Arial"/>
          <w:i/>
          <w:noProof/>
        </w:rPr>
        <w:t>Picea sitchensis</w:t>
      </w:r>
      <w:r w:rsidRPr="00DF0AA5">
        <w:rPr>
          <w:rFonts w:cs="Arial"/>
          <w:noProof/>
        </w:rPr>
        <w:t xml:space="preserve"> (Bong .) Carr.] ectomycorrhizas. III . Phosphate absorption and transfer in ageing </w:t>
      </w:r>
      <w:r w:rsidRPr="00556732">
        <w:rPr>
          <w:rFonts w:cs="Arial"/>
          <w:i/>
          <w:noProof/>
        </w:rPr>
        <w:t>Picea sitchensis</w:t>
      </w:r>
      <w:r w:rsidRPr="00DF0AA5">
        <w:rPr>
          <w:rFonts w:cs="Arial"/>
          <w:noProof/>
        </w:rPr>
        <w:t>/</w:t>
      </w:r>
      <w:r w:rsidRPr="00556732">
        <w:rPr>
          <w:rFonts w:cs="Arial"/>
          <w:i/>
          <w:noProof/>
        </w:rPr>
        <w:t>Tylospora fibrillosa</w:t>
      </w:r>
      <w:r w:rsidRPr="00DF0AA5">
        <w:rPr>
          <w:rFonts w:cs="Arial"/>
          <w:noProof/>
        </w:rPr>
        <w:t xml:space="preserve"> (Burt.) Donk ectomycorrhizas. New Phytol. </w:t>
      </w:r>
      <w:r w:rsidRPr="00DF0AA5">
        <w:rPr>
          <w:rFonts w:cs="Arial"/>
          <w:b/>
          <w:bCs/>
          <w:noProof/>
        </w:rPr>
        <w:t>122</w:t>
      </w:r>
      <w:r w:rsidRPr="00DF0AA5">
        <w:rPr>
          <w:rFonts w:cs="Arial"/>
          <w:noProof/>
        </w:rPr>
        <w:t>: 159–164.</w:t>
      </w:r>
    </w:p>
    <w:p w14:paraId="44CBA33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Caparrós-Martín, J.A., McCarthy-Suárez, I., and Culiáñez-Macià, F.A.</w:t>
      </w:r>
      <w:r w:rsidRPr="00DF0AA5">
        <w:rPr>
          <w:rFonts w:cs="Arial"/>
          <w:noProof/>
        </w:rPr>
        <w:t xml:space="preserve"> (2013). HAD hydrolase function unveiled by substrate screening: Enzymatic characterization of </w:t>
      </w:r>
      <w:r w:rsidRPr="00556732">
        <w:rPr>
          <w:rFonts w:cs="Arial"/>
          <w:i/>
          <w:noProof/>
        </w:rPr>
        <w:t>Arabidopsis thaliana</w:t>
      </w:r>
      <w:r w:rsidRPr="00DF0AA5">
        <w:rPr>
          <w:rFonts w:cs="Arial"/>
          <w:noProof/>
        </w:rPr>
        <w:t xml:space="preserve"> subclass I phosphosugar phosphatase AtSgpp. Planta </w:t>
      </w:r>
      <w:r w:rsidRPr="00DF0AA5">
        <w:rPr>
          <w:rFonts w:cs="Arial"/>
          <w:b/>
          <w:bCs/>
          <w:noProof/>
        </w:rPr>
        <w:t>237</w:t>
      </w:r>
      <w:r w:rsidRPr="00DF0AA5">
        <w:rPr>
          <w:rFonts w:cs="Arial"/>
          <w:noProof/>
        </w:rPr>
        <w:t xml:space="preserve">: </w:t>
      </w:r>
      <w:r w:rsidRPr="00DF0AA5">
        <w:rPr>
          <w:rFonts w:cs="Arial"/>
          <w:noProof/>
        </w:rPr>
        <w:lastRenderedPageBreak/>
        <w:t>943–954.</w:t>
      </w:r>
    </w:p>
    <w:p w14:paraId="5340D92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Casal, M., Paiva, S., Queirós, O., and Soares-Silva, I.</w:t>
      </w:r>
      <w:r w:rsidRPr="00DF0AA5">
        <w:rPr>
          <w:rFonts w:cs="Arial"/>
          <w:noProof/>
        </w:rPr>
        <w:t xml:space="preserve"> (2008). Transport of carboxylic acids in yeasts. FEMS Microbiol. Rev. </w:t>
      </w:r>
      <w:r w:rsidRPr="00DF0AA5">
        <w:rPr>
          <w:rFonts w:cs="Arial"/>
          <w:b/>
          <w:bCs/>
          <w:noProof/>
        </w:rPr>
        <w:t>32</w:t>
      </w:r>
      <w:r w:rsidRPr="00DF0AA5">
        <w:rPr>
          <w:rFonts w:cs="Arial"/>
          <w:noProof/>
        </w:rPr>
        <w:t>: 974–994.</w:t>
      </w:r>
    </w:p>
    <w:p w14:paraId="79D8AB0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Casarin, V., Plassard, C., Hinsinger, P., and Arvieu, J.-C.</w:t>
      </w:r>
      <w:r w:rsidRPr="00DF0AA5">
        <w:rPr>
          <w:rFonts w:cs="Arial"/>
          <w:noProof/>
        </w:rPr>
        <w:t xml:space="preserve"> (2004). Quantification of ectomycorrhizal fungal effects on the bioavailability and mobilization of soil P in the rhizosphere of </w:t>
      </w:r>
      <w:r w:rsidRPr="00556732">
        <w:rPr>
          <w:rFonts w:cs="Arial"/>
          <w:i/>
          <w:noProof/>
        </w:rPr>
        <w:t>Pinus pinaster</w:t>
      </w:r>
      <w:r w:rsidRPr="00DF0AA5">
        <w:rPr>
          <w:rFonts w:cs="Arial"/>
          <w:noProof/>
        </w:rPr>
        <w:t xml:space="preserve">. New Phytol. </w:t>
      </w:r>
      <w:r w:rsidRPr="00DF0AA5">
        <w:rPr>
          <w:rFonts w:cs="Arial"/>
          <w:b/>
          <w:bCs/>
          <w:noProof/>
        </w:rPr>
        <w:t>163</w:t>
      </w:r>
      <w:r w:rsidRPr="00DF0AA5">
        <w:rPr>
          <w:rFonts w:cs="Arial"/>
          <w:noProof/>
        </w:rPr>
        <w:t>: 177–185.</w:t>
      </w:r>
    </w:p>
    <w:p w14:paraId="0825116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Casieri, L. et al.</w:t>
      </w:r>
      <w:r w:rsidRPr="00DF0AA5">
        <w:rPr>
          <w:rFonts w:cs="Arial"/>
          <w:noProof/>
        </w:rPr>
        <w:t xml:space="preserve"> (2013). Biotrophic transportome in mutualistic plant-fungal interactions. Mycorrhiza </w:t>
      </w:r>
      <w:r w:rsidRPr="00DF0AA5">
        <w:rPr>
          <w:rFonts w:cs="Arial"/>
          <w:b/>
          <w:bCs/>
          <w:noProof/>
        </w:rPr>
        <w:t>23</w:t>
      </w:r>
      <w:r w:rsidRPr="00DF0AA5">
        <w:rPr>
          <w:rFonts w:cs="Arial"/>
          <w:noProof/>
        </w:rPr>
        <w:t>: 597–625.</w:t>
      </w:r>
    </w:p>
    <w:p w14:paraId="1119F770" w14:textId="784AB182"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Castro, I. de M., Fietto, J.L.R., Vieira, R.X., Trópia, M.J.M., Campos, L.M.M. de, Paniago, E.B., and Brandão, R.L.</w:t>
      </w:r>
      <w:r w:rsidRPr="00DF0AA5">
        <w:rPr>
          <w:rFonts w:cs="Arial"/>
          <w:noProof/>
        </w:rPr>
        <w:t xml:space="preserve"> (2000). Bioleaching of zinc and</w:t>
      </w:r>
      <w:r w:rsidR="00556732">
        <w:rPr>
          <w:rFonts w:cs="Arial"/>
          <w:noProof/>
        </w:rPr>
        <w:t xml:space="preserve"> nickel from silicates using</w:t>
      </w:r>
      <w:r w:rsidRPr="00DF0AA5">
        <w:rPr>
          <w:rFonts w:cs="Arial"/>
          <w:noProof/>
        </w:rPr>
        <w:t xml:space="preserve"> </w:t>
      </w:r>
      <w:r w:rsidRPr="00556732">
        <w:rPr>
          <w:rFonts w:cs="Arial"/>
          <w:i/>
          <w:noProof/>
        </w:rPr>
        <w:t>Aspergillus niger</w:t>
      </w:r>
      <w:r w:rsidRPr="00DF0AA5">
        <w:rPr>
          <w:rFonts w:cs="Arial"/>
          <w:noProof/>
        </w:rPr>
        <w:t xml:space="preserve"> cultures. Hydrometallurgy </w:t>
      </w:r>
      <w:r w:rsidRPr="00DF0AA5">
        <w:rPr>
          <w:rFonts w:cs="Arial"/>
          <w:b/>
          <w:bCs/>
          <w:noProof/>
        </w:rPr>
        <w:t>57</w:t>
      </w:r>
      <w:r w:rsidRPr="00DF0AA5">
        <w:rPr>
          <w:rFonts w:cs="Arial"/>
          <w:noProof/>
        </w:rPr>
        <w:t>: 39–49.</w:t>
      </w:r>
    </w:p>
    <w:p w14:paraId="2C3634B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Ceccaroli, P., Buffalini, M., Saltarelli, R., Barbieri, E., Polidori, E., Ottonello, S., Kohler, A., Tisserant, E., Martin, F., and Stocchi, V.</w:t>
      </w:r>
      <w:r w:rsidRPr="00DF0AA5">
        <w:rPr>
          <w:rFonts w:cs="Arial"/>
          <w:noProof/>
        </w:rPr>
        <w:t xml:space="preserve"> (2011). Genomic profiling of carbohydrate metabolism in the ectomycorrhizal fungus </w:t>
      </w:r>
      <w:r w:rsidRPr="00556732">
        <w:rPr>
          <w:rFonts w:cs="Arial"/>
          <w:i/>
          <w:noProof/>
        </w:rPr>
        <w:t>Tuber melanosporum</w:t>
      </w:r>
      <w:r w:rsidRPr="00DF0AA5">
        <w:rPr>
          <w:rFonts w:cs="Arial"/>
          <w:noProof/>
        </w:rPr>
        <w:t xml:space="preserve">. New Phytol. </w:t>
      </w:r>
      <w:r w:rsidRPr="00DF0AA5">
        <w:rPr>
          <w:rFonts w:cs="Arial"/>
          <w:b/>
          <w:bCs/>
          <w:noProof/>
        </w:rPr>
        <w:t>189</w:t>
      </w:r>
      <w:r w:rsidRPr="00DF0AA5">
        <w:rPr>
          <w:rFonts w:cs="Arial"/>
          <w:noProof/>
        </w:rPr>
        <w:t>: 751–64.</w:t>
      </w:r>
    </w:p>
    <w:p w14:paraId="36903C3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Ceci, A., Kierans, M., Hillier, S., Persiani, A.M., and Gadd, G.M.</w:t>
      </w:r>
      <w:r w:rsidRPr="00DF0AA5">
        <w:rPr>
          <w:rFonts w:cs="Arial"/>
          <w:noProof/>
        </w:rPr>
        <w:t xml:space="preserve"> (2015). Fungal bioweathering of mimetite and a general geomycological model for lead apatite mineral biotransformations. Appl. Environ. Microbiol. </w:t>
      </w:r>
      <w:r w:rsidRPr="00DF0AA5">
        <w:rPr>
          <w:rFonts w:cs="Arial"/>
          <w:b/>
          <w:bCs/>
          <w:noProof/>
        </w:rPr>
        <w:t>81</w:t>
      </w:r>
      <w:r w:rsidRPr="00DF0AA5">
        <w:rPr>
          <w:rFonts w:cs="Arial"/>
          <w:noProof/>
        </w:rPr>
        <w:t>: 4955–4964.</w:t>
      </w:r>
    </w:p>
    <w:p w14:paraId="56623875" w14:textId="6488D2D8"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Chalot, M., Finlay, R.D., Ek, H., and Soderstrom, B.</w:t>
      </w:r>
      <w:r w:rsidRPr="00DF0AA5">
        <w:rPr>
          <w:rFonts w:cs="Arial"/>
          <w:noProof/>
        </w:rPr>
        <w:t xml:space="preserve"> (1995). Metabolism of [15N]</w:t>
      </w:r>
      <w:r w:rsidR="00556732">
        <w:rPr>
          <w:rFonts w:cs="Arial"/>
          <w:noProof/>
        </w:rPr>
        <w:t xml:space="preserve"> </w:t>
      </w:r>
      <w:r w:rsidRPr="00DF0AA5">
        <w:rPr>
          <w:rFonts w:cs="Arial"/>
          <w:noProof/>
        </w:rPr>
        <w:t xml:space="preserve">Alanine in the Ectomycorrhizal Fungus </w:t>
      </w:r>
      <w:r w:rsidRPr="00556732">
        <w:rPr>
          <w:rFonts w:cs="Arial"/>
          <w:i/>
          <w:noProof/>
        </w:rPr>
        <w:t>Paxillus involutus</w:t>
      </w:r>
      <w:r w:rsidRPr="00DF0AA5">
        <w:rPr>
          <w:rFonts w:cs="Arial"/>
          <w:noProof/>
        </w:rPr>
        <w:t xml:space="preserve">. Exp. Mycol. </w:t>
      </w:r>
      <w:r w:rsidRPr="00DF0AA5">
        <w:rPr>
          <w:rFonts w:cs="Arial"/>
          <w:b/>
          <w:bCs/>
          <w:noProof/>
        </w:rPr>
        <w:t>19</w:t>
      </w:r>
      <w:r w:rsidRPr="00DF0AA5">
        <w:rPr>
          <w:rFonts w:cs="Arial"/>
          <w:noProof/>
        </w:rPr>
        <w:t>: 297–304.</w:t>
      </w:r>
    </w:p>
    <w:p w14:paraId="111CC8B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Chanclud, E. and Morel, J.</w:t>
      </w:r>
      <w:r w:rsidRPr="00DF0AA5">
        <w:rPr>
          <w:rFonts w:cs="Arial"/>
          <w:noProof/>
        </w:rPr>
        <w:t xml:space="preserve"> (2016). Review Plant hormones : a fungal point of view. </w:t>
      </w:r>
      <w:r w:rsidRPr="00DF0AA5">
        <w:rPr>
          <w:rFonts w:cs="Arial"/>
          <w:b/>
          <w:bCs/>
          <w:noProof/>
        </w:rPr>
        <w:t>7</w:t>
      </w:r>
      <w:r w:rsidRPr="00DF0AA5">
        <w:rPr>
          <w:rFonts w:cs="Arial"/>
          <w:noProof/>
        </w:rPr>
        <w:t>: 1–9.</w:t>
      </w:r>
    </w:p>
    <w:p w14:paraId="184D7AD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Chen, W., Luo, L., He, L.Y., Wang, Q., and Sheng, X.F.</w:t>
      </w:r>
      <w:r w:rsidRPr="00DF0AA5">
        <w:rPr>
          <w:rFonts w:cs="Arial"/>
          <w:noProof/>
        </w:rPr>
        <w:t xml:space="preserve"> (2016). Distinct mineral weathering behaviors of the novel mineral- weathering strains </w:t>
      </w:r>
      <w:r w:rsidRPr="00556732">
        <w:rPr>
          <w:rFonts w:cs="Arial"/>
          <w:i/>
          <w:noProof/>
        </w:rPr>
        <w:t>Rhizobium yantingense</w:t>
      </w:r>
      <w:r w:rsidRPr="00DF0AA5">
        <w:rPr>
          <w:rFonts w:cs="Arial"/>
          <w:noProof/>
        </w:rPr>
        <w:t xml:space="preserve"> H66 and </w:t>
      </w:r>
      <w:r w:rsidRPr="00556732">
        <w:rPr>
          <w:rFonts w:cs="Arial"/>
          <w:i/>
          <w:noProof/>
        </w:rPr>
        <w:t>Rhizobium etli</w:t>
      </w:r>
      <w:r w:rsidRPr="00DF0AA5">
        <w:rPr>
          <w:rFonts w:cs="Arial"/>
          <w:noProof/>
        </w:rPr>
        <w:t xml:space="preserve"> CFN42. Appl. Environ. Microbiol. </w:t>
      </w:r>
      <w:r w:rsidRPr="00DF0AA5">
        <w:rPr>
          <w:rFonts w:cs="Arial"/>
          <w:b/>
          <w:bCs/>
          <w:noProof/>
        </w:rPr>
        <w:t>82</w:t>
      </w:r>
      <w:r w:rsidRPr="00DF0AA5">
        <w:rPr>
          <w:rFonts w:cs="Arial"/>
          <w:noProof/>
        </w:rPr>
        <w:t>: 4090–4099.</w:t>
      </w:r>
    </w:p>
    <w:p w14:paraId="6F6D3EF9" w14:textId="54F5F836"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Chen, X. and Hampp, R.</w:t>
      </w:r>
      <w:r w:rsidRPr="00DF0AA5">
        <w:rPr>
          <w:rFonts w:cs="Arial"/>
          <w:noProof/>
        </w:rPr>
        <w:t xml:space="preserve"> (1993). Sugar uptake by protoplasts of the ectomycorrhizal </w:t>
      </w:r>
      <w:r w:rsidRPr="00DF0AA5">
        <w:rPr>
          <w:rFonts w:cs="Arial"/>
          <w:noProof/>
        </w:rPr>
        <w:lastRenderedPageBreak/>
        <w:t xml:space="preserve">fungus, </w:t>
      </w:r>
      <w:r w:rsidR="00556732">
        <w:rPr>
          <w:rFonts w:cs="Arial"/>
          <w:i/>
          <w:noProof/>
        </w:rPr>
        <w:t>Amanita musc</w:t>
      </w:r>
      <w:r w:rsidRPr="00556732">
        <w:rPr>
          <w:rFonts w:cs="Arial"/>
          <w:i/>
          <w:noProof/>
        </w:rPr>
        <w:t>aria</w:t>
      </w:r>
      <w:r w:rsidRPr="00DF0AA5">
        <w:rPr>
          <w:rFonts w:cs="Arial"/>
          <w:noProof/>
        </w:rPr>
        <w:t xml:space="preserve"> (L. ex fr.) Hooker. New Phytol. </w:t>
      </w:r>
      <w:r w:rsidRPr="00DF0AA5">
        <w:rPr>
          <w:rFonts w:cs="Arial"/>
          <w:b/>
          <w:bCs/>
          <w:noProof/>
        </w:rPr>
        <w:t>125</w:t>
      </w:r>
      <w:r w:rsidRPr="00DF0AA5">
        <w:rPr>
          <w:rFonts w:cs="Arial"/>
          <w:noProof/>
        </w:rPr>
        <w:t>: 601–608.</w:t>
      </w:r>
    </w:p>
    <w:p w14:paraId="4D15C64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Choi, J. and Kim, S.-H.</w:t>
      </w:r>
      <w:r w:rsidRPr="00DF0AA5">
        <w:rPr>
          <w:rFonts w:cs="Arial"/>
          <w:noProof/>
        </w:rPr>
        <w:t xml:space="preserve"> (2017). A genome Tree of Life for the Fungi kingdom. Proc. Natl. Acad. Sci. </w:t>
      </w:r>
      <w:r w:rsidRPr="00DF0AA5">
        <w:rPr>
          <w:rFonts w:cs="Arial"/>
          <w:b/>
          <w:bCs/>
          <w:noProof/>
        </w:rPr>
        <w:t>114</w:t>
      </w:r>
      <w:r w:rsidRPr="00DF0AA5">
        <w:rPr>
          <w:rFonts w:cs="Arial"/>
          <w:noProof/>
        </w:rPr>
        <w:t>: 201711939.</w:t>
      </w:r>
    </w:p>
    <w:p w14:paraId="57635F63" w14:textId="6289A13E"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Colpaert, J. V, Tichelen, K.K. Van, Assche, J.A. Van, and Laere, A. Van</w:t>
      </w:r>
      <w:r w:rsidR="00556732">
        <w:rPr>
          <w:rFonts w:cs="Arial"/>
          <w:noProof/>
        </w:rPr>
        <w:t xml:space="preserve"> (1999). S</w:t>
      </w:r>
      <w:r w:rsidRPr="00DF0AA5">
        <w:rPr>
          <w:rFonts w:cs="Arial"/>
          <w:noProof/>
        </w:rPr>
        <w:t xml:space="preserve">hort-term phosphorus uptake rates in mycorrhizal and non-mycorrhizal roots of intact </w:t>
      </w:r>
      <w:r w:rsidRPr="00556732">
        <w:rPr>
          <w:rFonts w:cs="Arial"/>
          <w:i/>
          <w:noProof/>
        </w:rPr>
        <w:t>Pinus sylvestris</w:t>
      </w:r>
      <w:r w:rsidRPr="00DF0AA5">
        <w:rPr>
          <w:rFonts w:cs="Arial"/>
          <w:noProof/>
        </w:rPr>
        <w:t xml:space="preserve"> seedlings. New Phytol. </w:t>
      </w:r>
      <w:r w:rsidRPr="00DF0AA5">
        <w:rPr>
          <w:rFonts w:cs="Arial"/>
          <w:b/>
          <w:bCs/>
          <w:noProof/>
        </w:rPr>
        <w:t>143</w:t>
      </w:r>
      <w:r w:rsidRPr="00DF0AA5">
        <w:rPr>
          <w:rFonts w:cs="Arial"/>
          <w:noProof/>
        </w:rPr>
        <w:t>: 589–597.</w:t>
      </w:r>
    </w:p>
    <w:p w14:paraId="1A4F468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Cordell, D., Drangert, J.O., and White, S.</w:t>
      </w:r>
      <w:r w:rsidRPr="00DF0AA5">
        <w:rPr>
          <w:rFonts w:cs="Arial"/>
          <w:noProof/>
        </w:rPr>
        <w:t xml:space="preserve"> (2009). The story of phosphorus: Global food security and food for thought. Glob. Environ. Chang. </w:t>
      </w:r>
      <w:r w:rsidRPr="00DF0AA5">
        <w:rPr>
          <w:rFonts w:cs="Arial"/>
          <w:b/>
          <w:bCs/>
          <w:noProof/>
        </w:rPr>
        <w:t>19</w:t>
      </w:r>
      <w:r w:rsidRPr="00DF0AA5">
        <w:rPr>
          <w:rFonts w:cs="Arial"/>
          <w:noProof/>
        </w:rPr>
        <w:t>: 292–305.</w:t>
      </w:r>
    </w:p>
    <w:p w14:paraId="6E50D87E" w14:textId="54FBBCA3"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Cox, R.J. and Simpson, T.J.</w:t>
      </w:r>
      <w:r w:rsidRPr="00DF0AA5">
        <w:rPr>
          <w:rFonts w:cs="Arial"/>
          <w:noProof/>
        </w:rPr>
        <w:t xml:space="preserve"> (2009). Chapter 3</w:t>
      </w:r>
      <w:r w:rsidR="00556732">
        <w:rPr>
          <w:rFonts w:cs="Arial"/>
          <w:noProof/>
        </w:rPr>
        <w:t>.</w:t>
      </w:r>
      <w:r w:rsidRPr="00DF0AA5">
        <w:rPr>
          <w:rFonts w:cs="Arial"/>
          <w:noProof/>
        </w:rPr>
        <w:t xml:space="preserve"> Fungal Type I Polyketide Synthases 1st ed. (Elsevier Inc.).</w:t>
      </w:r>
    </w:p>
    <w:p w14:paraId="2E8E4FD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Darch, T., Blackwell, M.S.A., Chadwick, D., Haygarth, P.M., Hawkins, J.M.B., and Turner, B.L.</w:t>
      </w:r>
      <w:r w:rsidRPr="00DF0AA5">
        <w:rPr>
          <w:rFonts w:cs="Arial"/>
          <w:noProof/>
        </w:rPr>
        <w:t xml:space="preserve"> (2016). Assessment of bioavailable organic phosphorus in tropical forest soils by organic acid extraction and phosphatase hydrolysis. Geoderma </w:t>
      </w:r>
      <w:r w:rsidRPr="00DF0AA5">
        <w:rPr>
          <w:rFonts w:cs="Arial"/>
          <w:b/>
          <w:bCs/>
          <w:noProof/>
        </w:rPr>
        <w:t>284</w:t>
      </w:r>
      <w:r w:rsidRPr="00DF0AA5">
        <w:rPr>
          <w:rFonts w:cs="Arial"/>
          <w:noProof/>
        </w:rPr>
        <w:t>: 93–102.</w:t>
      </w:r>
    </w:p>
    <w:p w14:paraId="249A8EF4" w14:textId="3E81B0F0"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Deplaine, H., Lebou</w:t>
      </w:r>
      <w:r w:rsidR="00556732">
        <w:rPr>
          <w:rFonts w:cs="Arial"/>
          <w:b/>
          <w:bCs/>
          <w:noProof/>
        </w:rPr>
        <w:t>rg, M., Ripalda, P., Vidaurre, A</w:t>
      </w:r>
      <w:r w:rsidRPr="00DF0AA5">
        <w:rPr>
          <w:rFonts w:cs="Arial"/>
          <w:b/>
          <w:bCs/>
          <w:noProof/>
        </w:rPr>
        <w:t>., Sanz-Ramos, P., Mora, G., Prõsper, F., Ochoa, I., Doblaré, M., Gõmez Ribelles, J.L., Izal-Azcárate, I., and Gallego Ferrer, G.</w:t>
      </w:r>
      <w:r w:rsidRPr="00DF0AA5">
        <w:rPr>
          <w:rFonts w:cs="Arial"/>
          <w:noProof/>
        </w:rPr>
        <w:t xml:space="preserve"> (2013). Biomimetic hydroxyapatite coating on pore walls improves osteointegration of poly(L-lactic acid) scaffolds. J. Biomed. Mater. Res. - Part B Appl. Biomater. </w:t>
      </w:r>
      <w:r w:rsidRPr="00DF0AA5">
        <w:rPr>
          <w:rFonts w:cs="Arial"/>
          <w:b/>
          <w:bCs/>
          <w:noProof/>
        </w:rPr>
        <w:t>101 B</w:t>
      </w:r>
      <w:r w:rsidRPr="00DF0AA5">
        <w:rPr>
          <w:rFonts w:cs="Arial"/>
          <w:noProof/>
        </w:rPr>
        <w:t>: 173–186.</w:t>
      </w:r>
    </w:p>
    <w:p w14:paraId="586AECE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Dickman, M.B. and Yarden, O.</w:t>
      </w:r>
      <w:r w:rsidRPr="00DF0AA5">
        <w:rPr>
          <w:rFonts w:cs="Arial"/>
          <w:noProof/>
        </w:rPr>
        <w:t xml:space="preserve"> (1999). Serine/threonine protein kinases and phosphatases in filamentious fungi. Fungal Genet. Biol. </w:t>
      </w:r>
      <w:r w:rsidRPr="00DF0AA5">
        <w:rPr>
          <w:rFonts w:cs="Arial"/>
          <w:b/>
          <w:bCs/>
          <w:noProof/>
        </w:rPr>
        <w:t>26</w:t>
      </w:r>
      <w:r w:rsidRPr="00DF0AA5">
        <w:rPr>
          <w:rFonts w:cs="Arial"/>
          <w:noProof/>
        </w:rPr>
        <w:t>: 99–117.</w:t>
      </w:r>
    </w:p>
    <w:p w14:paraId="1910021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Dobin, A., Davis, C.A., Schlesinger, F., Drenkow, J., Zaleski, C., Jha, S., Batut, P., Chaisson, M., and Gingeras, T.R.</w:t>
      </w:r>
      <w:r w:rsidRPr="00DF0AA5">
        <w:rPr>
          <w:rFonts w:cs="Arial"/>
          <w:noProof/>
        </w:rPr>
        <w:t xml:space="preserve"> (2013). STAR: Ultrafast universal RNA-seq aligner. Bioinformatics </w:t>
      </w:r>
      <w:r w:rsidRPr="00DF0AA5">
        <w:rPr>
          <w:rFonts w:cs="Arial"/>
          <w:b/>
          <w:bCs/>
          <w:noProof/>
        </w:rPr>
        <w:t>29</w:t>
      </w:r>
      <w:r w:rsidRPr="00DF0AA5">
        <w:rPr>
          <w:rFonts w:cs="Arial"/>
          <w:noProof/>
        </w:rPr>
        <w:t>: 15–21.</w:t>
      </w:r>
    </w:p>
    <w:p w14:paraId="162DC6F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Dorozhkin, S. V</w:t>
      </w:r>
      <w:r w:rsidRPr="00DF0AA5">
        <w:rPr>
          <w:rFonts w:cs="Arial"/>
          <w:noProof/>
        </w:rPr>
        <w:t xml:space="preserve"> (2012). Dissolution mechanism of calcium apatites in acids: A review of literature. World J. Methodol. </w:t>
      </w:r>
      <w:r w:rsidRPr="00DF0AA5">
        <w:rPr>
          <w:rFonts w:cs="Arial"/>
          <w:b/>
          <w:bCs/>
          <w:noProof/>
        </w:rPr>
        <w:t>2</w:t>
      </w:r>
      <w:r w:rsidRPr="00DF0AA5">
        <w:rPr>
          <w:rFonts w:cs="Arial"/>
          <w:noProof/>
        </w:rPr>
        <w:t>: 1.</w:t>
      </w:r>
    </w:p>
    <w:p w14:paraId="75379114" w14:textId="5E53928C"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Drever, J.I. and Vance, G.F.</w:t>
      </w:r>
      <w:r w:rsidRPr="00DF0AA5">
        <w:rPr>
          <w:rFonts w:cs="Arial"/>
          <w:noProof/>
        </w:rPr>
        <w:t xml:space="preserve"> (1994). Role of Soil Organic Acids in Mineral Weathering </w:t>
      </w:r>
      <w:r w:rsidR="00556732">
        <w:rPr>
          <w:rFonts w:cs="Arial"/>
          <w:noProof/>
        </w:rPr>
        <w:lastRenderedPageBreak/>
        <w:t xml:space="preserve">Processes BT </w:t>
      </w:r>
      <w:r w:rsidRPr="00DF0AA5">
        <w:rPr>
          <w:rFonts w:cs="Arial"/>
          <w:noProof/>
        </w:rPr>
        <w:t>- Organic Acids in Geological Processes. In E.D. Pittman and M.D. Lewan, eds (Springer Berlin Heidelberg: Berlin, Heidelberg), pp. 138–161.</w:t>
      </w:r>
    </w:p>
    <w:p w14:paraId="6FC59CC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Dröse, S. and Brandt, U.</w:t>
      </w:r>
      <w:r w:rsidRPr="00DF0AA5">
        <w:rPr>
          <w:rFonts w:cs="Arial"/>
          <w:noProof/>
        </w:rPr>
        <w:t xml:space="preserve"> (2008). The mechanism of mitochondrial superoxide production by the cytochrome bc1 Complex. J. Biol. Chem. </w:t>
      </w:r>
      <w:r w:rsidRPr="00DF0AA5">
        <w:rPr>
          <w:rFonts w:cs="Arial"/>
          <w:b/>
          <w:bCs/>
          <w:noProof/>
        </w:rPr>
        <w:t>283</w:t>
      </w:r>
      <w:r w:rsidRPr="00DF0AA5">
        <w:rPr>
          <w:rFonts w:cs="Arial"/>
          <w:noProof/>
        </w:rPr>
        <w:t>: 21649–21654.</w:t>
      </w:r>
    </w:p>
    <w:p w14:paraId="0B1D847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Du, L. and Novick, P.</w:t>
      </w:r>
      <w:r w:rsidRPr="00DF0AA5">
        <w:rPr>
          <w:rFonts w:cs="Arial"/>
          <w:noProof/>
        </w:rPr>
        <w:t xml:space="preserve"> (2002). Pag1p, a Novel Protein Associated with Protein Kinase Cbk1p, Is Required for Cell Morphogenesis and Proliferation in </w:t>
      </w:r>
      <w:r w:rsidRPr="00556732">
        <w:rPr>
          <w:rFonts w:cs="Arial"/>
          <w:i/>
          <w:noProof/>
        </w:rPr>
        <w:t>Saccharomyces cerevisiae</w:t>
      </w:r>
      <w:r w:rsidRPr="00DF0AA5">
        <w:rPr>
          <w:rFonts w:cs="Arial"/>
          <w:noProof/>
        </w:rPr>
        <w:t xml:space="preserve">. Mol. Biol. Cell </w:t>
      </w:r>
      <w:r w:rsidRPr="00DF0AA5">
        <w:rPr>
          <w:rFonts w:cs="Arial"/>
          <w:b/>
          <w:bCs/>
          <w:noProof/>
        </w:rPr>
        <w:t>13</w:t>
      </w:r>
      <w:r w:rsidRPr="00DF0AA5">
        <w:rPr>
          <w:rFonts w:cs="Arial"/>
          <w:noProof/>
        </w:rPr>
        <w:t>: 503–514.</w:t>
      </w:r>
    </w:p>
    <w:p w14:paraId="066EDBC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Dutton, M. V. and Evans, C.S.</w:t>
      </w:r>
      <w:r w:rsidRPr="00DF0AA5">
        <w:rPr>
          <w:rFonts w:cs="Arial"/>
          <w:noProof/>
        </w:rPr>
        <w:t xml:space="preserve"> (1996). Oxalate production by fungi: its role in pathogenicity and ecology in the soil environment. Can. J. Microbiol. </w:t>
      </w:r>
      <w:r w:rsidRPr="00DF0AA5">
        <w:rPr>
          <w:rFonts w:cs="Arial"/>
          <w:b/>
          <w:bCs/>
          <w:noProof/>
        </w:rPr>
        <w:t>42</w:t>
      </w:r>
      <w:r w:rsidRPr="00DF0AA5">
        <w:rPr>
          <w:rFonts w:cs="Arial"/>
          <w:noProof/>
        </w:rPr>
        <w:t>: 881–895.</w:t>
      </w:r>
    </w:p>
    <w:p w14:paraId="65F19337"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Ek, H.</w:t>
      </w:r>
      <w:r w:rsidRPr="00DF0AA5">
        <w:rPr>
          <w:rFonts w:cs="Arial"/>
          <w:noProof/>
        </w:rPr>
        <w:t xml:space="preserve"> (1997). The influence of nitrogen fertilization on the carbon economy of </w:t>
      </w:r>
      <w:r w:rsidRPr="00556732">
        <w:rPr>
          <w:rFonts w:cs="Arial"/>
          <w:i/>
          <w:noProof/>
        </w:rPr>
        <w:t>Paxillus involutus</w:t>
      </w:r>
      <w:r w:rsidRPr="00DF0AA5">
        <w:rPr>
          <w:rFonts w:cs="Arial"/>
          <w:noProof/>
        </w:rPr>
        <w:t xml:space="preserve"> in ectomycorrhizal association with </w:t>
      </w:r>
      <w:r w:rsidRPr="00556732">
        <w:rPr>
          <w:rFonts w:cs="Arial"/>
          <w:i/>
          <w:noProof/>
        </w:rPr>
        <w:t>Betula pendula</w:t>
      </w:r>
      <w:r w:rsidRPr="00DF0AA5">
        <w:rPr>
          <w:rFonts w:cs="Arial"/>
          <w:noProof/>
        </w:rPr>
        <w:t xml:space="preserve">. New Phytol. </w:t>
      </w:r>
      <w:r w:rsidRPr="00DF0AA5">
        <w:rPr>
          <w:rFonts w:cs="Arial"/>
          <w:b/>
          <w:bCs/>
          <w:noProof/>
        </w:rPr>
        <w:t>135</w:t>
      </w:r>
      <w:r w:rsidRPr="00DF0AA5">
        <w:rPr>
          <w:rFonts w:cs="Arial"/>
          <w:noProof/>
        </w:rPr>
        <w:t>: 133–142.</w:t>
      </w:r>
    </w:p>
    <w:p w14:paraId="7FA99AD7"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Ekblad, A., Wallander, H., Carlsson, R., and Huss-Daniel, K.</w:t>
      </w:r>
      <w:r w:rsidRPr="00DF0AA5">
        <w:rPr>
          <w:rFonts w:cs="Arial"/>
          <w:noProof/>
        </w:rPr>
        <w:t xml:space="preserve"> (1995). Fungal biomass in roots and extramatrical mycelium in relation to macronutrients and plant biomass of ectomycorrhizal </w:t>
      </w:r>
      <w:r w:rsidRPr="00556732">
        <w:rPr>
          <w:rFonts w:cs="Arial"/>
          <w:i/>
          <w:noProof/>
        </w:rPr>
        <w:t>Pinus sylvestris</w:t>
      </w:r>
      <w:r w:rsidRPr="00DF0AA5">
        <w:rPr>
          <w:rFonts w:cs="Arial"/>
          <w:noProof/>
        </w:rPr>
        <w:t xml:space="preserve"> and </w:t>
      </w:r>
      <w:r w:rsidRPr="00556732">
        <w:rPr>
          <w:rFonts w:cs="Arial"/>
          <w:i/>
          <w:noProof/>
        </w:rPr>
        <w:t>Alnus incana</w:t>
      </w:r>
      <w:r w:rsidRPr="00DF0AA5">
        <w:rPr>
          <w:rFonts w:cs="Arial"/>
          <w:noProof/>
        </w:rPr>
        <w:t xml:space="preserve">. New Phytol. </w:t>
      </w:r>
      <w:r w:rsidRPr="00DF0AA5">
        <w:rPr>
          <w:rFonts w:cs="Arial"/>
          <w:b/>
          <w:bCs/>
          <w:noProof/>
        </w:rPr>
        <w:t>131</w:t>
      </w:r>
      <w:r w:rsidRPr="00DF0AA5">
        <w:rPr>
          <w:rFonts w:cs="Arial"/>
          <w:noProof/>
        </w:rPr>
        <w:t>: 443–451.</w:t>
      </w:r>
    </w:p>
    <w:p w14:paraId="28A61F98" w14:textId="4729FD0B"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Engel, S.R. et al.</w:t>
      </w:r>
      <w:r w:rsidRPr="00DF0AA5">
        <w:rPr>
          <w:rFonts w:cs="Arial"/>
          <w:noProof/>
        </w:rPr>
        <w:t xml:space="preserve"> (2014). The Reference Genome Sequence of </w:t>
      </w:r>
      <w:r w:rsidRPr="00556732">
        <w:rPr>
          <w:rFonts w:cs="Arial"/>
          <w:i/>
          <w:noProof/>
        </w:rPr>
        <w:t>Saccharomyces cerevisiae</w:t>
      </w:r>
      <w:r w:rsidRPr="00DF0AA5">
        <w:rPr>
          <w:rFonts w:cs="Arial"/>
          <w:noProof/>
        </w:rPr>
        <w:t xml:space="preserve">: Then and Now. G3 Genes|Genomes|Genetics </w:t>
      </w:r>
      <w:r w:rsidRPr="00DF0AA5">
        <w:rPr>
          <w:rFonts w:cs="Arial"/>
          <w:b/>
          <w:bCs/>
          <w:noProof/>
        </w:rPr>
        <w:t>4</w:t>
      </w:r>
      <w:r w:rsidRPr="00DF0AA5">
        <w:rPr>
          <w:rFonts w:cs="Arial"/>
          <w:noProof/>
        </w:rPr>
        <w:t>: 389–398.</w:t>
      </w:r>
    </w:p>
    <w:p w14:paraId="0816DCD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Ezawa, T., Smith, S.E., and Smith, A.F.</w:t>
      </w:r>
      <w:r w:rsidRPr="00DF0AA5">
        <w:rPr>
          <w:rFonts w:cs="Arial"/>
          <w:noProof/>
        </w:rPr>
        <w:t xml:space="preserve"> (2002). Differentiation of polyphosphate metabolism between the extra- and intraradical hyphae of arbuscular mycorrhizal fungi. New Phytol. </w:t>
      </w:r>
      <w:r w:rsidRPr="00DF0AA5">
        <w:rPr>
          <w:rFonts w:cs="Arial"/>
          <w:b/>
          <w:bCs/>
          <w:noProof/>
        </w:rPr>
        <w:t>149</w:t>
      </w:r>
      <w:r w:rsidRPr="00DF0AA5">
        <w:rPr>
          <w:rFonts w:cs="Arial"/>
          <w:noProof/>
        </w:rPr>
        <w:t>: 555–563.</w:t>
      </w:r>
    </w:p>
    <w:p w14:paraId="7023F18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Fahad, Z.A., Bolou-Bi, E.B., Köhler, S.J., Finlay, R.D., and Mahmood, S.</w:t>
      </w:r>
      <w:r w:rsidRPr="00DF0AA5">
        <w:rPr>
          <w:rFonts w:cs="Arial"/>
          <w:noProof/>
        </w:rPr>
        <w:t xml:space="preserve"> (2016). Fractionation and assimilation of Mg isotopes by fungi is species dependent. Environ. Microbiol. Rep. </w:t>
      </w:r>
      <w:r w:rsidRPr="00DF0AA5">
        <w:rPr>
          <w:rFonts w:cs="Arial"/>
          <w:b/>
          <w:bCs/>
          <w:noProof/>
        </w:rPr>
        <w:t>8</w:t>
      </w:r>
      <w:r w:rsidRPr="00DF0AA5">
        <w:rPr>
          <w:rFonts w:cs="Arial"/>
          <w:noProof/>
        </w:rPr>
        <w:t>: 956–965.</w:t>
      </w:r>
    </w:p>
    <w:p w14:paraId="2DF5FA2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Farooq, M., Hassan, M., and Gull, F.</w:t>
      </w:r>
      <w:r w:rsidRPr="00DF0AA5">
        <w:rPr>
          <w:rFonts w:cs="Arial"/>
          <w:noProof/>
        </w:rPr>
        <w:t xml:space="preserve"> (2015). Mycobial Deterioration of Stone Monuments of Dharmarajika, Taxila. J. Microbiol. Exp. </w:t>
      </w:r>
      <w:r w:rsidRPr="00DF0AA5">
        <w:rPr>
          <w:rFonts w:cs="Arial"/>
          <w:b/>
          <w:bCs/>
          <w:noProof/>
        </w:rPr>
        <w:t>2</w:t>
      </w:r>
      <w:r w:rsidRPr="00DF0AA5">
        <w:rPr>
          <w:rFonts w:cs="Arial"/>
          <w:noProof/>
        </w:rPr>
        <w:t>: 1–6.</w:t>
      </w:r>
    </w:p>
    <w:p w14:paraId="508A5480" w14:textId="3B111423"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Felsenstein, J.</w:t>
      </w:r>
      <w:r w:rsidRPr="00DF0AA5">
        <w:rPr>
          <w:rFonts w:cs="Arial"/>
          <w:noProof/>
        </w:rPr>
        <w:t xml:space="preserve"> (1985). C</w:t>
      </w:r>
      <w:r w:rsidR="00556732">
        <w:rPr>
          <w:rFonts w:cs="Arial"/>
          <w:noProof/>
        </w:rPr>
        <w:t>onfidence Limits on Phylogenies</w:t>
      </w:r>
      <w:r w:rsidRPr="00DF0AA5">
        <w:rPr>
          <w:rFonts w:cs="Arial"/>
          <w:noProof/>
        </w:rPr>
        <w:t xml:space="preserve">: An Approach Using the Bootstrap. Evolution (N. Y). </w:t>
      </w:r>
      <w:r w:rsidRPr="00DF0AA5">
        <w:rPr>
          <w:rFonts w:cs="Arial"/>
          <w:b/>
          <w:bCs/>
          <w:noProof/>
        </w:rPr>
        <w:t>39</w:t>
      </w:r>
      <w:r w:rsidRPr="00DF0AA5">
        <w:rPr>
          <w:rFonts w:cs="Arial"/>
          <w:noProof/>
        </w:rPr>
        <w:t>: 783–791.</w:t>
      </w:r>
    </w:p>
    <w:p w14:paraId="65D8A46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Felten, J., Martin, F., and Legué, V.</w:t>
      </w:r>
      <w:r w:rsidRPr="00DF0AA5">
        <w:rPr>
          <w:rFonts w:cs="Arial"/>
          <w:noProof/>
        </w:rPr>
        <w:t xml:space="preserve"> (2012). Signalling in Ectomycorrhizal Symbiosis. </w:t>
      </w:r>
      <w:r w:rsidRPr="00DF0AA5">
        <w:rPr>
          <w:rFonts w:cs="Arial"/>
          <w:b/>
          <w:bCs/>
          <w:noProof/>
        </w:rPr>
        <w:t>11</w:t>
      </w:r>
      <w:r w:rsidRPr="00DF0AA5">
        <w:rPr>
          <w:rFonts w:cs="Arial"/>
          <w:noProof/>
        </w:rPr>
        <w:t>: 123–142.</w:t>
      </w:r>
    </w:p>
    <w:p w14:paraId="43276DC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Fernández, I.S., Ruíz-Duẽas, F.J., Santillana, E., Ferreira, P., Martínez, M.J., Martínez, Á.T., and Romero, A.</w:t>
      </w:r>
      <w:r w:rsidRPr="00DF0AA5">
        <w:rPr>
          <w:rFonts w:cs="Arial"/>
          <w:noProof/>
        </w:rPr>
        <w:t xml:space="preserve"> (2009). Novel structural features in the GMC family of oxidoreductases revealed by the crystal structure of fungal aryl-alcohol oxidase. Acta Crystallogr. Sect. D Biol. Crystallogr. </w:t>
      </w:r>
      <w:r w:rsidRPr="00DF0AA5">
        <w:rPr>
          <w:rFonts w:cs="Arial"/>
          <w:b/>
          <w:bCs/>
          <w:noProof/>
        </w:rPr>
        <w:t>65</w:t>
      </w:r>
      <w:r w:rsidRPr="00DF0AA5">
        <w:rPr>
          <w:rFonts w:cs="Arial"/>
          <w:noProof/>
        </w:rPr>
        <w:t>: 1196–1205.</w:t>
      </w:r>
    </w:p>
    <w:p w14:paraId="5AAABF16" w14:textId="0671DC48"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Filippelli, G.M.</w:t>
      </w:r>
      <w:r w:rsidRPr="00DF0AA5">
        <w:rPr>
          <w:rFonts w:cs="Arial"/>
          <w:noProof/>
        </w:rPr>
        <w:t xml:space="preserve"> (2008). The Global Phosphorus Cycle: Pa</w:t>
      </w:r>
      <w:r w:rsidR="00556732">
        <w:rPr>
          <w:rFonts w:cs="Arial"/>
          <w:noProof/>
        </w:rPr>
        <w:t xml:space="preserve">st, Present, and Future. Elem. </w:t>
      </w:r>
      <w:r w:rsidRPr="00DF0AA5">
        <w:rPr>
          <w:rFonts w:cs="Arial"/>
          <w:b/>
          <w:bCs/>
          <w:noProof/>
        </w:rPr>
        <w:t>4</w:t>
      </w:r>
      <w:r w:rsidRPr="00DF0AA5">
        <w:rPr>
          <w:rFonts w:cs="Arial"/>
          <w:noProof/>
        </w:rPr>
        <w:t>: 89–95.</w:t>
      </w:r>
    </w:p>
    <w:p w14:paraId="6371826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Finlay, R.D.</w:t>
      </w:r>
      <w:r w:rsidRPr="00DF0AA5">
        <w:rPr>
          <w:rFonts w:cs="Arial"/>
          <w:noProof/>
        </w:rPr>
        <w:t xml:space="preserve"> (2008). Ecological aspects of mycorrhizal symbiosis: With special emphasis on the functional diversity of interactions involving the extraradical mycelium. J. Exp. Bot. </w:t>
      </w:r>
      <w:r w:rsidRPr="00DF0AA5">
        <w:rPr>
          <w:rFonts w:cs="Arial"/>
          <w:b/>
          <w:bCs/>
          <w:noProof/>
        </w:rPr>
        <w:t>59</w:t>
      </w:r>
      <w:r w:rsidRPr="00DF0AA5">
        <w:rPr>
          <w:rFonts w:cs="Arial"/>
          <w:noProof/>
        </w:rPr>
        <w:t>: 1115–1126.</w:t>
      </w:r>
    </w:p>
    <w:p w14:paraId="14A3F02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Flicoteaux, R. and Lucas, J.</w:t>
      </w:r>
      <w:r w:rsidRPr="00DF0AA5">
        <w:rPr>
          <w:rFonts w:cs="Arial"/>
          <w:noProof/>
        </w:rPr>
        <w:t xml:space="preserve"> (1984). Weathering Of Phosphate Minerals. In Phosphate Minerals SE - 9, J. Nriagu and P. Moore, eds (Springer Berlin Heidelberg), pp. 292–317.</w:t>
      </w:r>
    </w:p>
    <w:p w14:paraId="7041AA8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Fomina, M., Burford, E.P., Hillier, S., Kierans, M., and Gadd, G.M.</w:t>
      </w:r>
      <w:r w:rsidRPr="00DF0AA5">
        <w:rPr>
          <w:rFonts w:cs="Arial"/>
          <w:noProof/>
        </w:rPr>
        <w:t xml:space="preserve"> (2010). Rock-building fungi. Geomicrobiol. J. </w:t>
      </w:r>
      <w:r w:rsidRPr="00DF0AA5">
        <w:rPr>
          <w:rFonts w:cs="Arial"/>
          <w:b/>
          <w:bCs/>
          <w:noProof/>
        </w:rPr>
        <w:t>27</w:t>
      </w:r>
      <w:r w:rsidRPr="00DF0AA5">
        <w:rPr>
          <w:rFonts w:cs="Arial"/>
          <w:noProof/>
        </w:rPr>
        <w:t>: 624–629.</w:t>
      </w:r>
    </w:p>
    <w:p w14:paraId="22375E5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Fomina, M., Charnock, J.M., Hillier, S., Alvarez, R., Livens, F., and Gadd, G.M.</w:t>
      </w:r>
      <w:r w:rsidRPr="00DF0AA5">
        <w:rPr>
          <w:rFonts w:cs="Arial"/>
          <w:noProof/>
        </w:rPr>
        <w:t xml:space="preserve"> (2008). Role of fungi in the biogeochemical fate of depleted uranium. Curr. Biol. </w:t>
      </w:r>
      <w:r w:rsidRPr="00DF0AA5">
        <w:rPr>
          <w:rFonts w:cs="Arial"/>
          <w:b/>
          <w:bCs/>
          <w:noProof/>
        </w:rPr>
        <w:t>18</w:t>
      </w:r>
      <w:r w:rsidRPr="00DF0AA5">
        <w:rPr>
          <w:rFonts w:cs="Arial"/>
          <w:noProof/>
        </w:rPr>
        <w:t>: 375–377.</w:t>
      </w:r>
    </w:p>
    <w:p w14:paraId="412A5E0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Fomina, M.A., Alexander, I.J., Colpaert, J. V., and Gadd, G.M.</w:t>
      </w:r>
      <w:r w:rsidRPr="00DF0AA5">
        <w:rPr>
          <w:rFonts w:cs="Arial"/>
          <w:noProof/>
        </w:rPr>
        <w:t xml:space="preserve"> (2005). Solubilization of toxic metal minerals and metal tolerance of mycorrhizal fungi. Soil Biol. Biochem. </w:t>
      </w:r>
      <w:r w:rsidRPr="00DF0AA5">
        <w:rPr>
          <w:rFonts w:cs="Arial"/>
          <w:b/>
          <w:bCs/>
          <w:noProof/>
        </w:rPr>
        <w:t>37</w:t>
      </w:r>
      <w:r w:rsidRPr="00DF0AA5">
        <w:rPr>
          <w:rFonts w:cs="Arial"/>
          <w:noProof/>
        </w:rPr>
        <w:t>: 851–866.</w:t>
      </w:r>
    </w:p>
    <w:p w14:paraId="116553F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Fox, T.R. and Comerford, N.B.</w:t>
      </w:r>
      <w:r w:rsidRPr="00DF0AA5">
        <w:rPr>
          <w:rFonts w:cs="Arial"/>
          <w:noProof/>
        </w:rPr>
        <w:t xml:space="preserve"> (1990). Low-Molecular-Weight Organic Acids in Selected Forest Soils of the Southeastern USA. Soil Sci. Soc. Am. J. </w:t>
      </w:r>
      <w:r w:rsidRPr="00DF0AA5">
        <w:rPr>
          <w:rFonts w:cs="Arial"/>
          <w:b/>
          <w:bCs/>
          <w:noProof/>
        </w:rPr>
        <w:t>54</w:t>
      </w:r>
      <w:r w:rsidRPr="00DF0AA5">
        <w:rPr>
          <w:rFonts w:cs="Arial"/>
          <w:noProof/>
        </w:rPr>
        <w:t>: 1139–1144.</w:t>
      </w:r>
    </w:p>
    <w:p w14:paraId="7753BB8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Fredrickson, J.K. and Zachara, J.M.</w:t>
      </w:r>
      <w:r w:rsidRPr="00DF0AA5">
        <w:rPr>
          <w:rFonts w:cs="Arial"/>
          <w:noProof/>
        </w:rPr>
        <w:t xml:space="preserve"> (2008). Electron transfer at the microbe-mineral interface: A grand challenge in biogeochemistry. Geobiology </w:t>
      </w:r>
      <w:r w:rsidRPr="00DF0AA5">
        <w:rPr>
          <w:rFonts w:cs="Arial"/>
          <w:b/>
          <w:bCs/>
          <w:noProof/>
        </w:rPr>
        <w:t>6</w:t>
      </w:r>
      <w:r w:rsidRPr="00DF0AA5">
        <w:rPr>
          <w:rFonts w:cs="Arial"/>
          <w:noProof/>
        </w:rPr>
        <w:t>: 245–253.</w:t>
      </w:r>
    </w:p>
    <w:p w14:paraId="624EAAE5"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 xml:space="preserve">Funaya, C., Samarasinghe, S., Pruggnaller, S., Ohta, M., Connolly, Y., Müller, J., </w:t>
      </w:r>
      <w:r w:rsidRPr="00DF0AA5">
        <w:rPr>
          <w:rFonts w:cs="Arial"/>
          <w:b/>
          <w:bCs/>
          <w:noProof/>
        </w:rPr>
        <w:lastRenderedPageBreak/>
        <w:t>Murakami, H., Grallert, A., Yamamoto, M., Smith, D., Antony, C., and Tanaka, K.</w:t>
      </w:r>
      <w:r w:rsidRPr="00DF0AA5">
        <w:rPr>
          <w:rFonts w:cs="Arial"/>
          <w:noProof/>
        </w:rPr>
        <w:t xml:space="preserve"> (2012). Transient structure associated with the spindle pole body directs meiotic microtubule reorganization in </w:t>
      </w:r>
      <w:r w:rsidRPr="00556732">
        <w:rPr>
          <w:rFonts w:cs="Arial"/>
          <w:i/>
          <w:noProof/>
        </w:rPr>
        <w:t>S. Pombe</w:t>
      </w:r>
      <w:r w:rsidRPr="00DF0AA5">
        <w:rPr>
          <w:rFonts w:cs="Arial"/>
          <w:noProof/>
        </w:rPr>
        <w:t xml:space="preserve">. Curr. Biol. </w:t>
      </w:r>
      <w:r w:rsidRPr="00DF0AA5">
        <w:rPr>
          <w:rFonts w:cs="Arial"/>
          <w:b/>
          <w:bCs/>
          <w:noProof/>
        </w:rPr>
        <w:t>22</w:t>
      </w:r>
      <w:r w:rsidRPr="00DF0AA5">
        <w:rPr>
          <w:rFonts w:cs="Arial"/>
          <w:noProof/>
        </w:rPr>
        <w:t>: 562–574.</w:t>
      </w:r>
    </w:p>
    <w:p w14:paraId="7EFF0681" w14:textId="32AE3648"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Furihata, T., Suzuki, M., and Sakurai, H.</w:t>
      </w:r>
      <w:r w:rsidRPr="00DF0AA5">
        <w:rPr>
          <w:rFonts w:cs="Arial"/>
          <w:noProof/>
        </w:rPr>
        <w:t xml:space="preserve"> (1992). Kinetic characterization of two phosphate uptake systems with different aff</w:t>
      </w:r>
      <w:r w:rsidR="00556732">
        <w:rPr>
          <w:rFonts w:cs="Arial"/>
          <w:noProof/>
        </w:rPr>
        <w:t xml:space="preserve">inities in suspension-cultured </w:t>
      </w:r>
      <w:r w:rsidR="00556732" w:rsidRPr="00556732">
        <w:rPr>
          <w:rFonts w:cs="Arial"/>
          <w:i/>
          <w:noProof/>
        </w:rPr>
        <w:t>C</w:t>
      </w:r>
      <w:r w:rsidRPr="00556732">
        <w:rPr>
          <w:rFonts w:cs="Arial"/>
          <w:i/>
          <w:noProof/>
        </w:rPr>
        <w:t>atharanthus roseus</w:t>
      </w:r>
      <w:r w:rsidRPr="00DF0AA5">
        <w:rPr>
          <w:rFonts w:cs="Arial"/>
          <w:noProof/>
        </w:rPr>
        <w:t xml:space="preserve"> protoplasts. Plant Cell Physiol. </w:t>
      </w:r>
      <w:r w:rsidRPr="00DF0AA5">
        <w:rPr>
          <w:rFonts w:cs="Arial"/>
          <w:b/>
          <w:bCs/>
          <w:noProof/>
        </w:rPr>
        <w:t>33</w:t>
      </w:r>
      <w:r w:rsidRPr="00DF0AA5">
        <w:rPr>
          <w:rFonts w:cs="Arial"/>
          <w:noProof/>
        </w:rPr>
        <w:t>: 1151–1157.</w:t>
      </w:r>
    </w:p>
    <w:p w14:paraId="18A9719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Gadd, G.M.</w:t>
      </w:r>
      <w:r w:rsidRPr="00DF0AA5">
        <w:rPr>
          <w:rFonts w:cs="Arial"/>
          <w:noProof/>
        </w:rPr>
        <w:t xml:space="preserve"> (2008). Bacterial and fungal geomicrobiology: A problem with communities? Geobiology </w:t>
      </w:r>
      <w:r w:rsidRPr="00DF0AA5">
        <w:rPr>
          <w:rFonts w:cs="Arial"/>
          <w:b/>
          <w:bCs/>
          <w:noProof/>
        </w:rPr>
        <w:t>6</w:t>
      </w:r>
      <w:r w:rsidRPr="00DF0AA5">
        <w:rPr>
          <w:rFonts w:cs="Arial"/>
          <w:noProof/>
        </w:rPr>
        <w:t>: 278–284.</w:t>
      </w:r>
    </w:p>
    <w:p w14:paraId="3778332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Gadd, G.M.</w:t>
      </w:r>
      <w:r w:rsidRPr="00DF0AA5">
        <w:rPr>
          <w:rFonts w:cs="Arial"/>
          <w:noProof/>
        </w:rPr>
        <w:t xml:space="preserve"> (2017). Fungi, rocks, and minerals. Elements </w:t>
      </w:r>
      <w:r w:rsidRPr="00DF0AA5">
        <w:rPr>
          <w:rFonts w:cs="Arial"/>
          <w:b/>
          <w:bCs/>
          <w:noProof/>
        </w:rPr>
        <w:t>13</w:t>
      </w:r>
      <w:r w:rsidRPr="00DF0AA5">
        <w:rPr>
          <w:rFonts w:cs="Arial"/>
          <w:noProof/>
        </w:rPr>
        <w:t>: 171–176.</w:t>
      </w:r>
    </w:p>
    <w:p w14:paraId="194E617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Gadd, G.M.</w:t>
      </w:r>
      <w:r w:rsidRPr="00DF0AA5">
        <w:rPr>
          <w:rFonts w:cs="Arial"/>
          <w:noProof/>
        </w:rPr>
        <w:t xml:space="preserve"> (2007). Geomycology: biogeochemical transformations of rocks, minerals, metals and radionuclides by fungi, bioweathering and bioremediation. Mycol. Res. </w:t>
      </w:r>
      <w:r w:rsidRPr="00DF0AA5">
        <w:rPr>
          <w:rFonts w:cs="Arial"/>
          <w:b/>
          <w:bCs/>
          <w:noProof/>
        </w:rPr>
        <w:t>111</w:t>
      </w:r>
      <w:r w:rsidRPr="00DF0AA5">
        <w:rPr>
          <w:rFonts w:cs="Arial"/>
          <w:noProof/>
        </w:rPr>
        <w:t>: 3–49.</w:t>
      </w:r>
    </w:p>
    <w:p w14:paraId="6EFCE777"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Gadd, G.M.</w:t>
      </w:r>
      <w:r w:rsidRPr="00DF0AA5">
        <w:rPr>
          <w:rFonts w:cs="Arial"/>
          <w:noProof/>
        </w:rPr>
        <w:t xml:space="preserve"> (2004). Mycotransformation of organic and inorganic substrates. Mycologist </w:t>
      </w:r>
      <w:r w:rsidRPr="00DF0AA5">
        <w:rPr>
          <w:rFonts w:cs="Arial"/>
          <w:b/>
          <w:bCs/>
          <w:noProof/>
        </w:rPr>
        <w:t>18</w:t>
      </w:r>
      <w:r w:rsidRPr="00DF0AA5">
        <w:rPr>
          <w:rFonts w:cs="Arial"/>
          <w:noProof/>
        </w:rPr>
        <w:t>: 60–70.</w:t>
      </w:r>
    </w:p>
    <w:p w14:paraId="7748C20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Gadd, G.M., Bahri-Esfahani, J., Li, Q., Rhee, Y.J., Wei, Z., Fomina, M., and Liang, X.</w:t>
      </w:r>
      <w:r w:rsidRPr="00DF0AA5">
        <w:rPr>
          <w:rFonts w:cs="Arial"/>
          <w:noProof/>
        </w:rPr>
        <w:t xml:space="preserve"> (2014). Oxalate production by fungi: significance in geomycology, biodeterioration and bioremediation. Fungal Biol. Rev. </w:t>
      </w:r>
      <w:r w:rsidRPr="00DF0AA5">
        <w:rPr>
          <w:rFonts w:cs="Arial"/>
          <w:b/>
          <w:bCs/>
          <w:noProof/>
        </w:rPr>
        <w:t>28</w:t>
      </w:r>
      <w:r w:rsidRPr="00DF0AA5">
        <w:rPr>
          <w:rFonts w:cs="Arial"/>
          <w:noProof/>
        </w:rPr>
        <w:t>: 36–55.</w:t>
      </w:r>
    </w:p>
    <w:p w14:paraId="3D479148"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Gadd, G.M. and Raven, J.A.</w:t>
      </w:r>
      <w:r w:rsidRPr="00DF0AA5">
        <w:rPr>
          <w:rFonts w:cs="Arial"/>
          <w:noProof/>
        </w:rPr>
        <w:t xml:space="preserve"> (2010). Geomicrobiology of eukaryotic microorganisms. Geomicrobiol. J. </w:t>
      </w:r>
      <w:r w:rsidRPr="00DF0AA5">
        <w:rPr>
          <w:rFonts w:cs="Arial"/>
          <w:b/>
          <w:bCs/>
          <w:noProof/>
        </w:rPr>
        <w:t>27</w:t>
      </w:r>
      <w:r w:rsidRPr="00DF0AA5">
        <w:rPr>
          <w:rFonts w:cs="Arial"/>
          <w:noProof/>
        </w:rPr>
        <w:t>: 491–519.</w:t>
      </w:r>
    </w:p>
    <w:p w14:paraId="7D9D46C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Gao, Q., Shang, Y., Huang, W., and Wang, C.</w:t>
      </w:r>
      <w:r w:rsidRPr="00DF0AA5">
        <w:rPr>
          <w:rFonts w:cs="Arial"/>
          <w:noProof/>
        </w:rPr>
        <w:t xml:space="preserve"> (2013). Glycerol-3-phosphate acyltransferase contributes to triacylglycerol biosynthesis, lipid droplet formation, and host invasion in </w:t>
      </w:r>
      <w:r w:rsidRPr="00556732">
        <w:rPr>
          <w:rFonts w:cs="Arial"/>
          <w:i/>
          <w:noProof/>
        </w:rPr>
        <w:t>Metarhizium robertsii</w:t>
      </w:r>
      <w:r w:rsidRPr="00DF0AA5">
        <w:rPr>
          <w:rFonts w:cs="Arial"/>
          <w:noProof/>
        </w:rPr>
        <w:t xml:space="preserve">. Appl. Environ. Microbiol. </w:t>
      </w:r>
      <w:r w:rsidRPr="00DF0AA5">
        <w:rPr>
          <w:rFonts w:cs="Arial"/>
          <w:b/>
          <w:bCs/>
          <w:noProof/>
        </w:rPr>
        <w:t>79</w:t>
      </w:r>
      <w:r w:rsidRPr="00DF0AA5">
        <w:rPr>
          <w:rFonts w:cs="Arial"/>
          <w:noProof/>
        </w:rPr>
        <w:t>: 7646–7653.</w:t>
      </w:r>
    </w:p>
    <w:p w14:paraId="15B229E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Garcia-Pichel, F., Ramirez-Reinat, E., and Gao, Q.</w:t>
      </w:r>
      <w:r w:rsidRPr="00DF0AA5">
        <w:rPr>
          <w:rFonts w:cs="Arial"/>
          <w:noProof/>
        </w:rPr>
        <w:t xml:space="preserve"> (2010). Microbial excavation of solid carbonates powered by P-type ATPase-mediated transcellular Ca2+ transport. Proc. Natl. Acad. Sci. </w:t>
      </w:r>
      <w:r w:rsidRPr="00DF0AA5">
        <w:rPr>
          <w:rFonts w:cs="Arial"/>
          <w:b/>
          <w:bCs/>
          <w:noProof/>
        </w:rPr>
        <w:t>107</w:t>
      </w:r>
      <w:r w:rsidRPr="00DF0AA5">
        <w:rPr>
          <w:rFonts w:cs="Arial"/>
          <w:noProof/>
        </w:rPr>
        <w:t>: 21749–21754.</w:t>
      </w:r>
    </w:p>
    <w:p w14:paraId="6EFE271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Garcia, K. and Zimmermann, S.D.</w:t>
      </w:r>
      <w:r w:rsidRPr="00DF0AA5">
        <w:rPr>
          <w:rFonts w:cs="Arial"/>
          <w:noProof/>
        </w:rPr>
        <w:t xml:space="preserve"> (2014). The role of mycorrhizal associations in plant potassium nutrition. Front. Plant Sci. </w:t>
      </w:r>
      <w:r w:rsidRPr="00DF0AA5">
        <w:rPr>
          <w:rFonts w:cs="Arial"/>
          <w:b/>
          <w:bCs/>
          <w:noProof/>
        </w:rPr>
        <w:t>5</w:t>
      </w:r>
      <w:r w:rsidRPr="00DF0AA5">
        <w:rPr>
          <w:rFonts w:cs="Arial"/>
          <w:noProof/>
        </w:rPr>
        <w:t>: 1–9.</w:t>
      </w:r>
    </w:p>
    <w:p w14:paraId="272F2CB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Gazzè, S. a., Saccone, L., Smits, M.M., Duran, A.L., Leake, J.R., Banwart, S. a., Ragnarsdottir, K.V., and McMaster, T.J.</w:t>
      </w:r>
      <w:r w:rsidRPr="00DF0AA5">
        <w:rPr>
          <w:rFonts w:cs="Arial"/>
          <w:noProof/>
        </w:rPr>
        <w:t xml:space="preserve"> (2013). Nanoscale Observations of Extracellular Polymeric Substances Deposition on Phyllosilicates by an Ectomycorrhizal Fungus. Geomicrobiol. J. </w:t>
      </w:r>
      <w:r w:rsidRPr="00DF0AA5">
        <w:rPr>
          <w:rFonts w:cs="Arial"/>
          <w:b/>
          <w:bCs/>
          <w:noProof/>
        </w:rPr>
        <w:t>30</w:t>
      </w:r>
      <w:r w:rsidRPr="00DF0AA5">
        <w:rPr>
          <w:rFonts w:cs="Arial"/>
          <w:noProof/>
        </w:rPr>
        <w:t>: 721–730.</w:t>
      </w:r>
    </w:p>
    <w:p w14:paraId="57D471A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Gilbert, N.</w:t>
      </w:r>
      <w:r w:rsidRPr="00DF0AA5">
        <w:rPr>
          <w:rFonts w:cs="Arial"/>
          <w:noProof/>
        </w:rPr>
        <w:t xml:space="preserve"> (2009). The disappearing nutrient. Nature </w:t>
      </w:r>
      <w:r w:rsidRPr="00DF0AA5">
        <w:rPr>
          <w:rFonts w:cs="Arial"/>
          <w:b/>
          <w:bCs/>
          <w:noProof/>
        </w:rPr>
        <w:t>461</w:t>
      </w:r>
      <w:r w:rsidRPr="00DF0AA5">
        <w:rPr>
          <w:rFonts w:cs="Arial"/>
          <w:noProof/>
        </w:rPr>
        <w:t>: 716–718.</w:t>
      </w:r>
    </w:p>
    <w:p w14:paraId="0C1809F4" w14:textId="79AE52B8"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Goffeau, A. et al.</w:t>
      </w:r>
      <w:r w:rsidRPr="00DF0AA5">
        <w:rPr>
          <w:rFonts w:cs="Arial"/>
          <w:noProof/>
        </w:rPr>
        <w:t xml:space="preserve"> (1996). Life</w:t>
      </w:r>
      <w:r w:rsidR="002857EE">
        <w:rPr>
          <w:rFonts w:cs="Arial"/>
          <w:noProof/>
        </w:rPr>
        <w:t xml:space="preserve"> with 6000 Genes. Science</w:t>
      </w:r>
      <w:r w:rsidRPr="00DF0AA5">
        <w:rPr>
          <w:rFonts w:cs="Arial"/>
          <w:noProof/>
        </w:rPr>
        <w:t xml:space="preserve"> </w:t>
      </w:r>
      <w:r w:rsidRPr="00DF0AA5">
        <w:rPr>
          <w:rFonts w:cs="Arial"/>
          <w:b/>
          <w:bCs/>
          <w:noProof/>
        </w:rPr>
        <w:t>274</w:t>
      </w:r>
      <w:r w:rsidRPr="00DF0AA5">
        <w:rPr>
          <w:rFonts w:cs="Arial"/>
          <w:noProof/>
        </w:rPr>
        <w:t>: 546–567.</w:t>
      </w:r>
    </w:p>
    <w:p w14:paraId="11428EA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Goossens, A., Dever, T.E., Pascual-Ahuir, A., and Serrano, R.</w:t>
      </w:r>
      <w:r w:rsidRPr="00DF0AA5">
        <w:rPr>
          <w:rFonts w:cs="Arial"/>
          <w:noProof/>
        </w:rPr>
        <w:t xml:space="preserve"> (2001). The Protein Kinase Gcn2p Mediates Sodium Toxicity in Yeast. J. Biol. Chem. </w:t>
      </w:r>
      <w:r w:rsidRPr="00DF0AA5">
        <w:rPr>
          <w:rFonts w:cs="Arial"/>
          <w:b/>
          <w:bCs/>
          <w:noProof/>
        </w:rPr>
        <w:t>276</w:t>
      </w:r>
      <w:r w:rsidRPr="00DF0AA5">
        <w:rPr>
          <w:rFonts w:cs="Arial"/>
          <w:noProof/>
        </w:rPr>
        <w:t>: 30753–30760.</w:t>
      </w:r>
    </w:p>
    <w:p w14:paraId="4167CC0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Grąz, M., Jarosz-Wilkołazka, A., Janusz, G., Mazur, A., Wielbo, J., Koper, P., Żebracki, K., and Kubik-Komar, A.</w:t>
      </w:r>
      <w:r w:rsidRPr="00DF0AA5">
        <w:rPr>
          <w:rFonts w:cs="Arial"/>
          <w:noProof/>
        </w:rPr>
        <w:t xml:space="preserve"> (2017). Transcriptome-based analysis of the saprophytic fungus </w:t>
      </w:r>
      <w:r w:rsidRPr="002857EE">
        <w:rPr>
          <w:rFonts w:cs="Arial"/>
          <w:i/>
          <w:noProof/>
        </w:rPr>
        <w:t>Abortiporus biennis</w:t>
      </w:r>
      <w:r w:rsidRPr="00DF0AA5">
        <w:rPr>
          <w:rFonts w:cs="Arial"/>
          <w:noProof/>
        </w:rPr>
        <w:t xml:space="preserve"> – response to oxalic acid. Microbiol. Res. </w:t>
      </w:r>
      <w:r w:rsidRPr="00DF0AA5">
        <w:rPr>
          <w:rFonts w:cs="Arial"/>
          <w:b/>
          <w:bCs/>
          <w:noProof/>
        </w:rPr>
        <w:t>199</w:t>
      </w:r>
      <w:r w:rsidRPr="00DF0AA5">
        <w:rPr>
          <w:rFonts w:cs="Arial"/>
          <w:noProof/>
        </w:rPr>
        <w:t>: 79–88.</w:t>
      </w:r>
    </w:p>
    <w:p w14:paraId="4609F75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Griffith, C.L., Klutts, J.S., Zhang, L., Levery, S.B., and Doering, T.L.</w:t>
      </w:r>
      <w:r w:rsidRPr="00DF0AA5">
        <w:rPr>
          <w:rFonts w:cs="Arial"/>
          <w:noProof/>
        </w:rPr>
        <w:t xml:space="preserve"> (2004). UDP-glucose dehydrogenase plays multiple roles in the biology of the pathogenic fungus </w:t>
      </w:r>
      <w:r w:rsidRPr="002857EE">
        <w:rPr>
          <w:rFonts w:cs="Arial"/>
          <w:i/>
          <w:noProof/>
        </w:rPr>
        <w:t>Cryptococcus neoformans</w:t>
      </w:r>
      <w:r w:rsidRPr="00DF0AA5">
        <w:rPr>
          <w:rFonts w:cs="Arial"/>
          <w:noProof/>
        </w:rPr>
        <w:t xml:space="preserve">. J. Biol. Chem. </w:t>
      </w:r>
      <w:r w:rsidRPr="00DF0AA5">
        <w:rPr>
          <w:rFonts w:cs="Arial"/>
          <w:b/>
          <w:bCs/>
          <w:noProof/>
        </w:rPr>
        <w:t>279</w:t>
      </w:r>
      <w:r w:rsidRPr="00DF0AA5">
        <w:rPr>
          <w:rFonts w:cs="Arial"/>
          <w:noProof/>
        </w:rPr>
        <w:t>: 51669–51676.</w:t>
      </w:r>
    </w:p>
    <w:p w14:paraId="0762883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Grigoriev, I. V. et al.</w:t>
      </w:r>
      <w:r w:rsidRPr="00DF0AA5">
        <w:rPr>
          <w:rFonts w:cs="Arial"/>
          <w:noProof/>
        </w:rPr>
        <w:t xml:space="preserve"> (2011). Fueling the future with fungal genomics. Mycol. An Int. J. fungal Biol. </w:t>
      </w:r>
      <w:r w:rsidRPr="00DF0AA5">
        <w:rPr>
          <w:rFonts w:cs="Arial"/>
          <w:b/>
          <w:bCs/>
          <w:noProof/>
        </w:rPr>
        <w:t>2</w:t>
      </w:r>
      <w:r w:rsidRPr="00DF0AA5">
        <w:rPr>
          <w:rFonts w:cs="Arial"/>
          <w:noProof/>
        </w:rPr>
        <w:t>: 192–209.</w:t>
      </w:r>
    </w:p>
    <w:p w14:paraId="6A0F937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Grigoriev, I. V. et al.</w:t>
      </w:r>
      <w:r w:rsidRPr="00DF0AA5">
        <w:rPr>
          <w:rFonts w:cs="Arial"/>
          <w:noProof/>
        </w:rPr>
        <w:t xml:space="preserve"> (2014). MycoCosm portal: Gearing up for 1000 fungal genomes. Nucleic Acids Res. </w:t>
      </w:r>
      <w:r w:rsidRPr="00DF0AA5">
        <w:rPr>
          <w:rFonts w:cs="Arial"/>
          <w:b/>
          <w:bCs/>
          <w:noProof/>
        </w:rPr>
        <w:t>42</w:t>
      </w:r>
      <w:r w:rsidRPr="00DF0AA5">
        <w:rPr>
          <w:rFonts w:cs="Arial"/>
          <w:noProof/>
        </w:rPr>
        <w:t>: 699–704.</w:t>
      </w:r>
    </w:p>
    <w:p w14:paraId="729A44D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Grigoriev, I. V et al.</w:t>
      </w:r>
      <w:r w:rsidRPr="00DF0AA5">
        <w:rPr>
          <w:rFonts w:cs="Arial"/>
          <w:noProof/>
        </w:rPr>
        <w:t xml:space="preserve"> (2012). The Genome Portal of the Department of Energy Joint Genome Institute. Nucleic Acids Res. </w:t>
      </w:r>
      <w:r w:rsidRPr="00DF0AA5">
        <w:rPr>
          <w:rFonts w:cs="Arial"/>
          <w:b/>
          <w:bCs/>
          <w:noProof/>
        </w:rPr>
        <w:t>40</w:t>
      </w:r>
      <w:r w:rsidRPr="00DF0AA5">
        <w:rPr>
          <w:rFonts w:cs="Arial"/>
          <w:noProof/>
        </w:rPr>
        <w:t>: D26–D32.</w:t>
      </w:r>
    </w:p>
    <w:p w14:paraId="2350579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Gross, M.</w:t>
      </w:r>
      <w:r w:rsidRPr="00DF0AA5">
        <w:rPr>
          <w:rFonts w:cs="Arial"/>
          <w:noProof/>
        </w:rPr>
        <w:t xml:space="preserve"> (2010). Fears over phosphorus supplies. Curr. Biol. </w:t>
      </w:r>
      <w:r w:rsidRPr="00DF0AA5">
        <w:rPr>
          <w:rFonts w:cs="Arial"/>
          <w:b/>
          <w:bCs/>
          <w:noProof/>
        </w:rPr>
        <w:t>20</w:t>
      </w:r>
      <w:r w:rsidRPr="00DF0AA5">
        <w:rPr>
          <w:rFonts w:cs="Arial"/>
          <w:noProof/>
        </w:rPr>
        <w:t>: 386–387.</w:t>
      </w:r>
    </w:p>
    <w:p w14:paraId="5C3DAB4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Gyaneshwar, P., Naresh Kumar, G., Parekh, L.J., and Poole, P.S.</w:t>
      </w:r>
      <w:r w:rsidRPr="00DF0AA5">
        <w:rPr>
          <w:rFonts w:cs="Arial"/>
          <w:noProof/>
        </w:rPr>
        <w:t xml:space="preserve"> (2002). Role of soil microorganisms in improving P nutrition of plants. Plant Soil </w:t>
      </w:r>
      <w:r w:rsidRPr="00DF0AA5">
        <w:rPr>
          <w:rFonts w:cs="Arial"/>
          <w:b/>
          <w:bCs/>
          <w:noProof/>
        </w:rPr>
        <w:t>245</w:t>
      </w:r>
      <w:r w:rsidRPr="00DF0AA5">
        <w:rPr>
          <w:rFonts w:cs="Arial"/>
          <w:noProof/>
        </w:rPr>
        <w:t>: 83–93.</w:t>
      </w:r>
    </w:p>
    <w:p w14:paraId="44DF9D3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Hagan, I. and Yanagida, M.</w:t>
      </w:r>
      <w:r w:rsidRPr="00DF0AA5">
        <w:rPr>
          <w:rFonts w:cs="Arial"/>
          <w:noProof/>
        </w:rPr>
        <w:t xml:space="preserve"> (1995). The Product of the Spindle Formation Gene sadl + Associates with the Fission Yeast Spindle Pole Body and Is Essential for Viability. J. Cell Biol. </w:t>
      </w:r>
      <w:r w:rsidRPr="00DF0AA5">
        <w:rPr>
          <w:rFonts w:cs="Arial"/>
          <w:b/>
          <w:bCs/>
          <w:noProof/>
        </w:rPr>
        <w:t>129</w:t>
      </w:r>
      <w:r w:rsidRPr="00DF0AA5">
        <w:rPr>
          <w:rFonts w:cs="Arial"/>
          <w:noProof/>
        </w:rPr>
        <w:t>: 1033–1047.</w:t>
      </w:r>
    </w:p>
    <w:p w14:paraId="519E9D65"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Harley, J.L. and McCready, C.C.</w:t>
      </w:r>
      <w:r w:rsidRPr="00DF0AA5">
        <w:rPr>
          <w:rFonts w:cs="Arial"/>
          <w:noProof/>
        </w:rPr>
        <w:t xml:space="preserve"> (1981). Phosphate accumulation in </w:t>
      </w:r>
      <w:r w:rsidRPr="002857EE">
        <w:rPr>
          <w:rFonts w:cs="Arial"/>
          <w:noProof/>
        </w:rPr>
        <w:t>Fagus</w:t>
      </w:r>
      <w:r w:rsidRPr="00DF0AA5">
        <w:rPr>
          <w:rFonts w:cs="Arial"/>
          <w:noProof/>
        </w:rPr>
        <w:t xml:space="preserve"> mycorrhizas. New Phytol. </w:t>
      </w:r>
      <w:r w:rsidRPr="00DF0AA5">
        <w:rPr>
          <w:rFonts w:cs="Arial"/>
          <w:b/>
          <w:bCs/>
          <w:noProof/>
        </w:rPr>
        <w:t>89</w:t>
      </w:r>
      <w:r w:rsidRPr="00DF0AA5">
        <w:rPr>
          <w:rFonts w:cs="Arial"/>
          <w:noProof/>
        </w:rPr>
        <w:t>: 75–80.</w:t>
      </w:r>
    </w:p>
    <w:p w14:paraId="4D090CC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Harley, J.L. and McCready, C.C.</w:t>
      </w:r>
      <w:r w:rsidRPr="00DF0AA5">
        <w:rPr>
          <w:rFonts w:cs="Arial"/>
          <w:noProof/>
        </w:rPr>
        <w:t xml:space="preserve"> (1952). The Uptake of Phosphate by Excised Mycorrhizal Roots of the Beech II. Distribution of Phosphorus Between Host and Fungus. New Phytol. </w:t>
      </w:r>
      <w:r w:rsidRPr="00DF0AA5">
        <w:rPr>
          <w:rFonts w:cs="Arial"/>
          <w:b/>
          <w:bCs/>
          <w:noProof/>
        </w:rPr>
        <w:t>51</w:t>
      </w:r>
      <w:r w:rsidRPr="00DF0AA5">
        <w:rPr>
          <w:rFonts w:cs="Arial"/>
          <w:noProof/>
        </w:rPr>
        <w:t>: 56–64.</w:t>
      </w:r>
    </w:p>
    <w:p w14:paraId="6F3CD788"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Harrison, M.J. and van Buuren, M.L.</w:t>
      </w:r>
      <w:r w:rsidRPr="00DF0AA5">
        <w:rPr>
          <w:rFonts w:cs="Arial"/>
          <w:noProof/>
        </w:rPr>
        <w:t xml:space="preserve"> (1995). A phosphate transporter from the mycorrhizal fungus </w:t>
      </w:r>
      <w:r w:rsidRPr="002857EE">
        <w:rPr>
          <w:rFonts w:cs="Arial"/>
          <w:i/>
          <w:noProof/>
        </w:rPr>
        <w:t>Glomus versiforme</w:t>
      </w:r>
      <w:r w:rsidRPr="00DF0AA5">
        <w:rPr>
          <w:rFonts w:cs="Arial"/>
          <w:noProof/>
        </w:rPr>
        <w:t xml:space="preserve">. Nature </w:t>
      </w:r>
      <w:r w:rsidRPr="00DF0AA5">
        <w:rPr>
          <w:rFonts w:cs="Arial"/>
          <w:b/>
          <w:bCs/>
          <w:noProof/>
        </w:rPr>
        <w:t>378</w:t>
      </w:r>
      <w:r w:rsidRPr="00DF0AA5">
        <w:rPr>
          <w:rFonts w:cs="Arial"/>
          <w:noProof/>
        </w:rPr>
        <w:t>: 626–629.</w:t>
      </w:r>
    </w:p>
    <w:p w14:paraId="0C256C0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Harrison, M.J., Dewbre, G.R., Liu, J., Samuel, T., Noble, R., and Parkway, S.N.</w:t>
      </w:r>
      <w:r w:rsidRPr="00DF0AA5">
        <w:rPr>
          <w:rFonts w:cs="Arial"/>
          <w:noProof/>
        </w:rPr>
        <w:t xml:space="preserve"> (2002). A Phosphate Transporter from </w:t>
      </w:r>
      <w:r w:rsidRPr="002857EE">
        <w:rPr>
          <w:rFonts w:cs="Arial"/>
          <w:i/>
          <w:noProof/>
        </w:rPr>
        <w:t>Medicago truncatula</w:t>
      </w:r>
      <w:r w:rsidRPr="00DF0AA5">
        <w:rPr>
          <w:rFonts w:cs="Arial"/>
          <w:noProof/>
        </w:rPr>
        <w:t xml:space="preserve"> Involved in the Acquisition of Phosphate Released by Arbuscular Mycorrhizal Fungi. Plant Cell </w:t>
      </w:r>
      <w:r w:rsidRPr="00DF0AA5">
        <w:rPr>
          <w:rFonts w:cs="Arial"/>
          <w:b/>
          <w:bCs/>
          <w:noProof/>
        </w:rPr>
        <w:t>14</w:t>
      </w:r>
      <w:r w:rsidRPr="00DF0AA5">
        <w:rPr>
          <w:rFonts w:cs="Arial"/>
          <w:noProof/>
        </w:rPr>
        <w:t>: 2413–2429.</w:t>
      </w:r>
    </w:p>
    <w:p w14:paraId="12AEFB1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Haselwandter, K., Häninger, G., Ganzera, M., Haas, H., Nicholson, G., and Winkelmann, G.</w:t>
      </w:r>
      <w:r w:rsidRPr="00DF0AA5">
        <w:rPr>
          <w:rFonts w:cs="Arial"/>
          <w:noProof/>
        </w:rPr>
        <w:t xml:space="preserve"> (2013). Linear fusigen as the major hydroxamate siderophore of the ectomycorrhizal Basidiomycota </w:t>
      </w:r>
      <w:r w:rsidRPr="002857EE">
        <w:rPr>
          <w:rFonts w:cs="Arial"/>
          <w:i/>
          <w:noProof/>
        </w:rPr>
        <w:t>Laccaria laccata</w:t>
      </w:r>
      <w:r w:rsidRPr="00DF0AA5">
        <w:rPr>
          <w:rFonts w:cs="Arial"/>
          <w:noProof/>
        </w:rPr>
        <w:t xml:space="preserve"> and </w:t>
      </w:r>
      <w:r w:rsidRPr="002857EE">
        <w:rPr>
          <w:rFonts w:cs="Arial"/>
          <w:i/>
          <w:noProof/>
        </w:rPr>
        <w:t>Laccaria bicolor</w:t>
      </w:r>
      <w:r w:rsidRPr="00DF0AA5">
        <w:rPr>
          <w:rFonts w:cs="Arial"/>
          <w:noProof/>
        </w:rPr>
        <w:t xml:space="preserve">. Biometals </w:t>
      </w:r>
      <w:r w:rsidRPr="00DF0AA5">
        <w:rPr>
          <w:rFonts w:cs="Arial"/>
          <w:b/>
          <w:bCs/>
          <w:noProof/>
        </w:rPr>
        <w:t>26</w:t>
      </w:r>
      <w:r w:rsidRPr="00DF0AA5">
        <w:rPr>
          <w:rFonts w:cs="Arial"/>
          <w:noProof/>
        </w:rPr>
        <w:t>: 969–79.</w:t>
      </w:r>
    </w:p>
    <w:p w14:paraId="5DE2E54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Van Hees, P.A.W., Jones, D.L., Jentschke, G., and Godbold, D.L.</w:t>
      </w:r>
      <w:r w:rsidRPr="00DF0AA5">
        <w:rPr>
          <w:rFonts w:cs="Arial"/>
          <w:noProof/>
        </w:rPr>
        <w:t xml:space="preserve"> (2004). Mobilization of aluminium, iron and silicon by </w:t>
      </w:r>
      <w:r w:rsidRPr="002857EE">
        <w:rPr>
          <w:rFonts w:cs="Arial"/>
          <w:i/>
          <w:noProof/>
        </w:rPr>
        <w:t>Picea abies</w:t>
      </w:r>
      <w:r w:rsidRPr="00DF0AA5">
        <w:rPr>
          <w:rFonts w:cs="Arial"/>
          <w:noProof/>
        </w:rPr>
        <w:t xml:space="preserve"> and ectomycorrhizas in a forest soil. Eur. J. Soil Sci. </w:t>
      </w:r>
      <w:r w:rsidRPr="00DF0AA5">
        <w:rPr>
          <w:rFonts w:cs="Arial"/>
          <w:b/>
          <w:bCs/>
          <w:noProof/>
        </w:rPr>
        <w:t>55</w:t>
      </w:r>
      <w:r w:rsidRPr="00DF0AA5">
        <w:rPr>
          <w:rFonts w:cs="Arial"/>
          <w:noProof/>
        </w:rPr>
        <w:t>: 101–111.</w:t>
      </w:r>
    </w:p>
    <w:p w14:paraId="6482219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Heller, A. and Witt-Geiges, T.</w:t>
      </w:r>
      <w:r w:rsidRPr="00DF0AA5">
        <w:rPr>
          <w:rFonts w:cs="Arial"/>
          <w:noProof/>
        </w:rPr>
        <w:t xml:space="preserve"> (2013). Oxalic Acid Has an Additional, Detoxifying Function in </w:t>
      </w:r>
      <w:r w:rsidRPr="002857EE">
        <w:rPr>
          <w:rFonts w:cs="Arial"/>
          <w:i/>
          <w:noProof/>
        </w:rPr>
        <w:t>Sclerotinia sclerotiorum</w:t>
      </w:r>
      <w:r w:rsidRPr="00DF0AA5">
        <w:rPr>
          <w:rFonts w:cs="Arial"/>
          <w:noProof/>
        </w:rPr>
        <w:t xml:space="preserve"> Pathogenesis. PLoS One </w:t>
      </w:r>
      <w:r w:rsidRPr="00DF0AA5">
        <w:rPr>
          <w:rFonts w:cs="Arial"/>
          <w:b/>
          <w:bCs/>
          <w:noProof/>
        </w:rPr>
        <w:t>8</w:t>
      </w:r>
      <w:r w:rsidRPr="00DF0AA5">
        <w:rPr>
          <w:rFonts w:cs="Arial"/>
          <w:noProof/>
        </w:rPr>
        <w:t>: 1–17.</w:t>
      </w:r>
    </w:p>
    <w:p w14:paraId="6F5081E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Hijikata, N., Murase, M., Tani, C., Ohtomo, R., Osaki, M., and Ezawa, T.</w:t>
      </w:r>
      <w:r w:rsidRPr="00DF0AA5">
        <w:rPr>
          <w:rFonts w:cs="Arial"/>
          <w:noProof/>
        </w:rPr>
        <w:t xml:space="preserve"> (2010). Polyphosphate has a central role in the rapid and massive accumulation of phosphorus in extraradical mycelium of an arbuscular mycorrhizal fungus. New Phytol. </w:t>
      </w:r>
      <w:r w:rsidRPr="00DF0AA5">
        <w:rPr>
          <w:rFonts w:cs="Arial"/>
          <w:b/>
          <w:bCs/>
          <w:noProof/>
        </w:rPr>
        <w:t>186</w:t>
      </w:r>
      <w:r w:rsidRPr="00DF0AA5">
        <w:rPr>
          <w:rFonts w:cs="Arial"/>
          <w:noProof/>
        </w:rPr>
        <w:t>: 285–289.</w:t>
      </w:r>
    </w:p>
    <w:p w14:paraId="7E94CDD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Hobbie, E.</w:t>
      </w:r>
      <w:r w:rsidRPr="00DF0AA5">
        <w:rPr>
          <w:rFonts w:cs="Arial"/>
          <w:noProof/>
        </w:rPr>
        <w:t xml:space="preserve"> (2006). Carbon allocation to ectomycorrhizal fungi correlates with belowground allocation in culture studies. Ecology </w:t>
      </w:r>
      <w:r w:rsidRPr="00DF0AA5">
        <w:rPr>
          <w:rFonts w:cs="Arial"/>
          <w:b/>
          <w:bCs/>
          <w:noProof/>
        </w:rPr>
        <w:t>87</w:t>
      </w:r>
      <w:r w:rsidRPr="00DF0AA5">
        <w:rPr>
          <w:rFonts w:cs="Arial"/>
          <w:noProof/>
        </w:rPr>
        <w:t>: 563–569.</w:t>
      </w:r>
    </w:p>
    <w:p w14:paraId="2DA9973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De Hoff, P.L., Brill, L.M., and Hirsch, A.M.</w:t>
      </w:r>
      <w:r w:rsidRPr="00DF0AA5">
        <w:rPr>
          <w:rFonts w:cs="Arial"/>
          <w:noProof/>
        </w:rPr>
        <w:t xml:space="preserve"> (2009). Plant lectins: The ties that bind in root symbiosis and plant defense. Mol. Genet. Genomics </w:t>
      </w:r>
      <w:r w:rsidRPr="00DF0AA5">
        <w:rPr>
          <w:rFonts w:cs="Arial"/>
          <w:b/>
          <w:bCs/>
          <w:noProof/>
        </w:rPr>
        <w:t>282</w:t>
      </w:r>
      <w:r w:rsidRPr="00DF0AA5">
        <w:rPr>
          <w:rFonts w:cs="Arial"/>
          <w:noProof/>
        </w:rPr>
        <w:t>: 1–15.</w:t>
      </w:r>
    </w:p>
    <w:p w14:paraId="5E1BA27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Hoffland, E. et al.</w:t>
      </w:r>
      <w:r w:rsidRPr="00DF0AA5">
        <w:rPr>
          <w:rFonts w:cs="Arial"/>
          <w:noProof/>
        </w:rPr>
        <w:t xml:space="preserve"> (2004). The role of fungi in weathering. Front. Ecol. Environ. </w:t>
      </w:r>
      <w:r w:rsidRPr="00DF0AA5">
        <w:rPr>
          <w:rFonts w:cs="Arial"/>
          <w:b/>
          <w:bCs/>
          <w:noProof/>
        </w:rPr>
        <w:t>2</w:t>
      </w:r>
      <w:r w:rsidRPr="00DF0AA5">
        <w:rPr>
          <w:rFonts w:cs="Arial"/>
          <w:noProof/>
        </w:rPr>
        <w:t>: 258–264.</w:t>
      </w:r>
    </w:p>
    <w:p w14:paraId="653404D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Högberg, M.N. and Högberg, P.</w:t>
      </w:r>
      <w:r w:rsidRPr="00DF0AA5">
        <w:rPr>
          <w:rFonts w:cs="Arial"/>
          <w:noProof/>
        </w:rPr>
        <w:t xml:space="preserve"> (2002). Extramatrical ectomychorrhizal mycelium cntributes one-third of microbial mass and produces, together with associated roots, half the dissolved organic carbon in a forest soil. New Phytol. </w:t>
      </w:r>
      <w:r w:rsidRPr="00DF0AA5">
        <w:rPr>
          <w:rFonts w:cs="Arial"/>
          <w:b/>
          <w:bCs/>
          <w:noProof/>
        </w:rPr>
        <w:t>154</w:t>
      </w:r>
      <w:r w:rsidRPr="00DF0AA5">
        <w:rPr>
          <w:rFonts w:cs="Arial"/>
          <w:noProof/>
        </w:rPr>
        <w:t>: 791–795.</w:t>
      </w:r>
    </w:p>
    <w:p w14:paraId="17A9CD7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Hopfner, K.P., Karcher, A., Shin, D.S., Craig, L., Arthur, L.M., Carney, J.P., and Tainer, J.A.</w:t>
      </w:r>
      <w:r w:rsidRPr="00DF0AA5">
        <w:rPr>
          <w:rFonts w:cs="Arial"/>
          <w:noProof/>
        </w:rPr>
        <w:t xml:space="preserve"> (2000). Structural biology of Rad50 ATPase: ATP-driven conformational control in DNA double-strand break repair and the ABC-ATPase superfamily. Cell </w:t>
      </w:r>
      <w:r w:rsidRPr="00DF0AA5">
        <w:rPr>
          <w:rFonts w:cs="Arial"/>
          <w:b/>
          <w:bCs/>
          <w:noProof/>
        </w:rPr>
        <w:t>101</w:t>
      </w:r>
      <w:r w:rsidRPr="00DF0AA5">
        <w:rPr>
          <w:rFonts w:cs="Arial"/>
          <w:noProof/>
        </w:rPr>
        <w:t>: 789–800.</w:t>
      </w:r>
    </w:p>
    <w:p w14:paraId="683C64F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Horton, P., Park, K.J., Obayashi, T., Fujita, N., Harada, H., Adams-Collier, C.J., and Nakai, K.</w:t>
      </w:r>
      <w:r w:rsidRPr="00DF0AA5">
        <w:rPr>
          <w:rFonts w:cs="Arial"/>
          <w:noProof/>
        </w:rPr>
        <w:t xml:space="preserve"> (2007). WoLF PSORT: Protein localization predictor. Nucleic Acids Res. </w:t>
      </w:r>
      <w:r w:rsidRPr="00DF0AA5">
        <w:rPr>
          <w:rFonts w:cs="Arial"/>
          <w:b/>
          <w:bCs/>
          <w:noProof/>
        </w:rPr>
        <w:t>35</w:t>
      </w:r>
      <w:r w:rsidRPr="00DF0AA5">
        <w:rPr>
          <w:rFonts w:cs="Arial"/>
          <w:noProof/>
        </w:rPr>
        <w:t>: 585–587.</w:t>
      </w:r>
    </w:p>
    <w:p w14:paraId="6FFB031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Hou, C., Tian, W., Kleist, T., He, K., Garcia, V., Bai, F., Hao, Y., Luan, S., and Li, L.</w:t>
      </w:r>
      <w:r w:rsidRPr="00DF0AA5">
        <w:rPr>
          <w:rFonts w:cs="Arial"/>
          <w:noProof/>
        </w:rPr>
        <w:t xml:space="preserve"> (2014). DUF221 proteins are a family of osmosensitive calcium-permeable cation channels conserved across eukaryotes. Cell Res. </w:t>
      </w:r>
      <w:r w:rsidRPr="00DF0AA5">
        <w:rPr>
          <w:rFonts w:cs="Arial"/>
          <w:b/>
          <w:bCs/>
          <w:noProof/>
        </w:rPr>
        <w:t>24</w:t>
      </w:r>
      <w:r w:rsidRPr="00DF0AA5">
        <w:rPr>
          <w:rFonts w:cs="Arial"/>
          <w:noProof/>
        </w:rPr>
        <w:t>: 632–635.</w:t>
      </w:r>
    </w:p>
    <w:p w14:paraId="0BB1961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Hürlimann, H.C., Pinson, B., Stadler-Waibel, M., Zeeman, S.C., and Freimoser, F.M.</w:t>
      </w:r>
      <w:r w:rsidRPr="00DF0AA5">
        <w:rPr>
          <w:rFonts w:cs="Arial"/>
          <w:noProof/>
        </w:rPr>
        <w:t xml:space="preserve"> (2009). The SPX domain of the yeast low-affinity phosphate transporter Pho90 regulates transport activity. EMBO Rep. </w:t>
      </w:r>
      <w:r w:rsidRPr="00DF0AA5">
        <w:rPr>
          <w:rFonts w:cs="Arial"/>
          <w:b/>
          <w:bCs/>
          <w:noProof/>
        </w:rPr>
        <w:t>10</w:t>
      </w:r>
      <w:r w:rsidRPr="00DF0AA5">
        <w:rPr>
          <w:rFonts w:cs="Arial"/>
          <w:noProof/>
        </w:rPr>
        <w:t>: 1003–8.</w:t>
      </w:r>
    </w:p>
    <w:p w14:paraId="36D8C8F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Jain, A., Nagarajan, V.K., and Raghothama, K.G.</w:t>
      </w:r>
      <w:r w:rsidRPr="00DF0AA5">
        <w:rPr>
          <w:rFonts w:cs="Arial"/>
          <w:noProof/>
        </w:rPr>
        <w:t xml:space="preserve"> (2012). Transcriptional regulation of phosphate acquisition by higher plants. Cell. Mol. Life Sci. </w:t>
      </w:r>
      <w:r w:rsidRPr="00DF0AA5">
        <w:rPr>
          <w:rFonts w:cs="Arial"/>
          <w:b/>
          <w:bCs/>
          <w:noProof/>
        </w:rPr>
        <w:t>69</w:t>
      </w:r>
      <w:r w:rsidRPr="00DF0AA5">
        <w:rPr>
          <w:rFonts w:cs="Arial"/>
          <w:noProof/>
        </w:rPr>
        <w:t>: 3207–3224.</w:t>
      </w:r>
    </w:p>
    <w:p w14:paraId="35A1FA2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Javot, H., Penmetsa, R.V., Terzaghi, N., Cook, D.R., and Harrison, M.J.</w:t>
      </w:r>
      <w:r w:rsidRPr="00DF0AA5">
        <w:rPr>
          <w:rFonts w:cs="Arial"/>
          <w:noProof/>
        </w:rPr>
        <w:t xml:space="preserve"> (2007). A </w:t>
      </w:r>
      <w:r w:rsidRPr="002857EE">
        <w:rPr>
          <w:rFonts w:cs="Arial"/>
          <w:i/>
          <w:noProof/>
        </w:rPr>
        <w:t>Medicago truncatula</w:t>
      </w:r>
      <w:r w:rsidRPr="00DF0AA5">
        <w:rPr>
          <w:rFonts w:cs="Arial"/>
          <w:noProof/>
        </w:rPr>
        <w:t xml:space="preserve"> phosphate transporter indispensable for the arbuscular mycorrhizal symbiosis. Proc. Natl. Acad. Sci. U. S. A. </w:t>
      </w:r>
      <w:r w:rsidRPr="00DF0AA5">
        <w:rPr>
          <w:rFonts w:cs="Arial"/>
          <w:b/>
          <w:bCs/>
          <w:noProof/>
        </w:rPr>
        <w:t>104</w:t>
      </w:r>
      <w:r w:rsidRPr="00DF0AA5">
        <w:rPr>
          <w:rFonts w:cs="Arial"/>
          <w:noProof/>
        </w:rPr>
        <w:t>: 1720–5.</w:t>
      </w:r>
    </w:p>
    <w:p w14:paraId="2205946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Jentschke, G. and Brandes, B.</w:t>
      </w:r>
      <w:r w:rsidRPr="00DF0AA5">
        <w:rPr>
          <w:rFonts w:cs="Arial"/>
          <w:noProof/>
        </w:rPr>
        <w:t xml:space="preserve"> (2001). Interdependence of phosphorus, nitrogen, potassium and magnesium translocation by the ectomycorrhizal fungus </w:t>
      </w:r>
      <w:r w:rsidRPr="002857EE">
        <w:rPr>
          <w:rFonts w:cs="Arial"/>
          <w:i/>
          <w:noProof/>
        </w:rPr>
        <w:t>Paxillus involutus</w:t>
      </w:r>
      <w:r w:rsidRPr="00DF0AA5">
        <w:rPr>
          <w:rFonts w:cs="Arial"/>
          <w:noProof/>
        </w:rPr>
        <w:t xml:space="preserve">. New Phytol. </w:t>
      </w:r>
      <w:r w:rsidRPr="00DF0AA5">
        <w:rPr>
          <w:rFonts w:cs="Arial"/>
          <w:b/>
          <w:bCs/>
          <w:noProof/>
        </w:rPr>
        <w:t>149</w:t>
      </w:r>
      <w:r w:rsidRPr="00DF0AA5">
        <w:rPr>
          <w:rFonts w:cs="Arial"/>
          <w:noProof/>
        </w:rPr>
        <w:t>: 327–337.</w:t>
      </w:r>
    </w:p>
    <w:p w14:paraId="4B1A6FF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Jin, H.R., Liu, J., Liu, J., and Huang, X.W.</w:t>
      </w:r>
      <w:r w:rsidRPr="00DF0AA5">
        <w:rPr>
          <w:rFonts w:cs="Arial"/>
          <w:noProof/>
        </w:rPr>
        <w:t xml:space="preserve"> (2012). Forms of nitrogen uptake, translocation, and transfer via arbuscular mycorrhizal fungi: A review. Sci. China Life </w:t>
      </w:r>
      <w:r w:rsidRPr="00DF0AA5">
        <w:rPr>
          <w:rFonts w:cs="Arial"/>
          <w:noProof/>
        </w:rPr>
        <w:lastRenderedPageBreak/>
        <w:t xml:space="preserve">Sci. </w:t>
      </w:r>
      <w:r w:rsidRPr="00DF0AA5">
        <w:rPr>
          <w:rFonts w:cs="Arial"/>
          <w:b/>
          <w:bCs/>
          <w:noProof/>
        </w:rPr>
        <w:t>55</w:t>
      </w:r>
      <w:r w:rsidRPr="00DF0AA5">
        <w:rPr>
          <w:rFonts w:cs="Arial"/>
          <w:noProof/>
        </w:rPr>
        <w:t>: 474–482.</w:t>
      </w:r>
    </w:p>
    <w:p w14:paraId="5046DE1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Jobbágy, E. and Jackson, R.</w:t>
      </w:r>
      <w:r w:rsidRPr="00DF0AA5">
        <w:rPr>
          <w:rFonts w:cs="Arial"/>
          <w:noProof/>
        </w:rPr>
        <w:t xml:space="preserve"> (2001). The distribution of soil nutrients with depth: global patterns and the imprint of plants. Biogeochemistry </w:t>
      </w:r>
      <w:r w:rsidRPr="00DF0AA5">
        <w:rPr>
          <w:rFonts w:cs="Arial"/>
          <w:b/>
          <w:bCs/>
          <w:noProof/>
        </w:rPr>
        <w:t>53</w:t>
      </w:r>
      <w:r w:rsidRPr="00DF0AA5">
        <w:rPr>
          <w:rFonts w:cs="Arial"/>
          <w:noProof/>
        </w:rPr>
        <w:t>: 51–77.</w:t>
      </w:r>
    </w:p>
    <w:p w14:paraId="49C3773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Jones, D.</w:t>
      </w:r>
      <w:r w:rsidRPr="00DF0AA5">
        <w:rPr>
          <w:rFonts w:cs="Arial"/>
          <w:noProof/>
        </w:rPr>
        <w:t xml:space="preserve"> (1998). Organic acids in the rhizosphere–a critical review. Plant Soil </w:t>
      </w:r>
      <w:r w:rsidRPr="00DF0AA5">
        <w:rPr>
          <w:rFonts w:cs="Arial"/>
          <w:b/>
          <w:bCs/>
          <w:noProof/>
        </w:rPr>
        <w:t>205</w:t>
      </w:r>
      <w:r w:rsidRPr="00DF0AA5">
        <w:rPr>
          <w:rFonts w:cs="Arial"/>
          <w:noProof/>
        </w:rPr>
        <w:t>: 25–44.</w:t>
      </w:r>
    </w:p>
    <w:p w14:paraId="6AC07448"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Jongmans, A., van Breemen, N., Lundström, U.S., Van Hees, P.A.W., Finlay, R., Srinivasan, M., Unestam, T., Giesler, R., Melkerud, P.-A., and Olsson, M.</w:t>
      </w:r>
      <w:r w:rsidRPr="00DF0AA5">
        <w:rPr>
          <w:rFonts w:cs="Arial"/>
          <w:noProof/>
        </w:rPr>
        <w:t xml:space="preserve"> (1997). Rock-eating fungi. Nature </w:t>
      </w:r>
      <w:r w:rsidRPr="00DF0AA5">
        <w:rPr>
          <w:rFonts w:cs="Arial"/>
          <w:b/>
          <w:bCs/>
          <w:noProof/>
        </w:rPr>
        <w:t>389</w:t>
      </w:r>
      <w:r w:rsidRPr="00DF0AA5">
        <w:rPr>
          <w:rFonts w:cs="Arial"/>
          <w:noProof/>
        </w:rPr>
        <w:t>: 682–683.</w:t>
      </w:r>
    </w:p>
    <w:p w14:paraId="7439D40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Jonkers, W. and Rep, M.</w:t>
      </w:r>
      <w:r w:rsidRPr="00DF0AA5">
        <w:rPr>
          <w:rFonts w:cs="Arial"/>
          <w:noProof/>
        </w:rPr>
        <w:t xml:space="preserve"> (2009). Lessons from fungal F-Box proteins. Eukaryot. Cell </w:t>
      </w:r>
      <w:r w:rsidRPr="00DF0AA5">
        <w:rPr>
          <w:rFonts w:cs="Arial"/>
          <w:b/>
          <w:bCs/>
          <w:noProof/>
        </w:rPr>
        <w:t>8</w:t>
      </w:r>
      <w:r w:rsidRPr="00DF0AA5">
        <w:rPr>
          <w:rFonts w:cs="Arial"/>
          <w:noProof/>
        </w:rPr>
        <w:t>: 677–695.</w:t>
      </w:r>
    </w:p>
    <w:p w14:paraId="69891E7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Kalverda, B., Pickersgill, H., Shloma, V. V., and Fornerod, M.</w:t>
      </w:r>
      <w:r w:rsidRPr="00DF0AA5">
        <w:rPr>
          <w:rFonts w:cs="Arial"/>
          <w:noProof/>
        </w:rPr>
        <w:t xml:space="preserve"> (2010). Nucleoporins Directly Stimulate Expression of Developmental and Cell-Cycle Genes Inside the Nucleoplasm. Cell </w:t>
      </w:r>
      <w:r w:rsidRPr="00DF0AA5">
        <w:rPr>
          <w:rFonts w:cs="Arial"/>
          <w:b/>
          <w:bCs/>
          <w:noProof/>
        </w:rPr>
        <w:t>140</w:t>
      </w:r>
      <w:r w:rsidRPr="00DF0AA5">
        <w:rPr>
          <w:rFonts w:cs="Arial"/>
          <w:noProof/>
        </w:rPr>
        <w:t>: 360–371.</w:t>
      </w:r>
    </w:p>
    <w:p w14:paraId="4C636F8F" w14:textId="6A4E185C"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Kang, S. and Metzenberg, R.L.</w:t>
      </w:r>
      <w:r w:rsidRPr="00DF0AA5">
        <w:rPr>
          <w:rFonts w:cs="Arial"/>
          <w:noProof/>
        </w:rPr>
        <w:t xml:space="preserve"> (1990). controlling phosphorus acquisition</w:t>
      </w:r>
      <w:r w:rsidR="002857EE">
        <w:rPr>
          <w:rFonts w:cs="Arial"/>
          <w:noProof/>
        </w:rPr>
        <w:t xml:space="preserve"> in Molecular Analysis of nuc-l</w:t>
      </w:r>
      <w:r w:rsidRPr="00DF0AA5">
        <w:rPr>
          <w:rFonts w:cs="Arial"/>
          <w:noProof/>
        </w:rPr>
        <w:t xml:space="preserve">, a Gene Controlling Phosphorus Acquisition in </w:t>
      </w:r>
      <w:r w:rsidRPr="002857EE">
        <w:rPr>
          <w:rFonts w:cs="Arial"/>
          <w:i/>
          <w:noProof/>
        </w:rPr>
        <w:t>Neurospora crassa</w:t>
      </w:r>
      <w:r w:rsidRPr="00DF0AA5">
        <w:rPr>
          <w:rFonts w:cs="Arial"/>
          <w:noProof/>
        </w:rPr>
        <w:t xml:space="preserve">. </w:t>
      </w:r>
      <w:r w:rsidRPr="00DF0AA5">
        <w:rPr>
          <w:rFonts w:cs="Arial"/>
          <w:b/>
          <w:bCs/>
          <w:noProof/>
        </w:rPr>
        <w:t>10</w:t>
      </w:r>
      <w:r w:rsidRPr="00DF0AA5">
        <w:rPr>
          <w:rFonts w:cs="Arial"/>
          <w:noProof/>
        </w:rPr>
        <w:t>: 5839–5848.</w:t>
      </w:r>
    </w:p>
    <w:p w14:paraId="1DBBAC1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Kedi, B., Abadie, J., Sei, J., Quiquampoix, H., and Staunton, S.</w:t>
      </w:r>
      <w:r w:rsidRPr="00DF0AA5">
        <w:rPr>
          <w:rFonts w:cs="Arial"/>
          <w:noProof/>
        </w:rPr>
        <w:t xml:space="preserve"> (2013). Diversity of adsorption affinity and catalytic activity of fungal phosphatases adsorbed on some tropical soils. Soil Biol. Biochem. </w:t>
      </w:r>
      <w:r w:rsidRPr="00DF0AA5">
        <w:rPr>
          <w:rFonts w:cs="Arial"/>
          <w:b/>
          <w:bCs/>
          <w:noProof/>
        </w:rPr>
        <w:t>56</w:t>
      </w:r>
      <w:r w:rsidRPr="00DF0AA5">
        <w:rPr>
          <w:rFonts w:cs="Arial"/>
          <w:noProof/>
        </w:rPr>
        <w:t>: 13–20.</w:t>
      </w:r>
    </w:p>
    <w:p w14:paraId="43C60B2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Keenan, R.J., Freymann, D.M., Stroud, R.M., and Walter, P.</w:t>
      </w:r>
      <w:r w:rsidRPr="00DF0AA5">
        <w:rPr>
          <w:rFonts w:cs="Arial"/>
          <w:noProof/>
        </w:rPr>
        <w:t xml:space="preserve"> (2001). The signal recognition particle. </w:t>
      </w:r>
      <w:r w:rsidRPr="00DF0AA5">
        <w:rPr>
          <w:rFonts w:cs="Arial"/>
          <w:b/>
          <w:bCs/>
          <w:noProof/>
        </w:rPr>
        <w:t>70</w:t>
      </w:r>
      <w:r w:rsidRPr="00DF0AA5">
        <w:rPr>
          <w:rFonts w:cs="Arial"/>
          <w:noProof/>
        </w:rPr>
        <w:t>: 755–775.</w:t>
      </w:r>
    </w:p>
    <w:p w14:paraId="1FA7C43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Khan, H. and Javed, A.</w:t>
      </w:r>
      <w:r w:rsidRPr="00DF0AA5">
        <w:rPr>
          <w:rFonts w:cs="Arial"/>
          <w:noProof/>
        </w:rPr>
        <w:t xml:space="preserve"> (2015). UHPLC/Q-TOF-MS Technique: Introduction and Applications. Lett. Org. Chem. </w:t>
      </w:r>
      <w:r w:rsidRPr="00DF0AA5">
        <w:rPr>
          <w:rFonts w:cs="Arial"/>
          <w:b/>
          <w:bCs/>
          <w:noProof/>
        </w:rPr>
        <w:t>12</w:t>
      </w:r>
      <w:r w:rsidRPr="00DF0AA5">
        <w:rPr>
          <w:rFonts w:cs="Arial"/>
          <w:noProof/>
        </w:rPr>
        <w:t>: 371–378.</w:t>
      </w:r>
    </w:p>
    <w:p w14:paraId="021F706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Kiers, E.T. et al.</w:t>
      </w:r>
      <w:r w:rsidRPr="00DF0AA5">
        <w:rPr>
          <w:rFonts w:cs="Arial"/>
          <w:noProof/>
        </w:rPr>
        <w:t xml:space="preserve"> (2011). Reciprocal rewards stabilize cooperation in the mycorrhizal symbiosis. Science </w:t>
      </w:r>
      <w:r w:rsidRPr="00DF0AA5">
        <w:rPr>
          <w:rFonts w:cs="Arial"/>
          <w:b/>
          <w:bCs/>
          <w:noProof/>
        </w:rPr>
        <w:t>333</w:t>
      </w:r>
      <w:r w:rsidRPr="00DF0AA5">
        <w:rPr>
          <w:rFonts w:cs="Arial"/>
          <w:noProof/>
        </w:rPr>
        <w:t>: 880–882.</w:t>
      </w:r>
    </w:p>
    <w:p w14:paraId="0B2749D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Knechtle, P., Kaufmann, A., Cavicchioli, D., and Philippsen, P.</w:t>
      </w:r>
      <w:r w:rsidRPr="00DF0AA5">
        <w:rPr>
          <w:rFonts w:cs="Arial"/>
          <w:noProof/>
        </w:rPr>
        <w:t xml:space="preserve"> (2008). The Paxillin-like protein AgPxl1 is required for apical branching and maximal hyphal growth in </w:t>
      </w:r>
      <w:r w:rsidRPr="002857EE">
        <w:rPr>
          <w:rFonts w:cs="Arial"/>
          <w:i/>
          <w:noProof/>
        </w:rPr>
        <w:t xml:space="preserve">A. </w:t>
      </w:r>
      <w:r w:rsidRPr="002857EE">
        <w:rPr>
          <w:rFonts w:cs="Arial"/>
          <w:i/>
          <w:noProof/>
        </w:rPr>
        <w:lastRenderedPageBreak/>
        <w:t>gossypii</w:t>
      </w:r>
      <w:r w:rsidRPr="00DF0AA5">
        <w:rPr>
          <w:rFonts w:cs="Arial"/>
          <w:noProof/>
        </w:rPr>
        <w:t xml:space="preserve">. Fungal Genet. Biol. </w:t>
      </w:r>
      <w:r w:rsidRPr="00DF0AA5">
        <w:rPr>
          <w:rFonts w:cs="Arial"/>
          <w:b/>
          <w:bCs/>
          <w:noProof/>
        </w:rPr>
        <w:t>45</w:t>
      </w:r>
      <w:r w:rsidRPr="00DF0AA5">
        <w:rPr>
          <w:rFonts w:cs="Arial"/>
          <w:noProof/>
        </w:rPr>
        <w:t>: 829–838.</w:t>
      </w:r>
    </w:p>
    <w:p w14:paraId="7D48F96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Koele, N., Dickie, I.A., Blum, J.D., Gleason, J.D., and de Graaf, L.</w:t>
      </w:r>
      <w:r w:rsidRPr="00DF0AA5">
        <w:rPr>
          <w:rFonts w:cs="Arial"/>
          <w:noProof/>
        </w:rPr>
        <w:t xml:space="preserve"> (2014). Ecological significance of mineral weathering in ectomycorrhizal and arbuscular mycorrhizal ecosystems from a field-based comparison. Soil Biol. Biochem. </w:t>
      </w:r>
      <w:r w:rsidRPr="00DF0AA5">
        <w:rPr>
          <w:rFonts w:cs="Arial"/>
          <w:b/>
          <w:bCs/>
          <w:noProof/>
        </w:rPr>
        <w:t>69</w:t>
      </w:r>
      <w:r w:rsidRPr="00DF0AA5">
        <w:rPr>
          <w:rFonts w:cs="Arial"/>
          <w:noProof/>
        </w:rPr>
        <w:t>: 63–70.</w:t>
      </w:r>
    </w:p>
    <w:p w14:paraId="7394C0A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Kolde, R.</w:t>
      </w:r>
      <w:r w:rsidRPr="00DF0AA5">
        <w:rPr>
          <w:rFonts w:cs="Arial"/>
          <w:noProof/>
        </w:rPr>
        <w:t xml:space="preserve"> (2015). Package “pheatmap.”</w:t>
      </w:r>
    </w:p>
    <w:p w14:paraId="2CAF5B9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Koonin, E. V et al.</w:t>
      </w:r>
      <w:r w:rsidRPr="00DF0AA5">
        <w:rPr>
          <w:rFonts w:cs="Arial"/>
          <w:noProof/>
        </w:rPr>
        <w:t xml:space="preserve"> (2004). A comprehensive evolutionary classification of proteins encoded in complete eukaryotic genomes. Genome Biol. </w:t>
      </w:r>
      <w:r w:rsidRPr="00DF0AA5">
        <w:rPr>
          <w:rFonts w:cs="Arial"/>
          <w:b/>
          <w:bCs/>
          <w:noProof/>
        </w:rPr>
        <w:t>5</w:t>
      </w:r>
      <w:r w:rsidRPr="00DF0AA5">
        <w:rPr>
          <w:rFonts w:cs="Arial"/>
          <w:noProof/>
        </w:rPr>
        <w:t>: R7.</w:t>
      </w:r>
    </w:p>
    <w:p w14:paraId="5E58E3F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Kothe, E., Muller, D., and Krause, K.</w:t>
      </w:r>
      <w:r w:rsidRPr="00DF0AA5">
        <w:rPr>
          <w:rFonts w:cs="Arial"/>
          <w:noProof/>
        </w:rPr>
        <w:t xml:space="preserve"> (2002). Different high affinity phosphate uptake systems of ectomycorrhizal </w:t>
      </w:r>
      <w:r w:rsidRPr="002857EE">
        <w:rPr>
          <w:rFonts w:cs="Arial"/>
          <w:i/>
          <w:noProof/>
        </w:rPr>
        <w:t>Tricholoma</w:t>
      </w:r>
      <w:r w:rsidRPr="00DF0AA5">
        <w:rPr>
          <w:rFonts w:cs="Arial"/>
          <w:noProof/>
        </w:rPr>
        <w:t xml:space="preserve"> species in relation to substrate specificity. J. Appl. Bot. </w:t>
      </w:r>
      <w:r w:rsidRPr="00DF0AA5">
        <w:rPr>
          <w:rFonts w:cs="Arial"/>
          <w:b/>
          <w:bCs/>
          <w:noProof/>
        </w:rPr>
        <w:t>76</w:t>
      </w:r>
      <w:r w:rsidRPr="00DF0AA5">
        <w:rPr>
          <w:rFonts w:cs="Arial"/>
          <w:noProof/>
        </w:rPr>
        <w:t>: 127–131.</w:t>
      </w:r>
    </w:p>
    <w:p w14:paraId="132DE168"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Krause, K., Henke, C., Asiimwe, T., Ulbricht, A., Klemmer, S., Schachtschabel, D., Boland, W., and Kothe, E.</w:t>
      </w:r>
      <w:r w:rsidRPr="00DF0AA5">
        <w:rPr>
          <w:rFonts w:cs="Arial"/>
          <w:noProof/>
        </w:rPr>
        <w:t xml:space="preserve"> (2015). Biosynthesis and secretion of indole-3-acetic acid and its morphological effects on </w:t>
      </w:r>
      <w:r w:rsidRPr="002857EE">
        <w:rPr>
          <w:rFonts w:cs="Arial"/>
          <w:i/>
          <w:noProof/>
        </w:rPr>
        <w:t>Tricholoma vaccinum</w:t>
      </w:r>
      <w:r w:rsidRPr="00DF0AA5">
        <w:rPr>
          <w:rFonts w:cs="Arial"/>
          <w:noProof/>
        </w:rPr>
        <w:t xml:space="preserve">-spruce ectomycorrhiza. Appl. Environ. Microbiol. </w:t>
      </w:r>
      <w:r w:rsidRPr="00DF0AA5">
        <w:rPr>
          <w:rFonts w:cs="Arial"/>
          <w:b/>
          <w:bCs/>
          <w:noProof/>
        </w:rPr>
        <w:t>81</w:t>
      </w:r>
      <w:r w:rsidRPr="00DF0AA5">
        <w:rPr>
          <w:rFonts w:cs="Arial"/>
          <w:noProof/>
        </w:rPr>
        <w:t>: 7003–7011.</w:t>
      </w:r>
    </w:p>
    <w:p w14:paraId="622D1D7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Kristan, K. and Rižner, T.L.</w:t>
      </w:r>
      <w:r w:rsidRPr="00DF0AA5">
        <w:rPr>
          <w:rFonts w:cs="Arial"/>
          <w:noProof/>
        </w:rPr>
        <w:t xml:space="preserve"> (2012). Steroid-transforming enzymes in fungi. J. Steroid Biochem. Mol. Biol. </w:t>
      </w:r>
      <w:r w:rsidRPr="00DF0AA5">
        <w:rPr>
          <w:rFonts w:cs="Arial"/>
          <w:b/>
          <w:bCs/>
          <w:noProof/>
        </w:rPr>
        <w:t>129</w:t>
      </w:r>
      <w:r w:rsidRPr="00DF0AA5">
        <w:rPr>
          <w:rFonts w:cs="Arial"/>
          <w:noProof/>
        </w:rPr>
        <w:t>: 79–91.</w:t>
      </w:r>
    </w:p>
    <w:p w14:paraId="77D0FB8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Kumar, S., Stecher, G., and Tamura, K.</w:t>
      </w:r>
      <w:r w:rsidRPr="00DF0AA5">
        <w:rPr>
          <w:rFonts w:cs="Arial"/>
          <w:noProof/>
        </w:rPr>
        <w:t xml:space="preserve"> (2016). MEGA7: Molecular Evolutionary Genetics Analysis version 7.0 for bigger datasets. Mol. Biol. Evol. </w:t>
      </w:r>
      <w:r w:rsidRPr="00DF0AA5">
        <w:rPr>
          <w:rFonts w:cs="Arial"/>
          <w:b/>
          <w:bCs/>
          <w:noProof/>
        </w:rPr>
        <w:t>33</w:t>
      </w:r>
      <w:r w:rsidRPr="00DF0AA5">
        <w:rPr>
          <w:rFonts w:cs="Arial"/>
          <w:noProof/>
        </w:rPr>
        <w:t>: 1870–1874.</w:t>
      </w:r>
    </w:p>
    <w:p w14:paraId="274F6AC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Kuroda, T. and Tsuchiya, T.</w:t>
      </w:r>
      <w:r w:rsidRPr="00DF0AA5">
        <w:rPr>
          <w:rFonts w:cs="Arial"/>
          <w:noProof/>
        </w:rPr>
        <w:t xml:space="preserve"> (2009). Multidrug efflux transporters in the MATE family. Biochim. Biophys. Acta - Proteins Proteomics </w:t>
      </w:r>
      <w:r w:rsidRPr="00DF0AA5">
        <w:rPr>
          <w:rFonts w:cs="Arial"/>
          <w:b/>
          <w:bCs/>
          <w:noProof/>
        </w:rPr>
        <w:t>1794</w:t>
      </w:r>
      <w:r w:rsidRPr="00DF0AA5">
        <w:rPr>
          <w:rFonts w:cs="Arial"/>
          <w:noProof/>
        </w:rPr>
        <w:t>: 763–768.</w:t>
      </w:r>
    </w:p>
    <w:p w14:paraId="2CC109D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Kurtov, D., Kinghorn, J.R., and Unkles, S.E.</w:t>
      </w:r>
      <w:r w:rsidRPr="00DF0AA5">
        <w:rPr>
          <w:rFonts w:cs="Arial"/>
          <w:noProof/>
        </w:rPr>
        <w:t xml:space="preserve"> (1999). The </w:t>
      </w:r>
      <w:r w:rsidRPr="002857EE">
        <w:rPr>
          <w:rFonts w:cs="Arial"/>
          <w:i/>
          <w:noProof/>
        </w:rPr>
        <w:t>Aspergillus nidulans</w:t>
      </w:r>
      <w:r w:rsidRPr="00DF0AA5">
        <w:rPr>
          <w:rFonts w:cs="Arial"/>
          <w:noProof/>
        </w:rPr>
        <w:t xml:space="preserve"> panB gene encodes ketopantoate hydroxymethyltransferase, required for biosynthesis of pantothenate and Coenzyme A. Mol. Gen. Genet. </w:t>
      </w:r>
      <w:r w:rsidRPr="00DF0AA5">
        <w:rPr>
          <w:rFonts w:cs="Arial"/>
          <w:b/>
          <w:bCs/>
          <w:noProof/>
        </w:rPr>
        <w:t>262</w:t>
      </w:r>
      <w:r w:rsidRPr="00DF0AA5">
        <w:rPr>
          <w:rFonts w:cs="Arial"/>
          <w:noProof/>
        </w:rPr>
        <w:t>: 115–120.</w:t>
      </w:r>
    </w:p>
    <w:p w14:paraId="04A2A4D8"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Kuthan, M., Devaux, F., Janderova, B., Slaninova, I., Jacq, C., and Palkova, Z.</w:t>
      </w:r>
      <w:r w:rsidRPr="00DF0AA5">
        <w:rPr>
          <w:rFonts w:cs="Arial"/>
          <w:noProof/>
        </w:rPr>
        <w:t xml:space="preserve"> (2003). Domestication of wild </w:t>
      </w:r>
      <w:r w:rsidRPr="002857EE">
        <w:rPr>
          <w:rFonts w:cs="Arial"/>
          <w:i/>
          <w:noProof/>
        </w:rPr>
        <w:t>Saccharomyces cerevisiae</w:t>
      </w:r>
      <w:r w:rsidRPr="00DF0AA5">
        <w:rPr>
          <w:rFonts w:cs="Arial"/>
          <w:noProof/>
        </w:rPr>
        <w:t xml:space="preserve"> is accompanied by changes in gene expression and colony morphology. Mol. Microbiol. </w:t>
      </w:r>
      <w:r w:rsidRPr="00DF0AA5">
        <w:rPr>
          <w:rFonts w:cs="Arial"/>
          <w:b/>
          <w:bCs/>
          <w:noProof/>
        </w:rPr>
        <w:t>47</w:t>
      </w:r>
      <w:r w:rsidRPr="00DF0AA5">
        <w:rPr>
          <w:rFonts w:cs="Arial"/>
          <w:noProof/>
        </w:rPr>
        <w:t>: 745–754.</w:t>
      </w:r>
    </w:p>
    <w:p w14:paraId="6E9AA6F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Kytöviita, M.-M.</w:t>
      </w:r>
      <w:r w:rsidRPr="00DF0AA5">
        <w:rPr>
          <w:rFonts w:cs="Arial"/>
          <w:noProof/>
        </w:rPr>
        <w:t xml:space="preserve"> (2005). Role of nutrient level and defoliation on symbiotic function: </w:t>
      </w:r>
      <w:r w:rsidRPr="00DF0AA5">
        <w:rPr>
          <w:rFonts w:cs="Arial"/>
          <w:noProof/>
        </w:rPr>
        <w:lastRenderedPageBreak/>
        <w:t xml:space="preserve">experimental evidence by tracing 14C/15N exchange in mycorrhizal birch seedlings. Mycorrhiza </w:t>
      </w:r>
      <w:r w:rsidRPr="00DF0AA5">
        <w:rPr>
          <w:rFonts w:cs="Arial"/>
          <w:b/>
          <w:bCs/>
          <w:noProof/>
        </w:rPr>
        <w:t>15</w:t>
      </w:r>
      <w:r w:rsidRPr="00DF0AA5">
        <w:rPr>
          <w:rFonts w:cs="Arial"/>
          <w:noProof/>
        </w:rPr>
        <w:t>: 65–70.</w:t>
      </w:r>
    </w:p>
    <w:p w14:paraId="3E0544C7"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Landeweert, R., Hoffland, E., Finlay, R.D., Kuyper, T.W., and van Breemen, N.</w:t>
      </w:r>
      <w:r w:rsidRPr="00DF0AA5">
        <w:rPr>
          <w:rFonts w:cs="Arial"/>
          <w:noProof/>
        </w:rPr>
        <w:t xml:space="preserve"> (2001). Linking plants to rocks: ectomycorrhizal fungi mobilize nutrients from minerals. Trends Ecol. Evol. </w:t>
      </w:r>
      <w:r w:rsidRPr="00DF0AA5">
        <w:rPr>
          <w:rFonts w:cs="Arial"/>
          <w:b/>
          <w:bCs/>
          <w:noProof/>
        </w:rPr>
        <w:t>16</w:t>
      </w:r>
      <w:r w:rsidRPr="00DF0AA5">
        <w:rPr>
          <w:rFonts w:cs="Arial"/>
          <w:noProof/>
        </w:rPr>
        <w:t>: 248–254.</w:t>
      </w:r>
    </w:p>
    <w:p w14:paraId="6B2C4C5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Landeweert, R. and Leeflang, P.</w:t>
      </w:r>
      <w:r w:rsidRPr="00DF0AA5">
        <w:rPr>
          <w:rFonts w:cs="Arial"/>
          <w:noProof/>
        </w:rPr>
        <w:t xml:space="preserve"> (2003). Molecular identification of ectomycorrhizal mycelium in soil horizons. Appl. Environ. Microbiol. </w:t>
      </w:r>
      <w:r w:rsidRPr="00DF0AA5">
        <w:rPr>
          <w:rFonts w:cs="Arial"/>
          <w:b/>
          <w:bCs/>
          <w:noProof/>
        </w:rPr>
        <w:t>69</w:t>
      </w:r>
      <w:r w:rsidRPr="00DF0AA5">
        <w:rPr>
          <w:rFonts w:cs="Arial"/>
          <w:noProof/>
        </w:rPr>
        <w:t>: 327–333.</w:t>
      </w:r>
    </w:p>
    <w:p w14:paraId="1D79EC2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Lapeyrie, F., Chilvers, G. a., and Bhem, C. a.</w:t>
      </w:r>
      <w:r w:rsidRPr="00DF0AA5">
        <w:rPr>
          <w:rFonts w:cs="Arial"/>
          <w:noProof/>
        </w:rPr>
        <w:t xml:space="preserve"> (1987). Oxalic Acid Synthesis By the Mycorrhizal Fungus </w:t>
      </w:r>
      <w:r w:rsidRPr="002857EE">
        <w:rPr>
          <w:rFonts w:cs="Arial"/>
          <w:i/>
          <w:noProof/>
        </w:rPr>
        <w:t>Paxillus Involutus</w:t>
      </w:r>
      <w:r w:rsidRPr="00DF0AA5">
        <w:rPr>
          <w:rFonts w:cs="Arial"/>
          <w:noProof/>
        </w:rPr>
        <w:t xml:space="preserve"> (Batsch. Ex Fr.) Fr. New Phytol. </w:t>
      </w:r>
      <w:r w:rsidRPr="00DF0AA5">
        <w:rPr>
          <w:rFonts w:cs="Arial"/>
          <w:b/>
          <w:bCs/>
          <w:noProof/>
        </w:rPr>
        <w:t>106</w:t>
      </w:r>
      <w:r w:rsidRPr="00DF0AA5">
        <w:rPr>
          <w:rFonts w:cs="Arial"/>
          <w:noProof/>
        </w:rPr>
        <w:t>: 139–146.</w:t>
      </w:r>
    </w:p>
    <w:p w14:paraId="6965EE95"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Lapeyrie, F., Ranger, J., and Vairelles, D.</w:t>
      </w:r>
      <w:r w:rsidRPr="00DF0AA5">
        <w:rPr>
          <w:rFonts w:cs="Arial"/>
          <w:noProof/>
        </w:rPr>
        <w:t xml:space="preserve"> (1991). Phosphate-solubilizing activity of ectomycorrhizal fungi in vitro. Can. J. Bot. </w:t>
      </w:r>
      <w:r w:rsidRPr="00DF0AA5">
        <w:rPr>
          <w:rFonts w:cs="Arial"/>
          <w:b/>
          <w:bCs/>
          <w:noProof/>
        </w:rPr>
        <w:t>69</w:t>
      </w:r>
      <w:r w:rsidRPr="00DF0AA5">
        <w:rPr>
          <w:rFonts w:cs="Arial"/>
          <w:noProof/>
        </w:rPr>
        <w:t>: 342–346.</w:t>
      </w:r>
    </w:p>
    <w:p w14:paraId="067EB67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Larsen, P.E., Sreedasyam, A., Trivedi, G., Podila, G.K., Cseke, L.J., and Collart, F.R.</w:t>
      </w:r>
      <w:r w:rsidRPr="00DF0AA5">
        <w:rPr>
          <w:rFonts w:cs="Arial"/>
          <w:noProof/>
        </w:rPr>
        <w:t xml:space="preserve"> (2011). Using next generation transcriptome sequencing to predict an ectomycorrhizal metabolome. BMC Syst. Biol. </w:t>
      </w:r>
      <w:r w:rsidRPr="00DF0AA5">
        <w:rPr>
          <w:rFonts w:cs="Arial"/>
          <w:b/>
          <w:bCs/>
          <w:noProof/>
        </w:rPr>
        <w:t>5</w:t>
      </w:r>
      <w:r w:rsidRPr="00DF0AA5">
        <w:rPr>
          <w:rFonts w:cs="Arial"/>
          <w:noProof/>
        </w:rPr>
        <w:t>: 70.</w:t>
      </w:r>
    </w:p>
    <w:p w14:paraId="462B32D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Leake, J., Johnson, D., Donnelly, D., Muckle, G., Boddy, L., and Read, D.</w:t>
      </w:r>
      <w:r w:rsidRPr="00DF0AA5">
        <w:rPr>
          <w:rFonts w:cs="Arial"/>
          <w:noProof/>
        </w:rPr>
        <w:t xml:space="preserve"> (2004). Networks of power and influence: the role of mycorrhizal mycelium in controlling plant communities and agroecosystem functioning. Can. J. Bot. </w:t>
      </w:r>
      <w:r w:rsidRPr="00DF0AA5">
        <w:rPr>
          <w:rFonts w:cs="Arial"/>
          <w:b/>
          <w:bCs/>
          <w:noProof/>
        </w:rPr>
        <w:t>82</w:t>
      </w:r>
      <w:r w:rsidRPr="00DF0AA5">
        <w:rPr>
          <w:rFonts w:cs="Arial"/>
          <w:noProof/>
        </w:rPr>
        <w:t>: 1016–1045.</w:t>
      </w:r>
    </w:p>
    <w:p w14:paraId="02498D97"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Leake, J.R., Donnelly, D.P., Saunders, E.M., Boddy, L., and Read, D.J.</w:t>
      </w:r>
      <w:r w:rsidRPr="00DF0AA5">
        <w:rPr>
          <w:rFonts w:cs="Arial"/>
          <w:noProof/>
        </w:rPr>
        <w:t xml:space="preserve"> (2001). Rates and quantities of carbon flux to ectomycorrhizal mycelium following 14C pulse labeling of </w:t>
      </w:r>
      <w:r w:rsidRPr="002857EE">
        <w:rPr>
          <w:rFonts w:cs="Arial"/>
          <w:i/>
          <w:noProof/>
        </w:rPr>
        <w:t>Pinus sylvestris</w:t>
      </w:r>
      <w:r w:rsidRPr="00DF0AA5">
        <w:rPr>
          <w:rFonts w:cs="Arial"/>
          <w:noProof/>
        </w:rPr>
        <w:t xml:space="preserve"> seedlings: effects of litter patches and interaction with a wood-decomposer fungus. Tree Physiol. </w:t>
      </w:r>
      <w:r w:rsidRPr="00DF0AA5">
        <w:rPr>
          <w:rFonts w:cs="Arial"/>
          <w:b/>
          <w:bCs/>
          <w:noProof/>
        </w:rPr>
        <w:t>21</w:t>
      </w:r>
      <w:r w:rsidRPr="00DF0AA5">
        <w:rPr>
          <w:rFonts w:cs="Arial"/>
          <w:noProof/>
        </w:rPr>
        <w:t>: 71–82.</w:t>
      </w:r>
    </w:p>
    <w:p w14:paraId="5AC99187"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Leake, J.R., Duran,  a. L., Hardy, K.E., Johnson, I., Beerling, D.J., Banwart, S. a., and Smits, M.M.</w:t>
      </w:r>
      <w:r w:rsidRPr="00DF0AA5">
        <w:rPr>
          <w:rFonts w:cs="Arial"/>
          <w:noProof/>
        </w:rPr>
        <w:t xml:space="preserve"> (2008). Biological weathering in soil: the role of symbiotic root-associated fungi biosensing minerals and directing photosynthate-energy into grain-scale mineral weathering. Mineral. Mag. </w:t>
      </w:r>
      <w:r w:rsidRPr="00DF0AA5">
        <w:rPr>
          <w:rFonts w:cs="Arial"/>
          <w:b/>
          <w:bCs/>
          <w:noProof/>
        </w:rPr>
        <w:t>72</w:t>
      </w:r>
      <w:r w:rsidRPr="00DF0AA5">
        <w:rPr>
          <w:rFonts w:cs="Arial"/>
          <w:noProof/>
        </w:rPr>
        <w:t>: 85–89.</w:t>
      </w:r>
    </w:p>
    <w:p w14:paraId="01E0C05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Lehner, A., Meimoun, P., Errakhi, R., Madiona, K., Barakate, M., and Bouteau, F.</w:t>
      </w:r>
      <w:r w:rsidRPr="00DF0AA5">
        <w:rPr>
          <w:rFonts w:cs="Arial"/>
          <w:noProof/>
        </w:rPr>
        <w:t xml:space="preserve"> (2008). Toxic and signalling effects of oxalic acid: Oxalic acid-Natural born killer or </w:t>
      </w:r>
      <w:r w:rsidRPr="00DF0AA5">
        <w:rPr>
          <w:rFonts w:cs="Arial"/>
          <w:noProof/>
        </w:rPr>
        <w:lastRenderedPageBreak/>
        <w:t xml:space="preserve">natural born protector? Plant Signal. Behav. </w:t>
      </w:r>
      <w:r w:rsidRPr="00DF0AA5">
        <w:rPr>
          <w:rFonts w:cs="Arial"/>
          <w:b/>
          <w:bCs/>
          <w:noProof/>
        </w:rPr>
        <w:t>3</w:t>
      </w:r>
      <w:r w:rsidRPr="00DF0AA5">
        <w:rPr>
          <w:rFonts w:cs="Arial"/>
          <w:noProof/>
        </w:rPr>
        <w:t>: 746–8.</w:t>
      </w:r>
    </w:p>
    <w:p w14:paraId="263E867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Leyval, C. and Berthelin, J.</w:t>
      </w:r>
      <w:r w:rsidRPr="00DF0AA5">
        <w:rPr>
          <w:rFonts w:cs="Arial"/>
          <w:noProof/>
        </w:rPr>
        <w:t xml:space="preserve"> (1991). Weathering of a Mica by Roots and Rhizospheric Microorganisms of Pine. Soil Sci. Soc. Am. journal. </w:t>
      </w:r>
      <w:r w:rsidRPr="00DF0AA5">
        <w:rPr>
          <w:rFonts w:cs="Arial"/>
          <w:b/>
          <w:bCs/>
          <w:noProof/>
        </w:rPr>
        <w:t>55</w:t>
      </w:r>
      <w:r w:rsidRPr="00DF0AA5">
        <w:rPr>
          <w:rFonts w:cs="Arial"/>
          <w:noProof/>
        </w:rPr>
        <w:t>: 1009–1016.</w:t>
      </w:r>
    </w:p>
    <w:p w14:paraId="47BA69E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Li, N., Meng, H., Xing, H., Liang, L., Zhao, X., and Luo, K.</w:t>
      </w:r>
      <w:r w:rsidRPr="00DF0AA5">
        <w:rPr>
          <w:rFonts w:cs="Arial"/>
          <w:noProof/>
        </w:rPr>
        <w:t xml:space="preserve"> (2017). Genome-wide analysis of MATE transporters and molecular characterization of aluminum resistance in Populus. J. Exp. Bot. </w:t>
      </w:r>
      <w:r w:rsidRPr="00DF0AA5">
        <w:rPr>
          <w:rFonts w:cs="Arial"/>
          <w:b/>
          <w:bCs/>
          <w:noProof/>
        </w:rPr>
        <w:t>68</w:t>
      </w:r>
      <w:r w:rsidRPr="00DF0AA5">
        <w:rPr>
          <w:rFonts w:cs="Arial"/>
          <w:noProof/>
        </w:rPr>
        <w:t>: 5669–5683.</w:t>
      </w:r>
    </w:p>
    <w:p w14:paraId="557E143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Li, Q., Csetenyi, L., and Gadd, G.M.</w:t>
      </w:r>
      <w:r w:rsidRPr="00DF0AA5">
        <w:rPr>
          <w:rFonts w:cs="Arial"/>
          <w:noProof/>
        </w:rPr>
        <w:t xml:space="preserve"> (2014). Biomineralization of metal carbonates by </w:t>
      </w:r>
      <w:r w:rsidRPr="002857EE">
        <w:rPr>
          <w:rFonts w:cs="Arial"/>
          <w:i/>
          <w:noProof/>
        </w:rPr>
        <w:t>Neurospora crassa</w:t>
      </w:r>
      <w:r w:rsidRPr="00DF0AA5">
        <w:rPr>
          <w:rFonts w:cs="Arial"/>
          <w:noProof/>
        </w:rPr>
        <w:t xml:space="preserve">. Environ. Sci. Technol. </w:t>
      </w:r>
      <w:r w:rsidRPr="00DF0AA5">
        <w:rPr>
          <w:rFonts w:cs="Arial"/>
          <w:b/>
          <w:bCs/>
          <w:noProof/>
        </w:rPr>
        <w:t>48</w:t>
      </w:r>
      <w:r w:rsidRPr="00DF0AA5">
        <w:rPr>
          <w:rFonts w:cs="Arial"/>
          <w:noProof/>
        </w:rPr>
        <w:t>: 14409–14416.</w:t>
      </w:r>
    </w:p>
    <w:p w14:paraId="60D9820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Liang, X., Hillier, S., Pendlowski, H., Gray, N., Ceci, A., and Gadd, G.M.</w:t>
      </w:r>
      <w:r w:rsidRPr="00DF0AA5">
        <w:rPr>
          <w:rFonts w:cs="Arial"/>
          <w:noProof/>
        </w:rPr>
        <w:t xml:space="preserve"> (2015). Uranium phosphate biomineralization by fungi. Environ. Microbiol. </w:t>
      </w:r>
      <w:r w:rsidRPr="00DF0AA5">
        <w:rPr>
          <w:rFonts w:cs="Arial"/>
          <w:b/>
          <w:bCs/>
          <w:noProof/>
        </w:rPr>
        <w:t>17</w:t>
      </w:r>
      <w:r w:rsidRPr="00DF0AA5">
        <w:rPr>
          <w:rFonts w:cs="Arial"/>
          <w:noProof/>
        </w:rPr>
        <w:t>: 2064–2075.</w:t>
      </w:r>
    </w:p>
    <w:p w14:paraId="135D30E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Liao, Y., Smyth, G.K., and Shi, W.</w:t>
      </w:r>
      <w:r w:rsidRPr="00DF0AA5">
        <w:rPr>
          <w:rFonts w:cs="Arial"/>
          <w:noProof/>
        </w:rPr>
        <w:t xml:space="preserve"> (2014). FeatureCounts: An efficient general purpose program for assigning sequence reads to genomic features. Bioinformatics </w:t>
      </w:r>
      <w:r w:rsidRPr="00DF0AA5">
        <w:rPr>
          <w:rFonts w:cs="Arial"/>
          <w:b/>
          <w:bCs/>
          <w:noProof/>
        </w:rPr>
        <w:t>30</w:t>
      </w:r>
      <w:r w:rsidRPr="00DF0AA5">
        <w:rPr>
          <w:rFonts w:cs="Arial"/>
          <w:noProof/>
        </w:rPr>
        <w:t>: 923–930.</w:t>
      </w:r>
    </w:p>
    <w:p w14:paraId="792A3E9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Lim, F.Y., Hou, Y., Chen, Y., Oh, J.H., Lee, I., Bugni, T.S., and Keller, N.P.</w:t>
      </w:r>
      <w:r w:rsidRPr="00DF0AA5">
        <w:rPr>
          <w:rFonts w:cs="Arial"/>
          <w:noProof/>
        </w:rPr>
        <w:t xml:space="preserve"> (2012). Genome-based cluster deletion reveals an endocrocin biosynthetic pathway in </w:t>
      </w:r>
      <w:r w:rsidRPr="002857EE">
        <w:rPr>
          <w:rFonts w:cs="Arial"/>
          <w:i/>
          <w:noProof/>
        </w:rPr>
        <w:t>Aspergillus fumigatus</w:t>
      </w:r>
      <w:r w:rsidRPr="00DF0AA5">
        <w:rPr>
          <w:rFonts w:cs="Arial"/>
          <w:noProof/>
        </w:rPr>
        <w:t xml:space="preserve">. Appl. Environ. Microbiol. </w:t>
      </w:r>
      <w:r w:rsidRPr="00DF0AA5">
        <w:rPr>
          <w:rFonts w:cs="Arial"/>
          <w:b/>
          <w:bCs/>
          <w:noProof/>
        </w:rPr>
        <w:t>78</w:t>
      </w:r>
      <w:r w:rsidRPr="00DF0AA5">
        <w:rPr>
          <w:rFonts w:cs="Arial"/>
          <w:noProof/>
        </w:rPr>
        <w:t>: 4117–4125.</w:t>
      </w:r>
    </w:p>
    <w:p w14:paraId="64B0594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Limon, M.C., Rodriguez-Ortiz, R., and Avalos, J.</w:t>
      </w:r>
      <w:r w:rsidRPr="00DF0AA5">
        <w:rPr>
          <w:rFonts w:cs="Arial"/>
          <w:noProof/>
        </w:rPr>
        <w:t xml:space="preserve"> (2010). Bikaverin production and applications. Appl. Microbiol. Biotechnol. </w:t>
      </w:r>
      <w:r w:rsidRPr="00DF0AA5">
        <w:rPr>
          <w:rFonts w:cs="Arial"/>
          <w:b/>
          <w:bCs/>
          <w:noProof/>
        </w:rPr>
        <w:t>87</w:t>
      </w:r>
      <w:r w:rsidRPr="00DF0AA5">
        <w:rPr>
          <w:rFonts w:cs="Arial"/>
          <w:noProof/>
        </w:rPr>
        <w:t>: 21–29.</w:t>
      </w:r>
    </w:p>
    <w:p w14:paraId="5C5D258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Liu, J., Magalhaes, J. V., Shaff, J., and Kochian, L. V.</w:t>
      </w:r>
      <w:r w:rsidRPr="00DF0AA5">
        <w:rPr>
          <w:rFonts w:cs="Arial"/>
          <w:noProof/>
        </w:rPr>
        <w:t xml:space="preserve"> (2009). Aluminum-activated citrate and malate transporters from the MATE and ALMT families function independently to confer Arabidopsis aluminum tolerance. Plant J. </w:t>
      </w:r>
      <w:r w:rsidRPr="00DF0AA5">
        <w:rPr>
          <w:rFonts w:cs="Arial"/>
          <w:b/>
          <w:bCs/>
          <w:noProof/>
        </w:rPr>
        <w:t>57</w:t>
      </w:r>
      <w:r w:rsidRPr="00DF0AA5">
        <w:rPr>
          <w:rFonts w:cs="Arial"/>
          <w:noProof/>
        </w:rPr>
        <w:t>: 389–399.</w:t>
      </w:r>
    </w:p>
    <w:p w14:paraId="7C764D4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Liu, Y., Gianinazzi-Pearson, V., Arnould, C., Wipf, D., Zhao, B., and Tuinen, D. van</w:t>
      </w:r>
      <w:r w:rsidRPr="00DF0AA5">
        <w:rPr>
          <w:rFonts w:cs="Arial"/>
          <w:noProof/>
        </w:rPr>
        <w:t xml:space="preserve"> (2013a). Fungal genes related to calcium homeostasis and signalling are upregulated in symbiotic arbuscular mycorrhiza interactions. Fungal Biol. </w:t>
      </w:r>
      <w:r w:rsidRPr="00DF0AA5">
        <w:rPr>
          <w:rFonts w:cs="Arial"/>
          <w:b/>
          <w:bCs/>
          <w:noProof/>
        </w:rPr>
        <w:t>117</w:t>
      </w:r>
      <w:r w:rsidRPr="00DF0AA5">
        <w:rPr>
          <w:rFonts w:cs="Arial"/>
          <w:noProof/>
        </w:rPr>
        <w:t>: 22–31.</w:t>
      </w:r>
    </w:p>
    <w:p w14:paraId="617F08A3" w14:textId="4E0E0869"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Liu, Y., Su, Y., and Wang, X.</w:t>
      </w:r>
      <w:r w:rsidRPr="00DF0AA5">
        <w:rPr>
          <w:rFonts w:cs="Arial"/>
          <w:noProof/>
        </w:rPr>
        <w:t xml:space="preserve"> (2013b). Phosphat</w:t>
      </w:r>
      <w:r w:rsidR="000D0685">
        <w:rPr>
          <w:rFonts w:cs="Arial"/>
          <w:noProof/>
        </w:rPr>
        <w:t>idic Acid-Mediated Signaling BT</w:t>
      </w:r>
      <w:r w:rsidRPr="00DF0AA5">
        <w:rPr>
          <w:rFonts w:cs="Arial"/>
          <w:noProof/>
        </w:rPr>
        <w:t xml:space="preserve"> - Lipid-mediated Protein Signaling. In D.G.S. Capelluto, ed (Springer Netherlands: </w:t>
      </w:r>
      <w:r w:rsidRPr="00DF0AA5">
        <w:rPr>
          <w:rFonts w:cs="Arial"/>
          <w:noProof/>
        </w:rPr>
        <w:lastRenderedPageBreak/>
        <w:t>Dordrecht), pp. 159–176.</w:t>
      </w:r>
    </w:p>
    <w:p w14:paraId="617B347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Livak, K.J. and Schmittgen, T.D.</w:t>
      </w:r>
      <w:r w:rsidRPr="00DF0AA5">
        <w:rPr>
          <w:rFonts w:cs="Arial"/>
          <w:noProof/>
        </w:rPr>
        <w:t xml:space="preserve"> (2001). Analysis of relative gene expression data using real-time quantitative PCR and the 2-ΔΔCT method. Methods </w:t>
      </w:r>
      <w:r w:rsidRPr="00DF0AA5">
        <w:rPr>
          <w:rFonts w:cs="Arial"/>
          <w:b/>
          <w:bCs/>
          <w:noProof/>
        </w:rPr>
        <w:t>25</w:t>
      </w:r>
      <w:r w:rsidRPr="00DF0AA5">
        <w:rPr>
          <w:rFonts w:cs="Arial"/>
          <w:noProof/>
        </w:rPr>
        <w:t>: 402–408.</w:t>
      </w:r>
    </w:p>
    <w:p w14:paraId="4E97F47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Ljungdahl, P.O. and Daignan-Fornier, B.</w:t>
      </w:r>
      <w:r w:rsidRPr="00DF0AA5">
        <w:rPr>
          <w:rFonts w:cs="Arial"/>
          <w:noProof/>
        </w:rPr>
        <w:t xml:space="preserve"> (2012). Regulation of amino acid, nucleotide, and phosphate metabolism in </w:t>
      </w:r>
      <w:r w:rsidRPr="000D0685">
        <w:rPr>
          <w:rFonts w:cs="Arial"/>
          <w:i/>
          <w:noProof/>
        </w:rPr>
        <w:t>Saccharomyces cerevisiae</w:t>
      </w:r>
      <w:r w:rsidRPr="00DF0AA5">
        <w:rPr>
          <w:rFonts w:cs="Arial"/>
          <w:noProof/>
        </w:rPr>
        <w:t xml:space="preserve">. Genetics </w:t>
      </w:r>
      <w:r w:rsidRPr="00DF0AA5">
        <w:rPr>
          <w:rFonts w:cs="Arial"/>
          <w:b/>
          <w:bCs/>
          <w:noProof/>
        </w:rPr>
        <w:t>190</w:t>
      </w:r>
      <w:r w:rsidRPr="00DF0AA5">
        <w:rPr>
          <w:rFonts w:cs="Arial"/>
          <w:noProof/>
        </w:rPr>
        <w:t>: 885–929.</w:t>
      </w:r>
    </w:p>
    <w:p w14:paraId="36899CF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López, M.F., Dietz, S., Grunze, N., Bloschies, J., Weiss, M., and Nehls, U.</w:t>
      </w:r>
      <w:r w:rsidRPr="00DF0AA5">
        <w:rPr>
          <w:rFonts w:cs="Arial"/>
          <w:noProof/>
        </w:rPr>
        <w:t xml:space="preserve"> (2008). The sugar porter gene family of </w:t>
      </w:r>
      <w:r w:rsidRPr="000D0685">
        <w:rPr>
          <w:rFonts w:cs="Arial"/>
          <w:i/>
          <w:noProof/>
        </w:rPr>
        <w:t>Laccaria bicolor</w:t>
      </w:r>
      <w:r w:rsidRPr="00DF0AA5">
        <w:rPr>
          <w:rFonts w:cs="Arial"/>
          <w:noProof/>
        </w:rPr>
        <w:t xml:space="preserve">: function in ectomycorrhizal symbiosis and soil-growing hyphae. New Phytol. </w:t>
      </w:r>
      <w:r w:rsidRPr="00DF0AA5">
        <w:rPr>
          <w:rFonts w:cs="Arial"/>
          <w:b/>
          <w:bCs/>
          <w:noProof/>
        </w:rPr>
        <w:t>180</w:t>
      </w:r>
      <w:r w:rsidRPr="00DF0AA5">
        <w:rPr>
          <w:rFonts w:cs="Arial"/>
          <w:noProof/>
        </w:rPr>
        <w:t>: 365–78.</w:t>
      </w:r>
    </w:p>
    <w:p w14:paraId="5858A57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Loth-Pereda, V., Orsini, E., Courty, P.-E., Lota, F., Kohler, A., Diss, L., Blaudez, D., Chalot, M., Nehls, U., Bucher, M., and Martin, F.</w:t>
      </w:r>
      <w:r w:rsidRPr="00DF0AA5">
        <w:rPr>
          <w:rFonts w:cs="Arial"/>
          <w:noProof/>
        </w:rPr>
        <w:t xml:space="preserve"> (2011). Structure and expression profile of the phosphate Pht1 transporter gene family in mycorrhizal </w:t>
      </w:r>
      <w:r w:rsidRPr="000D0685">
        <w:rPr>
          <w:rFonts w:cs="Arial"/>
          <w:i/>
          <w:noProof/>
        </w:rPr>
        <w:t>Populus trichocarpa</w:t>
      </w:r>
      <w:r w:rsidRPr="00DF0AA5">
        <w:rPr>
          <w:rFonts w:cs="Arial"/>
          <w:noProof/>
        </w:rPr>
        <w:t xml:space="preserve">. Plant Physiol. </w:t>
      </w:r>
      <w:r w:rsidRPr="00DF0AA5">
        <w:rPr>
          <w:rFonts w:cs="Arial"/>
          <w:b/>
          <w:bCs/>
          <w:noProof/>
        </w:rPr>
        <w:t>156</w:t>
      </w:r>
      <w:r w:rsidRPr="00DF0AA5">
        <w:rPr>
          <w:rFonts w:cs="Arial"/>
          <w:noProof/>
        </w:rPr>
        <w:t>: 2141–54.</w:t>
      </w:r>
    </w:p>
    <w:p w14:paraId="5BD0EDB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Love, M.I., Huber, W., and Anders, S.</w:t>
      </w:r>
      <w:r w:rsidRPr="00DF0AA5">
        <w:rPr>
          <w:rFonts w:cs="Arial"/>
          <w:noProof/>
        </w:rPr>
        <w:t xml:space="preserve"> (2014). Moderated estimation of fold change and dispersion for RNA-seq data with DESeq2. Genome Biol. </w:t>
      </w:r>
      <w:r w:rsidRPr="00DF0AA5">
        <w:rPr>
          <w:rFonts w:cs="Arial"/>
          <w:b/>
          <w:bCs/>
          <w:noProof/>
        </w:rPr>
        <w:t>15</w:t>
      </w:r>
      <w:r w:rsidRPr="00DF0AA5">
        <w:rPr>
          <w:rFonts w:cs="Arial"/>
          <w:noProof/>
        </w:rPr>
        <w:t>: 550.</w:t>
      </w:r>
    </w:p>
    <w:p w14:paraId="793B9E3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Ludwig-Müller, J. and Güther, M.</w:t>
      </w:r>
      <w:r w:rsidRPr="00DF0AA5">
        <w:rPr>
          <w:rFonts w:cs="Arial"/>
          <w:noProof/>
        </w:rPr>
        <w:t xml:space="preserve"> (2007). Auxins as Signals in Arbuscular Mycorrhiza Formation. Plant Signal. Behav. </w:t>
      </w:r>
      <w:r w:rsidRPr="00DF0AA5">
        <w:rPr>
          <w:rFonts w:cs="Arial"/>
          <w:b/>
          <w:bCs/>
          <w:noProof/>
        </w:rPr>
        <w:t>2</w:t>
      </w:r>
      <w:r w:rsidRPr="00DF0AA5">
        <w:rPr>
          <w:rFonts w:cs="Arial"/>
          <w:noProof/>
        </w:rPr>
        <w:t>: 194–196.</w:t>
      </w:r>
    </w:p>
    <w:p w14:paraId="7F320BB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Mäkelä, M.R., Sietiö, O.M., De Vries, R.P., Timonen, S., and Hildén, K.</w:t>
      </w:r>
      <w:r w:rsidRPr="00DF0AA5">
        <w:rPr>
          <w:rFonts w:cs="Arial"/>
          <w:noProof/>
        </w:rPr>
        <w:t xml:space="preserve"> (2014). Oxalate-metabolising genes of the white-rot fungus </w:t>
      </w:r>
      <w:r w:rsidRPr="000D0685">
        <w:rPr>
          <w:rFonts w:cs="Arial"/>
          <w:i/>
          <w:noProof/>
        </w:rPr>
        <w:t>Dichomitus squalens</w:t>
      </w:r>
      <w:r w:rsidRPr="00DF0AA5">
        <w:rPr>
          <w:rFonts w:cs="Arial"/>
          <w:noProof/>
        </w:rPr>
        <w:t xml:space="preserve"> are differentially induced on wood and at high proton concentration. PLoS One </w:t>
      </w:r>
      <w:r w:rsidRPr="00DF0AA5">
        <w:rPr>
          <w:rFonts w:cs="Arial"/>
          <w:b/>
          <w:bCs/>
          <w:noProof/>
        </w:rPr>
        <w:t>9</w:t>
      </w:r>
      <w:r w:rsidRPr="00DF0AA5">
        <w:rPr>
          <w:rFonts w:cs="Arial"/>
          <w:noProof/>
        </w:rPr>
        <w:t>.</w:t>
      </w:r>
    </w:p>
    <w:p w14:paraId="3DF8FE18"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Maldonado-Mendoza, I.E., Dewbre, G.R., and Harrison, M.J.</w:t>
      </w:r>
      <w:r w:rsidRPr="00DF0AA5">
        <w:rPr>
          <w:rFonts w:cs="Arial"/>
          <w:noProof/>
        </w:rPr>
        <w:t xml:space="preserve"> (2001). A phosphate transporter gene from the extra-radical mycelium of an arbuscular mycorrhizal fungus </w:t>
      </w:r>
      <w:r w:rsidRPr="000D0685">
        <w:rPr>
          <w:rFonts w:cs="Arial"/>
          <w:i/>
          <w:noProof/>
        </w:rPr>
        <w:t>Glomus intraradices</w:t>
      </w:r>
      <w:r w:rsidRPr="00DF0AA5">
        <w:rPr>
          <w:rFonts w:cs="Arial"/>
          <w:noProof/>
        </w:rPr>
        <w:t xml:space="preserve"> is regulated in response to phosphate in the environment. Mol. Plant. Microbe. Interact. </w:t>
      </w:r>
      <w:r w:rsidRPr="00DF0AA5">
        <w:rPr>
          <w:rFonts w:cs="Arial"/>
          <w:b/>
          <w:bCs/>
          <w:noProof/>
        </w:rPr>
        <w:t>14</w:t>
      </w:r>
      <w:r w:rsidRPr="00DF0AA5">
        <w:rPr>
          <w:rFonts w:cs="Arial"/>
          <w:noProof/>
        </w:rPr>
        <w:t>: 1140–8.</w:t>
      </w:r>
    </w:p>
    <w:p w14:paraId="1438AD9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Mandujano-González, V., Villa-Tanaca, L., Anducho-Reyes, M.A., and Mercado-Flores, Y.</w:t>
      </w:r>
      <w:r w:rsidRPr="00DF0AA5">
        <w:rPr>
          <w:rFonts w:cs="Arial"/>
          <w:noProof/>
        </w:rPr>
        <w:t xml:space="preserve"> (2016). Secreted fungal aspartic proteases: A review. Rev. Iberoam. Micol. </w:t>
      </w:r>
      <w:r w:rsidRPr="00DF0AA5">
        <w:rPr>
          <w:rFonts w:cs="Arial"/>
          <w:b/>
          <w:bCs/>
          <w:noProof/>
        </w:rPr>
        <w:t>33</w:t>
      </w:r>
      <w:r w:rsidRPr="00DF0AA5">
        <w:rPr>
          <w:rFonts w:cs="Arial"/>
          <w:noProof/>
        </w:rPr>
        <w:t>: 76–82.</w:t>
      </w:r>
    </w:p>
    <w:p w14:paraId="5D696A8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 xml:space="preserve">Margalef, O., Sardans, J., Fernández-Martínez, M., Molowny-Horas, R., Janssens, </w:t>
      </w:r>
      <w:r w:rsidRPr="00DF0AA5">
        <w:rPr>
          <w:rFonts w:cs="Arial"/>
          <w:b/>
          <w:bCs/>
          <w:noProof/>
        </w:rPr>
        <w:lastRenderedPageBreak/>
        <w:t>I.A., Ciais, P., Goll, D., Richter, A., Obersteiner, M., Asensio, D., and Peñuelas, J.</w:t>
      </w:r>
      <w:r w:rsidRPr="00DF0AA5">
        <w:rPr>
          <w:rFonts w:cs="Arial"/>
          <w:noProof/>
        </w:rPr>
        <w:t xml:space="preserve"> (2017). Global patterns of phosphatase activity in natural soils. Sci. Rep. </w:t>
      </w:r>
      <w:r w:rsidRPr="00DF0AA5">
        <w:rPr>
          <w:rFonts w:cs="Arial"/>
          <w:b/>
          <w:bCs/>
          <w:noProof/>
        </w:rPr>
        <w:t>7</w:t>
      </w:r>
      <w:r w:rsidRPr="00DF0AA5">
        <w:rPr>
          <w:rFonts w:cs="Arial"/>
          <w:noProof/>
        </w:rPr>
        <w:t>: 1–13.</w:t>
      </w:r>
    </w:p>
    <w:p w14:paraId="3027A41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Marowa, P., Ding, A., and Kong, Y.</w:t>
      </w:r>
      <w:r w:rsidRPr="00DF0AA5">
        <w:rPr>
          <w:rFonts w:cs="Arial"/>
          <w:noProof/>
        </w:rPr>
        <w:t xml:space="preserve"> (2016). Expansins: roles in plant growth and potential applications in crop improvement. Plant Cell Rep. </w:t>
      </w:r>
      <w:r w:rsidRPr="00DF0AA5">
        <w:rPr>
          <w:rFonts w:cs="Arial"/>
          <w:b/>
          <w:bCs/>
          <w:noProof/>
        </w:rPr>
        <w:t>35</w:t>
      </w:r>
      <w:r w:rsidRPr="00DF0AA5">
        <w:rPr>
          <w:rFonts w:cs="Arial"/>
          <w:noProof/>
        </w:rPr>
        <w:t>: 949–965.</w:t>
      </w:r>
    </w:p>
    <w:p w14:paraId="7BCFD0C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Martin, F. et al.</w:t>
      </w:r>
      <w:r w:rsidRPr="00DF0AA5">
        <w:rPr>
          <w:rFonts w:cs="Arial"/>
          <w:noProof/>
        </w:rPr>
        <w:t xml:space="preserve"> (2010). Périgord black truffle genome uncovers evolutionary origins and mechanisms of symbiosis. Nature </w:t>
      </w:r>
      <w:r w:rsidRPr="00DF0AA5">
        <w:rPr>
          <w:rFonts w:cs="Arial"/>
          <w:b/>
          <w:bCs/>
          <w:noProof/>
        </w:rPr>
        <w:t>464</w:t>
      </w:r>
      <w:r w:rsidRPr="00DF0AA5">
        <w:rPr>
          <w:rFonts w:cs="Arial"/>
          <w:noProof/>
        </w:rPr>
        <w:t>: 1033–8.</w:t>
      </w:r>
    </w:p>
    <w:p w14:paraId="6E89B09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Martin, F. et al.</w:t>
      </w:r>
      <w:r w:rsidRPr="00DF0AA5">
        <w:rPr>
          <w:rFonts w:cs="Arial"/>
          <w:noProof/>
        </w:rPr>
        <w:t xml:space="preserve"> (2008). The genome of </w:t>
      </w:r>
      <w:r w:rsidRPr="000D0685">
        <w:rPr>
          <w:rFonts w:cs="Arial"/>
          <w:i/>
          <w:noProof/>
        </w:rPr>
        <w:t>Laccaria bicolor</w:t>
      </w:r>
      <w:r w:rsidRPr="00DF0AA5">
        <w:rPr>
          <w:rFonts w:cs="Arial"/>
          <w:noProof/>
        </w:rPr>
        <w:t xml:space="preserve"> provides insights into mycorrhizal symbiosis. Nature </w:t>
      </w:r>
      <w:r w:rsidRPr="00DF0AA5">
        <w:rPr>
          <w:rFonts w:cs="Arial"/>
          <w:b/>
          <w:bCs/>
          <w:noProof/>
        </w:rPr>
        <w:t>452</w:t>
      </w:r>
      <w:r w:rsidRPr="00DF0AA5">
        <w:rPr>
          <w:rFonts w:cs="Arial"/>
          <w:noProof/>
        </w:rPr>
        <w:t>: 88–92.</w:t>
      </w:r>
    </w:p>
    <w:p w14:paraId="3347AD2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Martin, M.</w:t>
      </w:r>
      <w:r w:rsidRPr="00DF0AA5">
        <w:rPr>
          <w:rFonts w:cs="Arial"/>
          <w:noProof/>
        </w:rPr>
        <w:t xml:space="preserve"> (2011). Cutadapt removes adapter sequences from high-throughput sequencing reads. EMBnet.journal; Vol 17, No 1 Next Gener. Seq. Data Anal.</w:t>
      </w:r>
    </w:p>
    <w:p w14:paraId="5FC9879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Martino, E. and Perotto, S.</w:t>
      </w:r>
      <w:r w:rsidRPr="00DF0AA5">
        <w:rPr>
          <w:rFonts w:cs="Arial"/>
          <w:noProof/>
        </w:rPr>
        <w:t xml:space="preserve"> (2010). Mineral transformations by mycorrhizal fungi. Geomicrobiol. J. </w:t>
      </w:r>
      <w:r w:rsidRPr="00DF0AA5">
        <w:rPr>
          <w:rFonts w:cs="Arial"/>
          <w:b/>
          <w:bCs/>
          <w:noProof/>
        </w:rPr>
        <w:t>27</w:t>
      </w:r>
      <w:r w:rsidRPr="00DF0AA5">
        <w:rPr>
          <w:rFonts w:cs="Arial"/>
          <w:noProof/>
        </w:rPr>
        <w:t>: 609–623.</w:t>
      </w:r>
    </w:p>
    <w:p w14:paraId="51641D2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Miller, A.J., Vogg, G., and Sanders, D.</w:t>
      </w:r>
      <w:r w:rsidRPr="00DF0AA5">
        <w:rPr>
          <w:rFonts w:cs="Arial"/>
          <w:noProof/>
        </w:rPr>
        <w:t xml:space="preserve"> (1990). Cytosolic calcium homeostasis in fungi: roles of plasma membrane transport and intracellular sequestration of calcium. Proc. Natl. Acad. Sci. U. S. A. </w:t>
      </w:r>
      <w:r w:rsidRPr="00DF0AA5">
        <w:rPr>
          <w:rFonts w:cs="Arial"/>
          <w:b/>
          <w:bCs/>
          <w:noProof/>
        </w:rPr>
        <w:t>87</w:t>
      </w:r>
      <w:r w:rsidRPr="00DF0AA5">
        <w:rPr>
          <w:rFonts w:cs="Arial"/>
          <w:noProof/>
        </w:rPr>
        <w:t>: 9348–9352.</w:t>
      </w:r>
    </w:p>
    <w:p w14:paraId="08BE29F9" w14:textId="4DB93413"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Miyasaka, S.C. and Habte, M.</w:t>
      </w:r>
      <w:r w:rsidRPr="00DF0AA5">
        <w:rPr>
          <w:rFonts w:cs="Arial"/>
          <w:noProof/>
        </w:rPr>
        <w:t xml:space="preserve"> (2001). Plant mechanisms and mycorrhizal symbioses to increa</w:t>
      </w:r>
      <w:r w:rsidR="000D0685">
        <w:rPr>
          <w:rFonts w:cs="Arial"/>
          <w:noProof/>
        </w:rPr>
        <w:t>se phosphorus uptake efficiency</w:t>
      </w:r>
      <w:r w:rsidRPr="00DF0AA5">
        <w:rPr>
          <w:rFonts w:cs="Arial"/>
          <w:noProof/>
        </w:rPr>
        <w:t xml:space="preserve">. Commun. Soil Sci. Plant Anal. </w:t>
      </w:r>
      <w:r w:rsidRPr="00DF0AA5">
        <w:rPr>
          <w:rFonts w:cs="Arial"/>
          <w:b/>
          <w:bCs/>
          <w:noProof/>
        </w:rPr>
        <w:t>32</w:t>
      </w:r>
      <w:r w:rsidRPr="00DF0AA5">
        <w:rPr>
          <w:rFonts w:cs="Arial"/>
          <w:noProof/>
        </w:rPr>
        <w:t>: 1101–1147.</w:t>
      </w:r>
    </w:p>
    <w:p w14:paraId="025CE4A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Moore, B.A. and Allare, G.B.</w:t>
      </w:r>
      <w:r w:rsidRPr="00DF0AA5">
        <w:rPr>
          <w:rFonts w:cs="Arial"/>
          <w:noProof/>
        </w:rPr>
        <w:t xml:space="preserve"> (2008). Climate Change Impacts on Forest Health (Forestry Department, Food and Agriculture Organization of the United Nations).</w:t>
      </w:r>
    </w:p>
    <w:p w14:paraId="40BD11D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Mossi, R., Ferrari, E., and Hübscher, U.</w:t>
      </w:r>
      <w:r w:rsidRPr="00DF0AA5">
        <w:rPr>
          <w:rFonts w:cs="Arial"/>
          <w:noProof/>
        </w:rPr>
        <w:t xml:space="preserve"> (1998). DNA ligase I selectively affects DNA synthesis by DNA polymerases delta and epsilon suggesting differential functions in DNA replication and repair. J. Biol. Chem. </w:t>
      </w:r>
      <w:r w:rsidRPr="00DF0AA5">
        <w:rPr>
          <w:rFonts w:cs="Arial"/>
          <w:b/>
          <w:bCs/>
          <w:noProof/>
        </w:rPr>
        <w:t>273</w:t>
      </w:r>
      <w:r w:rsidRPr="00DF0AA5">
        <w:rPr>
          <w:rFonts w:cs="Arial"/>
          <w:noProof/>
        </w:rPr>
        <w:t>: 14322–30.</w:t>
      </w:r>
    </w:p>
    <w:p w14:paraId="30634FC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Mudge, D.K., Yang, F., Currie, B.M., Kim, J.M., Yeda, K., Bashyakarla, V.K., Douglas Ivey, F., and Hoffman, C.S.</w:t>
      </w:r>
      <w:r w:rsidRPr="00DF0AA5">
        <w:rPr>
          <w:rFonts w:cs="Arial"/>
          <w:noProof/>
        </w:rPr>
        <w:t xml:space="preserve"> (2014). Sck1 negatively regulates Gpa2-mediated glucose signaling in </w:t>
      </w:r>
      <w:r w:rsidRPr="000D0685">
        <w:rPr>
          <w:rFonts w:cs="Arial"/>
          <w:i/>
          <w:noProof/>
        </w:rPr>
        <w:t>Schizosaccharomyces pombe</w:t>
      </w:r>
      <w:r w:rsidRPr="00DF0AA5">
        <w:rPr>
          <w:rFonts w:cs="Arial"/>
          <w:noProof/>
        </w:rPr>
        <w:t xml:space="preserve">. Eukaryot. Cell </w:t>
      </w:r>
      <w:r w:rsidRPr="00DF0AA5">
        <w:rPr>
          <w:rFonts w:cs="Arial"/>
          <w:b/>
          <w:bCs/>
          <w:noProof/>
        </w:rPr>
        <w:t>13</w:t>
      </w:r>
      <w:r w:rsidRPr="00DF0AA5">
        <w:rPr>
          <w:rFonts w:cs="Arial"/>
          <w:noProof/>
        </w:rPr>
        <w:t>: 202–208.</w:t>
      </w:r>
    </w:p>
    <w:p w14:paraId="6CF7BBB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Mudge, S.R., Rae, A.L., Diatloff, E., and Smith, F.W.</w:t>
      </w:r>
      <w:r w:rsidRPr="00DF0AA5">
        <w:rPr>
          <w:rFonts w:cs="Arial"/>
          <w:noProof/>
        </w:rPr>
        <w:t xml:space="preserve"> (2002). Expression analysis </w:t>
      </w:r>
      <w:r w:rsidRPr="00DF0AA5">
        <w:rPr>
          <w:rFonts w:cs="Arial"/>
          <w:noProof/>
        </w:rPr>
        <w:lastRenderedPageBreak/>
        <w:t xml:space="preserve">suggests novel roles for members of the </w:t>
      </w:r>
      <w:r w:rsidRPr="00DF0AA5">
        <w:rPr>
          <w:rFonts w:cs="Arial"/>
          <w:i/>
          <w:iCs w:val="0"/>
          <w:noProof/>
        </w:rPr>
        <w:t>Pht1</w:t>
      </w:r>
      <w:r w:rsidRPr="00DF0AA5">
        <w:rPr>
          <w:rFonts w:cs="Arial"/>
          <w:noProof/>
        </w:rPr>
        <w:t xml:space="preserve"> family of phosphate transporters in </w:t>
      </w:r>
      <w:r w:rsidRPr="000D0685">
        <w:rPr>
          <w:rFonts w:cs="Arial"/>
          <w:iCs w:val="0"/>
          <w:noProof/>
        </w:rPr>
        <w:t>Arabidopsis</w:t>
      </w:r>
      <w:r w:rsidRPr="00DF0AA5">
        <w:rPr>
          <w:rFonts w:cs="Arial"/>
          <w:noProof/>
        </w:rPr>
        <w:t xml:space="preserve">. Plant J. </w:t>
      </w:r>
      <w:r w:rsidRPr="00DF0AA5">
        <w:rPr>
          <w:rFonts w:cs="Arial"/>
          <w:b/>
          <w:bCs/>
          <w:noProof/>
        </w:rPr>
        <w:t>31</w:t>
      </w:r>
      <w:r w:rsidRPr="00DF0AA5">
        <w:rPr>
          <w:rFonts w:cs="Arial"/>
          <w:noProof/>
        </w:rPr>
        <w:t>: 341–353.</w:t>
      </w:r>
    </w:p>
    <w:p w14:paraId="76E92715"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Müller, A., Volmer, K., Mishra-Knyrim, M., and Polle, A.</w:t>
      </w:r>
      <w:r w:rsidRPr="00DF0AA5">
        <w:rPr>
          <w:rFonts w:cs="Arial"/>
          <w:noProof/>
        </w:rPr>
        <w:t xml:space="preserve"> (2013). Growing poplars for research with and without mycorrhizas. Front. Plant Sci. </w:t>
      </w:r>
      <w:r w:rsidRPr="00DF0AA5">
        <w:rPr>
          <w:rFonts w:cs="Arial"/>
          <w:b/>
          <w:bCs/>
          <w:noProof/>
        </w:rPr>
        <w:t>4</w:t>
      </w:r>
      <w:r w:rsidRPr="00DF0AA5">
        <w:rPr>
          <w:rFonts w:cs="Arial"/>
          <w:noProof/>
        </w:rPr>
        <w:t>: 332.</w:t>
      </w:r>
    </w:p>
    <w:p w14:paraId="698D351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Nagarajan, V.K., Jain, A., Poling, M.D., Lewis, A.J., Raghothama, K.G., and Smith, A.P.</w:t>
      </w:r>
      <w:r w:rsidRPr="00DF0AA5">
        <w:rPr>
          <w:rFonts w:cs="Arial"/>
          <w:noProof/>
        </w:rPr>
        <w:t xml:space="preserve"> (2011). Arabidopsis Pht1;5 Mobilizes Phosphate between Source and Sink Organs and Influences the Interaction between Phosphate Homeostasis and Ethylene Signaling. Plant Physiol. </w:t>
      </w:r>
      <w:r w:rsidRPr="00DF0AA5">
        <w:rPr>
          <w:rFonts w:cs="Arial"/>
          <w:b/>
          <w:bCs/>
          <w:noProof/>
        </w:rPr>
        <w:t>156</w:t>
      </w:r>
      <w:r w:rsidRPr="00DF0AA5">
        <w:rPr>
          <w:rFonts w:cs="Arial"/>
          <w:noProof/>
        </w:rPr>
        <w:t>: 1149–1163.</w:t>
      </w:r>
    </w:p>
    <w:p w14:paraId="693B3CF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Nehls, U.</w:t>
      </w:r>
      <w:r w:rsidRPr="00DF0AA5">
        <w:rPr>
          <w:rFonts w:cs="Arial"/>
          <w:noProof/>
        </w:rPr>
        <w:t xml:space="preserve"> (2008). Mastering ectomycorrhizal symbiosis: the impact of carbohydrates. J. Exp. Bot. </w:t>
      </w:r>
      <w:r w:rsidRPr="00DF0AA5">
        <w:rPr>
          <w:rFonts w:cs="Arial"/>
          <w:b/>
          <w:bCs/>
          <w:noProof/>
        </w:rPr>
        <w:t>59</w:t>
      </w:r>
      <w:r w:rsidRPr="00DF0AA5">
        <w:rPr>
          <w:rFonts w:cs="Arial"/>
          <w:noProof/>
        </w:rPr>
        <w:t>: 1097–108.</w:t>
      </w:r>
    </w:p>
    <w:p w14:paraId="209F197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Nehls, U., Göhringer, F., Wittulsky, S., and Dietz, S.</w:t>
      </w:r>
      <w:r w:rsidRPr="00DF0AA5">
        <w:rPr>
          <w:rFonts w:cs="Arial"/>
          <w:noProof/>
        </w:rPr>
        <w:t xml:space="preserve"> (2010). Fungal carbohydrate support in the ectomycorrhizal symbiosis: a review. Plant Biol. (Stuttg). </w:t>
      </w:r>
      <w:r w:rsidRPr="00DF0AA5">
        <w:rPr>
          <w:rFonts w:cs="Arial"/>
          <w:b/>
          <w:bCs/>
          <w:noProof/>
        </w:rPr>
        <w:t>12</w:t>
      </w:r>
      <w:r w:rsidRPr="00DF0AA5">
        <w:rPr>
          <w:rFonts w:cs="Arial"/>
          <w:noProof/>
        </w:rPr>
        <w:t>: 292–301.</w:t>
      </w:r>
    </w:p>
    <w:p w14:paraId="129FB6A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Nehls, U., Wiese, J., Guttenberger, M., and Hampp, R.</w:t>
      </w:r>
      <w:r w:rsidRPr="00DF0AA5">
        <w:rPr>
          <w:rFonts w:cs="Arial"/>
          <w:noProof/>
        </w:rPr>
        <w:t xml:space="preserve"> (1998). Carbon allocation in ectomycorrhizas: identification and expression analysis of an </w:t>
      </w:r>
      <w:r w:rsidRPr="000D0685">
        <w:rPr>
          <w:rFonts w:cs="Arial"/>
          <w:i/>
          <w:noProof/>
        </w:rPr>
        <w:t>Amanita muscaria</w:t>
      </w:r>
      <w:r w:rsidRPr="00DF0AA5">
        <w:rPr>
          <w:rFonts w:cs="Arial"/>
          <w:noProof/>
        </w:rPr>
        <w:t xml:space="preserve"> monosaccharide transporter. Mol. Plant. Microbe. Interact. </w:t>
      </w:r>
      <w:r w:rsidRPr="00DF0AA5">
        <w:rPr>
          <w:rFonts w:cs="Arial"/>
          <w:b/>
          <w:bCs/>
          <w:noProof/>
        </w:rPr>
        <w:t>11</w:t>
      </w:r>
      <w:r w:rsidRPr="00DF0AA5">
        <w:rPr>
          <w:rFonts w:cs="Arial"/>
          <w:noProof/>
        </w:rPr>
        <w:t>: 167–76.</w:t>
      </w:r>
    </w:p>
    <w:p w14:paraId="142E0945"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Nehls, U., Wiese, J., and Hampp, R.</w:t>
      </w:r>
      <w:r w:rsidRPr="00DF0AA5">
        <w:rPr>
          <w:rFonts w:cs="Arial"/>
          <w:noProof/>
        </w:rPr>
        <w:t xml:space="preserve"> (2000). Cloning of a </w:t>
      </w:r>
      <w:r w:rsidRPr="000D0685">
        <w:rPr>
          <w:rFonts w:cs="Arial"/>
          <w:i/>
          <w:noProof/>
        </w:rPr>
        <w:t>Picea abies</w:t>
      </w:r>
      <w:r w:rsidRPr="00DF0AA5">
        <w:rPr>
          <w:rFonts w:cs="Arial"/>
          <w:noProof/>
        </w:rPr>
        <w:t xml:space="preserve"> monosaccharide transporter gene and expression – analysis in plant tissues and ectomycorrhizas. Trees </w:t>
      </w:r>
      <w:r w:rsidRPr="00DF0AA5">
        <w:rPr>
          <w:rFonts w:cs="Arial"/>
          <w:b/>
          <w:bCs/>
          <w:noProof/>
        </w:rPr>
        <w:t>14</w:t>
      </w:r>
      <w:r w:rsidRPr="00DF0AA5">
        <w:rPr>
          <w:rFonts w:cs="Arial"/>
          <w:noProof/>
        </w:rPr>
        <w:t>: 334–338.</w:t>
      </w:r>
    </w:p>
    <w:p w14:paraId="45265A2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Nordberg, H., Cantor, M., Dusheyko, S., Hua, S., Poliakov, A., Shabalov, I., Smirnova, T., Grigoriev, I. V., and Dubchak, I.</w:t>
      </w:r>
      <w:r w:rsidRPr="00DF0AA5">
        <w:rPr>
          <w:rFonts w:cs="Arial"/>
          <w:noProof/>
        </w:rPr>
        <w:t xml:space="preserve"> (2014). The genome portal of the Department of Energy Joint Genome Institute: 2014 updates. Nucleic Acids Res. </w:t>
      </w:r>
      <w:r w:rsidRPr="00DF0AA5">
        <w:rPr>
          <w:rFonts w:cs="Arial"/>
          <w:b/>
          <w:bCs/>
          <w:noProof/>
        </w:rPr>
        <w:t>42</w:t>
      </w:r>
      <w:r w:rsidRPr="00DF0AA5">
        <w:rPr>
          <w:rFonts w:cs="Arial"/>
          <w:noProof/>
        </w:rPr>
        <w:t>: 26–31.</w:t>
      </w:r>
    </w:p>
    <w:p w14:paraId="6B5E86C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Nouri, E., Breuillin-Sessoms, F., Feller, U., and Reinhardt, D.</w:t>
      </w:r>
      <w:r w:rsidRPr="00DF0AA5">
        <w:rPr>
          <w:rFonts w:cs="Arial"/>
          <w:noProof/>
        </w:rPr>
        <w:t xml:space="preserve"> (2014). Phosphorus and nitrogen regulate arbuscular mycorrhizal symbiosis in petunia hybrida. PLoS One </w:t>
      </w:r>
      <w:r w:rsidRPr="00DF0AA5">
        <w:rPr>
          <w:rFonts w:cs="Arial"/>
          <w:b/>
          <w:bCs/>
          <w:noProof/>
        </w:rPr>
        <w:t>9</w:t>
      </w:r>
      <w:r w:rsidRPr="00DF0AA5">
        <w:rPr>
          <w:rFonts w:cs="Arial"/>
          <w:noProof/>
        </w:rPr>
        <w:t>.</w:t>
      </w:r>
    </w:p>
    <w:p w14:paraId="24665C7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Nussaume, L., Kanno, S., Javot, H., Marin, E., Pochon, N., Ayadi, A., Nakanishi, T.M., and Thibaud, M.-C.</w:t>
      </w:r>
      <w:r w:rsidRPr="00DF0AA5">
        <w:rPr>
          <w:rFonts w:cs="Arial"/>
          <w:noProof/>
        </w:rPr>
        <w:t xml:space="preserve"> (2011). Phosphate Import in Plants: Focus on the PHT1 Transporters. Front. Plant Sci. </w:t>
      </w:r>
      <w:r w:rsidRPr="00DF0AA5">
        <w:rPr>
          <w:rFonts w:cs="Arial"/>
          <w:b/>
          <w:bCs/>
          <w:noProof/>
        </w:rPr>
        <w:t>2</w:t>
      </w:r>
      <w:r w:rsidRPr="00DF0AA5">
        <w:rPr>
          <w:rFonts w:cs="Arial"/>
          <w:noProof/>
        </w:rPr>
        <w:t>: 83.</w:t>
      </w:r>
    </w:p>
    <w:p w14:paraId="05F6DE3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Oka, M., Maruyama, J.I., Arioka, M., Nakajima, H., and Kitamoto, K.</w:t>
      </w:r>
      <w:r w:rsidRPr="00DF0AA5">
        <w:rPr>
          <w:rFonts w:cs="Arial"/>
          <w:noProof/>
        </w:rPr>
        <w:t xml:space="preserve"> (2004). Molecular cloning and functional characterization of avaB, a gene encoding Vam6p/Vps39p-like protein in </w:t>
      </w:r>
      <w:r w:rsidRPr="000D0685">
        <w:rPr>
          <w:rFonts w:cs="Arial"/>
          <w:i/>
          <w:noProof/>
        </w:rPr>
        <w:t>Aspergillus nidulans</w:t>
      </w:r>
      <w:r w:rsidRPr="00DF0AA5">
        <w:rPr>
          <w:rFonts w:cs="Arial"/>
          <w:noProof/>
        </w:rPr>
        <w:t xml:space="preserve">. FEMS Microbiol. Lett. </w:t>
      </w:r>
      <w:r w:rsidRPr="00DF0AA5">
        <w:rPr>
          <w:rFonts w:cs="Arial"/>
          <w:b/>
          <w:bCs/>
          <w:noProof/>
        </w:rPr>
        <w:t>232</w:t>
      </w:r>
      <w:r w:rsidRPr="00DF0AA5">
        <w:rPr>
          <w:rFonts w:cs="Arial"/>
          <w:noProof/>
        </w:rPr>
        <w:t>: 113–121.</w:t>
      </w:r>
    </w:p>
    <w:p w14:paraId="6AB6827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Okamoto, A., Hashimoto, K., Nealson, K.H., and Nakamura, R.</w:t>
      </w:r>
      <w:r w:rsidRPr="00DF0AA5">
        <w:rPr>
          <w:rFonts w:cs="Arial"/>
          <w:noProof/>
        </w:rPr>
        <w:t xml:space="preserve"> (2013). Rate enhancement of bacterial extracellular electron transport involves bound flavin semiquinones. Proc. Natl. Acad. Sci. </w:t>
      </w:r>
      <w:r w:rsidRPr="00DF0AA5">
        <w:rPr>
          <w:rFonts w:cs="Arial"/>
          <w:b/>
          <w:bCs/>
          <w:noProof/>
        </w:rPr>
        <w:t>110</w:t>
      </w:r>
      <w:r w:rsidRPr="00DF0AA5">
        <w:rPr>
          <w:rFonts w:cs="Arial"/>
          <w:noProof/>
        </w:rPr>
        <w:t>: 7856–7861.</w:t>
      </w:r>
    </w:p>
    <w:p w14:paraId="76B7334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Omote, H., Hiasa, M., Matsumoto, T., Otsuka, M., and Moriyama, Y.</w:t>
      </w:r>
      <w:r w:rsidRPr="00DF0AA5">
        <w:rPr>
          <w:rFonts w:cs="Arial"/>
          <w:noProof/>
        </w:rPr>
        <w:t xml:space="preserve"> (2006). The MATE proteins as fundamental transporters of metabolic and xenobiotic organic cations. Trends Pharmacol. Sci. </w:t>
      </w:r>
      <w:r w:rsidRPr="00DF0AA5">
        <w:rPr>
          <w:rFonts w:cs="Arial"/>
          <w:b/>
          <w:bCs/>
          <w:noProof/>
        </w:rPr>
        <w:t>27</w:t>
      </w:r>
      <w:r w:rsidRPr="00DF0AA5">
        <w:rPr>
          <w:rFonts w:cs="Arial"/>
          <w:noProof/>
        </w:rPr>
        <w:t>: 587–593.</w:t>
      </w:r>
    </w:p>
    <w:p w14:paraId="6D37A2F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Ottilie, S., Goldgof, G.M., Cheung, A.L., Walker, J.L., Vigil, E., Allen, K.E., Antonova-Koch, Y., Slayman, C.W., Suzuki, Y., and Durrant, J.D.</w:t>
      </w:r>
      <w:r w:rsidRPr="00DF0AA5">
        <w:rPr>
          <w:rFonts w:cs="Arial"/>
          <w:noProof/>
        </w:rPr>
        <w:t xml:space="preserve"> (2018). Two inhibitors of yeast plasma membrane ATPase 1 (ScPma1p): toward the development of novel antifungal therapies. J. Cheminform. </w:t>
      </w:r>
      <w:r w:rsidRPr="00DF0AA5">
        <w:rPr>
          <w:rFonts w:cs="Arial"/>
          <w:b/>
          <w:bCs/>
          <w:noProof/>
        </w:rPr>
        <w:t>10</w:t>
      </w:r>
      <w:r w:rsidRPr="00DF0AA5">
        <w:rPr>
          <w:rFonts w:cs="Arial"/>
          <w:noProof/>
        </w:rPr>
        <w:t>: 6.</w:t>
      </w:r>
    </w:p>
    <w:p w14:paraId="0A735B4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Pao, S.S., Paulsen, I.A.N.T., and Saier, M.H.</w:t>
      </w:r>
      <w:r w:rsidRPr="00DF0AA5">
        <w:rPr>
          <w:rFonts w:cs="Arial"/>
          <w:noProof/>
        </w:rPr>
        <w:t xml:space="preserve"> (1998). Major facilitator superfamily. Microbiol. Mol. Biol. Rev. </w:t>
      </w:r>
      <w:r w:rsidRPr="00DF0AA5">
        <w:rPr>
          <w:rFonts w:cs="Arial"/>
          <w:b/>
          <w:bCs/>
          <w:noProof/>
        </w:rPr>
        <w:t>62</w:t>
      </w:r>
      <w:r w:rsidRPr="00DF0AA5">
        <w:rPr>
          <w:rFonts w:cs="Arial"/>
          <w:noProof/>
        </w:rPr>
        <w:t>: 1–34.</w:t>
      </w:r>
    </w:p>
    <w:p w14:paraId="0680CD1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Parniske, M.</w:t>
      </w:r>
      <w:r w:rsidRPr="00DF0AA5">
        <w:rPr>
          <w:rFonts w:cs="Arial"/>
          <w:noProof/>
        </w:rPr>
        <w:t xml:space="preserve"> (2008). Arbuscular mycorrhiza: the mother of plant root endosymbioses. Nat. Rev. Microbiol. </w:t>
      </w:r>
      <w:r w:rsidRPr="00DF0AA5">
        <w:rPr>
          <w:rFonts w:cs="Arial"/>
          <w:b/>
          <w:bCs/>
          <w:noProof/>
        </w:rPr>
        <w:t>6</w:t>
      </w:r>
      <w:r w:rsidRPr="00DF0AA5">
        <w:rPr>
          <w:rFonts w:cs="Arial"/>
          <w:noProof/>
        </w:rPr>
        <w:t>: 763–75.</w:t>
      </w:r>
    </w:p>
    <w:p w14:paraId="1649BF15"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Pazzagli, L., Seidl-Seiboth, V., Barsottini, M., Vargas, W.A., Scala, A., and Mukherjee, P.K.</w:t>
      </w:r>
      <w:r w:rsidRPr="00DF0AA5">
        <w:rPr>
          <w:rFonts w:cs="Arial"/>
          <w:noProof/>
        </w:rPr>
        <w:t xml:space="preserve"> (2014). Cerato-platanins: Elicitors and effectors. Plant Sci. </w:t>
      </w:r>
      <w:r w:rsidRPr="00DF0AA5">
        <w:rPr>
          <w:rFonts w:cs="Arial"/>
          <w:b/>
          <w:bCs/>
          <w:noProof/>
        </w:rPr>
        <w:t>228</w:t>
      </w:r>
      <w:r w:rsidRPr="00DF0AA5">
        <w:rPr>
          <w:rFonts w:cs="Arial"/>
          <w:noProof/>
        </w:rPr>
        <w:t>: 79–87.</w:t>
      </w:r>
    </w:p>
    <w:p w14:paraId="2634518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Pétriacq, P., Ton, J., Patrit, O., Tcherkez, G., and Gakière, B.</w:t>
      </w:r>
      <w:r w:rsidRPr="00DF0AA5">
        <w:rPr>
          <w:rFonts w:cs="Arial"/>
          <w:noProof/>
        </w:rPr>
        <w:t xml:space="preserve"> (2016). NAD acts as an integral regulator of multiple defense layers. Plant Physiol. </w:t>
      </w:r>
      <w:r w:rsidRPr="00DF0AA5">
        <w:rPr>
          <w:rFonts w:cs="Arial"/>
          <w:b/>
          <w:bCs/>
          <w:noProof/>
        </w:rPr>
        <w:t>172</w:t>
      </w:r>
      <w:r w:rsidRPr="00DF0AA5">
        <w:rPr>
          <w:rFonts w:cs="Arial"/>
          <w:noProof/>
        </w:rPr>
        <w:t>: 1–15.</w:t>
      </w:r>
    </w:p>
    <w:p w14:paraId="4028C47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Pfaffl, M.W.</w:t>
      </w:r>
      <w:r w:rsidRPr="00DF0AA5">
        <w:rPr>
          <w:rFonts w:cs="Arial"/>
          <w:noProof/>
        </w:rPr>
        <w:t xml:space="preserve"> (2001). A new mathematical model for relative quantification in real-time RT–PCR. Nucleic Acids Res. </w:t>
      </w:r>
      <w:r w:rsidRPr="00DF0AA5">
        <w:rPr>
          <w:rFonts w:cs="Arial"/>
          <w:b/>
          <w:bCs/>
          <w:noProof/>
        </w:rPr>
        <w:t>29</w:t>
      </w:r>
      <w:r w:rsidRPr="00DF0AA5">
        <w:rPr>
          <w:rFonts w:cs="Arial"/>
          <w:noProof/>
        </w:rPr>
        <w:t>: 16–21.</w:t>
      </w:r>
    </w:p>
    <w:p w14:paraId="7706F9C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Pinsont, B., Merle, M., Franconi, J.M., and Daignan-Fornier, B.</w:t>
      </w:r>
      <w:r w:rsidRPr="00DF0AA5">
        <w:rPr>
          <w:rFonts w:cs="Arial"/>
          <w:noProof/>
        </w:rPr>
        <w:t xml:space="preserve"> (2004). Low affinity orthophosphate carriers regulate PHO gene expression independently of internal orthophosphate concentration in </w:t>
      </w:r>
      <w:r w:rsidRPr="000D0685">
        <w:rPr>
          <w:rFonts w:cs="Arial"/>
          <w:i/>
          <w:noProof/>
        </w:rPr>
        <w:t>Saccharomyces cerevisiae</w:t>
      </w:r>
      <w:r w:rsidRPr="00DF0AA5">
        <w:rPr>
          <w:rFonts w:cs="Arial"/>
          <w:noProof/>
        </w:rPr>
        <w:t xml:space="preserve">. J. Biol. Chem. </w:t>
      </w:r>
      <w:r w:rsidRPr="00DF0AA5">
        <w:rPr>
          <w:rFonts w:cs="Arial"/>
          <w:b/>
          <w:bCs/>
          <w:noProof/>
        </w:rPr>
        <w:t>279</w:t>
      </w:r>
      <w:r w:rsidRPr="00DF0AA5">
        <w:rPr>
          <w:rFonts w:cs="Arial"/>
          <w:noProof/>
        </w:rPr>
        <w:t>: 35273–35280.</w:t>
      </w:r>
    </w:p>
    <w:p w14:paraId="61AA1A1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Popova, Y., Thayumanavan, P., Lonati, E., Agrochão, M., and Thevelein, J.M.</w:t>
      </w:r>
      <w:r w:rsidRPr="00DF0AA5">
        <w:rPr>
          <w:rFonts w:cs="Arial"/>
          <w:noProof/>
        </w:rPr>
        <w:t xml:space="preserve"> (2010). Transport and signaling through the phosphate-binding site of the yeast Pho84 phosphate transceptor. PNAS </w:t>
      </w:r>
      <w:r w:rsidRPr="00DF0AA5">
        <w:rPr>
          <w:rFonts w:cs="Arial"/>
          <w:b/>
          <w:bCs/>
          <w:noProof/>
        </w:rPr>
        <w:t>107</w:t>
      </w:r>
      <w:r w:rsidRPr="00DF0AA5">
        <w:rPr>
          <w:rFonts w:cs="Arial"/>
          <w:noProof/>
        </w:rPr>
        <w:t>: 2890–5.</w:t>
      </w:r>
    </w:p>
    <w:p w14:paraId="55B8D96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Protopopov, V., Govindan, B., Novick, P., and Gerst, J.E.</w:t>
      </w:r>
      <w:r w:rsidRPr="00DF0AA5">
        <w:rPr>
          <w:rFonts w:cs="Arial"/>
          <w:noProof/>
        </w:rPr>
        <w:t xml:space="preserve"> (1993). Homologs of the synaptobrevin/VAMP family of synaptic vesicle proteins function on the late secretory pathway in </w:t>
      </w:r>
      <w:r w:rsidRPr="000D0685">
        <w:rPr>
          <w:rFonts w:cs="Arial"/>
          <w:i/>
          <w:noProof/>
        </w:rPr>
        <w:t>S. cerevisiae</w:t>
      </w:r>
      <w:r w:rsidRPr="00DF0AA5">
        <w:rPr>
          <w:rFonts w:cs="Arial"/>
          <w:noProof/>
        </w:rPr>
        <w:t xml:space="preserve">. Cell </w:t>
      </w:r>
      <w:r w:rsidRPr="00DF0AA5">
        <w:rPr>
          <w:rFonts w:cs="Arial"/>
          <w:b/>
          <w:bCs/>
          <w:noProof/>
        </w:rPr>
        <w:t>74</w:t>
      </w:r>
      <w:r w:rsidRPr="00DF0AA5">
        <w:rPr>
          <w:rFonts w:cs="Arial"/>
          <w:noProof/>
        </w:rPr>
        <w:t>: 855–861.</w:t>
      </w:r>
    </w:p>
    <w:p w14:paraId="2F79ECF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Pusapati, G. V., Luchetti, G., and Pfeffer, S.R.</w:t>
      </w:r>
      <w:r w:rsidRPr="00DF0AA5">
        <w:rPr>
          <w:rFonts w:cs="Arial"/>
          <w:noProof/>
        </w:rPr>
        <w:t xml:space="preserve"> (2012). Ric1-Rgp1 complex is a guanine nucleotide exchange factor for the late Golgi Rab6A GTPase and an effector of the medial Golgi Rab33B GTPase. J. Biol. Chem. </w:t>
      </w:r>
      <w:r w:rsidRPr="00DF0AA5">
        <w:rPr>
          <w:rFonts w:cs="Arial"/>
          <w:b/>
          <w:bCs/>
          <w:noProof/>
        </w:rPr>
        <w:t>287</w:t>
      </w:r>
      <w:r w:rsidRPr="00DF0AA5">
        <w:rPr>
          <w:rFonts w:cs="Arial"/>
          <w:noProof/>
        </w:rPr>
        <w:t>: 42129–42137.</w:t>
      </w:r>
    </w:p>
    <w:p w14:paraId="738556D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Pusztahelyi, T., Holb, I.J., and Pocsi, I.</w:t>
      </w:r>
      <w:r w:rsidRPr="00DF0AA5">
        <w:rPr>
          <w:rFonts w:cs="Arial"/>
          <w:noProof/>
        </w:rPr>
        <w:t xml:space="preserve"> (2015). Secondary metabolites in fungus-plant interactions. Front. Plant Sci. </w:t>
      </w:r>
      <w:r w:rsidRPr="00DF0AA5">
        <w:rPr>
          <w:rFonts w:cs="Arial"/>
          <w:b/>
          <w:bCs/>
          <w:noProof/>
        </w:rPr>
        <w:t>6</w:t>
      </w:r>
      <w:r w:rsidRPr="00DF0AA5">
        <w:rPr>
          <w:rFonts w:cs="Arial"/>
          <w:noProof/>
        </w:rPr>
        <w:t>: 1–23.</w:t>
      </w:r>
    </w:p>
    <w:p w14:paraId="5D614108"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Qhanya, L.B., Matowane, G., Chen, W., Sun, Y., Letsimo, E.M., Parvez, M., Yu, J.H., Mashele, S.S., and Syed, K.</w:t>
      </w:r>
      <w:r w:rsidRPr="00DF0AA5">
        <w:rPr>
          <w:rFonts w:cs="Arial"/>
          <w:noProof/>
        </w:rPr>
        <w:t xml:space="preserve"> (2015). Genome-wide annotation and comparative analysis of cytochrome P450 monooxygenases in basidiomycete biotrophic plant pathogens. PLoS One </w:t>
      </w:r>
      <w:r w:rsidRPr="00DF0AA5">
        <w:rPr>
          <w:rFonts w:cs="Arial"/>
          <w:b/>
          <w:bCs/>
          <w:noProof/>
        </w:rPr>
        <w:t>10</w:t>
      </w:r>
      <w:r w:rsidRPr="00DF0AA5">
        <w:rPr>
          <w:rFonts w:cs="Arial"/>
          <w:noProof/>
        </w:rPr>
        <w:t>: 1–17.</w:t>
      </w:r>
    </w:p>
    <w:p w14:paraId="7708C25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Le Quéré, A., Johansson, T., and Tunlid, A.</w:t>
      </w:r>
      <w:r w:rsidRPr="00DF0AA5">
        <w:rPr>
          <w:rFonts w:cs="Arial"/>
          <w:noProof/>
        </w:rPr>
        <w:t xml:space="preserve"> (2002). Size and complexity of the nuclear genome of the ectomycorrhizal fungus </w:t>
      </w:r>
      <w:r w:rsidRPr="000D0685">
        <w:rPr>
          <w:rFonts w:cs="Arial"/>
          <w:i/>
          <w:noProof/>
        </w:rPr>
        <w:t>Paxillus involutus</w:t>
      </w:r>
      <w:r w:rsidRPr="00DF0AA5">
        <w:rPr>
          <w:rFonts w:cs="Arial"/>
          <w:noProof/>
        </w:rPr>
        <w:t xml:space="preserve">. Fungal Genet. Biol. </w:t>
      </w:r>
      <w:r w:rsidRPr="00DF0AA5">
        <w:rPr>
          <w:rFonts w:cs="Arial"/>
          <w:b/>
          <w:bCs/>
          <w:noProof/>
        </w:rPr>
        <w:t>36</w:t>
      </w:r>
      <w:r w:rsidRPr="00DF0AA5">
        <w:rPr>
          <w:rFonts w:cs="Arial"/>
          <w:noProof/>
        </w:rPr>
        <w:t>: 234–41.</w:t>
      </w:r>
    </w:p>
    <w:p w14:paraId="2613ABA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Le Quéré, A., Wright, D.P., Söderström, B., Tunlid, A., and Johansson, T.</w:t>
      </w:r>
      <w:r w:rsidRPr="00DF0AA5">
        <w:rPr>
          <w:rFonts w:cs="Arial"/>
          <w:noProof/>
        </w:rPr>
        <w:t xml:space="preserve"> (2005). Global patterns of gene regulation associated with the development of ectomycorrhiza between birch (</w:t>
      </w:r>
      <w:r w:rsidRPr="000D0685">
        <w:rPr>
          <w:rFonts w:cs="Arial"/>
          <w:i/>
          <w:noProof/>
        </w:rPr>
        <w:t>Betula pendula</w:t>
      </w:r>
      <w:r w:rsidRPr="00DF0AA5">
        <w:rPr>
          <w:rFonts w:cs="Arial"/>
          <w:noProof/>
        </w:rPr>
        <w:t xml:space="preserve"> Roth.) and </w:t>
      </w:r>
      <w:r w:rsidRPr="000D0685">
        <w:rPr>
          <w:rFonts w:cs="Arial"/>
          <w:i/>
          <w:noProof/>
        </w:rPr>
        <w:t>Paxillus involutus</w:t>
      </w:r>
      <w:r w:rsidRPr="00DF0AA5">
        <w:rPr>
          <w:rFonts w:cs="Arial"/>
          <w:noProof/>
        </w:rPr>
        <w:t xml:space="preserve"> (Batsch) Fr. Mol. Plant. Microbe. Interact. </w:t>
      </w:r>
      <w:r w:rsidRPr="00DF0AA5">
        <w:rPr>
          <w:rFonts w:cs="Arial"/>
          <w:b/>
          <w:bCs/>
          <w:noProof/>
        </w:rPr>
        <w:t>18</w:t>
      </w:r>
      <w:r w:rsidRPr="00DF0AA5">
        <w:rPr>
          <w:rFonts w:cs="Arial"/>
          <w:noProof/>
        </w:rPr>
        <w:t>: 659–73.</w:t>
      </w:r>
    </w:p>
    <w:p w14:paraId="5BAC832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Quirk, J., Beerling, D.J., Banwart, S. a, Kakonyi, G., Romero-Gonzalez, M.E., and Leake, J.R.</w:t>
      </w:r>
      <w:r w:rsidRPr="00DF0AA5">
        <w:rPr>
          <w:rFonts w:cs="Arial"/>
          <w:noProof/>
        </w:rPr>
        <w:t xml:space="preserve"> (2012). Evolution of trees and mycorrhizal fungi intensifies silicate mineral weathering. Biol. Lett. </w:t>
      </w:r>
      <w:r w:rsidRPr="00DF0AA5">
        <w:rPr>
          <w:rFonts w:cs="Arial"/>
          <w:b/>
          <w:bCs/>
          <w:noProof/>
        </w:rPr>
        <w:t>8</w:t>
      </w:r>
      <w:r w:rsidRPr="00DF0AA5">
        <w:rPr>
          <w:rFonts w:cs="Arial"/>
          <w:noProof/>
        </w:rPr>
        <w:t>: 1006–11.</w:t>
      </w:r>
    </w:p>
    <w:p w14:paraId="042F4695"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Quistgaard, E.M., Löw, C., Guettou, F., and Nordlund, P.</w:t>
      </w:r>
      <w:r w:rsidRPr="00DF0AA5">
        <w:rPr>
          <w:rFonts w:cs="Arial"/>
          <w:noProof/>
        </w:rPr>
        <w:t xml:space="preserve"> (2016). Understanding transport by the major facilitator superfamily (MFS): Structures pave the way. Nat. Rev. Mol. Cell Biol. </w:t>
      </w:r>
      <w:r w:rsidRPr="00DF0AA5">
        <w:rPr>
          <w:rFonts w:cs="Arial"/>
          <w:b/>
          <w:bCs/>
          <w:noProof/>
        </w:rPr>
        <w:t>17</w:t>
      </w:r>
      <w:r w:rsidRPr="00DF0AA5">
        <w:rPr>
          <w:rFonts w:cs="Arial"/>
          <w:noProof/>
        </w:rPr>
        <w:t>: 123–132.</w:t>
      </w:r>
    </w:p>
    <w:p w14:paraId="24B38172" w14:textId="52E89F41"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Raynaud, S. and Champion, E.</w:t>
      </w:r>
      <w:r w:rsidRPr="00DF0AA5">
        <w:rPr>
          <w:rFonts w:cs="Arial"/>
          <w:noProof/>
        </w:rPr>
        <w:t xml:space="preserve"> (2002). Calcium phosphate apatites with </w:t>
      </w:r>
      <w:r w:rsidR="000D0685">
        <w:rPr>
          <w:rFonts w:cs="Arial"/>
          <w:noProof/>
        </w:rPr>
        <w:t>variable Ca / P atomic ratio II</w:t>
      </w:r>
      <w:r w:rsidRPr="00DF0AA5">
        <w:rPr>
          <w:rFonts w:cs="Arial"/>
          <w:noProof/>
        </w:rPr>
        <w:t xml:space="preserve">. Calcination and sintering. Biomaterials </w:t>
      </w:r>
      <w:r w:rsidRPr="00DF0AA5">
        <w:rPr>
          <w:rFonts w:cs="Arial"/>
          <w:b/>
          <w:bCs/>
          <w:noProof/>
        </w:rPr>
        <w:t>23</w:t>
      </w:r>
      <w:r w:rsidRPr="00DF0AA5">
        <w:rPr>
          <w:rFonts w:cs="Arial"/>
          <w:noProof/>
        </w:rPr>
        <w:t>: 1073–1080.</w:t>
      </w:r>
    </w:p>
    <w:p w14:paraId="1579B88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Read, D.J. and Perez-Moreno, J.</w:t>
      </w:r>
      <w:r w:rsidRPr="00DF0AA5">
        <w:rPr>
          <w:rFonts w:cs="Arial"/>
          <w:noProof/>
        </w:rPr>
        <w:t xml:space="preserve"> (2003). Mycorrhizas and nutrient cycling in ccosystems - a journey towards relevance? New Phytol. </w:t>
      </w:r>
      <w:r w:rsidRPr="00DF0AA5">
        <w:rPr>
          <w:rFonts w:cs="Arial"/>
          <w:b/>
          <w:bCs/>
          <w:noProof/>
        </w:rPr>
        <w:t>157</w:t>
      </w:r>
      <w:r w:rsidRPr="00DF0AA5">
        <w:rPr>
          <w:rFonts w:cs="Arial"/>
          <w:noProof/>
        </w:rPr>
        <w:t>: 475–492.</w:t>
      </w:r>
    </w:p>
    <w:p w14:paraId="79A9AD4B" w14:textId="449C7C1D"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Redecker, D., Kodner, R., and Graham, L.E.</w:t>
      </w:r>
      <w:r w:rsidRPr="00DF0AA5">
        <w:rPr>
          <w:rFonts w:cs="Arial"/>
          <w:noProof/>
        </w:rPr>
        <w:t xml:space="preserve"> (2000). Glomalean Fungi from the Ordov</w:t>
      </w:r>
      <w:r w:rsidR="000D0685">
        <w:rPr>
          <w:rFonts w:cs="Arial"/>
          <w:noProof/>
        </w:rPr>
        <w:t>ician. Science</w:t>
      </w:r>
      <w:r w:rsidRPr="00DF0AA5">
        <w:rPr>
          <w:rFonts w:cs="Arial"/>
          <w:noProof/>
        </w:rPr>
        <w:t xml:space="preserve">. </w:t>
      </w:r>
      <w:r w:rsidRPr="00DF0AA5">
        <w:rPr>
          <w:rFonts w:cs="Arial"/>
          <w:b/>
          <w:bCs/>
          <w:noProof/>
        </w:rPr>
        <w:t>289</w:t>
      </w:r>
      <w:r w:rsidRPr="00DF0AA5">
        <w:rPr>
          <w:rFonts w:cs="Arial"/>
          <w:noProof/>
        </w:rPr>
        <w:t>: 1920–1921.</w:t>
      </w:r>
    </w:p>
    <w:p w14:paraId="7D6A1FA9" w14:textId="67CB1F12"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 xml:space="preserve">Remy, </w:t>
      </w:r>
      <w:r w:rsidR="000D0685">
        <w:rPr>
          <w:rFonts w:cs="Arial"/>
          <w:b/>
          <w:bCs/>
          <w:noProof/>
        </w:rPr>
        <w:t>E., Cabrito, T.R., Batista, R. A</w:t>
      </w:r>
      <w:r w:rsidRPr="00DF0AA5">
        <w:rPr>
          <w:rFonts w:cs="Arial"/>
          <w:b/>
          <w:bCs/>
          <w:noProof/>
        </w:rPr>
        <w:t>, Teixeira, M.C., Sá-Correia, I., and Duque, P.</w:t>
      </w:r>
      <w:r w:rsidRPr="00DF0AA5">
        <w:rPr>
          <w:rFonts w:cs="Arial"/>
          <w:noProof/>
        </w:rPr>
        <w:t xml:space="preserve"> (2012). The Pht1;9 and Pht1;8 transporters mediate inorganic phosphate acquisition by the </w:t>
      </w:r>
      <w:r w:rsidRPr="000D0685">
        <w:rPr>
          <w:rFonts w:cs="Arial"/>
          <w:i/>
          <w:noProof/>
        </w:rPr>
        <w:t>Arabidopsis thaliana</w:t>
      </w:r>
      <w:r w:rsidRPr="00DF0AA5">
        <w:rPr>
          <w:rFonts w:cs="Arial"/>
          <w:noProof/>
        </w:rPr>
        <w:t xml:space="preserve"> root during phosphorus starvation. New Phytol. </w:t>
      </w:r>
      <w:r w:rsidRPr="00DF0AA5">
        <w:rPr>
          <w:rFonts w:cs="Arial"/>
          <w:b/>
          <w:bCs/>
          <w:noProof/>
        </w:rPr>
        <w:t>195</w:t>
      </w:r>
      <w:r w:rsidRPr="00DF0AA5">
        <w:rPr>
          <w:rFonts w:cs="Arial"/>
          <w:noProof/>
        </w:rPr>
        <w:t>: 356–71.</w:t>
      </w:r>
    </w:p>
    <w:p w14:paraId="6B4D9BB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Renshaw, J.C., Robson, G.D., Trinci, A.P.J., Wiebe, M.G., Livens, F.R., Collison, D., and Taylor, R.J.</w:t>
      </w:r>
      <w:r w:rsidRPr="00DF0AA5">
        <w:rPr>
          <w:rFonts w:cs="Arial"/>
          <w:noProof/>
        </w:rPr>
        <w:t xml:space="preserve"> (2002). Fungal siderophores: structures, functions and applications. Mycol. Res. </w:t>
      </w:r>
      <w:r w:rsidRPr="00DF0AA5">
        <w:rPr>
          <w:rFonts w:cs="Arial"/>
          <w:b/>
          <w:bCs/>
          <w:noProof/>
        </w:rPr>
        <w:t>106</w:t>
      </w:r>
      <w:r w:rsidRPr="00DF0AA5">
        <w:rPr>
          <w:rFonts w:cs="Arial"/>
          <w:noProof/>
        </w:rPr>
        <w:t>: 1123–1142.</w:t>
      </w:r>
    </w:p>
    <w:p w14:paraId="1B5AB48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Rhee, Y.J., Hillier, S., and Gadd, G.M.</w:t>
      </w:r>
      <w:r w:rsidRPr="00DF0AA5">
        <w:rPr>
          <w:rFonts w:cs="Arial"/>
          <w:noProof/>
        </w:rPr>
        <w:t xml:space="preserve"> (2012). Lead transformation to pyromorphite by fungi. Curr. Biol. </w:t>
      </w:r>
      <w:r w:rsidRPr="00DF0AA5">
        <w:rPr>
          <w:rFonts w:cs="Arial"/>
          <w:b/>
          <w:bCs/>
          <w:noProof/>
        </w:rPr>
        <w:t>22</w:t>
      </w:r>
      <w:r w:rsidRPr="00DF0AA5">
        <w:rPr>
          <w:rFonts w:cs="Arial"/>
          <w:noProof/>
        </w:rPr>
        <w:t>: 237–241.</w:t>
      </w:r>
    </w:p>
    <w:p w14:paraId="01CCC08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Richardson, D.J., Butt, J.N., and Clarke, T.A.</w:t>
      </w:r>
      <w:r w:rsidRPr="00DF0AA5">
        <w:rPr>
          <w:rFonts w:cs="Arial"/>
          <w:noProof/>
        </w:rPr>
        <w:t xml:space="preserve"> (2013). Controlling electron transfer at the microbe-mineral interface. Proc. Natl. Acad. Sci. </w:t>
      </w:r>
      <w:r w:rsidRPr="00DF0AA5">
        <w:rPr>
          <w:rFonts w:cs="Arial"/>
          <w:b/>
          <w:bCs/>
          <w:noProof/>
        </w:rPr>
        <w:t>110</w:t>
      </w:r>
      <w:r w:rsidRPr="00DF0AA5">
        <w:rPr>
          <w:rFonts w:cs="Arial"/>
          <w:noProof/>
        </w:rPr>
        <w:t>: 7537–7538.</w:t>
      </w:r>
    </w:p>
    <w:p w14:paraId="27024C2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Roberts, S.K., Milnes, J., and Caddick, M.</w:t>
      </w:r>
      <w:r w:rsidRPr="00DF0AA5">
        <w:rPr>
          <w:rFonts w:cs="Arial"/>
          <w:noProof/>
        </w:rPr>
        <w:t xml:space="preserve"> (2011). Characterisation of AnBEST1, a functional anion channel in the plasma membrane of the filamentous fungus, </w:t>
      </w:r>
      <w:r w:rsidRPr="000D0685">
        <w:rPr>
          <w:rFonts w:cs="Arial"/>
          <w:i/>
          <w:noProof/>
        </w:rPr>
        <w:t>Aspergillus nidulans</w:t>
      </w:r>
      <w:r w:rsidRPr="00DF0AA5">
        <w:rPr>
          <w:rFonts w:cs="Arial"/>
          <w:noProof/>
        </w:rPr>
        <w:t xml:space="preserve">. Fungal Genet. Biol. </w:t>
      </w:r>
      <w:r w:rsidRPr="00DF0AA5">
        <w:rPr>
          <w:rFonts w:cs="Arial"/>
          <w:b/>
          <w:bCs/>
          <w:noProof/>
        </w:rPr>
        <w:t>48</w:t>
      </w:r>
      <w:r w:rsidRPr="00DF0AA5">
        <w:rPr>
          <w:rFonts w:cs="Arial"/>
          <w:noProof/>
        </w:rPr>
        <w:t>: 928–38.</w:t>
      </w:r>
    </w:p>
    <w:p w14:paraId="1E2FBFC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Rosling, A.</w:t>
      </w:r>
      <w:r w:rsidRPr="00DF0AA5">
        <w:rPr>
          <w:rFonts w:cs="Arial"/>
          <w:noProof/>
        </w:rPr>
        <w:t xml:space="preserve"> (2009). Trees, mycorrhiza and minerals - field relevance of in vitro experiments. Geomicrobiol. J. </w:t>
      </w:r>
      <w:r w:rsidRPr="00DF0AA5">
        <w:rPr>
          <w:rFonts w:cs="Arial"/>
          <w:b/>
          <w:bCs/>
          <w:noProof/>
        </w:rPr>
        <w:t>26</w:t>
      </w:r>
      <w:r w:rsidRPr="00DF0AA5">
        <w:rPr>
          <w:rFonts w:cs="Arial"/>
          <w:noProof/>
        </w:rPr>
        <w:t>: 389–401.</w:t>
      </w:r>
    </w:p>
    <w:p w14:paraId="28DDC0D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Rytioja, J., Hildén, K., Yuzon, J., Hatakka, A., de Vries, R.P., and Mäkelä, M.R.</w:t>
      </w:r>
      <w:r w:rsidRPr="00DF0AA5">
        <w:rPr>
          <w:rFonts w:cs="Arial"/>
          <w:noProof/>
        </w:rPr>
        <w:t xml:space="preserve"> (2014). Plant-Polysaccharide-Degrading Enzymes from Basidiomycetes. Microbiol. Mol. Biol. Rev. </w:t>
      </w:r>
      <w:r w:rsidRPr="00DF0AA5">
        <w:rPr>
          <w:rFonts w:cs="Arial"/>
          <w:b/>
          <w:bCs/>
          <w:noProof/>
        </w:rPr>
        <w:t>78</w:t>
      </w:r>
      <w:r w:rsidRPr="00DF0AA5">
        <w:rPr>
          <w:rFonts w:cs="Arial"/>
          <w:noProof/>
        </w:rPr>
        <w:t>: 614–649.</w:t>
      </w:r>
    </w:p>
    <w:p w14:paraId="5E3CAA43" w14:textId="7C16972C" w:rsidR="00DF0AA5" w:rsidRPr="00DF0AA5" w:rsidRDefault="000D0685" w:rsidP="00DF0AA5">
      <w:pPr>
        <w:widowControl w:val="0"/>
        <w:autoSpaceDE w:val="0"/>
        <w:autoSpaceDN w:val="0"/>
        <w:adjustRightInd w:val="0"/>
        <w:ind w:left="480" w:hanging="480"/>
        <w:rPr>
          <w:rFonts w:cs="Arial"/>
          <w:noProof/>
        </w:rPr>
      </w:pPr>
      <w:r>
        <w:rPr>
          <w:rFonts w:cs="Arial"/>
          <w:b/>
          <w:bCs/>
          <w:noProof/>
        </w:rPr>
        <w:t>Saccone, L., Gazzè, S. A</w:t>
      </w:r>
      <w:r w:rsidR="00DF0AA5" w:rsidRPr="00DF0AA5">
        <w:rPr>
          <w:rFonts w:cs="Arial"/>
          <w:b/>
          <w:bCs/>
          <w:noProof/>
        </w:rPr>
        <w:t xml:space="preserve">., Duran, </w:t>
      </w:r>
      <w:r>
        <w:rPr>
          <w:rFonts w:cs="Arial"/>
          <w:b/>
          <w:bCs/>
          <w:noProof/>
        </w:rPr>
        <w:t>A.L., Leake, J.R., Banwart, S. A</w:t>
      </w:r>
      <w:r w:rsidR="00DF0AA5" w:rsidRPr="00DF0AA5">
        <w:rPr>
          <w:rFonts w:cs="Arial"/>
          <w:b/>
          <w:bCs/>
          <w:noProof/>
        </w:rPr>
        <w:t>., Ragnarsdóttir, K.V., Smits, M.M., and McMaster, T.J.</w:t>
      </w:r>
      <w:r w:rsidR="00DF0AA5" w:rsidRPr="00DF0AA5">
        <w:rPr>
          <w:rFonts w:cs="Arial"/>
          <w:noProof/>
        </w:rPr>
        <w:t xml:space="preserve"> (2011). High resolution characterization of </w:t>
      </w:r>
      <w:r w:rsidR="00DF0AA5" w:rsidRPr="00DF0AA5">
        <w:rPr>
          <w:rFonts w:cs="Arial"/>
          <w:noProof/>
        </w:rPr>
        <w:lastRenderedPageBreak/>
        <w:t xml:space="preserve">ectomycorrhizal fungal-mineral interactions in axenic microcosm experiments. Biogeochemistry </w:t>
      </w:r>
      <w:r w:rsidR="00DF0AA5" w:rsidRPr="00DF0AA5">
        <w:rPr>
          <w:rFonts w:cs="Arial"/>
          <w:b/>
          <w:bCs/>
          <w:noProof/>
        </w:rPr>
        <w:t>111</w:t>
      </w:r>
      <w:r w:rsidR="00DF0AA5" w:rsidRPr="00DF0AA5">
        <w:rPr>
          <w:rFonts w:cs="Arial"/>
          <w:noProof/>
        </w:rPr>
        <w:t>: 411–425.</w:t>
      </w:r>
    </w:p>
    <w:p w14:paraId="585CAD39" w14:textId="52802F02"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Safrany, S., Ingram, S., Cartwright, J., Falck, J.R., Mclennan, A.G., Barnes, L., and Shears, S.B.</w:t>
      </w:r>
      <w:r w:rsidRPr="00DF0AA5">
        <w:rPr>
          <w:rFonts w:cs="Arial"/>
          <w:noProof/>
        </w:rPr>
        <w:t xml:space="preserve"> (1999). Hydrolases from</w:t>
      </w:r>
      <w:r w:rsidR="00957A05">
        <w:rPr>
          <w:rFonts w:cs="Arial"/>
          <w:noProof/>
        </w:rPr>
        <w:t xml:space="preserve"> </w:t>
      </w:r>
      <w:r w:rsidRPr="00957A05">
        <w:rPr>
          <w:rFonts w:cs="Arial"/>
          <w:i/>
          <w:noProof/>
        </w:rPr>
        <w:t>Schizosaccharomyces pombe</w:t>
      </w:r>
      <w:r w:rsidRPr="00DF0AA5">
        <w:rPr>
          <w:rFonts w:cs="Arial"/>
          <w:noProof/>
        </w:rPr>
        <w:t xml:space="preserve"> and</w:t>
      </w:r>
      <w:r w:rsidR="00957A05">
        <w:rPr>
          <w:rFonts w:cs="Arial"/>
          <w:noProof/>
        </w:rPr>
        <w:t xml:space="preserve"> </w:t>
      </w:r>
      <w:r w:rsidRPr="00957A05">
        <w:rPr>
          <w:rFonts w:cs="Arial"/>
          <w:i/>
          <w:noProof/>
        </w:rPr>
        <w:t>Saccharomyces cerevisiae</w:t>
      </w:r>
      <w:r w:rsidRPr="00DF0AA5">
        <w:rPr>
          <w:rFonts w:cs="Arial"/>
          <w:noProof/>
        </w:rPr>
        <w:t xml:space="preserve"> Are Homologues of the Human Diphosphoinositol Polyphosph</w:t>
      </w:r>
      <w:r w:rsidR="00957A05">
        <w:rPr>
          <w:rFonts w:cs="Arial"/>
          <w:noProof/>
        </w:rPr>
        <w:t>ate Phosphohydrolase. J. Biol.</w:t>
      </w:r>
      <w:r w:rsidRPr="00DF0AA5">
        <w:rPr>
          <w:rFonts w:cs="Arial"/>
          <w:noProof/>
        </w:rPr>
        <w:t xml:space="preserve"> </w:t>
      </w:r>
      <w:r w:rsidRPr="00DF0AA5">
        <w:rPr>
          <w:rFonts w:cs="Arial"/>
          <w:b/>
          <w:bCs/>
          <w:noProof/>
        </w:rPr>
        <w:t>274</w:t>
      </w:r>
      <w:r w:rsidRPr="00DF0AA5">
        <w:rPr>
          <w:rFonts w:cs="Arial"/>
          <w:noProof/>
        </w:rPr>
        <w:t>: 21735–21740.</w:t>
      </w:r>
    </w:p>
    <w:p w14:paraId="766E383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Saitou, M. and Nei, N.</w:t>
      </w:r>
      <w:r w:rsidRPr="00DF0AA5">
        <w:rPr>
          <w:rFonts w:cs="Arial"/>
          <w:noProof/>
        </w:rPr>
        <w:t xml:space="preserve"> (1987). The Neighbor-joining Method: A New Method for Reconstructing Phylogenetic Trees’. Mol. Biol. Evol. </w:t>
      </w:r>
      <w:r w:rsidRPr="00DF0AA5">
        <w:rPr>
          <w:rFonts w:cs="Arial"/>
          <w:b/>
          <w:bCs/>
          <w:noProof/>
        </w:rPr>
        <w:t>4</w:t>
      </w:r>
      <w:r w:rsidRPr="00DF0AA5">
        <w:rPr>
          <w:rFonts w:cs="Arial"/>
          <w:noProof/>
        </w:rPr>
        <w:t>: 406–425.</w:t>
      </w:r>
    </w:p>
    <w:p w14:paraId="7D6FDEB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Salzer, P. and Hager, A.</w:t>
      </w:r>
      <w:r w:rsidRPr="00DF0AA5">
        <w:rPr>
          <w:rFonts w:cs="Arial"/>
          <w:noProof/>
        </w:rPr>
        <w:t xml:space="preserve"> (1991). Sucrose Utilization of the Ectomycorrhizal Fungi </w:t>
      </w:r>
      <w:r w:rsidRPr="00957A05">
        <w:rPr>
          <w:rFonts w:cs="Arial"/>
          <w:i/>
          <w:noProof/>
        </w:rPr>
        <w:t>Amanita muscaria</w:t>
      </w:r>
      <w:r w:rsidRPr="00DF0AA5">
        <w:rPr>
          <w:rFonts w:cs="Arial"/>
          <w:noProof/>
        </w:rPr>
        <w:t xml:space="preserve"> and </w:t>
      </w:r>
      <w:r w:rsidRPr="00957A05">
        <w:rPr>
          <w:rFonts w:cs="Arial"/>
          <w:i/>
          <w:noProof/>
        </w:rPr>
        <w:t>Hebeloma crustuliniforme</w:t>
      </w:r>
      <w:r w:rsidRPr="00DF0AA5">
        <w:rPr>
          <w:rFonts w:cs="Arial"/>
          <w:noProof/>
        </w:rPr>
        <w:t xml:space="preserve"> Depends on the Cell Wall-bound Invertase Activity of their Host </w:t>
      </w:r>
      <w:r w:rsidRPr="00957A05">
        <w:rPr>
          <w:rFonts w:cs="Arial"/>
          <w:i/>
          <w:noProof/>
        </w:rPr>
        <w:t>Picea abies</w:t>
      </w:r>
      <w:r w:rsidRPr="00DF0AA5">
        <w:rPr>
          <w:rFonts w:cs="Arial"/>
          <w:noProof/>
        </w:rPr>
        <w:t xml:space="preserve">. Bot. Acta </w:t>
      </w:r>
      <w:r w:rsidRPr="00DF0AA5">
        <w:rPr>
          <w:rFonts w:cs="Arial"/>
          <w:b/>
          <w:bCs/>
          <w:noProof/>
        </w:rPr>
        <w:t>104</w:t>
      </w:r>
      <w:r w:rsidRPr="00DF0AA5">
        <w:rPr>
          <w:rFonts w:cs="Arial"/>
          <w:noProof/>
        </w:rPr>
        <w:t>: 439–445.</w:t>
      </w:r>
    </w:p>
    <w:p w14:paraId="47BFDDA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Schaarschmidt, S., Roitsch, T., and Hause, B.</w:t>
      </w:r>
      <w:r w:rsidRPr="00DF0AA5">
        <w:rPr>
          <w:rFonts w:cs="Arial"/>
          <w:noProof/>
        </w:rPr>
        <w:t xml:space="preserve"> (2006). Arbuscular mycorrhiza induces gene expression of the apoplastic invertase LIN6 in tomato (</w:t>
      </w:r>
      <w:r w:rsidRPr="00957A05">
        <w:rPr>
          <w:rFonts w:cs="Arial"/>
          <w:i/>
          <w:noProof/>
        </w:rPr>
        <w:t>Lycopersicon esculentum</w:t>
      </w:r>
      <w:r w:rsidRPr="00DF0AA5">
        <w:rPr>
          <w:rFonts w:cs="Arial"/>
          <w:noProof/>
        </w:rPr>
        <w:t xml:space="preserve">) roots. J. Exp. Bot. </w:t>
      </w:r>
      <w:r w:rsidRPr="00DF0AA5">
        <w:rPr>
          <w:rFonts w:cs="Arial"/>
          <w:b/>
          <w:bCs/>
          <w:noProof/>
        </w:rPr>
        <w:t>57</w:t>
      </w:r>
      <w:r w:rsidRPr="00DF0AA5">
        <w:rPr>
          <w:rFonts w:cs="Arial"/>
          <w:noProof/>
        </w:rPr>
        <w:t>: 4015–23.</w:t>
      </w:r>
    </w:p>
    <w:p w14:paraId="26A670E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Schachtman, D.P., Reid, R.J., and Ayling, S.M.</w:t>
      </w:r>
      <w:r w:rsidRPr="00DF0AA5">
        <w:rPr>
          <w:rFonts w:cs="Arial"/>
          <w:noProof/>
        </w:rPr>
        <w:t xml:space="preserve"> (1998). Phosphorus Uptake by Plants: From Soil to Cell. Plant Physiol. </w:t>
      </w:r>
      <w:r w:rsidRPr="00DF0AA5">
        <w:rPr>
          <w:rFonts w:cs="Arial"/>
          <w:b/>
          <w:bCs/>
          <w:noProof/>
        </w:rPr>
        <w:t>116</w:t>
      </w:r>
      <w:r w:rsidRPr="00DF0AA5">
        <w:rPr>
          <w:rFonts w:cs="Arial"/>
          <w:noProof/>
        </w:rPr>
        <w:t>: 447–453.</w:t>
      </w:r>
    </w:p>
    <w:p w14:paraId="5A45708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Schaeffer, C., Wallenda, T., Guttenberger, M., and Hampp, R.</w:t>
      </w:r>
      <w:r w:rsidRPr="00DF0AA5">
        <w:rPr>
          <w:rFonts w:cs="Arial"/>
          <w:noProof/>
        </w:rPr>
        <w:t xml:space="preserve"> (1995). Acid invertase in mycorrhizal and non-mycorrhizal roots of Norway spruce (</w:t>
      </w:r>
      <w:r w:rsidRPr="00957A05">
        <w:rPr>
          <w:rFonts w:cs="Arial"/>
          <w:i/>
          <w:noProof/>
        </w:rPr>
        <w:t>Picea abies</w:t>
      </w:r>
      <w:r w:rsidRPr="00DF0AA5">
        <w:rPr>
          <w:rFonts w:cs="Arial"/>
          <w:noProof/>
        </w:rPr>
        <w:t xml:space="preserve"> [L.] Karst.) seedlings. New Phytol. </w:t>
      </w:r>
      <w:r w:rsidRPr="00DF0AA5">
        <w:rPr>
          <w:rFonts w:cs="Arial"/>
          <w:b/>
          <w:bCs/>
          <w:noProof/>
        </w:rPr>
        <w:t>129</w:t>
      </w:r>
      <w:r w:rsidRPr="00DF0AA5">
        <w:rPr>
          <w:rFonts w:cs="Arial"/>
          <w:noProof/>
        </w:rPr>
        <w:t>: 417–424.</w:t>
      </w:r>
    </w:p>
    <w:p w14:paraId="34FBEB5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Schilling, K.M., Carson, R.G., Bosko, C.A., Golikeri, G.D., Bruinooge, A., Hoyberg, K., Waller, A.M., and Hughes, N.P.</w:t>
      </w:r>
      <w:r w:rsidRPr="00DF0AA5">
        <w:rPr>
          <w:rFonts w:cs="Arial"/>
          <w:noProof/>
        </w:rPr>
        <w:t xml:space="preserve"> (1994). A microassay for bacterial adherence to hydroxyapatite. Colloids Surfaces B Biointerfaces </w:t>
      </w:r>
      <w:r w:rsidRPr="00DF0AA5">
        <w:rPr>
          <w:rFonts w:cs="Arial"/>
          <w:b/>
          <w:bCs/>
          <w:noProof/>
        </w:rPr>
        <w:t>3</w:t>
      </w:r>
      <w:r w:rsidRPr="00DF0AA5">
        <w:rPr>
          <w:rFonts w:cs="Arial"/>
          <w:noProof/>
        </w:rPr>
        <w:t>: 31–38.</w:t>
      </w:r>
    </w:p>
    <w:p w14:paraId="3F80A78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Schmalenberger, A., Duran, A.L., Bray, A.W., Bridge, J., Bonneville, S., Benning, L.G., Romero-Gonzalez, M.E., Leake, J.R., and Banwart, S.A.</w:t>
      </w:r>
      <w:r w:rsidRPr="00DF0AA5">
        <w:rPr>
          <w:rFonts w:cs="Arial"/>
          <w:noProof/>
        </w:rPr>
        <w:t xml:space="preserve"> (2015). Oxalate secretion by ectomycorrhizal </w:t>
      </w:r>
      <w:r w:rsidRPr="00957A05">
        <w:rPr>
          <w:rFonts w:cs="Arial"/>
          <w:i/>
          <w:noProof/>
        </w:rPr>
        <w:t>Paxillus involutus</w:t>
      </w:r>
      <w:r w:rsidRPr="00DF0AA5">
        <w:rPr>
          <w:rFonts w:cs="Arial"/>
          <w:noProof/>
        </w:rPr>
        <w:t xml:space="preserve"> is mineral-specific and controls calcium weathering from minerals. Sci. Rep. </w:t>
      </w:r>
      <w:r w:rsidRPr="00DF0AA5">
        <w:rPr>
          <w:rFonts w:cs="Arial"/>
          <w:b/>
          <w:bCs/>
          <w:noProof/>
        </w:rPr>
        <w:t>5</w:t>
      </w:r>
      <w:r w:rsidRPr="00DF0AA5">
        <w:rPr>
          <w:rFonts w:cs="Arial"/>
          <w:noProof/>
        </w:rPr>
        <w:t>: 12187.</w:t>
      </w:r>
    </w:p>
    <w:p w14:paraId="45A792A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Schnug, E., Haneklaus, S., Schnier, C., and Scholten, L.C.</w:t>
      </w:r>
      <w:r w:rsidRPr="00DF0AA5">
        <w:rPr>
          <w:rFonts w:cs="Arial"/>
          <w:noProof/>
        </w:rPr>
        <w:t xml:space="preserve"> (1996). Issues of natural radioactivity in phosphates. Commun. Soil Sci. Plant Anal. </w:t>
      </w:r>
      <w:r w:rsidRPr="00DF0AA5">
        <w:rPr>
          <w:rFonts w:cs="Arial"/>
          <w:b/>
          <w:bCs/>
          <w:noProof/>
        </w:rPr>
        <w:t>27</w:t>
      </w:r>
      <w:r w:rsidRPr="00DF0AA5">
        <w:rPr>
          <w:rFonts w:cs="Arial"/>
          <w:noProof/>
        </w:rPr>
        <w:t>: 829–841.</w:t>
      </w:r>
    </w:p>
    <w:p w14:paraId="48B0E0E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van Schöll, L., Hoffland, E., and van Breemen, N.</w:t>
      </w:r>
      <w:r w:rsidRPr="00DF0AA5">
        <w:rPr>
          <w:rFonts w:cs="Arial"/>
          <w:noProof/>
        </w:rPr>
        <w:t xml:space="preserve"> (2006a). Organic anion exudation by ectomycorrhizal fungi and </w:t>
      </w:r>
      <w:r w:rsidRPr="00957A05">
        <w:rPr>
          <w:rFonts w:cs="Arial"/>
          <w:i/>
          <w:noProof/>
        </w:rPr>
        <w:t>Pinus sylvestris</w:t>
      </w:r>
      <w:r w:rsidRPr="00DF0AA5">
        <w:rPr>
          <w:rFonts w:cs="Arial"/>
          <w:noProof/>
        </w:rPr>
        <w:t xml:space="preserve"> in response to nutrient deficiencies. New Phytol. </w:t>
      </w:r>
      <w:r w:rsidRPr="00DF0AA5">
        <w:rPr>
          <w:rFonts w:cs="Arial"/>
          <w:b/>
          <w:bCs/>
          <w:noProof/>
        </w:rPr>
        <w:t>170</w:t>
      </w:r>
      <w:r w:rsidRPr="00DF0AA5">
        <w:rPr>
          <w:rFonts w:cs="Arial"/>
          <w:noProof/>
        </w:rPr>
        <w:t>: 153–63.</w:t>
      </w:r>
    </w:p>
    <w:p w14:paraId="44B0395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van Schöll, L., Kuyper, T.W., Smits, M.M., Landeweert, R., Hoffland, E., and Breemen, N. Van</w:t>
      </w:r>
      <w:r w:rsidRPr="00DF0AA5">
        <w:rPr>
          <w:rFonts w:cs="Arial"/>
          <w:noProof/>
        </w:rPr>
        <w:t xml:space="preserve"> (2007). Rock-eating mycorrhizas: their role in plant nutrition and biogeochemical cycles. Plant Soil </w:t>
      </w:r>
      <w:r w:rsidRPr="00DF0AA5">
        <w:rPr>
          <w:rFonts w:cs="Arial"/>
          <w:b/>
          <w:bCs/>
          <w:noProof/>
        </w:rPr>
        <w:t>303</w:t>
      </w:r>
      <w:r w:rsidRPr="00DF0AA5">
        <w:rPr>
          <w:rFonts w:cs="Arial"/>
          <w:noProof/>
        </w:rPr>
        <w:t>: 35–47.</w:t>
      </w:r>
    </w:p>
    <w:p w14:paraId="3795508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van Schöll, L., Smits, M.M., and Hoffland, E.</w:t>
      </w:r>
      <w:r w:rsidRPr="00DF0AA5">
        <w:rPr>
          <w:rFonts w:cs="Arial"/>
          <w:noProof/>
        </w:rPr>
        <w:t xml:space="preserve"> (2006b). Ectomycorrhizal weathering of the soil minerals muscovite and hornblende. New Phytol. </w:t>
      </w:r>
      <w:r w:rsidRPr="00DF0AA5">
        <w:rPr>
          <w:rFonts w:cs="Arial"/>
          <w:b/>
          <w:bCs/>
          <w:noProof/>
        </w:rPr>
        <w:t>171</w:t>
      </w:r>
      <w:r w:rsidRPr="00DF0AA5">
        <w:rPr>
          <w:rFonts w:cs="Arial"/>
          <w:noProof/>
        </w:rPr>
        <w:t>: 805–13.</w:t>
      </w:r>
    </w:p>
    <w:p w14:paraId="763FC15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Shah, F., Rineau, F., Canbäck, B., Johansson, T., and Tunlid, A.</w:t>
      </w:r>
      <w:r w:rsidRPr="00DF0AA5">
        <w:rPr>
          <w:rFonts w:cs="Arial"/>
          <w:noProof/>
        </w:rPr>
        <w:t xml:space="preserve"> (2013). The molecular components of the extracellular protein-degradation pathways of the ectomycorrhizal fungus </w:t>
      </w:r>
      <w:r w:rsidRPr="00957A05">
        <w:rPr>
          <w:rFonts w:cs="Arial"/>
          <w:i/>
          <w:noProof/>
        </w:rPr>
        <w:t>Paxillus involutus</w:t>
      </w:r>
      <w:r w:rsidRPr="00DF0AA5">
        <w:rPr>
          <w:rFonts w:cs="Arial"/>
          <w:noProof/>
        </w:rPr>
        <w:t xml:space="preserve">. New Phytol. </w:t>
      </w:r>
      <w:r w:rsidRPr="00DF0AA5">
        <w:rPr>
          <w:rFonts w:cs="Arial"/>
          <w:b/>
          <w:bCs/>
          <w:noProof/>
        </w:rPr>
        <w:t>200</w:t>
      </w:r>
      <w:r w:rsidRPr="00DF0AA5">
        <w:rPr>
          <w:rFonts w:cs="Arial"/>
          <w:noProof/>
        </w:rPr>
        <w:t>: 875–87.</w:t>
      </w:r>
    </w:p>
    <w:p w14:paraId="06E8B5B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Sharma, K. and Verma, K.P.</w:t>
      </w:r>
      <w:r w:rsidRPr="00DF0AA5">
        <w:rPr>
          <w:rFonts w:cs="Arial"/>
          <w:noProof/>
        </w:rPr>
        <w:t xml:space="preserve"> (2011). Fungal Involvement in Biodeterioration of Ancient Monuments : Problem and Prospects. </w:t>
      </w:r>
      <w:r w:rsidRPr="00DF0AA5">
        <w:rPr>
          <w:rFonts w:cs="Arial"/>
          <w:b/>
          <w:bCs/>
          <w:noProof/>
        </w:rPr>
        <w:t>3</w:t>
      </w:r>
      <w:r w:rsidRPr="00DF0AA5">
        <w:rPr>
          <w:rFonts w:cs="Arial"/>
          <w:noProof/>
        </w:rPr>
        <w:t>: 15–17.</w:t>
      </w:r>
    </w:p>
    <w:p w14:paraId="2891082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Shea, J.M. and Del Poeta, M.</w:t>
      </w:r>
      <w:r w:rsidRPr="00DF0AA5">
        <w:rPr>
          <w:rFonts w:cs="Arial"/>
          <w:noProof/>
        </w:rPr>
        <w:t xml:space="preserve"> (2006). Lipid signaling in pathogenic fungi. Curr. Opin. Microbiol. </w:t>
      </w:r>
      <w:r w:rsidRPr="00DF0AA5">
        <w:rPr>
          <w:rFonts w:cs="Arial"/>
          <w:b/>
          <w:bCs/>
          <w:noProof/>
        </w:rPr>
        <w:t>9</w:t>
      </w:r>
      <w:r w:rsidRPr="00DF0AA5">
        <w:rPr>
          <w:rFonts w:cs="Arial"/>
          <w:noProof/>
        </w:rPr>
        <w:t>: 352–358.</w:t>
      </w:r>
    </w:p>
    <w:p w14:paraId="5EF36B2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Shimada, M., Akamtsu, Y., Tokimatsu, T., Mii, K., and Hattori, T.</w:t>
      </w:r>
      <w:r w:rsidRPr="00DF0AA5">
        <w:rPr>
          <w:rFonts w:cs="Arial"/>
          <w:noProof/>
        </w:rPr>
        <w:t xml:space="preserve"> (1997). Possible biochemical roles of oxalic acid as a low molecular weight compound involved in brown-rot and white-rot wood decays. J. Biotechnol. </w:t>
      </w:r>
      <w:r w:rsidRPr="00DF0AA5">
        <w:rPr>
          <w:rFonts w:cs="Arial"/>
          <w:b/>
          <w:bCs/>
          <w:noProof/>
        </w:rPr>
        <w:t>53</w:t>
      </w:r>
      <w:r w:rsidRPr="00DF0AA5">
        <w:rPr>
          <w:rFonts w:cs="Arial"/>
          <w:noProof/>
        </w:rPr>
        <w:t>: 103–113.</w:t>
      </w:r>
    </w:p>
    <w:p w14:paraId="3B61C773" w14:textId="616D57CC"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Shinde, S., Naik, D., and Cumming, J.R.</w:t>
      </w:r>
      <w:r w:rsidRPr="00DF0AA5">
        <w:rPr>
          <w:rFonts w:cs="Arial"/>
          <w:noProof/>
        </w:rPr>
        <w:t xml:space="preserve"> (2017). Carbon allocation and partitioning in </w:t>
      </w:r>
      <w:r w:rsidRPr="00957A05">
        <w:rPr>
          <w:rFonts w:cs="Arial"/>
          <w:i/>
          <w:noProof/>
        </w:rPr>
        <w:t>Populus tremuloides</w:t>
      </w:r>
      <w:r w:rsidRPr="00DF0AA5">
        <w:rPr>
          <w:rFonts w:cs="Arial"/>
          <w:noProof/>
        </w:rPr>
        <w:t xml:space="preserve"> are modulated by ectomycorrhizal fungi under phosphorus limitation. Tree Physiol.</w:t>
      </w:r>
      <w:r w:rsidR="00957A05">
        <w:rPr>
          <w:rFonts w:cs="Arial"/>
          <w:noProof/>
        </w:rPr>
        <w:t>38: 52–65</w:t>
      </w:r>
      <w:r w:rsidRPr="00DF0AA5">
        <w:rPr>
          <w:rFonts w:cs="Arial"/>
          <w:noProof/>
        </w:rPr>
        <w:t>.</w:t>
      </w:r>
    </w:p>
    <w:p w14:paraId="312D674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Siddhanta, A., Backer, J.M., and Shields, D.</w:t>
      </w:r>
      <w:r w:rsidRPr="00DF0AA5">
        <w:rPr>
          <w:rFonts w:cs="Arial"/>
          <w:noProof/>
        </w:rPr>
        <w:t xml:space="preserve"> (2000). Inhibition of phosphatidic acid synthesis alters the structure of the Golgi apparatus and inhibits secretion in endocrine cells. J. Biol. Chem. </w:t>
      </w:r>
      <w:r w:rsidRPr="00DF0AA5">
        <w:rPr>
          <w:rFonts w:cs="Arial"/>
          <w:b/>
          <w:bCs/>
          <w:noProof/>
        </w:rPr>
        <w:t>275</w:t>
      </w:r>
      <w:r w:rsidRPr="00DF0AA5">
        <w:rPr>
          <w:rFonts w:cs="Arial"/>
          <w:noProof/>
        </w:rPr>
        <w:t>: 12023–12031.</w:t>
      </w:r>
    </w:p>
    <w:p w14:paraId="35E0339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da Silva, F., do Nascimento, C., and Araujo, P.</w:t>
      </w:r>
      <w:r w:rsidRPr="00DF0AA5">
        <w:rPr>
          <w:rFonts w:cs="Arial"/>
          <w:noProof/>
        </w:rPr>
        <w:t xml:space="preserve"> (2017). Environmental risk of trace elements in P-containing fertilizers marketed in Brazil. J. Soil Sci. Plant Nutr. </w:t>
      </w:r>
      <w:r w:rsidRPr="00DF0AA5">
        <w:rPr>
          <w:rFonts w:cs="Arial"/>
          <w:b/>
          <w:bCs/>
          <w:noProof/>
        </w:rPr>
        <w:t>17</w:t>
      </w:r>
      <w:r w:rsidRPr="00DF0AA5">
        <w:rPr>
          <w:rFonts w:cs="Arial"/>
          <w:noProof/>
        </w:rPr>
        <w:t>: 635–647.</w:t>
      </w:r>
    </w:p>
    <w:p w14:paraId="7526DF3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Simard, S.W., Perry, D.A., Jones, M.D., Myrold, D.D., Durall, D.M., and Molina, R.</w:t>
      </w:r>
      <w:r w:rsidRPr="00DF0AA5">
        <w:rPr>
          <w:rFonts w:cs="Arial"/>
          <w:noProof/>
        </w:rPr>
        <w:t xml:space="preserve"> (1997). Net transfer of carbon between ectomycorrhizal tree species in the field. </w:t>
      </w:r>
      <w:r w:rsidRPr="00DF0AA5">
        <w:rPr>
          <w:rFonts w:cs="Arial"/>
          <w:b/>
          <w:bCs/>
          <w:noProof/>
        </w:rPr>
        <w:t>388</w:t>
      </w:r>
      <w:r w:rsidRPr="00DF0AA5">
        <w:rPr>
          <w:rFonts w:cs="Arial"/>
          <w:noProof/>
        </w:rPr>
        <w:t>: 579–582.</w:t>
      </w:r>
    </w:p>
    <w:p w14:paraId="6F4D70B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Smith, C.A., Want, E.J., O’Maille, G., Abagyan, R., and Siuzdak, G.</w:t>
      </w:r>
      <w:r w:rsidRPr="00DF0AA5">
        <w:rPr>
          <w:rFonts w:cs="Arial"/>
          <w:noProof/>
        </w:rPr>
        <w:t xml:space="preserve"> (2006). XCMS: processing mass spectrometry data for metabolite profiling using nonlinear peak alignment, matching, and identification. Anal. Chem. </w:t>
      </w:r>
      <w:r w:rsidRPr="00DF0AA5">
        <w:rPr>
          <w:rFonts w:cs="Arial"/>
          <w:b/>
          <w:bCs/>
          <w:noProof/>
        </w:rPr>
        <w:t>78</w:t>
      </w:r>
      <w:r w:rsidRPr="00DF0AA5">
        <w:rPr>
          <w:rFonts w:cs="Arial"/>
          <w:noProof/>
        </w:rPr>
        <w:t>: 779–787.</w:t>
      </w:r>
    </w:p>
    <w:p w14:paraId="08EAA19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Smith, D.A., Morgan, B.A., and Quinn, J.</w:t>
      </w:r>
      <w:r w:rsidRPr="00DF0AA5">
        <w:rPr>
          <w:rFonts w:cs="Arial"/>
          <w:noProof/>
        </w:rPr>
        <w:t xml:space="preserve"> (2010). Stress signalling to fungal stress-activated protein kinase pathways. FEMS Microbiol. Lett. </w:t>
      </w:r>
      <w:r w:rsidRPr="00DF0AA5">
        <w:rPr>
          <w:rFonts w:cs="Arial"/>
          <w:b/>
          <w:bCs/>
          <w:noProof/>
        </w:rPr>
        <w:t>306</w:t>
      </w:r>
      <w:r w:rsidRPr="00DF0AA5">
        <w:rPr>
          <w:rFonts w:cs="Arial"/>
          <w:noProof/>
        </w:rPr>
        <w:t>: 1–8.</w:t>
      </w:r>
    </w:p>
    <w:p w14:paraId="2C4691E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Smith, S., Gianinazzi-Pearson, V., Koide, R., and Cairney, J.</w:t>
      </w:r>
      <w:r w:rsidRPr="00DF0AA5">
        <w:rPr>
          <w:rFonts w:cs="Arial"/>
          <w:noProof/>
        </w:rPr>
        <w:t xml:space="preserve"> (1994). Nutrient transport in mycorrhizas: structure, physiology and consequences for efficiency of the symbiosis. An Int. J. Plant-Soil Relationships </w:t>
      </w:r>
      <w:r w:rsidRPr="00DF0AA5">
        <w:rPr>
          <w:rFonts w:cs="Arial"/>
          <w:b/>
          <w:bCs/>
          <w:noProof/>
        </w:rPr>
        <w:t>159</w:t>
      </w:r>
      <w:r w:rsidRPr="00DF0AA5">
        <w:rPr>
          <w:rFonts w:cs="Arial"/>
          <w:noProof/>
        </w:rPr>
        <w:t>: 103–113.</w:t>
      </w:r>
    </w:p>
    <w:p w14:paraId="2A57EF2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Smith, S.E. and Read, D.J.</w:t>
      </w:r>
      <w:r w:rsidRPr="00DF0AA5">
        <w:rPr>
          <w:rFonts w:cs="Arial"/>
          <w:noProof/>
        </w:rPr>
        <w:t xml:space="preserve"> (2008). Mycorrhizal Symbiosis (Academic Press: London).</w:t>
      </w:r>
    </w:p>
    <w:p w14:paraId="0A7FB49F" w14:textId="3331DCF8"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 xml:space="preserve">Smits, M.M., Bonneville, </w:t>
      </w:r>
      <w:r w:rsidR="004A0E53">
        <w:rPr>
          <w:rFonts w:cs="Arial"/>
          <w:b/>
          <w:bCs/>
          <w:noProof/>
        </w:rPr>
        <w:t>S., Benning, L.G., Banwart, S. A</w:t>
      </w:r>
      <w:r w:rsidRPr="00DF0AA5">
        <w:rPr>
          <w:rFonts w:cs="Arial"/>
          <w:b/>
          <w:bCs/>
          <w:noProof/>
        </w:rPr>
        <w:t>, and Leake, J.R.</w:t>
      </w:r>
      <w:r w:rsidRPr="00DF0AA5">
        <w:rPr>
          <w:rFonts w:cs="Arial"/>
          <w:noProof/>
        </w:rPr>
        <w:t xml:space="preserve"> (2012). Plant-driven weathering of apatite--the role of an ectomycorrhizal fungus. Geobiology </w:t>
      </w:r>
      <w:r w:rsidRPr="00DF0AA5">
        <w:rPr>
          <w:rFonts w:cs="Arial"/>
          <w:b/>
          <w:bCs/>
          <w:noProof/>
        </w:rPr>
        <w:t>10</w:t>
      </w:r>
      <w:r w:rsidRPr="00DF0AA5">
        <w:rPr>
          <w:rFonts w:cs="Arial"/>
          <w:noProof/>
        </w:rPr>
        <w:t>: 445–56.</w:t>
      </w:r>
    </w:p>
    <w:p w14:paraId="6040E35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Smits, M.M., Bonneville, S., Haward, S., and Leake, J.R.</w:t>
      </w:r>
      <w:r w:rsidRPr="00DF0AA5">
        <w:rPr>
          <w:rFonts w:cs="Arial"/>
          <w:noProof/>
        </w:rPr>
        <w:t xml:space="preserve"> (2008). Ectomycorrhizal weathering, a matter of scale? Mineral. Mag. </w:t>
      </w:r>
      <w:r w:rsidRPr="00DF0AA5">
        <w:rPr>
          <w:rFonts w:cs="Arial"/>
          <w:b/>
          <w:bCs/>
          <w:noProof/>
        </w:rPr>
        <w:t>72</w:t>
      </w:r>
      <w:r w:rsidRPr="00DF0AA5">
        <w:rPr>
          <w:rFonts w:cs="Arial"/>
          <w:noProof/>
        </w:rPr>
        <w:t>: 131–134.</w:t>
      </w:r>
    </w:p>
    <w:p w14:paraId="345F826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Sousa, N.R., Franco, A.R., Oliveira, R.S., and Castro, P.M.L.</w:t>
      </w:r>
      <w:r w:rsidRPr="00DF0AA5">
        <w:rPr>
          <w:rFonts w:cs="Arial"/>
          <w:noProof/>
        </w:rPr>
        <w:t xml:space="preserve"> (2012). Ectomycorrhizal fungi as an alternative to the use of chemical fertilisers in nursery production of </w:t>
      </w:r>
      <w:r w:rsidRPr="004A0E53">
        <w:rPr>
          <w:rFonts w:cs="Arial"/>
          <w:i/>
          <w:noProof/>
        </w:rPr>
        <w:t>Pinus pinaster</w:t>
      </w:r>
      <w:r w:rsidRPr="00DF0AA5">
        <w:rPr>
          <w:rFonts w:cs="Arial"/>
          <w:noProof/>
        </w:rPr>
        <w:t xml:space="preserve">. J. Environ. Manage. </w:t>
      </w:r>
      <w:r w:rsidRPr="00DF0AA5">
        <w:rPr>
          <w:rFonts w:cs="Arial"/>
          <w:b/>
          <w:bCs/>
          <w:noProof/>
        </w:rPr>
        <w:t>95</w:t>
      </w:r>
      <w:r w:rsidRPr="00DF0AA5">
        <w:rPr>
          <w:rFonts w:cs="Arial"/>
          <w:noProof/>
        </w:rPr>
        <w:t>: S269–S274.</w:t>
      </w:r>
    </w:p>
    <w:p w14:paraId="4F1ADA4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Staswick, P.E.</w:t>
      </w:r>
      <w:r w:rsidRPr="00DF0AA5">
        <w:rPr>
          <w:rFonts w:cs="Arial"/>
          <w:noProof/>
        </w:rPr>
        <w:t xml:space="preserve"> (2005). Characterization of an Arabidopsis Enzyme Family That Conjugates Amino Acids to Indole-3-Acetic Acid. Plant Cell Online </w:t>
      </w:r>
      <w:r w:rsidRPr="00DF0AA5">
        <w:rPr>
          <w:rFonts w:cs="Arial"/>
          <w:b/>
          <w:bCs/>
          <w:noProof/>
        </w:rPr>
        <w:t>17</w:t>
      </w:r>
      <w:r w:rsidRPr="00DF0AA5">
        <w:rPr>
          <w:rFonts w:cs="Arial"/>
          <w:noProof/>
        </w:rPr>
        <w:t>: 616–627.</w:t>
      </w:r>
    </w:p>
    <w:p w14:paraId="5433968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Sterflinger, K.</w:t>
      </w:r>
      <w:r w:rsidRPr="00DF0AA5">
        <w:rPr>
          <w:rFonts w:cs="Arial"/>
          <w:noProof/>
        </w:rPr>
        <w:t xml:space="preserve"> (2000). Fungi as geologic agents. Geomicrobiol. J. </w:t>
      </w:r>
      <w:r w:rsidRPr="00DF0AA5">
        <w:rPr>
          <w:rFonts w:cs="Arial"/>
          <w:b/>
          <w:bCs/>
          <w:noProof/>
        </w:rPr>
        <w:t>17</w:t>
      </w:r>
      <w:r w:rsidRPr="00DF0AA5">
        <w:rPr>
          <w:rFonts w:cs="Arial"/>
          <w:noProof/>
        </w:rPr>
        <w:t>: 97–124.</w:t>
      </w:r>
    </w:p>
    <w:p w14:paraId="5A2190C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Strobel, B.W.</w:t>
      </w:r>
      <w:r w:rsidRPr="00DF0AA5">
        <w:rPr>
          <w:rFonts w:cs="Arial"/>
          <w:noProof/>
        </w:rPr>
        <w:t xml:space="preserve"> (2001). Influence of vegetation on low-molecular-weight carboxylic acids in soil solution—a review. Geoderma </w:t>
      </w:r>
      <w:r w:rsidRPr="00DF0AA5">
        <w:rPr>
          <w:rFonts w:cs="Arial"/>
          <w:b/>
          <w:bCs/>
          <w:noProof/>
        </w:rPr>
        <w:t>99</w:t>
      </w:r>
      <w:r w:rsidRPr="00DF0AA5">
        <w:rPr>
          <w:rFonts w:cs="Arial"/>
          <w:noProof/>
        </w:rPr>
        <w:t>: 169–198.</w:t>
      </w:r>
    </w:p>
    <w:p w14:paraId="54BB174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Štros, M., Launholt, D., and Grasser, K.D.</w:t>
      </w:r>
      <w:r w:rsidRPr="00DF0AA5">
        <w:rPr>
          <w:rFonts w:cs="Arial"/>
          <w:noProof/>
        </w:rPr>
        <w:t xml:space="preserve"> (2007). The HMG-box: A versatile protein domain occurring in a wide variety of DNA-binding proteins. Cell. Mol. Life Sci. </w:t>
      </w:r>
      <w:r w:rsidRPr="00DF0AA5">
        <w:rPr>
          <w:rFonts w:cs="Arial"/>
          <w:b/>
          <w:bCs/>
          <w:noProof/>
        </w:rPr>
        <w:t>64</w:t>
      </w:r>
      <w:r w:rsidRPr="00DF0AA5">
        <w:rPr>
          <w:rFonts w:cs="Arial"/>
          <w:noProof/>
        </w:rPr>
        <w:t xml:space="preserve">: </w:t>
      </w:r>
      <w:r w:rsidRPr="00DF0AA5">
        <w:rPr>
          <w:rFonts w:cs="Arial"/>
          <w:noProof/>
        </w:rPr>
        <w:lastRenderedPageBreak/>
        <w:t>2590–2606.</w:t>
      </w:r>
    </w:p>
    <w:p w14:paraId="2879C0F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Talbot, J.M., Allison, S.D., and Treseder, K.K.</w:t>
      </w:r>
      <w:r w:rsidRPr="00DF0AA5">
        <w:rPr>
          <w:rFonts w:cs="Arial"/>
          <w:noProof/>
        </w:rPr>
        <w:t xml:space="preserve"> (2008). Decomposers in disguise: Mycorrhizal fungi as regulators of soil C dynamics in ecosystems under global change. Funct. Ecol. </w:t>
      </w:r>
      <w:r w:rsidRPr="00DF0AA5">
        <w:rPr>
          <w:rFonts w:cs="Arial"/>
          <w:b/>
          <w:bCs/>
          <w:noProof/>
        </w:rPr>
        <w:t>22</w:t>
      </w:r>
      <w:r w:rsidRPr="00DF0AA5">
        <w:rPr>
          <w:rFonts w:cs="Arial"/>
          <w:noProof/>
        </w:rPr>
        <w:t>: 955–963.</w:t>
      </w:r>
    </w:p>
    <w:p w14:paraId="61ED5F7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Tan, K.H.</w:t>
      </w:r>
      <w:r w:rsidRPr="00DF0AA5">
        <w:rPr>
          <w:rFonts w:cs="Arial"/>
          <w:noProof/>
        </w:rPr>
        <w:t xml:space="preserve"> (2009). Environmental Soil Science Third Edit. (Boca Raton: CRC Press.).</w:t>
      </w:r>
    </w:p>
    <w:p w14:paraId="6A74ED03" w14:textId="0A772281" w:rsidR="00DF0AA5" w:rsidRPr="00DF0AA5" w:rsidRDefault="004A0E53" w:rsidP="00DF0AA5">
      <w:pPr>
        <w:widowControl w:val="0"/>
        <w:autoSpaceDE w:val="0"/>
        <w:autoSpaceDN w:val="0"/>
        <w:adjustRightInd w:val="0"/>
        <w:ind w:left="480" w:hanging="480"/>
        <w:rPr>
          <w:rFonts w:cs="Arial"/>
          <w:noProof/>
        </w:rPr>
      </w:pPr>
      <w:r>
        <w:rPr>
          <w:rFonts w:cs="Arial"/>
          <w:b/>
          <w:bCs/>
          <w:noProof/>
        </w:rPr>
        <w:t>Tatry, M.</w:t>
      </w:r>
      <w:r w:rsidR="00DF0AA5" w:rsidRPr="00DF0AA5">
        <w:rPr>
          <w:rFonts w:cs="Arial"/>
          <w:b/>
          <w:bCs/>
          <w:noProof/>
        </w:rPr>
        <w:t>V., El Kassis, E., Lambilliotte, R., Corratgé, C., van Aarle, I., Amenc, L.K., Alary, R., Zimmermann, S., Sentenac, H., and Plassard, C.</w:t>
      </w:r>
      <w:r w:rsidR="00DF0AA5" w:rsidRPr="00DF0AA5">
        <w:rPr>
          <w:rFonts w:cs="Arial"/>
          <w:noProof/>
        </w:rPr>
        <w:t xml:space="preserve"> (2009). Two differentially regulated phosphate transporters from the symbiotic fungus </w:t>
      </w:r>
      <w:r w:rsidR="00DF0AA5" w:rsidRPr="004A0E53">
        <w:rPr>
          <w:rFonts w:cs="Arial"/>
          <w:i/>
          <w:noProof/>
        </w:rPr>
        <w:t>Hebeloma cylindrosporum</w:t>
      </w:r>
      <w:r w:rsidR="00DF0AA5" w:rsidRPr="00DF0AA5">
        <w:rPr>
          <w:rFonts w:cs="Arial"/>
          <w:noProof/>
        </w:rPr>
        <w:t xml:space="preserve"> and phosphorus acquisition by ectomycorrhizal </w:t>
      </w:r>
      <w:r w:rsidR="00DF0AA5" w:rsidRPr="004A0E53">
        <w:rPr>
          <w:rFonts w:cs="Arial"/>
          <w:i/>
          <w:noProof/>
        </w:rPr>
        <w:t>Pinus pinaster</w:t>
      </w:r>
      <w:r w:rsidR="00DF0AA5" w:rsidRPr="00DF0AA5">
        <w:rPr>
          <w:rFonts w:cs="Arial"/>
          <w:noProof/>
        </w:rPr>
        <w:t xml:space="preserve">. Plant J. </w:t>
      </w:r>
      <w:r w:rsidR="00DF0AA5" w:rsidRPr="00DF0AA5">
        <w:rPr>
          <w:rFonts w:cs="Arial"/>
          <w:b/>
          <w:bCs/>
          <w:noProof/>
        </w:rPr>
        <w:t>57</w:t>
      </w:r>
      <w:r w:rsidR="00DF0AA5" w:rsidRPr="00DF0AA5">
        <w:rPr>
          <w:rFonts w:cs="Arial"/>
          <w:noProof/>
        </w:rPr>
        <w:t>: 1092–102.</w:t>
      </w:r>
    </w:p>
    <w:p w14:paraId="22B58B8C" w14:textId="42B29CB5"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Taylor, L.L., Leake, J.R., Qui</w:t>
      </w:r>
      <w:r w:rsidR="004A0E53">
        <w:rPr>
          <w:rFonts w:cs="Arial"/>
          <w:b/>
          <w:bCs/>
          <w:noProof/>
        </w:rPr>
        <w:t>rk, J., Hardy, K., Banwart, S. A</w:t>
      </w:r>
      <w:r w:rsidRPr="00DF0AA5">
        <w:rPr>
          <w:rFonts w:cs="Arial"/>
          <w:b/>
          <w:bCs/>
          <w:noProof/>
        </w:rPr>
        <w:t>, and Beerling, D.J.</w:t>
      </w:r>
      <w:r w:rsidRPr="00DF0AA5">
        <w:rPr>
          <w:rFonts w:cs="Arial"/>
          <w:noProof/>
        </w:rPr>
        <w:t xml:space="preserve"> (2009). Biological weathering and the long-term carbon cycle: integrating mycorrhizal evolution and function into the current paradigm. Geobiology </w:t>
      </w:r>
      <w:r w:rsidRPr="00DF0AA5">
        <w:rPr>
          <w:rFonts w:cs="Arial"/>
          <w:b/>
          <w:bCs/>
          <w:noProof/>
        </w:rPr>
        <w:t>7</w:t>
      </w:r>
      <w:r w:rsidRPr="00DF0AA5">
        <w:rPr>
          <w:rFonts w:cs="Arial"/>
          <w:noProof/>
        </w:rPr>
        <w:t>: 171–91.</w:t>
      </w:r>
    </w:p>
    <w:p w14:paraId="29B72C3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Tewari, R., Bailes, E., Bunting, K.A., and Coates, J.C.</w:t>
      </w:r>
      <w:r w:rsidRPr="00DF0AA5">
        <w:rPr>
          <w:rFonts w:cs="Arial"/>
          <w:noProof/>
        </w:rPr>
        <w:t xml:space="preserve"> (2010). Armadillo-repeat protein functions: Questions for little creatures. Trends Cell Biol. </w:t>
      </w:r>
      <w:r w:rsidRPr="00DF0AA5">
        <w:rPr>
          <w:rFonts w:cs="Arial"/>
          <w:b/>
          <w:bCs/>
          <w:noProof/>
        </w:rPr>
        <w:t>20</w:t>
      </w:r>
      <w:r w:rsidRPr="00DF0AA5">
        <w:rPr>
          <w:rFonts w:cs="Arial"/>
          <w:noProof/>
        </w:rPr>
        <w:t>: 470–481.</w:t>
      </w:r>
    </w:p>
    <w:p w14:paraId="7327EFD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The Arabidopsis Genome Initiative</w:t>
      </w:r>
      <w:r w:rsidRPr="00DF0AA5">
        <w:rPr>
          <w:rFonts w:cs="Arial"/>
          <w:noProof/>
        </w:rPr>
        <w:t xml:space="preserve"> (2000). Analysis of the genome sequence of the flowering plant </w:t>
      </w:r>
      <w:r w:rsidRPr="004A0E53">
        <w:rPr>
          <w:rFonts w:cs="Arial"/>
          <w:i/>
          <w:noProof/>
        </w:rPr>
        <w:t>Arabidopsis thaliana</w:t>
      </w:r>
      <w:r w:rsidRPr="00DF0AA5">
        <w:rPr>
          <w:rFonts w:cs="Arial"/>
          <w:noProof/>
        </w:rPr>
        <w:t xml:space="preserve">. Nature </w:t>
      </w:r>
      <w:r w:rsidRPr="00DF0AA5">
        <w:rPr>
          <w:rFonts w:cs="Arial"/>
          <w:b/>
          <w:bCs/>
          <w:noProof/>
        </w:rPr>
        <w:t>408</w:t>
      </w:r>
      <w:r w:rsidRPr="00DF0AA5">
        <w:rPr>
          <w:rFonts w:cs="Arial"/>
          <w:noProof/>
        </w:rPr>
        <w:t>: 796–815.</w:t>
      </w:r>
    </w:p>
    <w:p w14:paraId="5E296F0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Thorley, R.M.S., Taylor, L.L., Banwart, S.A., Leake, J.R., and Beerling, D.J.</w:t>
      </w:r>
      <w:r w:rsidRPr="00DF0AA5">
        <w:rPr>
          <w:rFonts w:cs="Arial"/>
          <w:noProof/>
        </w:rPr>
        <w:t xml:space="preserve"> (2015). The role of forest trees and their mycorrhizal fungi in carbonate rock weathering and its significance for global carbon cycling. Plant. Cell Environ. </w:t>
      </w:r>
      <w:r w:rsidRPr="00DF0AA5">
        <w:rPr>
          <w:rFonts w:cs="Arial"/>
          <w:b/>
          <w:bCs/>
          <w:noProof/>
        </w:rPr>
        <w:t>38</w:t>
      </w:r>
      <w:r w:rsidRPr="00DF0AA5">
        <w:rPr>
          <w:rFonts w:cs="Arial"/>
          <w:noProof/>
        </w:rPr>
        <w:t>: 1947–1961.</w:t>
      </w:r>
    </w:p>
    <w:p w14:paraId="76959B6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Van Tichelen, K.K. and Colpaert, J. V.</w:t>
      </w:r>
      <w:r w:rsidRPr="00DF0AA5">
        <w:rPr>
          <w:rFonts w:cs="Arial"/>
          <w:noProof/>
        </w:rPr>
        <w:t xml:space="preserve"> (2000). Kinetics of phosphate absorption by mycorrhizal and non-mycorrhizal Scots pine seedlings. Physiol. Plant. </w:t>
      </w:r>
      <w:r w:rsidRPr="00DF0AA5">
        <w:rPr>
          <w:rFonts w:cs="Arial"/>
          <w:b/>
          <w:bCs/>
          <w:noProof/>
        </w:rPr>
        <w:t>110</w:t>
      </w:r>
      <w:r w:rsidRPr="00DF0AA5">
        <w:rPr>
          <w:rFonts w:cs="Arial"/>
          <w:noProof/>
        </w:rPr>
        <w:t>: 96–103.</w:t>
      </w:r>
    </w:p>
    <w:p w14:paraId="64770D1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Tuskan, G.A. et al.</w:t>
      </w:r>
      <w:r w:rsidRPr="00DF0AA5">
        <w:rPr>
          <w:rFonts w:cs="Arial"/>
          <w:noProof/>
        </w:rPr>
        <w:t xml:space="preserve"> (2006). The Genome of Black Cottonwood, </w:t>
      </w:r>
      <w:r w:rsidRPr="004A0E53">
        <w:rPr>
          <w:rFonts w:cs="Arial"/>
          <w:i/>
          <w:noProof/>
        </w:rPr>
        <w:t>Populus trichocarpa</w:t>
      </w:r>
      <w:r w:rsidRPr="00DF0AA5">
        <w:rPr>
          <w:rFonts w:cs="Arial"/>
          <w:noProof/>
        </w:rPr>
        <w:t xml:space="preserve"> (Torr. &amp; Gray). Science (80-. ). </w:t>
      </w:r>
      <w:r w:rsidRPr="00DF0AA5">
        <w:rPr>
          <w:rFonts w:cs="Arial"/>
          <w:b/>
          <w:bCs/>
          <w:noProof/>
        </w:rPr>
        <w:t>313</w:t>
      </w:r>
      <w:r w:rsidRPr="00DF0AA5">
        <w:rPr>
          <w:rFonts w:cs="Arial"/>
          <w:noProof/>
        </w:rPr>
        <w:t>.</w:t>
      </w:r>
    </w:p>
    <w:p w14:paraId="463EFDF5"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von Uexküll, H.R. and Mutert, E.</w:t>
      </w:r>
      <w:r w:rsidRPr="00DF0AA5">
        <w:rPr>
          <w:rFonts w:cs="Arial"/>
          <w:noProof/>
        </w:rPr>
        <w:t xml:space="preserve"> (1995). Global Extent, Development and Economic-Impact of Acid Soils. Plant Soil </w:t>
      </w:r>
      <w:r w:rsidRPr="00DF0AA5">
        <w:rPr>
          <w:rFonts w:cs="Arial"/>
          <w:b/>
          <w:bCs/>
          <w:noProof/>
        </w:rPr>
        <w:t>171</w:t>
      </w:r>
      <w:r w:rsidRPr="00DF0AA5">
        <w:rPr>
          <w:rFonts w:cs="Arial"/>
          <w:noProof/>
        </w:rPr>
        <w:t>: 1–15.</w:t>
      </w:r>
    </w:p>
    <w:p w14:paraId="79A1737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Ullrich-Eberius, C.I., Novacky, A., and van Bel, A.J.E.</w:t>
      </w:r>
      <w:r w:rsidRPr="00DF0AA5">
        <w:rPr>
          <w:rFonts w:cs="Arial"/>
          <w:noProof/>
        </w:rPr>
        <w:t xml:space="preserve"> (1984). Phosphate uptake in </w:t>
      </w:r>
      <w:r w:rsidRPr="00A96150">
        <w:rPr>
          <w:rFonts w:cs="Arial"/>
          <w:i/>
          <w:noProof/>
        </w:rPr>
        <w:lastRenderedPageBreak/>
        <w:t>Lemna gibba</w:t>
      </w:r>
      <w:r w:rsidRPr="00DF0AA5">
        <w:rPr>
          <w:rFonts w:cs="Arial"/>
          <w:noProof/>
        </w:rPr>
        <w:t xml:space="preserve"> G1: energetics and kinetics. Planta </w:t>
      </w:r>
      <w:r w:rsidRPr="00DF0AA5">
        <w:rPr>
          <w:rFonts w:cs="Arial"/>
          <w:b/>
          <w:bCs/>
          <w:noProof/>
        </w:rPr>
        <w:t>161</w:t>
      </w:r>
      <w:r w:rsidRPr="00DF0AA5">
        <w:rPr>
          <w:rFonts w:cs="Arial"/>
          <w:noProof/>
        </w:rPr>
        <w:t>: 46–52.</w:t>
      </w:r>
    </w:p>
    <w:p w14:paraId="41D7D02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Unkles, S.E., Wang, R., Wang, Y., Glass, A.D.M., Crawford, N.M., and Kinghorn, J.R.</w:t>
      </w:r>
      <w:r w:rsidRPr="00DF0AA5">
        <w:rPr>
          <w:rFonts w:cs="Arial"/>
          <w:noProof/>
        </w:rPr>
        <w:t xml:space="preserve"> (2004). Nitrate Reductase Activity Is Required for Nitrate Uptake into Fungal but Not Plant Cells. J. Biol. Chem. </w:t>
      </w:r>
      <w:r w:rsidRPr="00DF0AA5">
        <w:rPr>
          <w:rFonts w:cs="Arial"/>
          <w:b/>
          <w:bCs/>
          <w:noProof/>
        </w:rPr>
        <w:t>279</w:t>
      </w:r>
      <w:r w:rsidRPr="00DF0AA5">
        <w:rPr>
          <w:rFonts w:cs="Arial"/>
          <w:noProof/>
        </w:rPr>
        <w:t>: 28182–28186.</w:t>
      </w:r>
    </w:p>
    <w:p w14:paraId="0F5886D7"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Uroz, S., Calvaruso, C., Turpault, M.P., and Frey-Klett, P.</w:t>
      </w:r>
      <w:r w:rsidRPr="00DF0AA5">
        <w:rPr>
          <w:rFonts w:cs="Arial"/>
          <w:noProof/>
        </w:rPr>
        <w:t xml:space="preserve"> (2009). Mineral weathering by bacteria: ecology, actors and mechanisms. Trends Microbiol. </w:t>
      </w:r>
      <w:r w:rsidRPr="00DF0AA5">
        <w:rPr>
          <w:rFonts w:cs="Arial"/>
          <w:b/>
          <w:bCs/>
          <w:noProof/>
        </w:rPr>
        <w:t>17</w:t>
      </w:r>
      <w:r w:rsidRPr="00DF0AA5">
        <w:rPr>
          <w:rFonts w:cs="Arial"/>
          <w:noProof/>
        </w:rPr>
        <w:t>: 378–387.</w:t>
      </w:r>
    </w:p>
    <w:p w14:paraId="52399B7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Valdés-Santiago, L. and Ruiz-Herrera, J.</w:t>
      </w:r>
      <w:r w:rsidRPr="00DF0AA5">
        <w:rPr>
          <w:rFonts w:cs="Arial"/>
          <w:noProof/>
        </w:rPr>
        <w:t xml:space="preserve"> (2014). Stress and polyamine metabolism in fungi. Front. Chem. </w:t>
      </w:r>
      <w:r w:rsidRPr="00DF0AA5">
        <w:rPr>
          <w:rFonts w:cs="Arial"/>
          <w:b/>
          <w:bCs/>
          <w:noProof/>
        </w:rPr>
        <w:t>1</w:t>
      </w:r>
      <w:r w:rsidRPr="00DF0AA5">
        <w:rPr>
          <w:rFonts w:cs="Arial"/>
          <w:noProof/>
        </w:rPr>
        <w:t>: 1–10.</w:t>
      </w:r>
    </w:p>
    <w:p w14:paraId="070D979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Vallejo, M.C., Nakayasu, E.S., Longo, L.V.G., Ganiko, L., Lopes, F.G., Matsuo, A.L., Almeida, I.C., and Puccia, R.</w:t>
      </w:r>
      <w:r w:rsidRPr="00DF0AA5">
        <w:rPr>
          <w:rFonts w:cs="Arial"/>
          <w:noProof/>
        </w:rPr>
        <w:t xml:space="preserve"> (2012). Lipidomic analysis of extracellular vesicles from the pathogenic phase of </w:t>
      </w:r>
      <w:r w:rsidRPr="00A96150">
        <w:rPr>
          <w:rFonts w:cs="Arial"/>
          <w:i/>
          <w:noProof/>
        </w:rPr>
        <w:t>Paracoccidioides brasiliensis</w:t>
      </w:r>
      <w:r w:rsidRPr="00DF0AA5">
        <w:rPr>
          <w:rFonts w:cs="Arial"/>
          <w:noProof/>
        </w:rPr>
        <w:t xml:space="preserve">. PLoS One </w:t>
      </w:r>
      <w:r w:rsidRPr="00DF0AA5">
        <w:rPr>
          <w:rFonts w:cs="Arial"/>
          <w:b/>
          <w:bCs/>
          <w:noProof/>
        </w:rPr>
        <w:t>7</w:t>
      </w:r>
      <w:r w:rsidRPr="00DF0AA5">
        <w:rPr>
          <w:rFonts w:cs="Arial"/>
          <w:noProof/>
        </w:rPr>
        <w:t>: 1–10.</w:t>
      </w:r>
    </w:p>
    <w:p w14:paraId="2F7C7B2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Villares, A., Moreau, C., Bennati-Granier, C., Garajova, S., Foucat, L., Falourd, X., Saake, B., Berrin, J.G., and Cathala, B.</w:t>
      </w:r>
      <w:r w:rsidRPr="00DF0AA5">
        <w:rPr>
          <w:rFonts w:cs="Arial"/>
          <w:noProof/>
        </w:rPr>
        <w:t xml:space="preserve"> (2017). Lytic polysaccharide monooxygenases disrupt the cellulose fibers structure. Sci. Rep. </w:t>
      </w:r>
      <w:r w:rsidRPr="00DF0AA5">
        <w:rPr>
          <w:rFonts w:cs="Arial"/>
          <w:b/>
          <w:bCs/>
          <w:noProof/>
        </w:rPr>
        <w:t>7</w:t>
      </w:r>
      <w:r w:rsidRPr="00DF0AA5">
        <w:rPr>
          <w:rFonts w:cs="Arial"/>
          <w:noProof/>
        </w:rPr>
        <w:t>: 1–9.</w:t>
      </w:r>
    </w:p>
    <w:p w14:paraId="558C789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Vranova, V., Rejsek, K., and Formanek, P.</w:t>
      </w:r>
      <w:r w:rsidRPr="00DF0AA5">
        <w:rPr>
          <w:rFonts w:cs="Arial"/>
          <w:noProof/>
        </w:rPr>
        <w:t xml:space="preserve"> (2013). Aliphatic, Cyclic, and Aromatic Organic Acids, Vitamins, and Carbohydrates in Soil: A Review. Sci. J. </w:t>
      </w:r>
      <w:r w:rsidRPr="00DF0AA5">
        <w:rPr>
          <w:rFonts w:cs="Arial"/>
          <w:b/>
          <w:bCs/>
          <w:noProof/>
        </w:rPr>
        <w:t>2013</w:t>
      </w:r>
      <w:r w:rsidRPr="00DF0AA5">
        <w:rPr>
          <w:rFonts w:cs="Arial"/>
          <w:noProof/>
        </w:rPr>
        <w:t>.</w:t>
      </w:r>
    </w:p>
    <w:p w14:paraId="08FAAC9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Wallander, H.</w:t>
      </w:r>
      <w:r w:rsidRPr="00DF0AA5">
        <w:rPr>
          <w:rFonts w:cs="Arial"/>
          <w:noProof/>
        </w:rPr>
        <w:t xml:space="preserve"> (2006). Mineral dissolution by ectomycorrhizal fungi. In Fungi in Biogeochemical Cycles, G.M. Gadd, ed, British Mycological Society Symposia. (Cambridge University Press: Cambridge), pp. 328–343.</w:t>
      </w:r>
    </w:p>
    <w:p w14:paraId="13BB189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Wallander, H.</w:t>
      </w:r>
      <w:r w:rsidRPr="00DF0AA5">
        <w:rPr>
          <w:rFonts w:cs="Arial"/>
          <w:noProof/>
        </w:rPr>
        <w:t xml:space="preserve"> (2000). Uptake of P from apatite by </w:t>
      </w:r>
      <w:r w:rsidRPr="00A96150">
        <w:rPr>
          <w:rFonts w:cs="Arial"/>
          <w:i/>
          <w:noProof/>
        </w:rPr>
        <w:t>Pinus sylvestris</w:t>
      </w:r>
      <w:r w:rsidRPr="00DF0AA5">
        <w:rPr>
          <w:rFonts w:cs="Arial"/>
          <w:noProof/>
        </w:rPr>
        <w:t xml:space="preserve"> seedlings colonised by different ectomycorrhizal fungi. Plant Soil </w:t>
      </w:r>
      <w:r w:rsidRPr="00DF0AA5">
        <w:rPr>
          <w:rFonts w:cs="Arial"/>
          <w:b/>
          <w:bCs/>
          <w:noProof/>
        </w:rPr>
        <w:t>218</w:t>
      </w:r>
      <w:r w:rsidRPr="00DF0AA5">
        <w:rPr>
          <w:rFonts w:cs="Arial"/>
          <w:noProof/>
        </w:rPr>
        <w:t>: 249–256.</w:t>
      </w:r>
    </w:p>
    <w:p w14:paraId="0BABDBA9"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Wallander, H. and Wickman, T.</w:t>
      </w:r>
      <w:r w:rsidRPr="00DF0AA5">
        <w:rPr>
          <w:rFonts w:cs="Arial"/>
          <w:noProof/>
        </w:rPr>
        <w:t xml:space="preserve"> (1999). Biotite and microcline as potassium sources in ectomycorrhizal and non-mycorrhizal </w:t>
      </w:r>
      <w:r w:rsidRPr="00A96150">
        <w:rPr>
          <w:rFonts w:cs="Arial"/>
          <w:i/>
          <w:noProof/>
        </w:rPr>
        <w:t>Pinus sylvestris</w:t>
      </w:r>
      <w:r w:rsidRPr="00DF0AA5">
        <w:rPr>
          <w:rFonts w:cs="Arial"/>
          <w:noProof/>
        </w:rPr>
        <w:t xml:space="preserve"> seedlings. Mycorrhiza </w:t>
      </w:r>
      <w:r w:rsidRPr="00DF0AA5">
        <w:rPr>
          <w:rFonts w:cs="Arial"/>
          <w:b/>
          <w:bCs/>
          <w:noProof/>
        </w:rPr>
        <w:t>9</w:t>
      </w:r>
      <w:r w:rsidRPr="00DF0AA5">
        <w:rPr>
          <w:rFonts w:cs="Arial"/>
          <w:noProof/>
        </w:rPr>
        <w:t>: 25–32.</w:t>
      </w:r>
    </w:p>
    <w:p w14:paraId="5B16A4B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Wallander, H., Wickman, T., and Jacks, G.</w:t>
      </w:r>
      <w:r w:rsidRPr="00DF0AA5">
        <w:rPr>
          <w:rFonts w:cs="Arial"/>
          <w:noProof/>
        </w:rPr>
        <w:t xml:space="preserve"> (1997). Apatite as a P source in mycorrhizal and non-mycorrhizal </w:t>
      </w:r>
      <w:r w:rsidRPr="00A96150">
        <w:rPr>
          <w:rFonts w:cs="Arial"/>
          <w:i/>
          <w:noProof/>
        </w:rPr>
        <w:t>Pinus sylvestris</w:t>
      </w:r>
      <w:r w:rsidRPr="00DF0AA5">
        <w:rPr>
          <w:rFonts w:cs="Arial"/>
          <w:noProof/>
        </w:rPr>
        <w:t xml:space="preserve"> seedlings. Plant Soil </w:t>
      </w:r>
      <w:r w:rsidRPr="00DF0AA5">
        <w:rPr>
          <w:rFonts w:cs="Arial"/>
          <w:b/>
          <w:bCs/>
          <w:noProof/>
        </w:rPr>
        <w:t>196</w:t>
      </w:r>
      <w:r w:rsidRPr="00DF0AA5">
        <w:rPr>
          <w:rFonts w:cs="Arial"/>
          <w:noProof/>
        </w:rPr>
        <w:t>: 123–131.</w:t>
      </w:r>
    </w:p>
    <w:p w14:paraId="0EB98415"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Wang, W., Lian, B., and Pan, L.</w:t>
      </w:r>
      <w:r w:rsidRPr="00DF0AA5">
        <w:rPr>
          <w:rFonts w:cs="Arial"/>
          <w:noProof/>
        </w:rPr>
        <w:t xml:space="preserve"> (2015). An RNA-Sequencing Study of the Genes and </w:t>
      </w:r>
      <w:r w:rsidRPr="00DF0AA5">
        <w:rPr>
          <w:rFonts w:cs="Arial"/>
          <w:noProof/>
        </w:rPr>
        <w:lastRenderedPageBreak/>
        <w:t xml:space="preserve">Metabolic Pathways Involved in </w:t>
      </w:r>
      <w:r w:rsidRPr="00A96150">
        <w:rPr>
          <w:rFonts w:cs="Arial"/>
          <w:i/>
          <w:noProof/>
        </w:rPr>
        <w:t>Aspergillus niger</w:t>
      </w:r>
      <w:r w:rsidRPr="00DF0AA5">
        <w:rPr>
          <w:rFonts w:cs="Arial"/>
          <w:noProof/>
        </w:rPr>
        <w:t xml:space="preserve"> Weathering of Potassium Feldspar. Geomicrobiol. J. </w:t>
      </w:r>
      <w:r w:rsidRPr="00DF0AA5">
        <w:rPr>
          <w:rFonts w:cs="Arial"/>
          <w:b/>
          <w:bCs/>
          <w:noProof/>
        </w:rPr>
        <w:t>32</w:t>
      </w:r>
      <w:r w:rsidRPr="00DF0AA5">
        <w:rPr>
          <w:rFonts w:cs="Arial"/>
          <w:noProof/>
        </w:rPr>
        <w:t>: 689–700.</w:t>
      </w:r>
    </w:p>
    <w:p w14:paraId="7E0CC250"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Wardle, D.A., Walker, L.R., and Bardgett, R.D.</w:t>
      </w:r>
      <w:r w:rsidRPr="00DF0AA5">
        <w:rPr>
          <w:rFonts w:cs="Arial"/>
          <w:noProof/>
        </w:rPr>
        <w:t xml:space="preserve"> (2004). Ecosystem properties and forest decline in contrasting long-term chronosequences. Science </w:t>
      </w:r>
      <w:r w:rsidRPr="00DF0AA5">
        <w:rPr>
          <w:rFonts w:cs="Arial"/>
          <w:b/>
          <w:bCs/>
          <w:noProof/>
        </w:rPr>
        <w:t>305</w:t>
      </w:r>
      <w:r w:rsidRPr="00DF0AA5">
        <w:rPr>
          <w:rFonts w:cs="Arial"/>
          <w:noProof/>
        </w:rPr>
        <w:t>: 509–13.</w:t>
      </w:r>
    </w:p>
    <w:p w14:paraId="4A87691A"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Watanabe, T., Fujiwara, T., Umezawa, T., Shimada, M., and Hattori, T.</w:t>
      </w:r>
      <w:r w:rsidRPr="00DF0AA5">
        <w:rPr>
          <w:rFonts w:cs="Arial"/>
          <w:noProof/>
        </w:rPr>
        <w:t xml:space="preserve"> (2008). Cloning of a cDNA encoding a NAD-dependent formate dehydrogenase involved in oxalic acid metabolism from the white-rot fungus </w:t>
      </w:r>
      <w:r w:rsidRPr="00A96150">
        <w:rPr>
          <w:rFonts w:cs="Arial"/>
          <w:i/>
          <w:noProof/>
        </w:rPr>
        <w:t>Ceriporiopsis subvermispora</w:t>
      </w:r>
      <w:r w:rsidRPr="00DF0AA5">
        <w:rPr>
          <w:rFonts w:cs="Arial"/>
          <w:noProof/>
        </w:rPr>
        <w:t xml:space="preserve"> and its gene expression analysis. FEMS Microbiol. Lett. </w:t>
      </w:r>
      <w:r w:rsidRPr="00DF0AA5">
        <w:rPr>
          <w:rFonts w:cs="Arial"/>
          <w:b/>
          <w:bCs/>
          <w:noProof/>
        </w:rPr>
        <w:t>279</w:t>
      </w:r>
      <w:r w:rsidRPr="00DF0AA5">
        <w:rPr>
          <w:rFonts w:cs="Arial"/>
          <w:noProof/>
        </w:rPr>
        <w:t>: 64–70.</w:t>
      </w:r>
    </w:p>
    <w:p w14:paraId="47D7F5F8"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Watanabe, T., Shitan, N., Suzuki, S., Umezawa, T., Shimada, M., Yazaki, K., and Hattori, T.</w:t>
      </w:r>
      <w:r w:rsidRPr="00DF0AA5">
        <w:rPr>
          <w:rFonts w:cs="Arial"/>
          <w:noProof/>
        </w:rPr>
        <w:t xml:space="preserve"> (2010). Oxalate efflux transporter from the brown rot fungus </w:t>
      </w:r>
      <w:r w:rsidRPr="00A96150">
        <w:rPr>
          <w:rFonts w:cs="Arial"/>
          <w:i/>
          <w:noProof/>
        </w:rPr>
        <w:t>Fomitopsis palustris</w:t>
      </w:r>
      <w:r w:rsidRPr="00DF0AA5">
        <w:rPr>
          <w:rFonts w:cs="Arial"/>
          <w:noProof/>
        </w:rPr>
        <w:t xml:space="preserve">. Appl. Environ. Microbiol. </w:t>
      </w:r>
      <w:r w:rsidRPr="00DF0AA5">
        <w:rPr>
          <w:rFonts w:cs="Arial"/>
          <w:b/>
          <w:bCs/>
          <w:noProof/>
        </w:rPr>
        <w:t>76</w:t>
      </w:r>
      <w:r w:rsidRPr="00DF0AA5">
        <w:rPr>
          <w:rFonts w:cs="Arial"/>
          <w:noProof/>
        </w:rPr>
        <w:t>: 7683–90.</w:t>
      </w:r>
    </w:p>
    <w:p w14:paraId="4303F7AC"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Whelan, S. and Goldman, N.</w:t>
      </w:r>
      <w:r w:rsidRPr="00DF0AA5">
        <w:rPr>
          <w:rFonts w:cs="Arial"/>
          <w:noProof/>
        </w:rPr>
        <w:t xml:space="preserve"> (2001). A General Empirical Model of Protein Evolution Derived from Multiple Protein Families Using a Maximum-Likelihood Approach. Mol. Biol. Evol. </w:t>
      </w:r>
      <w:r w:rsidRPr="00DF0AA5">
        <w:rPr>
          <w:rFonts w:cs="Arial"/>
          <w:b/>
          <w:bCs/>
          <w:noProof/>
        </w:rPr>
        <w:t>18</w:t>
      </w:r>
      <w:r w:rsidRPr="00DF0AA5">
        <w:rPr>
          <w:rFonts w:cs="Arial"/>
          <w:noProof/>
        </w:rPr>
        <w:t>: 691–699.</w:t>
      </w:r>
    </w:p>
    <w:p w14:paraId="0A414D6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White, S.R. and Lauring, B.</w:t>
      </w:r>
      <w:r w:rsidRPr="00DF0AA5">
        <w:rPr>
          <w:rFonts w:cs="Arial"/>
          <w:noProof/>
        </w:rPr>
        <w:t xml:space="preserve"> (2007). AAA+ ATPases: Achieving diversity of function with conserved machinery. Traffic </w:t>
      </w:r>
      <w:r w:rsidRPr="00DF0AA5">
        <w:rPr>
          <w:rFonts w:cs="Arial"/>
          <w:b/>
          <w:bCs/>
          <w:noProof/>
        </w:rPr>
        <w:t>8</w:t>
      </w:r>
      <w:r w:rsidRPr="00DF0AA5">
        <w:rPr>
          <w:rFonts w:cs="Arial"/>
          <w:noProof/>
        </w:rPr>
        <w:t>: 1657–1667.</w:t>
      </w:r>
    </w:p>
    <w:p w14:paraId="0642A8E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Wiese, J., Kleber, R., Hampp, R., and Nehls, U.</w:t>
      </w:r>
      <w:r w:rsidRPr="00DF0AA5">
        <w:rPr>
          <w:rFonts w:cs="Arial"/>
          <w:noProof/>
        </w:rPr>
        <w:t xml:space="preserve"> (2000). Functional Characterization of the </w:t>
      </w:r>
      <w:r w:rsidRPr="00A96150">
        <w:rPr>
          <w:rFonts w:cs="Arial"/>
          <w:i/>
          <w:noProof/>
        </w:rPr>
        <w:t>Amanita muscaria</w:t>
      </w:r>
      <w:r w:rsidRPr="00DF0AA5">
        <w:rPr>
          <w:rFonts w:cs="Arial"/>
          <w:noProof/>
        </w:rPr>
        <w:t xml:space="preserve"> Monosaccharide Transporter, AmMst1. Plant Biol. </w:t>
      </w:r>
      <w:r w:rsidRPr="00DF0AA5">
        <w:rPr>
          <w:rFonts w:cs="Arial"/>
          <w:b/>
          <w:bCs/>
          <w:noProof/>
        </w:rPr>
        <w:t>2</w:t>
      </w:r>
      <w:r w:rsidRPr="00DF0AA5">
        <w:rPr>
          <w:rFonts w:cs="Arial"/>
          <w:noProof/>
        </w:rPr>
        <w:t>: 278–282.</w:t>
      </w:r>
    </w:p>
    <w:p w14:paraId="4655986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Wright, D.P., Johansson, T., Le Quéré, A., Söderström, B., and Tunlid, A.</w:t>
      </w:r>
      <w:r w:rsidRPr="00DF0AA5">
        <w:rPr>
          <w:rFonts w:cs="Arial"/>
          <w:noProof/>
        </w:rPr>
        <w:t xml:space="preserve"> (2005). Spatial patterns of gene expression in the extramatrical mycelium and mycorrhizal root tips formed by the ectomycorrhizal fungus </w:t>
      </w:r>
      <w:r w:rsidRPr="00A96150">
        <w:rPr>
          <w:rFonts w:cs="Arial"/>
          <w:i/>
          <w:noProof/>
        </w:rPr>
        <w:t>Paxillus involutus</w:t>
      </w:r>
      <w:r w:rsidRPr="00DF0AA5">
        <w:rPr>
          <w:rFonts w:cs="Arial"/>
          <w:noProof/>
        </w:rPr>
        <w:t xml:space="preserve"> in association with birch (</w:t>
      </w:r>
      <w:r w:rsidRPr="00A96150">
        <w:rPr>
          <w:rFonts w:cs="Arial"/>
          <w:i/>
          <w:noProof/>
        </w:rPr>
        <w:t>Betula pendula</w:t>
      </w:r>
      <w:r w:rsidRPr="00DF0AA5">
        <w:rPr>
          <w:rFonts w:cs="Arial"/>
          <w:noProof/>
        </w:rPr>
        <w:t xml:space="preserve">) seedlings in soil microcosms. New Phytol. </w:t>
      </w:r>
      <w:r w:rsidRPr="00DF0AA5">
        <w:rPr>
          <w:rFonts w:cs="Arial"/>
          <w:b/>
          <w:bCs/>
          <w:noProof/>
        </w:rPr>
        <w:t>167</w:t>
      </w:r>
      <w:r w:rsidRPr="00DF0AA5">
        <w:rPr>
          <w:rFonts w:cs="Arial"/>
          <w:noProof/>
        </w:rPr>
        <w:t>: 579–96.</w:t>
      </w:r>
    </w:p>
    <w:p w14:paraId="5CC3968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Wright, D.P., Scholes, J.D., Read, D.J., and Rolfe, S.A.</w:t>
      </w:r>
      <w:r w:rsidRPr="00DF0AA5">
        <w:rPr>
          <w:rFonts w:cs="Arial"/>
          <w:noProof/>
        </w:rPr>
        <w:t xml:space="preserve"> (2000). Changes in carbon allocation and expression of carbon transporter genes in </w:t>
      </w:r>
      <w:r w:rsidRPr="00A96150">
        <w:rPr>
          <w:rFonts w:cs="Arial"/>
          <w:i/>
          <w:noProof/>
        </w:rPr>
        <w:t>Betula pendula</w:t>
      </w:r>
      <w:r w:rsidRPr="00DF0AA5">
        <w:rPr>
          <w:rFonts w:cs="Arial"/>
          <w:noProof/>
        </w:rPr>
        <w:t xml:space="preserve"> Roth. colonized by the ectomycorrhizal fungus </w:t>
      </w:r>
      <w:r w:rsidRPr="00A96150">
        <w:rPr>
          <w:rFonts w:cs="Arial"/>
          <w:i/>
          <w:noProof/>
        </w:rPr>
        <w:t>Paxillus involutus</w:t>
      </w:r>
      <w:r w:rsidRPr="00DF0AA5">
        <w:rPr>
          <w:rFonts w:cs="Arial"/>
          <w:noProof/>
        </w:rPr>
        <w:t xml:space="preserve"> (Batsch) Fr. Plant, Cell Environ. </w:t>
      </w:r>
      <w:r w:rsidRPr="00DF0AA5">
        <w:rPr>
          <w:rFonts w:cs="Arial"/>
          <w:b/>
          <w:bCs/>
          <w:noProof/>
        </w:rPr>
        <w:t>23</w:t>
      </w:r>
      <w:r w:rsidRPr="00DF0AA5">
        <w:rPr>
          <w:rFonts w:cs="Arial"/>
          <w:noProof/>
        </w:rPr>
        <w:t>: 39–49.</w:t>
      </w:r>
    </w:p>
    <w:p w14:paraId="5671C7D3"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Wykoff, D.D., Rizvi, A.H., Raser, J.M., Margolin, B., and O’Shea, E.K.</w:t>
      </w:r>
      <w:r w:rsidRPr="00DF0AA5">
        <w:rPr>
          <w:rFonts w:cs="Arial"/>
          <w:noProof/>
        </w:rPr>
        <w:t xml:space="preserve"> (2007). Positive feedback regulates switching of phosphate transporters in </w:t>
      </w:r>
      <w:r w:rsidRPr="00A96150">
        <w:rPr>
          <w:rFonts w:cs="Arial"/>
          <w:i/>
          <w:noProof/>
        </w:rPr>
        <w:t>S. cerevisiae</w:t>
      </w:r>
      <w:r w:rsidRPr="00DF0AA5">
        <w:rPr>
          <w:rFonts w:cs="Arial"/>
          <w:noProof/>
        </w:rPr>
        <w:t xml:space="preserve">. Mol. Cell </w:t>
      </w:r>
      <w:r w:rsidRPr="00DF0AA5">
        <w:rPr>
          <w:rFonts w:cs="Arial"/>
          <w:b/>
          <w:bCs/>
          <w:noProof/>
        </w:rPr>
        <w:lastRenderedPageBreak/>
        <w:t>27</w:t>
      </w:r>
      <w:r w:rsidRPr="00DF0AA5">
        <w:rPr>
          <w:rFonts w:cs="Arial"/>
          <w:noProof/>
        </w:rPr>
        <w:t>: 1005–13.</w:t>
      </w:r>
    </w:p>
    <w:p w14:paraId="660BD83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Xia, J., Sinelnikov, I. V., Han, B., and Wishart, D.S.</w:t>
      </w:r>
      <w:r w:rsidRPr="00DF0AA5">
        <w:rPr>
          <w:rFonts w:cs="Arial"/>
          <w:noProof/>
        </w:rPr>
        <w:t xml:space="preserve"> (2015). MetaboAnalyst 3.0—making metabolomics more meaningful. Nucleic Acids Res. </w:t>
      </w:r>
      <w:r w:rsidRPr="00DF0AA5">
        <w:rPr>
          <w:rFonts w:cs="Arial"/>
          <w:b/>
          <w:bCs/>
          <w:noProof/>
        </w:rPr>
        <w:t>43</w:t>
      </w:r>
      <w:r w:rsidRPr="00DF0AA5">
        <w:rPr>
          <w:rFonts w:cs="Arial"/>
          <w:noProof/>
        </w:rPr>
        <w:t>: W251–W257.</w:t>
      </w:r>
    </w:p>
    <w:p w14:paraId="6F73C69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Xiao, B., Lian, B., Sun, L., and Shao, W.</w:t>
      </w:r>
      <w:r w:rsidRPr="00DF0AA5">
        <w:rPr>
          <w:rFonts w:cs="Arial"/>
          <w:noProof/>
        </w:rPr>
        <w:t xml:space="preserve"> (2012). Gene transcription response to weathering of K-bearing minerals by </w:t>
      </w:r>
      <w:r w:rsidRPr="00A96150">
        <w:rPr>
          <w:rFonts w:cs="Arial"/>
          <w:i/>
          <w:noProof/>
        </w:rPr>
        <w:t>Aspergillus fumigatus</w:t>
      </w:r>
      <w:r w:rsidRPr="00DF0AA5">
        <w:rPr>
          <w:rFonts w:cs="Arial"/>
          <w:noProof/>
        </w:rPr>
        <w:t xml:space="preserve">. Chem. Geol. </w:t>
      </w:r>
      <w:r w:rsidRPr="00DF0AA5">
        <w:rPr>
          <w:rFonts w:cs="Arial"/>
          <w:b/>
          <w:bCs/>
          <w:noProof/>
        </w:rPr>
        <w:t>306</w:t>
      </w:r>
      <w:r w:rsidRPr="00DF0AA5">
        <w:rPr>
          <w:rFonts w:cs="Arial"/>
          <w:noProof/>
        </w:rPr>
        <w:t>–</w:t>
      </w:r>
      <w:r w:rsidRPr="00DF0AA5">
        <w:rPr>
          <w:rFonts w:cs="Arial"/>
          <w:b/>
          <w:bCs/>
          <w:noProof/>
        </w:rPr>
        <w:t>307</w:t>
      </w:r>
      <w:r w:rsidRPr="00DF0AA5">
        <w:rPr>
          <w:rFonts w:cs="Arial"/>
          <w:noProof/>
        </w:rPr>
        <w:t>: 1–9.</w:t>
      </w:r>
    </w:p>
    <w:p w14:paraId="4797A48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Xie, F., Xiao, P., Chen, D., Xu, L., and Zhang, B.</w:t>
      </w:r>
      <w:r w:rsidRPr="00DF0AA5">
        <w:rPr>
          <w:rFonts w:cs="Arial"/>
          <w:noProof/>
        </w:rPr>
        <w:t xml:space="preserve"> (2012). miRDeepFinder: a miRNA analysis tool for deep sequencing of plant small RNAs. Plant Mol. Biol. </w:t>
      </w:r>
      <w:r w:rsidRPr="00DF0AA5">
        <w:rPr>
          <w:rFonts w:cs="Arial"/>
          <w:b/>
          <w:bCs/>
          <w:noProof/>
        </w:rPr>
        <w:t>80</w:t>
      </w:r>
      <w:r w:rsidRPr="00DF0AA5">
        <w:rPr>
          <w:rFonts w:cs="Arial"/>
          <w:noProof/>
        </w:rPr>
        <w:t>: 75–84.</w:t>
      </w:r>
    </w:p>
    <w:p w14:paraId="1F8F456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Xie, K., Dou, X., Chen, R., Chen, D., Fang, C., Xiao, Z., and Dai, J.</w:t>
      </w:r>
      <w:r w:rsidRPr="00DF0AA5">
        <w:rPr>
          <w:rFonts w:cs="Arial"/>
          <w:noProof/>
        </w:rPr>
        <w:t xml:space="preserve"> (2017). Two Novel Fungal Phenolic UDP Glycosyltransferases from </w:t>
      </w:r>
      <w:r w:rsidRPr="00A96150">
        <w:rPr>
          <w:rFonts w:cs="Arial"/>
          <w:i/>
          <w:noProof/>
        </w:rPr>
        <w:t>Absidia coerulea</w:t>
      </w:r>
      <w:r w:rsidRPr="00DF0AA5">
        <w:rPr>
          <w:rFonts w:cs="Arial"/>
          <w:noProof/>
        </w:rPr>
        <w:t xml:space="preserve"> and </w:t>
      </w:r>
      <w:r w:rsidRPr="00A96150">
        <w:rPr>
          <w:rFonts w:cs="Arial"/>
          <w:i/>
          <w:noProof/>
        </w:rPr>
        <w:t>Rhizopus japonicus</w:t>
      </w:r>
      <w:r w:rsidRPr="00DF0AA5">
        <w:rPr>
          <w:rFonts w:cs="Arial"/>
          <w:noProof/>
        </w:rPr>
        <w:t xml:space="preserve">. </w:t>
      </w:r>
      <w:r w:rsidRPr="00DF0AA5">
        <w:rPr>
          <w:rFonts w:cs="Arial"/>
          <w:b/>
          <w:bCs/>
          <w:noProof/>
        </w:rPr>
        <w:t>83</w:t>
      </w:r>
      <w:r w:rsidRPr="00DF0AA5">
        <w:rPr>
          <w:rFonts w:cs="Arial"/>
          <w:noProof/>
        </w:rPr>
        <w:t>: 1–14.</w:t>
      </w:r>
    </w:p>
    <w:p w14:paraId="56656384"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Xu, C. and Min, J.</w:t>
      </w:r>
      <w:r w:rsidRPr="00DF0AA5">
        <w:rPr>
          <w:rFonts w:cs="Arial"/>
          <w:noProof/>
        </w:rPr>
        <w:t xml:space="preserve"> (2011). Structure and function of WD40 domain proteins. Protein Cell </w:t>
      </w:r>
      <w:r w:rsidRPr="00DF0AA5">
        <w:rPr>
          <w:rFonts w:cs="Arial"/>
          <w:b/>
          <w:bCs/>
          <w:noProof/>
        </w:rPr>
        <w:t>2</w:t>
      </w:r>
      <w:r w:rsidRPr="00DF0AA5">
        <w:rPr>
          <w:rFonts w:cs="Arial"/>
          <w:noProof/>
        </w:rPr>
        <w:t>: 202–214.</w:t>
      </w:r>
    </w:p>
    <w:p w14:paraId="0AA7B186"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Xu, H., Andi, B., Qian, J., West, A.H., and Cook, P.F.</w:t>
      </w:r>
      <w:r w:rsidRPr="00DF0AA5">
        <w:rPr>
          <w:rFonts w:cs="Arial"/>
          <w:noProof/>
        </w:rPr>
        <w:t xml:space="preserve"> (2006). The α-Aminoadipate Pathway for Lysine Biosynthesis in Fungi. Cell Biochem. Biophys. </w:t>
      </w:r>
      <w:r w:rsidRPr="00DF0AA5">
        <w:rPr>
          <w:rFonts w:cs="Arial"/>
          <w:b/>
          <w:bCs/>
          <w:noProof/>
        </w:rPr>
        <w:t>46</w:t>
      </w:r>
      <w:r w:rsidRPr="00DF0AA5">
        <w:rPr>
          <w:rFonts w:cs="Arial"/>
          <w:noProof/>
        </w:rPr>
        <w:t>: 43–64.</w:t>
      </w:r>
    </w:p>
    <w:p w14:paraId="5E520ABD"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Yadav, V., Kumar, M., Deep, A.K., Kumar, H., Sharma, R., Tripathi, T., Tuteja, N., Saxena, A.K., and Johri, A.K.</w:t>
      </w:r>
      <w:r w:rsidRPr="00DF0AA5">
        <w:rPr>
          <w:rFonts w:cs="Arial"/>
          <w:noProof/>
        </w:rPr>
        <w:t xml:space="preserve"> (2010). A phosphate transporter from the root endophytic fungus </w:t>
      </w:r>
      <w:r w:rsidRPr="00A96150">
        <w:rPr>
          <w:rFonts w:cs="Arial"/>
          <w:i/>
          <w:noProof/>
        </w:rPr>
        <w:t>Piriformospora indica</w:t>
      </w:r>
      <w:r w:rsidRPr="00DF0AA5">
        <w:rPr>
          <w:rFonts w:cs="Arial"/>
          <w:noProof/>
        </w:rPr>
        <w:t xml:space="preserve"> plays a role in phosphate transport to the host plant. J. Biol. Chem. </w:t>
      </w:r>
      <w:r w:rsidRPr="00DF0AA5">
        <w:rPr>
          <w:rFonts w:cs="Arial"/>
          <w:b/>
          <w:bCs/>
          <w:noProof/>
        </w:rPr>
        <w:t>285</w:t>
      </w:r>
      <w:r w:rsidRPr="00DF0AA5">
        <w:rPr>
          <w:rFonts w:cs="Arial"/>
          <w:noProof/>
        </w:rPr>
        <w:t>: 26532–26544.</w:t>
      </w:r>
    </w:p>
    <w:p w14:paraId="0C72E32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Yamaji, K., Ishimoto, H., Usui, N., and Mori, S.</w:t>
      </w:r>
      <w:r w:rsidRPr="00DF0AA5">
        <w:rPr>
          <w:rFonts w:cs="Arial"/>
          <w:noProof/>
        </w:rPr>
        <w:t xml:space="preserve"> (2005). Organic acids and water-soluble phenolics produced by Paxillus sp. 60/92 together show antifungal activity against </w:t>
      </w:r>
      <w:r w:rsidRPr="00A96150">
        <w:rPr>
          <w:rFonts w:cs="Arial"/>
          <w:i/>
          <w:noProof/>
        </w:rPr>
        <w:t>Pythium vexans</w:t>
      </w:r>
      <w:r w:rsidRPr="00DF0AA5">
        <w:rPr>
          <w:rFonts w:cs="Arial"/>
          <w:noProof/>
        </w:rPr>
        <w:t xml:space="preserve"> under acidic culture conditions. Mycorrhiza </w:t>
      </w:r>
      <w:r w:rsidRPr="00DF0AA5">
        <w:rPr>
          <w:rFonts w:cs="Arial"/>
          <w:b/>
          <w:bCs/>
          <w:noProof/>
        </w:rPr>
        <w:t>15</w:t>
      </w:r>
      <w:r w:rsidRPr="00DF0AA5">
        <w:rPr>
          <w:rFonts w:cs="Arial"/>
          <w:noProof/>
        </w:rPr>
        <w:t>: 17–23.</w:t>
      </w:r>
    </w:p>
    <w:p w14:paraId="2E82327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Yang, J.-S. et al.</w:t>
      </w:r>
      <w:r w:rsidRPr="00DF0AA5">
        <w:rPr>
          <w:rFonts w:cs="Arial"/>
          <w:noProof/>
        </w:rPr>
        <w:t xml:space="preserve"> (2008). A role for phosphatidic acid in COPI vesicle fission yields insights into Golgi maintenance. Nat. Cell Biol. </w:t>
      </w:r>
      <w:r w:rsidRPr="00DF0AA5">
        <w:rPr>
          <w:rFonts w:cs="Arial"/>
          <w:b/>
          <w:bCs/>
          <w:noProof/>
        </w:rPr>
        <w:t>10</w:t>
      </w:r>
      <w:r w:rsidRPr="00DF0AA5">
        <w:rPr>
          <w:rFonts w:cs="Arial"/>
          <w:noProof/>
        </w:rPr>
        <w:t>: 1146.</w:t>
      </w:r>
    </w:p>
    <w:p w14:paraId="53D75932"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Yuan, L., Huang, J., Li, X., and Christie, P.</w:t>
      </w:r>
      <w:r w:rsidRPr="00DF0AA5">
        <w:rPr>
          <w:rFonts w:cs="Arial"/>
          <w:noProof/>
        </w:rPr>
        <w:t xml:space="preserve"> (2004). Biological mobilization of potassium from clay minerals by ectomycorrhizal fungi and eucalypt seedling roots. Plant Soil </w:t>
      </w:r>
      <w:r w:rsidRPr="00DF0AA5">
        <w:rPr>
          <w:rFonts w:cs="Arial"/>
          <w:b/>
          <w:bCs/>
          <w:noProof/>
        </w:rPr>
        <w:t>262</w:t>
      </w:r>
      <w:r w:rsidRPr="00DF0AA5">
        <w:rPr>
          <w:rFonts w:cs="Arial"/>
          <w:noProof/>
        </w:rPr>
        <w:t>: 351–361.</w:t>
      </w:r>
    </w:p>
    <w:p w14:paraId="0785BC1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lastRenderedPageBreak/>
        <w:t>Zaharescu, D.G. et al.</w:t>
      </w:r>
      <w:r w:rsidRPr="00DF0AA5">
        <w:rPr>
          <w:rFonts w:cs="Arial"/>
          <w:noProof/>
        </w:rPr>
        <w:t xml:space="preserve"> (2017). Ecosystem Composition Controls the Fate of Rare Earth Elements during Incipient Soil Genesis. Sci. Rep. </w:t>
      </w:r>
      <w:r w:rsidRPr="00DF0AA5">
        <w:rPr>
          <w:rFonts w:cs="Arial"/>
          <w:b/>
          <w:bCs/>
          <w:noProof/>
        </w:rPr>
        <w:t>7</w:t>
      </w:r>
      <w:r w:rsidRPr="00DF0AA5">
        <w:rPr>
          <w:rFonts w:cs="Arial"/>
          <w:noProof/>
        </w:rPr>
        <w:t>: 1–15.</w:t>
      </w:r>
    </w:p>
    <w:p w14:paraId="308C970B"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Zhan, X.L., Hong, Y., Zhu, T., Mitchell, A.P., Deschenes, R.J., and Guan, K.L.</w:t>
      </w:r>
      <w:r w:rsidRPr="00DF0AA5">
        <w:rPr>
          <w:rFonts w:cs="Arial"/>
          <w:noProof/>
        </w:rPr>
        <w:t xml:space="preserve"> (2000). Essential functions of protein tyrosine phosphatases PTP2 and PTP3 and RIM11 tyrosine phosphorylation in </w:t>
      </w:r>
      <w:r w:rsidRPr="00A96150">
        <w:rPr>
          <w:rFonts w:cs="Arial"/>
          <w:i/>
          <w:noProof/>
        </w:rPr>
        <w:t>Saccharomyces cerevisiae</w:t>
      </w:r>
      <w:r w:rsidRPr="00DF0AA5">
        <w:rPr>
          <w:rFonts w:cs="Arial"/>
          <w:noProof/>
        </w:rPr>
        <w:t xml:space="preserve"> meiosis and sporulation. Mol. Biol. Cell </w:t>
      </w:r>
      <w:r w:rsidRPr="00DF0AA5">
        <w:rPr>
          <w:rFonts w:cs="Arial"/>
          <w:b/>
          <w:bCs/>
          <w:noProof/>
        </w:rPr>
        <w:t>11</w:t>
      </w:r>
      <w:r w:rsidRPr="00DF0AA5">
        <w:rPr>
          <w:rFonts w:cs="Arial"/>
          <w:noProof/>
        </w:rPr>
        <w:t>: 663–76.</w:t>
      </w:r>
    </w:p>
    <w:p w14:paraId="1C8B43AF"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Zhang, Z., Theler, D., Kaminska, K.H., Hiller, M., De La Grange, P., Pudimat, R., Rafalska, I., Heinrich, B., Bujnick, J.M., Allain, F.H.T., and Stamm, S.</w:t>
      </w:r>
      <w:r w:rsidRPr="00DF0AA5">
        <w:rPr>
          <w:rFonts w:cs="Arial"/>
          <w:noProof/>
        </w:rPr>
        <w:t xml:space="preserve"> (2010). The YTH domain is a novel RNA binding domain. J. Biol. Chem. </w:t>
      </w:r>
      <w:r w:rsidRPr="00DF0AA5">
        <w:rPr>
          <w:rFonts w:cs="Arial"/>
          <w:b/>
          <w:bCs/>
          <w:noProof/>
        </w:rPr>
        <w:t>285</w:t>
      </w:r>
      <w:r w:rsidRPr="00DF0AA5">
        <w:rPr>
          <w:rFonts w:cs="Arial"/>
          <w:noProof/>
        </w:rPr>
        <w:t>: 14701–14710.</w:t>
      </w:r>
    </w:p>
    <w:p w14:paraId="25B05D61"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Zouhar, J. and Sauer, M.</w:t>
      </w:r>
      <w:r w:rsidRPr="00DF0AA5">
        <w:rPr>
          <w:rFonts w:cs="Arial"/>
          <w:noProof/>
        </w:rPr>
        <w:t xml:space="preserve"> (2014). Helping Hands for Budding Prospects: ENTH/ANTH/VHS Accessory Proteins in Endocytosis, Vacuolar Transport, and Secretion. Plant Cell Online </w:t>
      </w:r>
      <w:r w:rsidRPr="00DF0AA5">
        <w:rPr>
          <w:rFonts w:cs="Arial"/>
          <w:b/>
          <w:bCs/>
          <w:noProof/>
        </w:rPr>
        <w:t>26</w:t>
      </w:r>
      <w:r w:rsidRPr="00DF0AA5">
        <w:rPr>
          <w:rFonts w:cs="Arial"/>
          <w:noProof/>
        </w:rPr>
        <w:t>: 4232–4244.</w:t>
      </w:r>
    </w:p>
    <w:p w14:paraId="79FB0CAE" w14:textId="77777777" w:rsidR="00DF0AA5" w:rsidRPr="00DF0AA5" w:rsidRDefault="00DF0AA5" w:rsidP="00DF0AA5">
      <w:pPr>
        <w:widowControl w:val="0"/>
        <w:autoSpaceDE w:val="0"/>
        <w:autoSpaceDN w:val="0"/>
        <w:adjustRightInd w:val="0"/>
        <w:ind w:left="480" w:hanging="480"/>
        <w:rPr>
          <w:rFonts w:cs="Arial"/>
          <w:noProof/>
        </w:rPr>
      </w:pPr>
      <w:r w:rsidRPr="00DF0AA5">
        <w:rPr>
          <w:rFonts w:cs="Arial"/>
          <w:b/>
          <w:bCs/>
          <w:noProof/>
        </w:rPr>
        <w:t>Zuckerkandl, E. and Pauling, L.</w:t>
      </w:r>
      <w:r w:rsidRPr="00DF0AA5">
        <w:rPr>
          <w:rFonts w:cs="Arial"/>
          <w:noProof/>
        </w:rPr>
        <w:t xml:space="preserve"> (1965). Evolutionary divergence and convergence in proteins. Evol. Genes Proteins: 97–166.</w:t>
      </w:r>
    </w:p>
    <w:p w14:paraId="3DCFF5B2" w14:textId="00AEE770" w:rsidR="00F278A0" w:rsidRDefault="000D7D3D" w:rsidP="00207753">
      <w:pPr>
        <w:spacing w:line="259" w:lineRule="auto"/>
        <w:jc w:val="left"/>
      </w:pPr>
      <w:r>
        <w:fldChar w:fldCharType="end"/>
      </w:r>
    </w:p>
    <w:p w14:paraId="4F2CB1D4" w14:textId="68630D1F" w:rsidR="00D7170A" w:rsidRDefault="00D7170A" w:rsidP="00207753">
      <w:pPr>
        <w:spacing w:line="259" w:lineRule="auto"/>
        <w:jc w:val="left"/>
      </w:pPr>
    </w:p>
    <w:sectPr w:rsidR="00D7170A" w:rsidSect="001C2853">
      <w:footerReference w:type="default" r:id="rId58"/>
      <w:pgSz w:w="12240" w:h="15840"/>
      <w:pgMar w:top="1440" w:right="1440" w:bottom="1440" w:left="1440" w:header="720" w:footer="17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4E1EB8" w14:textId="77777777" w:rsidR="003B197E" w:rsidRDefault="003B197E" w:rsidP="00635993">
      <w:r>
        <w:separator/>
      </w:r>
    </w:p>
    <w:p w14:paraId="0DFD6C76" w14:textId="77777777" w:rsidR="003B197E" w:rsidRDefault="003B197E"/>
    <w:p w14:paraId="4E36A8C2" w14:textId="77777777" w:rsidR="003B197E" w:rsidRDefault="003B197E"/>
    <w:p w14:paraId="21F4F5AB" w14:textId="77777777" w:rsidR="003B197E" w:rsidRDefault="003B197E"/>
    <w:p w14:paraId="4D8156C5" w14:textId="77777777" w:rsidR="003B197E" w:rsidRDefault="003B197E"/>
  </w:endnote>
  <w:endnote w:type="continuationSeparator" w:id="0">
    <w:p w14:paraId="44F5ECD5" w14:textId="77777777" w:rsidR="003B197E" w:rsidRDefault="003B197E" w:rsidP="00635993">
      <w:r>
        <w:continuationSeparator/>
      </w:r>
    </w:p>
    <w:p w14:paraId="298B809F" w14:textId="77777777" w:rsidR="003B197E" w:rsidRDefault="003B197E"/>
    <w:p w14:paraId="67D2140C" w14:textId="77777777" w:rsidR="003B197E" w:rsidRDefault="003B197E"/>
    <w:p w14:paraId="01580AB9" w14:textId="77777777" w:rsidR="003B197E" w:rsidRDefault="003B197E"/>
    <w:p w14:paraId="29A00013" w14:textId="77777777" w:rsidR="003B197E" w:rsidRDefault="003B19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inionPro-Regular">
    <w:altName w:val="MS Mincho"/>
    <w:panose1 w:val="00000000000000000000"/>
    <w:charset w:val="80"/>
    <w:family w:val="roman"/>
    <w:notTrueType/>
    <w:pitch w:val="default"/>
    <w:sig w:usb0="00000001" w:usb1="08070000" w:usb2="00000010" w:usb3="00000000" w:csb0="00020000" w:csb1="00000000"/>
  </w:font>
  <w:font w:name="AdvPSSym">
    <w:altName w:val="MS Mincho"/>
    <w:panose1 w:val="00000000000000000000"/>
    <w:charset w:val="80"/>
    <w:family w:val="auto"/>
    <w:notTrueType/>
    <w:pitch w:val="default"/>
    <w:sig w:usb0="00000003" w:usb1="08070000" w:usb2="00000010" w:usb3="00000000" w:csb0="00020001" w:csb1="00000000"/>
  </w:font>
  <w:font w:name="NimbusRomNo9L-ReguItal">
    <w:altName w:val="Calibri"/>
    <w:panose1 w:val="00000000000000000000"/>
    <w:charset w:val="00"/>
    <w:family w:val="auto"/>
    <w:notTrueType/>
    <w:pitch w:val="default"/>
    <w:sig w:usb0="00000003" w:usb1="00000000" w:usb2="00000000" w:usb3="00000000" w:csb0="00000001" w:csb1="00000000"/>
  </w:font>
  <w:font w:name="NimbusSanL-Bold">
    <w:altName w:val="Calibri"/>
    <w:panose1 w:val="00000000000000000000"/>
    <w:charset w:val="00"/>
    <w:family w:val="auto"/>
    <w:notTrueType/>
    <w:pitch w:val="default"/>
    <w:sig w:usb0="00000003" w:usb1="00000000" w:usb2="00000000" w:usb3="00000000" w:csb0="00000001" w:csb1="00000000"/>
  </w:font>
  <w:font w:name="AdvTT08640291">
    <w:altName w:val="MS Mincho"/>
    <w:panose1 w:val="00000000000000000000"/>
    <w:charset w:val="80"/>
    <w:family w:val="auto"/>
    <w:notTrueType/>
    <w:pitch w:val="default"/>
    <w:sig w:usb0="00000001" w:usb1="08070000" w:usb2="00000010" w:usb3="00000000" w:csb0="00020000" w:csb1="00000000"/>
  </w:font>
  <w:font w:name="Palatino Linotype">
    <w:panose1 w:val="02040502050505030304"/>
    <w:charset w:val="00"/>
    <w:family w:val="roman"/>
    <w:pitch w:val="variable"/>
    <w:sig w:usb0="E0000287" w:usb1="40000013" w:usb2="00000000" w:usb3="00000000" w:csb0="0000019F" w:csb1="00000000"/>
  </w:font>
  <w:font w:name="CECEH G+ MTSYN">
    <w:altName w:val="MS Gothic"/>
    <w:panose1 w:val="00000000000000000000"/>
    <w:charset w:val="80"/>
    <w:family w:val="swiss"/>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7083575"/>
      <w:docPartObj>
        <w:docPartGallery w:val="Page Numbers (Bottom of Page)"/>
        <w:docPartUnique/>
      </w:docPartObj>
    </w:sdtPr>
    <w:sdtEndPr>
      <w:rPr>
        <w:noProof/>
        <w:color w:val="FFFFFF" w:themeColor="background1"/>
      </w:rPr>
    </w:sdtEndPr>
    <w:sdtContent>
      <w:p w14:paraId="69E28C0D" w14:textId="77777777" w:rsidR="003B197E" w:rsidRPr="00C2737A" w:rsidRDefault="003B197E">
        <w:pPr>
          <w:pStyle w:val="Footer"/>
          <w:jc w:val="center"/>
          <w:rPr>
            <w:color w:val="FFFFFF" w:themeColor="background1"/>
          </w:rPr>
        </w:pPr>
        <w:r w:rsidRPr="00C2737A">
          <w:rPr>
            <w:color w:val="FFFFFF" w:themeColor="background1"/>
          </w:rPr>
          <w:fldChar w:fldCharType="begin"/>
        </w:r>
        <w:r w:rsidRPr="00C2737A">
          <w:rPr>
            <w:color w:val="FFFFFF" w:themeColor="background1"/>
          </w:rPr>
          <w:instrText xml:space="preserve"> PAGE   \* MERGEFORMAT </w:instrText>
        </w:r>
        <w:r w:rsidRPr="00C2737A">
          <w:rPr>
            <w:color w:val="FFFFFF" w:themeColor="background1"/>
          </w:rPr>
          <w:fldChar w:fldCharType="separate"/>
        </w:r>
        <w:r w:rsidR="00BB0B68">
          <w:rPr>
            <w:noProof/>
            <w:color w:val="FFFFFF" w:themeColor="background1"/>
          </w:rPr>
          <w:t>2</w:t>
        </w:r>
        <w:r w:rsidRPr="00C2737A">
          <w:rPr>
            <w:noProof/>
            <w:color w:val="FFFFFF" w:themeColor="background1"/>
          </w:rPr>
          <w:fldChar w:fldCharType="end"/>
        </w:r>
      </w:p>
    </w:sdtContent>
  </w:sdt>
  <w:p w14:paraId="3323BB25" w14:textId="77777777" w:rsidR="003B197E" w:rsidRDefault="003B197E" w:rsidP="003F705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5901322"/>
      <w:docPartObj>
        <w:docPartGallery w:val="Page Numbers (Bottom of Page)"/>
        <w:docPartUnique/>
      </w:docPartObj>
    </w:sdtPr>
    <w:sdtEndPr>
      <w:rPr>
        <w:noProof/>
      </w:rPr>
    </w:sdtEndPr>
    <w:sdtContent>
      <w:p w14:paraId="096B5FC9" w14:textId="77777777" w:rsidR="00C2737A" w:rsidRDefault="00C2737A">
        <w:pPr>
          <w:pStyle w:val="Footer"/>
          <w:jc w:val="center"/>
        </w:pPr>
        <w:r>
          <w:fldChar w:fldCharType="begin"/>
        </w:r>
        <w:r>
          <w:instrText xml:space="preserve"> PAGE   \* MERGEFORMAT </w:instrText>
        </w:r>
        <w:r>
          <w:fldChar w:fldCharType="separate"/>
        </w:r>
        <w:r w:rsidR="00BB0B68">
          <w:rPr>
            <w:noProof/>
          </w:rPr>
          <w:t>vii</w:t>
        </w:r>
        <w:r>
          <w:rPr>
            <w:noProof/>
          </w:rPr>
          <w:fldChar w:fldCharType="end"/>
        </w:r>
      </w:p>
    </w:sdtContent>
  </w:sdt>
  <w:p w14:paraId="774650EC" w14:textId="77777777" w:rsidR="00C2737A" w:rsidRDefault="00C2737A" w:rsidP="003F7054"/>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1769592"/>
      <w:docPartObj>
        <w:docPartGallery w:val="Page Numbers (Bottom of Page)"/>
        <w:docPartUnique/>
      </w:docPartObj>
    </w:sdtPr>
    <w:sdtEndPr>
      <w:rPr>
        <w:noProof/>
      </w:rPr>
    </w:sdtEndPr>
    <w:sdtContent>
      <w:p w14:paraId="3CC52BDC" w14:textId="77777777" w:rsidR="00C2737A" w:rsidRDefault="00C2737A">
        <w:pPr>
          <w:pStyle w:val="Footer"/>
          <w:jc w:val="center"/>
        </w:pPr>
        <w:r>
          <w:fldChar w:fldCharType="begin"/>
        </w:r>
        <w:r>
          <w:instrText xml:space="preserve"> PAGE   \* MERGEFORMAT </w:instrText>
        </w:r>
        <w:r>
          <w:fldChar w:fldCharType="separate"/>
        </w:r>
        <w:r w:rsidR="00BB0B68">
          <w:rPr>
            <w:noProof/>
          </w:rPr>
          <w:t>9</w:t>
        </w:r>
        <w:r>
          <w:rPr>
            <w:noProof/>
          </w:rPr>
          <w:fldChar w:fldCharType="end"/>
        </w:r>
      </w:p>
    </w:sdtContent>
  </w:sdt>
  <w:p w14:paraId="73307EB2" w14:textId="77777777" w:rsidR="00C2737A" w:rsidRDefault="00C2737A" w:rsidP="003F705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C0B7EB" w14:textId="77777777" w:rsidR="003B197E" w:rsidRDefault="003B197E" w:rsidP="00635993">
      <w:r>
        <w:separator/>
      </w:r>
    </w:p>
    <w:p w14:paraId="115C6A1F" w14:textId="77777777" w:rsidR="003B197E" w:rsidRDefault="003B197E"/>
    <w:p w14:paraId="215FE022" w14:textId="77777777" w:rsidR="003B197E" w:rsidRDefault="003B197E"/>
    <w:p w14:paraId="76264D04" w14:textId="77777777" w:rsidR="003B197E" w:rsidRDefault="003B197E"/>
    <w:p w14:paraId="36659C66" w14:textId="77777777" w:rsidR="003B197E" w:rsidRDefault="003B197E"/>
  </w:footnote>
  <w:footnote w:type="continuationSeparator" w:id="0">
    <w:p w14:paraId="3BF76070" w14:textId="77777777" w:rsidR="003B197E" w:rsidRDefault="003B197E" w:rsidP="00635993">
      <w:r>
        <w:continuationSeparator/>
      </w:r>
    </w:p>
    <w:p w14:paraId="1C3B7D22" w14:textId="77777777" w:rsidR="003B197E" w:rsidRDefault="003B197E"/>
    <w:p w14:paraId="313C5007" w14:textId="77777777" w:rsidR="003B197E" w:rsidRDefault="003B197E"/>
    <w:p w14:paraId="71D6EBBD" w14:textId="77777777" w:rsidR="003B197E" w:rsidRDefault="003B197E"/>
    <w:p w14:paraId="5D1EB1A3" w14:textId="77777777" w:rsidR="003B197E" w:rsidRDefault="003B197E"/>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9E7D61"/>
    <w:multiLevelType w:val="hybridMultilevel"/>
    <w:tmpl w:val="01E02CD0"/>
    <w:lvl w:ilvl="0" w:tplc="3AEE3D08">
      <w:start w:val="1"/>
      <w:numFmt w:val="decimal"/>
      <w:lvlText w:val="%1."/>
      <w:lvlJc w:val="left"/>
      <w:pPr>
        <w:ind w:left="720" w:hanging="360"/>
      </w:pPr>
      <w:rPr>
        <w:rFonts w:hint="default"/>
      </w:rPr>
    </w:lvl>
    <w:lvl w:ilvl="1" w:tplc="C65AE3C2" w:tentative="1">
      <w:start w:val="1"/>
      <w:numFmt w:val="lowerLetter"/>
      <w:lvlText w:val="%2."/>
      <w:lvlJc w:val="left"/>
      <w:pPr>
        <w:ind w:left="1440" w:hanging="360"/>
      </w:pPr>
    </w:lvl>
    <w:lvl w:ilvl="2" w:tplc="41106494" w:tentative="1">
      <w:start w:val="1"/>
      <w:numFmt w:val="lowerRoman"/>
      <w:lvlText w:val="%3."/>
      <w:lvlJc w:val="right"/>
      <w:pPr>
        <w:ind w:left="2160" w:hanging="180"/>
      </w:pPr>
    </w:lvl>
    <w:lvl w:ilvl="3" w:tplc="DD080D38" w:tentative="1">
      <w:start w:val="1"/>
      <w:numFmt w:val="decimal"/>
      <w:lvlText w:val="%4."/>
      <w:lvlJc w:val="left"/>
      <w:pPr>
        <w:ind w:left="2880" w:hanging="360"/>
      </w:pPr>
    </w:lvl>
    <w:lvl w:ilvl="4" w:tplc="837CC4E2" w:tentative="1">
      <w:start w:val="1"/>
      <w:numFmt w:val="lowerLetter"/>
      <w:lvlText w:val="%5."/>
      <w:lvlJc w:val="left"/>
      <w:pPr>
        <w:ind w:left="3600" w:hanging="360"/>
      </w:pPr>
    </w:lvl>
    <w:lvl w:ilvl="5" w:tplc="BB02AD64" w:tentative="1">
      <w:start w:val="1"/>
      <w:numFmt w:val="lowerRoman"/>
      <w:lvlText w:val="%6."/>
      <w:lvlJc w:val="right"/>
      <w:pPr>
        <w:ind w:left="4320" w:hanging="180"/>
      </w:pPr>
    </w:lvl>
    <w:lvl w:ilvl="6" w:tplc="46A2315A" w:tentative="1">
      <w:start w:val="1"/>
      <w:numFmt w:val="decimal"/>
      <w:lvlText w:val="%7."/>
      <w:lvlJc w:val="left"/>
      <w:pPr>
        <w:ind w:left="5040" w:hanging="360"/>
      </w:pPr>
    </w:lvl>
    <w:lvl w:ilvl="7" w:tplc="DAD4798A" w:tentative="1">
      <w:start w:val="1"/>
      <w:numFmt w:val="lowerLetter"/>
      <w:lvlText w:val="%8."/>
      <w:lvlJc w:val="left"/>
      <w:pPr>
        <w:ind w:left="5760" w:hanging="360"/>
      </w:pPr>
    </w:lvl>
    <w:lvl w:ilvl="8" w:tplc="2D547EA4" w:tentative="1">
      <w:start w:val="1"/>
      <w:numFmt w:val="lowerRoman"/>
      <w:lvlText w:val="%9."/>
      <w:lvlJc w:val="right"/>
      <w:pPr>
        <w:ind w:left="6480" w:hanging="180"/>
      </w:pPr>
    </w:lvl>
  </w:abstractNum>
  <w:abstractNum w:abstractNumId="1" w15:restartNumberingAfterBreak="0">
    <w:nsid w:val="32F513FC"/>
    <w:multiLevelType w:val="hybridMultilevel"/>
    <w:tmpl w:val="B98CC6CC"/>
    <w:lvl w:ilvl="0" w:tplc="3976BD1C">
      <w:start w:val="1"/>
      <w:numFmt w:val="decimal"/>
      <w:lvlText w:val="%1."/>
      <w:lvlJc w:val="left"/>
      <w:pPr>
        <w:ind w:left="720" w:hanging="360"/>
      </w:pPr>
      <w:rPr>
        <w:rFonts w:hint="default"/>
      </w:rPr>
    </w:lvl>
    <w:lvl w:ilvl="1" w:tplc="59404FBE" w:tentative="1">
      <w:start w:val="1"/>
      <w:numFmt w:val="lowerLetter"/>
      <w:lvlText w:val="%2."/>
      <w:lvlJc w:val="left"/>
      <w:pPr>
        <w:ind w:left="1440" w:hanging="360"/>
      </w:pPr>
    </w:lvl>
    <w:lvl w:ilvl="2" w:tplc="C1C66304" w:tentative="1">
      <w:start w:val="1"/>
      <w:numFmt w:val="lowerRoman"/>
      <w:lvlText w:val="%3."/>
      <w:lvlJc w:val="right"/>
      <w:pPr>
        <w:ind w:left="2160" w:hanging="180"/>
      </w:pPr>
    </w:lvl>
    <w:lvl w:ilvl="3" w:tplc="13805C64" w:tentative="1">
      <w:start w:val="1"/>
      <w:numFmt w:val="decimal"/>
      <w:lvlText w:val="%4."/>
      <w:lvlJc w:val="left"/>
      <w:pPr>
        <w:ind w:left="2880" w:hanging="360"/>
      </w:pPr>
    </w:lvl>
    <w:lvl w:ilvl="4" w:tplc="D0D8A632" w:tentative="1">
      <w:start w:val="1"/>
      <w:numFmt w:val="lowerLetter"/>
      <w:lvlText w:val="%5."/>
      <w:lvlJc w:val="left"/>
      <w:pPr>
        <w:ind w:left="3600" w:hanging="360"/>
      </w:pPr>
    </w:lvl>
    <w:lvl w:ilvl="5" w:tplc="69C2A2EC" w:tentative="1">
      <w:start w:val="1"/>
      <w:numFmt w:val="lowerRoman"/>
      <w:lvlText w:val="%6."/>
      <w:lvlJc w:val="right"/>
      <w:pPr>
        <w:ind w:left="4320" w:hanging="180"/>
      </w:pPr>
    </w:lvl>
    <w:lvl w:ilvl="6" w:tplc="D974B7B8" w:tentative="1">
      <w:start w:val="1"/>
      <w:numFmt w:val="decimal"/>
      <w:lvlText w:val="%7."/>
      <w:lvlJc w:val="left"/>
      <w:pPr>
        <w:ind w:left="5040" w:hanging="360"/>
      </w:pPr>
    </w:lvl>
    <w:lvl w:ilvl="7" w:tplc="ABA8CE3C" w:tentative="1">
      <w:start w:val="1"/>
      <w:numFmt w:val="lowerLetter"/>
      <w:lvlText w:val="%8."/>
      <w:lvlJc w:val="left"/>
      <w:pPr>
        <w:ind w:left="5760" w:hanging="360"/>
      </w:pPr>
    </w:lvl>
    <w:lvl w:ilvl="8" w:tplc="4846FB4E" w:tentative="1">
      <w:start w:val="1"/>
      <w:numFmt w:val="lowerRoman"/>
      <w:lvlText w:val="%9."/>
      <w:lvlJc w:val="right"/>
      <w:pPr>
        <w:ind w:left="6480" w:hanging="180"/>
      </w:pPr>
    </w:lvl>
  </w:abstractNum>
  <w:abstractNum w:abstractNumId="2" w15:restartNumberingAfterBreak="0">
    <w:nsid w:val="35872DF5"/>
    <w:multiLevelType w:val="hybridMultilevel"/>
    <w:tmpl w:val="5C3615D6"/>
    <w:lvl w:ilvl="0" w:tplc="2B7A5B4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39B51E08"/>
    <w:multiLevelType w:val="hybridMultilevel"/>
    <w:tmpl w:val="4FC8177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0EB42C7"/>
    <w:multiLevelType w:val="hybridMultilevel"/>
    <w:tmpl w:val="3A960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C297D05"/>
    <w:multiLevelType w:val="hybridMultilevel"/>
    <w:tmpl w:val="F662BC34"/>
    <w:lvl w:ilvl="0" w:tplc="99AE501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4EEB44F3"/>
    <w:multiLevelType w:val="hybridMultilevel"/>
    <w:tmpl w:val="710420BA"/>
    <w:lvl w:ilvl="0" w:tplc="160E6396">
      <w:start w:val="1"/>
      <w:numFmt w:val="bullet"/>
      <w:lvlText w:val="o"/>
      <w:lvlJc w:val="left"/>
      <w:pPr>
        <w:ind w:left="1080" w:hanging="360"/>
      </w:pPr>
      <w:rPr>
        <w:rFonts w:ascii="Courier New" w:hAnsi="Courier New" w:cs="Courier New" w:hint="default"/>
        <w:sz w:val="24"/>
      </w:rPr>
    </w:lvl>
    <w:lvl w:ilvl="1" w:tplc="DF72A8DE">
      <w:start w:val="1"/>
      <w:numFmt w:val="bullet"/>
      <w:lvlText w:val=""/>
      <w:lvlJc w:val="left"/>
      <w:pPr>
        <w:ind w:left="1800" w:hanging="360"/>
      </w:pPr>
      <w:rPr>
        <w:rFonts w:ascii="Symbol" w:hAnsi="Symbol" w:hint="default"/>
      </w:rPr>
    </w:lvl>
    <w:lvl w:ilvl="2" w:tplc="E79CDE78">
      <w:start w:val="1"/>
      <w:numFmt w:val="bullet"/>
      <w:lvlText w:val=""/>
      <w:lvlJc w:val="left"/>
      <w:pPr>
        <w:ind w:left="2520" w:hanging="360"/>
      </w:pPr>
      <w:rPr>
        <w:rFonts w:ascii="Wingdings" w:hAnsi="Wingdings" w:hint="default"/>
      </w:rPr>
    </w:lvl>
    <w:lvl w:ilvl="3" w:tplc="4540F864">
      <w:start w:val="1"/>
      <w:numFmt w:val="decimal"/>
      <w:lvlText w:val="%4."/>
      <w:lvlJc w:val="left"/>
      <w:pPr>
        <w:tabs>
          <w:tab w:val="num" w:pos="2880"/>
        </w:tabs>
        <w:ind w:left="2880" w:hanging="360"/>
      </w:pPr>
    </w:lvl>
    <w:lvl w:ilvl="4" w:tplc="B5725666">
      <w:start w:val="1"/>
      <w:numFmt w:val="decimal"/>
      <w:lvlText w:val="%5."/>
      <w:lvlJc w:val="left"/>
      <w:pPr>
        <w:tabs>
          <w:tab w:val="num" w:pos="3600"/>
        </w:tabs>
        <w:ind w:left="3600" w:hanging="360"/>
      </w:pPr>
    </w:lvl>
    <w:lvl w:ilvl="5" w:tplc="DB4451B0">
      <w:start w:val="1"/>
      <w:numFmt w:val="decimal"/>
      <w:lvlText w:val="%6."/>
      <w:lvlJc w:val="left"/>
      <w:pPr>
        <w:tabs>
          <w:tab w:val="num" w:pos="4320"/>
        </w:tabs>
        <w:ind w:left="4320" w:hanging="360"/>
      </w:pPr>
    </w:lvl>
    <w:lvl w:ilvl="6" w:tplc="5DF03A5E">
      <w:start w:val="1"/>
      <w:numFmt w:val="decimal"/>
      <w:lvlText w:val="%7."/>
      <w:lvlJc w:val="left"/>
      <w:pPr>
        <w:tabs>
          <w:tab w:val="num" w:pos="5040"/>
        </w:tabs>
        <w:ind w:left="5040" w:hanging="360"/>
      </w:pPr>
    </w:lvl>
    <w:lvl w:ilvl="7" w:tplc="7B1658AC">
      <w:start w:val="1"/>
      <w:numFmt w:val="decimal"/>
      <w:lvlText w:val="%8."/>
      <w:lvlJc w:val="left"/>
      <w:pPr>
        <w:tabs>
          <w:tab w:val="num" w:pos="5760"/>
        </w:tabs>
        <w:ind w:left="5760" w:hanging="360"/>
      </w:pPr>
    </w:lvl>
    <w:lvl w:ilvl="8" w:tplc="46F6A73E">
      <w:start w:val="1"/>
      <w:numFmt w:val="decimal"/>
      <w:lvlText w:val="%9."/>
      <w:lvlJc w:val="left"/>
      <w:pPr>
        <w:tabs>
          <w:tab w:val="num" w:pos="6480"/>
        </w:tabs>
        <w:ind w:left="6480" w:hanging="360"/>
      </w:pPr>
    </w:lvl>
  </w:abstractNum>
  <w:abstractNum w:abstractNumId="7" w15:restartNumberingAfterBreak="0">
    <w:nsid w:val="52D1604C"/>
    <w:multiLevelType w:val="multilevel"/>
    <w:tmpl w:val="23BADE5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533B4FA2"/>
    <w:multiLevelType w:val="hybridMultilevel"/>
    <w:tmpl w:val="6C30EEB2"/>
    <w:lvl w:ilvl="0" w:tplc="41B675D4">
      <w:start w:val="1"/>
      <w:numFmt w:val="decimal"/>
      <w:lvlText w:val="(%1)"/>
      <w:lvlJc w:val="left"/>
      <w:pPr>
        <w:ind w:left="720" w:hanging="360"/>
      </w:pPr>
      <w:rPr>
        <w:rFonts w:hint="default"/>
      </w:rPr>
    </w:lvl>
    <w:lvl w:ilvl="1" w:tplc="DC122B64" w:tentative="1">
      <w:start w:val="1"/>
      <w:numFmt w:val="lowerLetter"/>
      <w:lvlText w:val="%2."/>
      <w:lvlJc w:val="left"/>
      <w:pPr>
        <w:ind w:left="1440" w:hanging="360"/>
      </w:pPr>
    </w:lvl>
    <w:lvl w:ilvl="2" w:tplc="09F66CBA" w:tentative="1">
      <w:start w:val="1"/>
      <w:numFmt w:val="lowerRoman"/>
      <w:lvlText w:val="%3."/>
      <w:lvlJc w:val="right"/>
      <w:pPr>
        <w:ind w:left="2160" w:hanging="180"/>
      </w:pPr>
    </w:lvl>
    <w:lvl w:ilvl="3" w:tplc="B99E5D0E" w:tentative="1">
      <w:start w:val="1"/>
      <w:numFmt w:val="decimal"/>
      <w:lvlText w:val="%4."/>
      <w:lvlJc w:val="left"/>
      <w:pPr>
        <w:ind w:left="2880" w:hanging="360"/>
      </w:pPr>
    </w:lvl>
    <w:lvl w:ilvl="4" w:tplc="614AE8AE" w:tentative="1">
      <w:start w:val="1"/>
      <w:numFmt w:val="lowerLetter"/>
      <w:lvlText w:val="%5."/>
      <w:lvlJc w:val="left"/>
      <w:pPr>
        <w:ind w:left="3600" w:hanging="360"/>
      </w:pPr>
    </w:lvl>
    <w:lvl w:ilvl="5" w:tplc="F872BA16" w:tentative="1">
      <w:start w:val="1"/>
      <w:numFmt w:val="lowerRoman"/>
      <w:lvlText w:val="%6."/>
      <w:lvlJc w:val="right"/>
      <w:pPr>
        <w:ind w:left="4320" w:hanging="180"/>
      </w:pPr>
    </w:lvl>
    <w:lvl w:ilvl="6" w:tplc="8B1C551A" w:tentative="1">
      <w:start w:val="1"/>
      <w:numFmt w:val="decimal"/>
      <w:lvlText w:val="%7."/>
      <w:lvlJc w:val="left"/>
      <w:pPr>
        <w:ind w:left="5040" w:hanging="360"/>
      </w:pPr>
    </w:lvl>
    <w:lvl w:ilvl="7" w:tplc="4F5C0596" w:tentative="1">
      <w:start w:val="1"/>
      <w:numFmt w:val="lowerLetter"/>
      <w:lvlText w:val="%8."/>
      <w:lvlJc w:val="left"/>
      <w:pPr>
        <w:ind w:left="5760" w:hanging="360"/>
      </w:pPr>
    </w:lvl>
    <w:lvl w:ilvl="8" w:tplc="B6D45346" w:tentative="1">
      <w:start w:val="1"/>
      <w:numFmt w:val="lowerRoman"/>
      <w:lvlText w:val="%9."/>
      <w:lvlJc w:val="right"/>
      <w:pPr>
        <w:ind w:left="6480" w:hanging="180"/>
      </w:pPr>
    </w:lvl>
  </w:abstractNum>
  <w:abstractNum w:abstractNumId="9" w15:restartNumberingAfterBreak="0">
    <w:nsid w:val="5BD65DA2"/>
    <w:multiLevelType w:val="hybridMultilevel"/>
    <w:tmpl w:val="5DDC45F0"/>
    <w:lvl w:ilvl="0" w:tplc="41BC1A1A">
      <w:start w:val="1"/>
      <w:numFmt w:val="upperLetter"/>
      <w:lvlText w:val="%1."/>
      <w:lvlJc w:val="left"/>
      <w:pPr>
        <w:ind w:left="720" w:hanging="360"/>
      </w:pPr>
      <w:rPr>
        <w:rFonts w:hint="default"/>
      </w:rPr>
    </w:lvl>
    <w:lvl w:ilvl="1" w:tplc="D6E6B930" w:tentative="1">
      <w:start w:val="1"/>
      <w:numFmt w:val="lowerLetter"/>
      <w:lvlText w:val="%2."/>
      <w:lvlJc w:val="left"/>
      <w:pPr>
        <w:ind w:left="1440" w:hanging="360"/>
      </w:pPr>
    </w:lvl>
    <w:lvl w:ilvl="2" w:tplc="191A464C" w:tentative="1">
      <w:start w:val="1"/>
      <w:numFmt w:val="lowerRoman"/>
      <w:lvlText w:val="%3."/>
      <w:lvlJc w:val="right"/>
      <w:pPr>
        <w:ind w:left="2160" w:hanging="180"/>
      </w:pPr>
    </w:lvl>
    <w:lvl w:ilvl="3" w:tplc="3610754C" w:tentative="1">
      <w:start w:val="1"/>
      <w:numFmt w:val="decimal"/>
      <w:lvlText w:val="%4."/>
      <w:lvlJc w:val="left"/>
      <w:pPr>
        <w:ind w:left="2880" w:hanging="360"/>
      </w:pPr>
    </w:lvl>
    <w:lvl w:ilvl="4" w:tplc="89B2F0B2" w:tentative="1">
      <w:start w:val="1"/>
      <w:numFmt w:val="lowerLetter"/>
      <w:lvlText w:val="%5."/>
      <w:lvlJc w:val="left"/>
      <w:pPr>
        <w:ind w:left="3600" w:hanging="360"/>
      </w:pPr>
    </w:lvl>
    <w:lvl w:ilvl="5" w:tplc="97B0D72C" w:tentative="1">
      <w:start w:val="1"/>
      <w:numFmt w:val="lowerRoman"/>
      <w:lvlText w:val="%6."/>
      <w:lvlJc w:val="right"/>
      <w:pPr>
        <w:ind w:left="4320" w:hanging="180"/>
      </w:pPr>
    </w:lvl>
    <w:lvl w:ilvl="6" w:tplc="478AFFE0" w:tentative="1">
      <w:start w:val="1"/>
      <w:numFmt w:val="decimal"/>
      <w:lvlText w:val="%7."/>
      <w:lvlJc w:val="left"/>
      <w:pPr>
        <w:ind w:left="5040" w:hanging="360"/>
      </w:pPr>
    </w:lvl>
    <w:lvl w:ilvl="7" w:tplc="E85C98A2" w:tentative="1">
      <w:start w:val="1"/>
      <w:numFmt w:val="lowerLetter"/>
      <w:lvlText w:val="%8."/>
      <w:lvlJc w:val="left"/>
      <w:pPr>
        <w:ind w:left="5760" w:hanging="360"/>
      </w:pPr>
    </w:lvl>
    <w:lvl w:ilvl="8" w:tplc="244A79EE" w:tentative="1">
      <w:start w:val="1"/>
      <w:numFmt w:val="lowerRoman"/>
      <w:lvlText w:val="%9."/>
      <w:lvlJc w:val="right"/>
      <w:pPr>
        <w:ind w:left="6480" w:hanging="180"/>
      </w:pPr>
    </w:lvl>
  </w:abstractNum>
  <w:abstractNum w:abstractNumId="10" w15:restartNumberingAfterBreak="0">
    <w:nsid w:val="5D1A764D"/>
    <w:multiLevelType w:val="hybridMultilevel"/>
    <w:tmpl w:val="945E48F2"/>
    <w:lvl w:ilvl="0" w:tplc="08526CA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5EF35D52"/>
    <w:multiLevelType w:val="hybridMultilevel"/>
    <w:tmpl w:val="5C3615D6"/>
    <w:lvl w:ilvl="0" w:tplc="2B7A5B4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7"/>
  </w:num>
  <w:num w:numId="2">
    <w:abstractNumId w:val="9"/>
  </w:num>
  <w:num w:numId="3">
    <w:abstractNumId w:val="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8"/>
  </w:num>
  <w:num w:numId="6">
    <w:abstractNumId w:val="0"/>
  </w:num>
  <w:num w:numId="7">
    <w:abstractNumId w:val="10"/>
  </w:num>
  <w:num w:numId="8">
    <w:abstractNumId w:val="5"/>
  </w:num>
  <w:num w:numId="9">
    <w:abstractNumId w:val="2"/>
  </w:num>
  <w:num w:numId="10">
    <w:abstractNumId w:val="11"/>
  </w:num>
  <w:num w:numId="11">
    <w:abstractNumId w:val="4"/>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726D"/>
    <w:rsid w:val="00000A64"/>
    <w:rsid w:val="000064E4"/>
    <w:rsid w:val="0001060C"/>
    <w:rsid w:val="00011E86"/>
    <w:rsid w:val="0001237F"/>
    <w:rsid w:val="00012477"/>
    <w:rsid w:val="00012A71"/>
    <w:rsid w:val="00015411"/>
    <w:rsid w:val="00017374"/>
    <w:rsid w:val="00020BF2"/>
    <w:rsid w:val="000213D7"/>
    <w:rsid w:val="00022D44"/>
    <w:rsid w:val="00024500"/>
    <w:rsid w:val="00025CDF"/>
    <w:rsid w:val="00027CB7"/>
    <w:rsid w:val="00030B59"/>
    <w:rsid w:val="000346E0"/>
    <w:rsid w:val="00037F83"/>
    <w:rsid w:val="000402A5"/>
    <w:rsid w:val="000407E1"/>
    <w:rsid w:val="0004265A"/>
    <w:rsid w:val="00045712"/>
    <w:rsid w:val="0004792A"/>
    <w:rsid w:val="000533B1"/>
    <w:rsid w:val="00053BB1"/>
    <w:rsid w:val="00056F13"/>
    <w:rsid w:val="00057783"/>
    <w:rsid w:val="00060B87"/>
    <w:rsid w:val="00060E44"/>
    <w:rsid w:val="00064376"/>
    <w:rsid w:val="0006437A"/>
    <w:rsid w:val="000645A1"/>
    <w:rsid w:val="00074EC0"/>
    <w:rsid w:val="000803F0"/>
    <w:rsid w:val="00085790"/>
    <w:rsid w:val="00086012"/>
    <w:rsid w:val="00090764"/>
    <w:rsid w:val="00091EB3"/>
    <w:rsid w:val="000948AD"/>
    <w:rsid w:val="00095D94"/>
    <w:rsid w:val="00096954"/>
    <w:rsid w:val="0009771C"/>
    <w:rsid w:val="000A0114"/>
    <w:rsid w:val="000A2885"/>
    <w:rsid w:val="000A4368"/>
    <w:rsid w:val="000A70B7"/>
    <w:rsid w:val="000B00D3"/>
    <w:rsid w:val="000B0D8F"/>
    <w:rsid w:val="000B223C"/>
    <w:rsid w:val="000B2587"/>
    <w:rsid w:val="000B402A"/>
    <w:rsid w:val="000B4691"/>
    <w:rsid w:val="000B74F3"/>
    <w:rsid w:val="000C0A9F"/>
    <w:rsid w:val="000C1457"/>
    <w:rsid w:val="000C5269"/>
    <w:rsid w:val="000D0685"/>
    <w:rsid w:val="000D3914"/>
    <w:rsid w:val="000D7D3D"/>
    <w:rsid w:val="000E0FD9"/>
    <w:rsid w:val="000E0FFC"/>
    <w:rsid w:val="000E1753"/>
    <w:rsid w:val="000E1DB8"/>
    <w:rsid w:val="000E29B5"/>
    <w:rsid w:val="000E2F63"/>
    <w:rsid w:val="000E3A3F"/>
    <w:rsid w:val="000E4364"/>
    <w:rsid w:val="000E447C"/>
    <w:rsid w:val="000E6994"/>
    <w:rsid w:val="000E6D1A"/>
    <w:rsid w:val="000F2EA2"/>
    <w:rsid w:val="000F3BD0"/>
    <w:rsid w:val="000F3DC0"/>
    <w:rsid w:val="000F3E8A"/>
    <w:rsid w:val="000F4A43"/>
    <w:rsid w:val="000F5D36"/>
    <w:rsid w:val="000F6B61"/>
    <w:rsid w:val="001028C0"/>
    <w:rsid w:val="00102FEE"/>
    <w:rsid w:val="00103F87"/>
    <w:rsid w:val="001040BC"/>
    <w:rsid w:val="00104E8A"/>
    <w:rsid w:val="0010628E"/>
    <w:rsid w:val="00107264"/>
    <w:rsid w:val="00107367"/>
    <w:rsid w:val="001073FB"/>
    <w:rsid w:val="00107D3A"/>
    <w:rsid w:val="00107F39"/>
    <w:rsid w:val="001138E0"/>
    <w:rsid w:val="00116875"/>
    <w:rsid w:val="00117D74"/>
    <w:rsid w:val="00121A53"/>
    <w:rsid w:val="00122F15"/>
    <w:rsid w:val="0012306E"/>
    <w:rsid w:val="001237A5"/>
    <w:rsid w:val="001253A2"/>
    <w:rsid w:val="001304B1"/>
    <w:rsid w:val="0013104A"/>
    <w:rsid w:val="00132F42"/>
    <w:rsid w:val="00135A6B"/>
    <w:rsid w:val="00136095"/>
    <w:rsid w:val="0013676B"/>
    <w:rsid w:val="00136931"/>
    <w:rsid w:val="001371F9"/>
    <w:rsid w:val="00140315"/>
    <w:rsid w:val="00141395"/>
    <w:rsid w:val="00141E88"/>
    <w:rsid w:val="001453A6"/>
    <w:rsid w:val="00146B13"/>
    <w:rsid w:val="001555DD"/>
    <w:rsid w:val="00155C6A"/>
    <w:rsid w:val="00156289"/>
    <w:rsid w:val="001563DA"/>
    <w:rsid w:val="00156ECD"/>
    <w:rsid w:val="00163F38"/>
    <w:rsid w:val="0016704B"/>
    <w:rsid w:val="00167916"/>
    <w:rsid w:val="00167FC6"/>
    <w:rsid w:val="001714F9"/>
    <w:rsid w:val="001725DB"/>
    <w:rsid w:val="00173517"/>
    <w:rsid w:val="001751B3"/>
    <w:rsid w:val="00176D34"/>
    <w:rsid w:val="00177912"/>
    <w:rsid w:val="0018132A"/>
    <w:rsid w:val="00181466"/>
    <w:rsid w:val="00183F7A"/>
    <w:rsid w:val="001845C9"/>
    <w:rsid w:val="001869EC"/>
    <w:rsid w:val="00187443"/>
    <w:rsid w:val="001909D7"/>
    <w:rsid w:val="00191F56"/>
    <w:rsid w:val="00192D66"/>
    <w:rsid w:val="00194C70"/>
    <w:rsid w:val="00195225"/>
    <w:rsid w:val="0019548E"/>
    <w:rsid w:val="00195C05"/>
    <w:rsid w:val="0019708F"/>
    <w:rsid w:val="001A0A13"/>
    <w:rsid w:val="001A42CF"/>
    <w:rsid w:val="001A4E75"/>
    <w:rsid w:val="001A709C"/>
    <w:rsid w:val="001A7DDC"/>
    <w:rsid w:val="001B185C"/>
    <w:rsid w:val="001B19EF"/>
    <w:rsid w:val="001B1D4B"/>
    <w:rsid w:val="001B2934"/>
    <w:rsid w:val="001B3AAF"/>
    <w:rsid w:val="001B406A"/>
    <w:rsid w:val="001B4248"/>
    <w:rsid w:val="001B51CA"/>
    <w:rsid w:val="001B655A"/>
    <w:rsid w:val="001B6833"/>
    <w:rsid w:val="001B7FF8"/>
    <w:rsid w:val="001C11EA"/>
    <w:rsid w:val="001C1DA1"/>
    <w:rsid w:val="001C2853"/>
    <w:rsid w:val="001C313B"/>
    <w:rsid w:val="001C756C"/>
    <w:rsid w:val="001D167B"/>
    <w:rsid w:val="001D1D66"/>
    <w:rsid w:val="001D48D3"/>
    <w:rsid w:val="001D5364"/>
    <w:rsid w:val="001E09FE"/>
    <w:rsid w:val="001E12A3"/>
    <w:rsid w:val="001E2A18"/>
    <w:rsid w:val="001E3230"/>
    <w:rsid w:val="001E330B"/>
    <w:rsid w:val="001E408F"/>
    <w:rsid w:val="001E4BEF"/>
    <w:rsid w:val="001E7A62"/>
    <w:rsid w:val="001F04A8"/>
    <w:rsid w:val="001F211B"/>
    <w:rsid w:val="001F4544"/>
    <w:rsid w:val="001F4FAB"/>
    <w:rsid w:val="001F5439"/>
    <w:rsid w:val="001F5D6C"/>
    <w:rsid w:val="001F721A"/>
    <w:rsid w:val="002005A6"/>
    <w:rsid w:val="00202FC0"/>
    <w:rsid w:val="00204C43"/>
    <w:rsid w:val="00204F36"/>
    <w:rsid w:val="00205702"/>
    <w:rsid w:val="002061B8"/>
    <w:rsid w:val="00207753"/>
    <w:rsid w:val="00207C9B"/>
    <w:rsid w:val="00207D8D"/>
    <w:rsid w:val="00213F8E"/>
    <w:rsid w:val="00220CCD"/>
    <w:rsid w:val="00222392"/>
    <w:rsid w:val="002236A2"/>
    <w:rsid w:val="00223DC5"/>
    <w:rsid w:val="00230174"/>
    <w:rsid w:val="002316D2"/>
    <w:rsid w:val="0023193B"/>
    <w:rsid w:val="002322CB"/>
    <w:rsid w:val="0023338D"/>
    <w:rsid w:val="002346A1"/>
    <w:rsid w:val="00234986"/>
    <w:rsid w:val="00237399"/>
    <w:rsid w:val="002377C8"/>
    <w:rsid w:val="0024026A"/>
    <w:rsid w:val="0024035F"/>
    <w:rsid w:val="00241398"/>
    <w:rsid w:val="00243B29"/>
    <w:rsid w:val="002458C9"/>
    <w:rsid w:val="00250654"/>
    <w:rsid w:val="00250CAF"/>
    <w:rsid w:val="00250F80"/>
    <w:rsid w:val="00252667"/>
    <w:rsid w:val="00253E3C"/>
    <w:rsid w:val="0026159A"/>
    <w:rsid w:val="00261F0B"/>
    <w:rsid w:val="00266DAC"/>
    <w:rsid w:val="00266E20"/>
    <w:rsid w:val="0027071C"/>
    <w:rsid w:val="00271609"/>
    <w:rsid w:val="0027182B"/>
    <w:rsid w:val="002719AF"/>
    <w:rsid w:val="00271A94"/>
    <w:rsid w:val="0027219E"/>
    <w:rsid w:val="0027260E"/>
    <w:rsid w:val="00272F4F"/>
    <w:rsid w:val="00273617"/>
    <w:rsid w:val="00280AC4"/>
    <w:rsid w:val="00281701"/>
    <w:rsid w:val="00283650"/>
    <w:rsid w:val="002840A6"/>
    <w:rsid w:val="00284B06"/>
    <w:rsid w:val="002857EE"/>
    <w:rsid w:val="002869A7"/>
    <w:rsid w:val="00287C42"/>
    <w:rsid w:val="00290451"/>
    <w:rsid w:val="00291E13"/>
    <w:rsid w:val="00292CFD"/>
    <w:rsid w:val="00295D30"/>
    <w:rsid w:val="0029603A"/>
    <w:rsid w:val="00296D97"/>
    <w:rsid w:val="002977D9"/>
    <w:rsid w:val="00297AAB"/>
    <w:rsid w:val="002A0CB5"/>
    <w:rsid w:val="002A2D3C"/>
    <w:rsid w:val="002A504D"/>
    <w:rsid w:val="002B07A7"/>
    <w:rsid w:val="002B0B6A"/>
    <w:rsid w:val="002B13CF"/>
    <w:rsid w:val="002B2323"/>
    <w:rsid w:val="002B3872"/>
    <w:rsid w:val="002B600B"/>
    <w:rsid w:val="002B6DDA"/>
    <w:rsid w:val="002B7D7E"/>
    <w:rsid w:val="002C2ECD"/>
    <w:rsid w:val="002C3396"/>
    <w:rsid w:val="002C4DE2"/>
    <w:rsid w:val="002C7308"/>
    <w:rsid w:val="002D3BBC"/>
    <w:rsid w:val="002D55B4"/>
    <w:rsid w:val="002D5A46"/>
    <w:rsid w:val="002D5F03"/>
    <w:rsid w:val="002D60C9"/>
    <w:rsid w:val="002D6240"/>
    <w:rsid w:val="002D63F8"/>
    <w:rsid w:val="002D7074"/>
    <w:rsid w:val="002D70BE"/>
    <w:rsid w:val="002E14F0"/>
    <w:rsid w:val="002E1D26"/>
    <w:rsid w:val="002E39CF"/>
    <w:rsid w:val="002E4F2B"/>
    <w:rsid w:val="002E6219"/>
    <w:rsid w:val="002E6D34"/>
    <w:rsid w:val="002E7B48"/>
    <w:rsid w:val="002F058A"/>
    <w:rsid w:val="002F12E2"/>
    <w:rsid w:val="002F17C1"/>
    <w:rsid w:val="002F20FD"/>
    <w:rsid w:val="002F515C"/>
    <w:rsid w:val="002F60A6"/>
    <w:rsid w:val="002F7053"/>
    <w:rsid w:val="00300329"/>
    <w:rsid w:val="00303FDB"/>
    <w:rsid w:val="00307A80"/>
    <w:rsid w:val="00310E2B"/>
    <w:rsid w:val="003148A7"/>
    <w:rsid w:val="003150A8"/>
    <w:rsid w:val="00315555"/>
    <w:rsid w:val="00316680"/>
    <w:rsid w:val="00316744"/>
    <w:rsid w:val="0032207A"/>
    <w:rsid w:val="00323FB9"/>
    <w:rsid w:val="00325734"/>
    <w:rsid w:val="00325866"/>
    <w:rsid w:val="00326B09"/>
    <w:rsid w:val="003274F8"/>
    <w:rsid w:val="00331243"/>
    <w:rsid w:val="003321DE"/>
    <w:rsid w:val="00332427"/>
    <w:rsid w:val="00332B18"/>
    <w:rsid w:val="00335466"/>
    <w:rsid w:val="003367CB"/>
    <w:rsid w:val="0033774F"/>
    <w:rsid w:val="00337763"/>
    <w:rsid w:val="003402A8"/>
    <w:rsid w:val="003413D4"/>
    <w:rsid w:val="00343C69"/>
    <w:rsid w:val="00343D90"/>
    <w:rsid w:val="00344B07"/>
    <w:rsid w:val="00350393"/>
    <w:rsid w:val="003503AD"/>
    <w:rsid w:val="00350918"/>
    <w:rsid w:val="0035392F"/>
    <w:rsid w:val="003540B4"/>
    <w:rsid w:val="0035576A"/>
    <w:rsid w:val="00355DF0"/>
    <w:rsid w:val="00356A85"/>
    <w:rsid w:val="00357445"/>
    <w:rsid w:val="003617AE"/>
    <w:rsid w:val="00364782"/>
    <w:rsid w:val="00364933"/>
    <w:rsid w:val="00364B87"/>
    <w:rsid w:val="003701E8"/>
    <w:rsid w:val="00370860"/>
    <w:rsid w:val="0037099C"/>
    <w:rsid w:val="00371190"/>
    <w:rsid w:val="00372B12"/>
    <w:rsid w:val="00373D9E"/>
    <w:rsid w:val="00380C7B"/>
    <w:rsid w:val="00380CE1"/>
    <w:rsid w:val="00381DF6"/>
    <w:rsid w:val="003825B5"/>
    <w:rsid w:val="00382E81"/>
    <w:rsid w:val="003869D2"/>
    <w:rsid w:val="003913AC"/>
    <w:rsid w:val="00391984"/>
    <w:rsid w:val="003921A0"/>
    <w:rsid w:val="003948DE"/>
    <w:rsid w:val="00394C63"/>
    <w:rsid w:val="00395815"/>
    <w:rsid w:val="00397D96"/>
    <w:rsid w:val="003A0E4C"/>
    <w:rsid w:val="003A10FE"/>
    <w:rsid w:val="003A17E6"/>
    <w:rsid w:val="003A1BB4"/>
    <w:rsid w:val="003A2E17"/>
    <w:rsid w:val="003A3893"/>
    <w:rsid w:val="003A5370"/>
    <w:rsid w:val="003A69BA"/>
    <w:rsid w:val="003B197E"/>
    <w:rsid w:val="003B7A9E"/>
    <w:rsid w:val="003C183E"/>
    <w:rsid w:val="003C2A80"/>
    <w:rsid w:val="003C307C"/>
    <w:rsid w:val="003C3212"/>
    <w:rsid w:val="003C363A"/>
    <w:rsid w:val="003C4B32"/>
    <w:rsid w:val="003C4F77"/>
    <w:rsid w:val="003C5803"/>
    <w:rsid w:val="003C662F"/>
    <w:rsid w:val="003C6AED"/>
    <w:rsid w:val="003C7752"/>
    <w:rsid w:val="003D0721"/>
    <w:rsid w:val="003D0C13"/>
    <w:rsid w:val="003D0CAE"/>
    <w:rsid w:val="003D39B5"/>
    <w:rsid w:val="003E0856"/>
    <w:rsid w:val="003E3157"/>
    <w:rsid w:val="003F0103"/>
    <w:rsid w:val="003F061A"/>
    <w:rsid w:val="003F0BEE"/>
    <w:rsid w:val="003F4462"/>
    <w:rsid w:val="003F7054"/>
    <w:rsid w:val="00400C92"/>
    <w:rsid w:val="0040264D"/>
    <w:rsid w:val="00402E20"/>
    <w:rsid w:val="00403B4C"/>
    <w:rsid w:val="004045D6"/>
    <w:rsid w:val="0040683D"/>
    <w:rsid w:val="004072FD"/>
    <w:rsid w:val="004076A3"/>
    <w:rsid w:val="00407DE1"/>
    <w:rsid w:val="004112A1"/>
    <w:rsid w:val="00411705"/>
    <w:rsid w:val="00412326"/>
    <w:rsid w:val="004135AD"/>
    <w:rsid w:val="00416B56"/>
    <w:rsid w:val="00420C18"/>
    <w:rsid w:val="00421338"/>
    <w:rsid w:val="004218E1"/>
    <w:rsid w:val="00424A86"/>
    <w:rsid w:val="004271F5"/>
    <w:rsid w:val="00431214"/>
    <w:rsid w:val="004361F8"/>
    <w:rsid w:val="00441C1A"/>
    <w:rsid w:val="004429D6"/>
    <w:rsid w:val="004434D2"/>
    <w:rsid w:val="004466D9"/>
    <w:rsid w:val="0044732D"/>
    <w:rsid w:val="00447484"/>
    <w:rsid w:val="00453EBB"/>
    <w:rsid w:val="0045409F"/>
    <w:rsid w:val="00455213"/>
    <w:rsid w:val="00455A4B"/>
    <w:rsid w:val="00456197"/>
    <w:rsid w:val="00456350"/>
    <w:rsid w:val="0045692A"/>
    <w:rsid w:val="00457AE2"/>
    <w:rsid w:val="004607EE"/>
    <w:rsid w:val="0046135E"/>
    <w:rsid w:val="00461E44"/>
    <w:rsid w:val="00463AEE"/>
    <w:rsid w:val="00465649"/>
    <w:rsid w:val="00467585"/>
    <w:rsid w:val="00467F64"/>
    <w:rsid w:val="00470530"/>
    <w:rsid w:val="00472363"/>
    <w:rsid w:val="004765AD"/>
    <w:rsid w:val="00476B93"/>
    <w:rsid w:val="00480B0A"/>
    <w:rsid w:val="004811DD"/>
    <w:rsid w:val="00481FF9"/>
    <w:rsid w:val="00485513"/>
    <w:rsid w:val="00486351"/>
    <w:rsid w:val="0048710A"/>
    <w:rsid w:val="004960A1"/>
    <w:rsid w:val="004A017C"/>
    <w:rsid w:val="004A068D"/>
    <w:rsid w:val="004A0E53"/>
    <w:rsid w:val="004A2002"/>
    <w:rsid w:val="004A4962"/>
    <w:rsid w:val="004A50E6"/>
    <w:rsid w:val="004A5E9E"/>
    <w:rsid w:val="004B095E"/>
    <w:rsid w:val="004B1A02"/>
    <w:rsid w:val="004B384C"/>
    <w:rsid w:val="004B38E7"/>
    <w:rsid w:val="004B560C"/>
    <w:rsid w:val="004B61F4"/>
    <w:rsid w:val="004C003C"/>
    <w:rsid w:val="004C1781"/>
    <w:rsid w:val="004C644B"/>
    <w:rsid w:val="004C6F5B"/>
    <w:rsid w:val="004D1111"/>
    <w:rsid w:val="004D138A"/>
    <w:rsid w:val="004D3C25"/>
    <w:rsid w:val="004E20E8"/>
    <w:rsid w:val="004E2123"/>
    <w:rsid w:val="004E3618"/>
    <w:rsid w:val="004E5E2F"/>
    <w:rsid w:val="004F13F3"/>
    <w:rsid w:val="004F170E"/>
    <w:rsid w:val="004F1885"/>
    <w:rsid w:val="004F2395"/>
    <w:rsid w:val="004F2542"/>
    <w:rsid w:val="004F60BA"/>
    <w:rsid w:val="004F63FD"/>
    <w:rsid w:val="004F7B3B"/>
    <w:rsid w:val="004F7DBF"/>
    <w:rsid w:val="00500DA7"/>
    <w:rsid w:val="005019D7"/>
    <w:rsid w:val="00501A4F"/>
    <w:rsid w:val="00501EDD"/>
    <w:rsid w:val="00502574"/>
    <w:rsid w:val="005029F4"/>
    <w:rsid w:val="00515F1C"/>
    <w:rsid w:val="00517E69"/>
    <w:rsid w:val="005208C6"/>
    <w:rsid w:val="005259BE"/>
    <w:rsid w:val="00527E36"/>
    <w:rsid w:val="0053086F"/>
    <w:rsid w:val="00531EF5"/>
    <w:rsid w:val="00533830"/>
    <w:rsid w:val="005362C8"/>
    <w:rsid w:val="0053691D"/>
    <w:rsid w:val="00540E23"/>
    <w:rsid w:val="0054124D"/>
    <w:rsid w:val="00541D88"/>
    <w:rsid w:val="00542C45"/>
    <w:rsid w:val="00543D59"/>
    <w:rsid w:val="00544DD9"/>
    <w:rsid w:val="00546C47"/>
    <w:rsid w:val="00547905"/>
    <w:rsid w:val="00551E19"/>
    <w:rsid w:val="0055241F"/>
    <w:rsid w:val="00552773"/>
    <w:rsid w:val="00553792"/>
    <w:rsid w:val="00554256"/>
    <w:rsid w:val="005551C5"/>
    <w:rsid w:val="00555653"/>
    <w:rsid w:val="00556732"/>
    <w:rsid w:val="0056188A"/>
    <w:rsid w:val="00561BB8"/>
    <w:rsid w:val="0056272D"/>
    <w:rsid w:val="005638BD"/>
    <w:rsid w:val="005721F7"/>
    <w:rsid w:val="00576953"/>
    <w:rsid w:val="00577879"/>
    <w:rsid w:val="005831A9"/>
    <w:rsid w:val="00587880"/>
    <w:rsid w:val="00591D2E"/>
    <w:rsid w:val="00594998"/>
    <w:rsid w:val="00595439"/>
    <w:rsid w:val="00596A3E"/>
    <w:rsid w:val="00597398"/>
    <w:rsid w:val="005A0474"/>
    <w:rsid w:val="005A2B60"/>
    <w:rsid w:val="005A31E9"/>
    <w:rsid w:val="005A4676"/>
    <w:rsid w:val="005A4DFC"/>
    <w:rsid w:val="005A5052"/>
    <w:rsid w:val="005B242F"/>
    <w:rsid w:val="005B3AC3"/>
    <w:rsid w:val="005B3CA5"/>
    <w:rsid w:val="005B5903"/>
    <w:rsid w:val="005B5ADD"/>
    <w:rsid w:val="005C0CEC"/>
    <w:rsid w:val="005C0CF2"/>
    <w:rsid w:val="005C393F"/>
    <w:rsid w:val="005C559B"/>
    <w:rsid w:val="005D059C"/>
    <w:rsid w:val="005D0BCE"/>
    <w:rsid w:val="005D49C9"/>
    <w:rsid w:val="005D5861"/>
    <w:rsid w:val="005D5899"/>
    <w:rsid w:val="005D7852"/>
    <w:rsid w:val="005D7DDF"/>
    <w:rsid w:val="005E01F3"/>
    <w:rsid w:val="005E07B4"/>
    <w:rsid w:val="005E10F0"/>
    <w:rsid w:val="005E1516"/>
    <w:rsid w:val="005E1EAD"/>
    <w:rsid w:val="005E3F26"/>
    <w:rsid w:val="005E53C5"/>
    <w:rsid w:val="005E5FC1"/>
    <w:rsid w:val="005F1A85"/>
    <w:rsid w:val="005F2521"/>
    <w:rsid w:val="005F3386"/>
    <w:rsid w:val="005F47E9"/>
    <w:rsid w:val="005F4AD2"/>
    <w:rsid w:val="005F79F4"/>
    <w:rsid w:val="00600265"/>
    <w:rsid w:val="006028D9"/>
    <w:rsid w:val="00602C1B"/>
    <w:rsid w:val="00605EDA"/>
    <w:rsid w:val="00606047"/>
    <w:rsid w:val="0060623C"/>
    <w:rsid w:val="00607DA8"/>
    <w:rsid w:val="00613EF7"/>
    <w:rsid w:val="00615ECF"/>
    <w:rsid w:val="00620166"/>
    <w:rsid w:val="006207FC"/>
    <w:rsid w:val="00620FBB"/>
    <w:rsid w:val="00623E59"/>
    <w:rsid w:val="00631438"/>
    <w:rsid w:val="00633A7A"/>
    <w:rsid w:val="00634533"/>
    <w:rsid w:val="00635993"/>
    <w:rsid w:val="00641CFC"/>
    <w:rsid w:val="006437D6"/>
    <w:rsid w:val="006458AA"/>
    <w:rsid w:val="0064711A"/>
    <w:rsid w:val="00647553"/>
    <w:rsid w:val="00652C94"/>
    <w:rsid w:val="00653491"/>
    <w:rsid w:val="00654413"/>
    <w:rsid w:val="00654E64"/>
    <w:rsid w:val="006551D2"/>
    <w:rsid w:val="00656035"/>
    <w:rsid w:val="006579C9"/>
    <w:rsid w:val="00660D43"/>
    <w:rsid w:val="00662F3C"/>
    <w:rsid w:val="0066551B"/>
    <w:rsid w:val="00665F09"/>
    <w:rsid w:val="00666ED1"/>
    <w:rsid w:val="00670954"/>
    <w:rsid w:val="00673043"/>
    <w:rsid w:val="006748B2"/>
    <w:rsid w:val="006769B0"/>
    <w:rsid w:val="00676BF1"/>
    <w:rsid w:val="00682880"/>
    <w:rsid w:val="00683234"/>
    <w:rsid w:val="00683789"/>
    <w:rsid w:val="006844A1"/>
    <w:rsid w:val="00685D72"/>
    <w:rsid w:val="0068739F"/>
    <w:rsid w:val="00690984"/>
    <w:rsid w:val="00692F80"/>
    <w:rsid w:val="00693890"/>
    <w:rsid w:val="00693C3F"/>
    <w:rsid w:val="00694A41"/>
    <w:rsid w:val="0069521C"/>
    <w:rsid w:val="00697E8A"/>
    <w:rsid w:val="006A047D"/>
    <w:rsid w:val="006A3D5A"/>
    <w:rsid w:val="006A5329"/>
    <w:rsid w:val="006A5716"/>
    <w:rsid w:val="006A6969"/>
    <w:rsid w:val="006A7132"/>
    <w:rsid w:val="006A7911"/>
    <w:rsid w:val="006A7DCD"/>
    <w:rsid w:val="006A7E26"/>
    <w:rsid w:val="006B1737"/>
    <w:rsid w:val="006B20E6"/>
    <w:rsid w:val="006B6742"/>
    <w:rsid w:val="006B6930"/>
    <w:rsid w:val="006C52A3"/>
    <w:rsid w:val="006C556B"/>
    <w:rsid w:val="006C6B15"/>
    <w:rsid w:val="006C73AE"/>
    <w:rsid w:val="006C7B1B"/>
    <w:rsid w:val="006D2E7D"/>
    <w:rsid w:val="006D5652"/>
    <w:rsid w:val="006D678A"/>
    <w:rsid w:val="006E0DE4"/>
    <w:rsid w:val="006E22E5"/>
    <w:rsid w:val="006E321D"/>
    <w:rsid w:val="006E550C"/>
    <w:rsid w:val="006E639E"/>
    <w:rsid w:val="006E6445"/>
    <w:rsid w:val="006F1B6D"/>
    <w:rsid w:val="006F5239"/>
    <w:rsid w:val="006F524D"/>
    <w:rsid w:val="007010B7"/>
    <w:rsid w:val="00701AA0"/>
    <w:rsid w:val="007020F1"/>
    <w:rsid w:val="0071043A"/>
    <w:rsid w:val="00710834"/>
    <w:rsid w:val="00712D65"/>
    <w:rsid w:val="0071643D"/>
    <w:rsid w:val="00716E55"/>
    <w:rsid w:val="00716FFA"/>
    <w:rsid w:val="00717293"/>
    <w:rsid w:val="0072095D"/>
    <w:rsid w:val="0072113B"/>
    <w:rsid w:val="007211D8"/>
    <w:rsid w:val="00721FAE"/>
    <w:rsid w:val="00723383"/>
    <w:rsid w:val="00725138"/>
    <w:rsid w:val="00726544"/>
    <w:rsid w:val="00727CCF"/>
    <w:rsid w:val="00730B79"/>
    <w:rsid w:val="00730F74"/>
    <w:rsid w:val="007323B1"/>
    <w:rsid w:val="007355C1"/>
    <w:rsid w:val="00736288"/>
    <w:rsid w:val="00740676"/>
    <w:rsid w:val="00740A62"/>
    <w:rsid w:val="00742A4A"/>
    <w:rsid w:val="00742D9E"/>
    <w:rsid w:val="007445E7"/>
    <w:rsid w:val="00746748"/>
    <w:rsid w:val="00746B10"/>
    <w:rsid w:val="007474E8"/>
    <w:rsid w:val="00747B46"/>
    <w:rsid w:val="007507A5"/>
    <w:rsid w:val="00750822"/>
    <w:rsid w:val="007527B8"/>
    <w:rsid w:val="007546EB"/>
    <w:rsid w:val="00754712"/>
    <w:rsid w:val="00756633"/>
    <w:rsid w:val="0075767B"/>
    <w:rsid w:val="0076405A"/>
    <w:rsid w:val="0076434B"/>
    <w:rsid w:val="00765C27"/>
    <w:rsid w:val="007708AB"/>
    <w:rsid w:val="007714B3"/>
    <w:rsid w:val="00772C88"/>
    <w:rsid w:val="007877EB"/>
    <w:rsid w:val="00791902"/>
    <w:rsid w:val="00792DB0"/>
    <w:rsid w:val="0079451F"/>
    <w:rsid w:val="00796EAE"/>
    <w:rsid w:val="007A0D8D"/>
    <w:rsid w:val="007A38B0"/>
    <w:rsid w:val="007A4140"/>
    <w:rsid w:val="007A4607"/>
    <w:rsid w:val="007A5B5B"/>
    <w:rsid w:val="007A6644"/>
    <w:rsid w:val="007B03BB"/>
    <w:rsid w:val="007B396B"/>
    <w:rsid w:val="007B54B0"/>
    <w:rsid w:val="007B6F3C"/>
    <w:rsid w:val="007B737E"/>
    <w:rsid w:val="007B75B4"/>
    <w:rsid w:val="007B7BB9"/>
    <w:rsid w:val="007C07C8"/>
    <w:rsid w:val="007C30E7"/>
    <w:rsid w:val="007C3C15"/>
    <w:rsid w:val="007C4430"/>
    <w:rsid w:val="007C5D29"/>
    <w:rsid w:val="007C63AA"/>
    <w:rsid w:val="007D0460"/>
    <w:rsid w:val="007D2248"/>
    <w:rsid w:val="007D4480"/>
    <w:rsid w:val="007E0FDE"/>
    <w:rsid w:val="007E573F"/>
    <w:rsid w:val="007E64A2"/>
    <w:rsid w:val="007E6735"/>
    <w:rsid w:val="007E6D02"/>
    <w:rsid w:val="007E71F5"/>
    <w:rsid w:val="007F0A8E"/>
    <w:rsid w:val="007F746A"/>
    <w:rsid w:val="007F74D4"/>
    <w:rsid w:val="007F7966"/>
    <w:rsid w:val="007F7C7E"/>
    <w:rsid w:val="008010E8"/>
    <w:rsid w:val="00802F88"/>
    <w:rsid w:val="0080567B"/>
    <w:rsid w:val="00805B81"/>
    <w:rsid w:val="00807590"/>
    <w:rsid w:val="00807E30"/>
    <w:rsid w:val="00814753"/>
    <w:rsid w:val="00814C5B"/>
    <w:rsid w:val="00816F1F"/>
    <w:rsid w:val="00817DB4"/>
    <w:rsid w:val="0082191E"/>
    <w:rsid w:val="00821F12"/>
    <w:rsid w:val="008223D9"/>
    <w:rsid w:val="00823CA7"/>
    <w:rsid w:val="00825A65"/>
    <w:rsid w:val="00826F7C"/>
    <w:rsid w:val="00827571"/>
    <w:rsid w:val="0083070E"/>
    <w:rsid w:val="00831548"/>
    <w:rsid w:val="00833089"/>
    <w:rsid w:val="00833705"/>
    <w:rsid w:val="00833ACB"/>
    <w:rsid w:val="00834080"/>
    <w:rsid w:val="0083495A"/>
    <w:rsid w:val="0083726D"/>
    <w:rsid w:val="00840605"/>
    <w:rsid w:val="0084070B"/>
    <w:rsid w:val="00843B71"/>
    <w:rsid w:val="00844892"/>
    <w:rsid w:val="00845CB5"/>
    <w:rsid w:val="00850756"/>
    <w:rsid w:val="00851A73"/>
    <w:rsid w:val="00853DF8"/>
    <w:rsid w:val="00862A8D"/>
    <w:rsid w:val="00862BA6"/>
    <w:rsid w:val="00862DB6"/>
    <w:rsid w:val="008651FC"/>
    <w:rsid w:val="00865C25"/>
    <w:rsid w:val="00867C8C"/>
    <w:rsid w:val="00877B3F"/>
    <w:rsid w:val="00885A47"/>
    <w:rsid w:val="008901A1"/>
    <w:rsid w:val="00892801"/>
    <w:rsid w:val="00894249"/>
    <w:rsid w:val="00897620"/>
    <w:rsid w:val="008A3D7D"/>
    <w:rsid w:val="008A4054"/>
    <w:rsid w:val="008A54E2"/>
    <w:rsid w:val="008B24BD"/>
    <w:rsid w:val="008B2897"/>
    <w:rsid w:val="008B52CC"/>
    <w:rsid w:val="008B6527"/>
    <w:rsid w:val="008C0317"/>
    <w:rsid w:val="008C2AB7"/>
    <w:rsid w:val="008C4B4E"/>
    <w:rsid w:val="008C687F"/>
    <w:rsid w:val="008C73C0"/>
    <w:rsid w:val="008D13F4"/>
    <w:rsid w:val="008D21B1"/>
    <w:rsid w:val="008D66F7"/>
    <w:rsid w:val="008E1C05"/>
    <w:rsid w:val="008E2937"/>
    <w:rsid w:val="008E4ECE"/>
    <w:rsid w:val="008F0F2B"/>
    <w:rsid w:val="008F3381"/>
    <w:rsid w:val="008F430A"/>
    <w:rsid w:val="008F7732"/>
    <w:rsid w:val="008F789F"/>
    <w:rsid w:val="009004F9"/>
    <w:rsid w:val="00901158"/>
    <w:rsid w:val="0090240E"/>
    <w:rsid w:val="00902FFC"/>
    <w:rsid w:val="0090385D"/>
    <w:rsid w:val="00906E03"/>
    <w:rsid w:val="009077C5"/>
    <w:rsid w:val="00912271"/>
    <w:rsid w:val="00915592"/>
    <w:rsid w:val="0092180D"/>
    <w:rsid w:val="00921E1D"/>
    <w:rsid w:val="00922430"/>
    <w:rsid w:val="00926CC4"/>
    <w:rsid w:val="0093483F"/>
    <w:rsid w:val="00940941"/>
    <w:rsid w:val="009409EE"/>
    <w:rsid w:val="00940DD0"/>
    <w:rsid w:val="009428AA"/>
    <w:rsid w:val="0094375E"/>
    <w:rsid w:val="009438AB"/>
    <w:rsid w:val="0094428C"/>
    <w:rsid w:val="009475FB"/>
    <w:rsid w:val="009503A8"/>
    <w:rsid w:val="00953A8C"/>
    <w:rsid w:val="009541AE"/>
    <w:rsid w:val="00955CE0"/>
    <w:rsid w:val="00957508"/>
    <w:rsid w:val="00957A05"/>
    <w:rsid w:val="009606A0"/>
    <w:rsid w:val="009659EC"/>
    <w:rsid w:val="00965AD5"/>
    <w:rsid w:val="00965EC4"/>
    <w:rsid w:val="00971D44"/>
    <w:rsid w:val="00971EBF"/>
    <w:rsid w:val="00972531"/>
    <w:rsid w:val="00976609"/>
    <w:rsid w:val="009766BC"/>
    <w:rsid w:val="00976979"/>
    <w:rsid w:val="00976D5C"/>
    <w:rsid w:val="00977FB0"/>
    <w:rsid w:val="00980A78"/>
    <w:rsid w:val="00980E52"/>
    <w:rsid w:val="009825FE"/>
    <w:rsid w:val="00982D40"/>
    <w:rsid w:val="00983BD7"/>
    <w:rsid w:val="00983C0F"/>
    <w:rsid w:val="00986015"/>
    <w:rsid w:val="0099014A"/>
    <w:rsid w:val="00992966"/>
    <w:rsid w:val="009A0B2E"/>
    <w:rsid w:val="009A0B6B"/>
    <w:rsid w:val="009A1EF0"/>
    <w:rsid w:val="009A2387"/>
    <w:rsid w:val="009A4954"/>
    <w:rsid w:val="009A4A84"/>
    <w:rsid w:val="009A5707"/>
    <w:rsid w:val="009B07A5"/>
    <w:rsid w:val="009B625F"/>
    <w:rsid w:val="009B6B02"/>
    <w:rsid w:val="009B70EF"/>
    <w:rsid w:val="009B770F"/>
    <w:rsid w:val="009B7C3B"/>
    <w:rsid w:val="009C1A7A"/>
    <w:rsid w:val="009C1FA1"/>
    <w:rsid w:val="009C5684"/>
    <w:rsid w:val="009C56BE"/>
    <w:rsid w:val="009C60E7"/>
    <w:rsid w:val="009C7EBA"/>
    <w:rsid w:val="009D14AA"/>
    <w:rsid w:val="009D5203"/>
    <w:rsid w:val="009D5BFF"/>
    <w:rsid w:val="009D6A98"/>
    <w:rsid w:val="009D6AB8"/>
    <w:rsid w:val="009D6EE6"/>
    <w:rsid w:val="009E13F6"/>
    <w:rsid w:val="009E16CD"/>
    <w:rsid w:val="009E36B4"/>
    <w:rsid w:val="009E6B96"/>
    <w:rsid w:val="009E7787"/>
    <w:rsid w:val="009E7E29"/>
    <w:rsid w:val="009F0C19"/>
    <w:rsid w:val="009F3FEF"/>
    <w:rsid w:val="009F401D"/>
    <w:rsid w:val="009F4778"/>
    <w:rsid w:val="009F5DBC"/>
    <w:rsid w:val="009F61EA"/>
    <w:rsid w:val="00A019AD"/>
    <w:rsid w:val="00A048F2"/>
    <w:rsid w:val="00A1132E"/>
    <w:rsid w:val="00A12564"/>
    <w:rsid w:val="00A144DF"/>
    <w:rsid w:val="00A17A48"/>
    <w:rsid w:val="00A2196B"/>
    <w:rsid w:val="00A22154"/>
    <w:rsid w:val="00A22870"/>
    <w:rsid w:val="00A2582E"/>
    <w:rsid w:val="00A262BA"/>
    <w:rsid w:val="00A273E4"/>
    <w:rsid w:val="00A277DC"/>
    <w:rsid w:val="00A30685"/>
    <w:rsid w:val="00A35266"/>
    <w:rsid w:val="00A44293"/>
    <w:rsid w:val="00A44814"/>
    <w:rsid w:val="00A44DF6"/>
    <w:rsid w:val="00A470A8"/>
    <w:rsid w:val="00A473E2"/>
    <w:rsid w:val="00A50010"/>
    <w:rsid w:val="00A52E75"/>
    <w:rsid w:val="00A537BB"/>
    <w:rsid w:val="00A53A8A"/>
    <w:rsid w:val="00A546A7"/>
    <w:rsid w:val="00A6094C"/>
    <w:rsid w:val="00A66709"/>
    <w:rsid w:val="00A66B49"/>
    <w:rsid w:val="00A72088"/>
    <w:rsid w:val="00A73151"/>
    <w:rsid w:val="00A751AF"/>
    <w:rsid w:val="00A76D98"/>
    <w:rsid w:val="00A82894"/>
    <w:rsid w:val="00A87D98"/>
    <w:rsid w:val="00A91E20"/>
    <w:rsid w:val="00A957DD"/>
    <w:rsid w:val="00A95E2A"/>
    <w:rsid w:val="00A96150"/>
    <w:rsid w:val="00A96236"/>
    <w:rsid w:val="00A97143"/>
    <w:rsid w:val="00A9743F"/>
    <w:rsid w:val="00A97CDB"/>
    <w:rsid w:val="00AA1B0C"/>
    <w:rsid w:val="00AA2562"/>
    <w:rsid w:val="00AA3302"/>
    <w:rsid w:val="00AA4DD1"/>
    <w:rsid w:val="00AA7EC6"/>
    <w:rsid w:val="00AB0F63"/>
    <w:rsid w:val="00AB3B1B"/>
    <w:rsid w:val="00AB4684"/>
    <w:rsid w:val="00AB4AA8"/>
    <w:rsid w:val="00AB4F5C"/>
    <w:rsid w:val="00AC283D"/>
    <w:rsid w:val="00AC3120"/>
    <w:rsid w:val="00AC4EE9"/>
    <w:rsid w:val="00AC5079"/>
    <w:rsid w:val="00AC5529"/>
    <w:rsid w:val="00AC7055"/>
    <w:rsid w:val="00AC75B9"/>
    <w:rsid w:val="00AC7A6D"/>
    <w:rsid w:val="00AC7D60"/>
    <w:rsid w:val="00AD1468"/>
    <w:rsid w:val="00AD171F"/>
    <w:rsid w:val="00AD2772"/>
    <w:rsid w:val="00AD2E85"/>
    <w:rsid w:val="00AD408E"/>
    <w:rsid w:val="00AD4A0C"/>
    <w:rsid w:val="00AD6377"/>
    <w:rsid w:val="00AD6D0B"/>
    <w:rsid w:val="00AE1470"/>
    <w:rsid w:val="00AE149B"/>
    <w:rsid w:val="00AE35F1"/>
    <w:rsid w:val="00AE55FB"/>
    <w:rsid w:val="00AE5B00"/>
    <w:rsid w:val="00AE5B40"/>
    <w:rsid w:val="00AF25CF"/>
    <w:rsid w:val="00AF36E4"/>
    <w:rsid w:val="00AF42B5"/>
    <w:rsid w:val="00B0270B"/>
    <w:rsid w:val="00B046D9"/>
    <w:rsid w:val="00B05C54"/>
    <w:rsid w:val="00B07BBE"/>
    <w:rsid w:val="00B10031"/>
    <w:rsid w:val="00B12E33"/>
    <w:rsid w:val="00B14398"/>
    <w:rsid w:val="00B14C8B"/>
    <w:rsid w:val="00B15F6E"/>
    <w:rsid w:val="00B16115"/>
    <w:rsid w:val="00B172AA"/>
    <w:rsid w:val="00B1760C"/>
    <w:rsid w:val="00B21CB5"/>
    <w:rsid w:val="00B221DF"/>
    <w:rsid w:val="00B22241"/>
    <w:rsid w:val="00B22B6E"/>
    <w:rsid w:val="00B30EBC"/>
    <w:rsid w:val="00B322A6"/>
    <w:rsid w:val="00B323DA"/>
    <w:rsid w:val="00B32E22"/>
    <w:rsid w:val="00B368E3"/>
    <w:rsid w:val="00B40996"/>
    <w:rsid w:val="00B40C62"/>
    <w:rsid w:val="00B46FB7"/>
    <w:rsid w:val="00B50402"/>
    <w:rsid w:val="00B534DB"/>
    <w:rsid w:val="00B54786"/>
    <w:rsid w:val="00B54EE6"/>
    <w:rsid w:val="00B56008"/>
    <w:rsid w:val="00B57D63"/>
    <w:rsid w:val="00B57F53"/>
    <w:rsid w:val="00B6486B"/>
    <w:rsid w:val="00B67215"/>
    <w:rsid w:val="00B70381"/>
    <w:rsid w:val="00B724C2"/>
    <w:rsid w:val="00B72CBF"/>
    <w:rsid w:val="00B730DC"/>
    <w:rsid w:val="00B76CF7"/>
    <w:rsid w:val="00B76D53"/>
    <w:rsid w:val="00B812DE"/>
    <w:rsid w:val="00B813CF"/>
    <w:rsid w:val="00B85661"/>
    <w:rsid w:val="00B870DF"/>
    <w:rsid w:val="00B9102E"/>
    <w:rsid w:val="00B911BE"/>
    <w:rsid w:val="00B927CB"/>
    <w:rsid w:val="00B932AF"/>
    <w:rsid w:val="00BA3E77"/>
    <w:rsid w:val="00BA482C"/>
    <w:rsid w:val="00BA4A35"/>
    <w:rsid w:val="00BA4DF2"/>
    <w:rsid w:val="00BA5074"/>
    <w:rsid w:val="00BA7887"/>
    <w:rsid w:val="00BA797E"/>
    <w:rsid w:val="00BB0B68"/>
    <w:rsid w:val="00BB1FE9"/>
    <w:rsid w:val="00BB2E00"/>
    <w:rsid w:val="00BB3BE1"/>
    <w:rsid w:val="00BB3CB7"/>
    <w:rsid w:val="00BB60C7"/>
    <w:rsid w:val="00BC0767"/>
    <w:rsid w:val="00BC603D"/>
    <w:rsid w:val="00BC7E4D"/>
    <w:rsid w:val="00BD10CE"/>
    <w:rsid w:val="00BD144D"/>
    <w:rsid w:val="00BD181E"/>
    <w:rsid w:val="00BD4ADD"/>
    <w:rsid w:val="00BD4C93"/>
    <w:rsid w:val="00BD51B3"/>
    <w:rsid w:val="00BE162C"/>
    <w:rsid w:val="00BE24AB"/>
    <w:rsid w:val="00BE33B1"/>
    <w:rsid w:val="00BE4FFE"/>
    <w:rsid w:val="00BE62F9"/>
    <w:rsid w:val="00BF062C"/>
    <w:rsid w:val="00BF25B8"/>
    <w:rsid w:val="00BF3645"/>
    <w:rsid w:val="00BF3AE7"/>
    <w:rsid w:val="00BF3E35"/>
    <w:rsid w:val="00BF4831"/>
    <w:rsid w:val="00BF4CCF"/>
    <w:rsid w:val="00BF6816"/>
    <w:rsid w:val="00BF7711"/>
    <w:rsid w:val="00C00B7C"/>
    <w:rsid w:val="00C00D6C"/>
    <w:rsid w:val="00C00D6E"/>
    <w:rsid w:val="00C0270A"/>
    <w:rsid w:val="00C06212"/>
    <w:rsid w:val="00C076D6"/>
    <w:rsid w:val="00C10C47"/>
    <w:rsid w:val="00C11959"/>
    <w:rsid w:val="00C1230A"/>
    <w:rsid w:val="00C20001"/>
    <w:rsid w:val="00C219D7"/>
    <w:rsid w:val="00C22DBE"/>
    <w:rsid w:val="00C25243"/>
    <w:rsid w:val="00C2737A"/>
    <w:rsid w:val="00C274A6"/>
    <w:rsid w:val="00C27AA2"/>
    <w:rsid w:val="00C30EFC"/>
    <w:rsid w:val="00C35207"/>
    <w:rsid w:val="00C4108A"/>
    <w:rsid w:val="00C43364"/>
    <w:rsid w:val="00C43702"/>
    <w:rsid w:val="00C47606"/>
    <w:rsid w:val="00C501AE"/>
    <w:rsid w:val="00C519D1"/>
    <w:rsid w:val="00C521D4"/>
    <w:rsid w:val="00C56BB3"/>
    <w:rsid w:val="00C659C9"/>
    <w:rsid w:val="00C65AFC"/>
    <w:rsid w:val="00C667E7"/>
    <w:rsid w:val="00C71A29"/>
    <w:rsid w:val="00C73BF1"/>
    <w:rsid w:val="00C742EE"/>
    <w:rsid w:val="00C758A8"/>
    <w:rsid w:val="00C80054"/>
    <w:rsid w:val="00C827ED"/>
    <w:rsid w:val="00C82AA2"/>
    <w:rsid w:val="00C84FC0"/>
    <w:rsid w:val="00C85A9F"/>
    <w:rsid w:val="00C86A0E"/>
    <w:rsid w:val="00C876C4"/>
    <w:rsid w:val="00C9206B"/>
    <w:rsid w:val="00C9345D"/>
    <w:rsid w:val="00C9505B"/>
    <w:rsid w:val="00C9628E"/>
    <w:rsid w:val="00CA09C8"/>
    <w:rsid w:val="00CA1576"/>
    <w:rsid w:val="00CA6D1D"/>
    <w:rsid w:val="00CA78C5"/>
    <w:rsid w:val="00CB056D"/>
    <w:rsid w:val="00CB52A8"/>
    <w:rsid w:val="00CB79C6"/>
    <w:rsid w:val="00CC03DF"/>
    <w:rsid w:val="00CC5501"/>
    <w:rsid w:val="00CD2B57"/>
    <w:rsid w:val="00CE2817"/>
    <w:rsid w:val="00CE51CA"/>
    <w:rsid w:val="00CE7039"/>
    <w:rsid w:val="00CF0662"/>
    <w:rsid w:val="00CF088E"/>
    <w:rsid w:val="00CF0EAE"/>
    <w:rsid w:val="00CF18A0"/>
    <w:rsid w:val="00D01158"/>
    <w:rsid w:val="00D05ED2"/>
    <w:rsid w:val="00D07A6A"/>
    <w:rsid w:val="00D13390"/>
    <w:rsid w:val="00D13CAF"/>
    <w:rsid w:val="00D21E4A"/>
    <w:rsid w:val="00D37705"/>
    <w:rsid w:val="00D4743E"/>
    <w:rsid w:val="00D51A8A"/>
    <w:rsid w:val="00D51BFC"/>
    <w:rsid w:val="00D55867"/>
    <w:rsid w:val="00D55ED8"/>
    <w:rsid w:val="00D56BFB"/>
    <w:rsid w:val="00D56D65"/>
    <w:rsid w:val="00D57217"/>
    <w:rsid w:val="00D579F1"/>
    <w:rsid w:val="00D62214"/>
    <w:rsid w:val="00D6294D"/>
    <w:rsid w:val="00D645C6"/>
    <w:rsid w:val="00D66DE2"/>
    <w:rsid w:val="00D674A8"/>
    <w:rsid w:val="00D700B2"/>
    <w:rsid w:val="00D7170A"/>
    <w:rsid w:val="00D73348"/>
    <w:rsid w:val="00D74CC5"/>
    <w:rsid w:val="00D82E78"/>
    <w:rsid w:val="00D831FB"/>
    <w:rsid w:val="00D83C7C"/>
    <w:rsid w:val="00D846C2"/>
    <w:rsid w:val="00D85222"/>
    <w:rsid w:val="00D86615"/>
    <w:rsid w:val="00D86CD7"/>
    <w:rsid w:val="00D90F82"/>
    <w:rsid w:val="00D9111A"/>
    <w:rsid w:val="00D9161C"/>
    <w:rsid w:val="00DA318B"/>
    <w:rsid w:val="00DA5284"/>
    <w:rsid w:val="00DA568E"/>
    <w:rsid w:val="00DA5A8B"/>
    <w:rsid w:val="00DA748C"/>
    <w:rsid w:val="00DA75F0"/>
    <w:rsid w:val="00DA7615"/>
    <w:rsid w:val="00DB1B9C"/>
    <w:rsid w:val="00DB202E"/>
    <w:rsid w:val="00DB51FF"/>
    <w:rsid w:val="00DB6DE0"/>
    <w:rsid w:val="00DB70EE"/>
    <w:rsid w:val="00DB7DC8"/>
    <w:rsid w:val="00DC21DA"/>
    <w:rsid w:val="00DC7484"/>
    <w:rsid w:val="00DD20CE"/>
    <w:rsid w:val="00DD3C1C"/>
    <w:rsid w:val="00DE1F71"/>
    <w:rsid w:val="00DE4752"/>
    <w:rsid w:val="00DE4852"/>
    <w:rsid w:val="00DE746D"/>
    <w:rsid w:val="00DF027B"/>
    <w:rsid w:val="00DF0AA5"/>
    <w:rsid w:val="00DF1650"/>
    <w:rsid w:val="00DF1948"/>
    <w:rsid w:val="00DF42AE"/>
    <w:rsid w:val="00DF557F"/>
    <w:rsid w:val="00DF645B"/>
    <w:rsid w:val="00DF6512"/>
    <w:rsid w:val="00DF6D34"/>
    <w:rsid w:val="00DF7264"/>
    <w:rsid w:val="00E01656"/>
    <w:rsid w:val="00E106C0"/>
    <w:rsid w:val="00E127FD"/>
    <w:rsid w:val="00E13746"/>
    <w:rsid w:val="00E15778"/>
    <w:rsid w:val="00E15F97"/>
    <w:rsid w:val="00E17DA7"/>
    <w:rsid w:val="00E17FA9"/>
    <w:rsid w:val="00E22178"/>
    <w:rsid w:val="00E23227"/>
    <w:rsid w:val="00E23F24"/>
    <w:rsid w:val="00E26670"/>
    <w:rsid w:val="00E26C91"/>
    <w:rsid w:val="00E30206"/>
    <w:rsid w:val="00E30C0E"/>
    <w:rsid w:val="00E32612"/>
    <w:rsid w:val="00E333ED"/>
    <w:rsid w:val="00E34EE4"/>
    <w:rsid w:val="00E36A58"/>
    <w:rsid w:val="00E37CC9"/>
    <w:rsid w:val="00E42110"/>
    <w:rsid w:val="00E44F5A"/>
    <w:rsid w:val="00E46719"/>
    <w:rsid w:val="00E47A3E"/>
    <w:rsid w:val="00E51983"/>
    <w:rsid w:val="00E55916"/>
    <w:rsid w:val="00E66636"/>
    <w:rsid w:val="00E67EBC"/>
    <w:rsid w:val="00E70F66"/>
    <w:rsid w:val="00E71C3D"/>
    <w:rsid w:val="00E7524C"/>
    <w:rsid w:val="00E76E9B"/>
    <w:rsid w:val="00E7794F"/>
    <w:rsid w:val="00E82B00"/>
    <w:rsid w:val="00E84624"/>
    <w:rsid w:val="00E84AAD"/>
    <w:rsid w:val="00E86293"/>
    <w:rsid w:val="00E8643C"/>
    <w:rsid w:val="00E90B55"/>
    <w:rsid w:val="00E91989"/>
    <w:rsid w:val="00E924B9"/>
    <w:rsid w:val="00E96F65"/>
    <w:rsid w:val="00E97B58"/>
    <w:rsid w:val="00EA0B82"/>
    <w:rsid w:val="00EA2080"/>
    <w:rsid w:val="00EA3629"/>
    <w:rsid w:val="00EA3A27"/>
    <w:rsid w:val="00EA3DCA"/>
    <w:rsid w:val="00EA3E18"/>
    <w:rsid w:val="00EA3ED2"/>
    <w:rsid w:val="00EA3FF8"/>
    <w:rsid w:val="00EA7B00"/>
    <w:rsid w:val="00EB1740"/>
    <w:rsid w:val="00EB19A9"/>
    <w:rsid w:val="00EB28F7"/>
    <w:rsid w:val="00EB3E99"/>
    <w:rsid w:val="00EB5A1B"/>
    <w:rsid w:val="00EB742C"/>
    <w:rsid w:val="00EB7E2E"/>
    <w:rsid w:val="00EC0076"/>
    <w:rsid w:val="00EC479F"/>
    <w:rsid w:val="00ED000E"/>
    <w:rsid w:val="00ED0161"/>
    <w:rsid w:val="00ED2098"/>
    <w:rsid w:val="00ED2647"/>
    <w:rsid w:val="00ED380A"/>
    <w:rsid w:val="00ED4426"/>
    <w:rsid w:val="00ED4501"/>
    <w:rsid w:val="00ED4504"/>
    <w:rsid w:val="00EE0EEF"/>
    <w:rsid w:val="00EE1C3D"/>
    <w:rsid w:val="00EE1CCD"/>
    <w:rsid w:val="00EE33AB"/>
    <w:rsid w:val="00EE3851"/>
    <w:rsid w:val="00EE4D07"/>
    <w:rsid w:val="00EE6622"/>
    <w:rsid w:val="00EE796F"/>
    <w:rsid w:val="00EF00B9"/>
    <w:rsid w:val="00EF0C14"/>
    <w:rsid w:val="00EF232E"/>
    <w:rsid w:val="00EF271B"/>
    <w:rsid w:val="00EF3EBE"/>
    <w:rsid w:val="00EF5D34"/>
    <w:rsid w:val="00EF6DB1"/>
    <w:rsid w:val="00EF6ED2"/>
    <w:rsid w:val="00F00084"/>
    <w:rsid w:val="00F0108C"/>
    <w:rsid w:val="00F01C9F"/>
    <w:rsid w:val="00F02713"/>
    <w:rsid w:val="00F065DC"/>
    <w:rsid w:val="00F067BD"/>
    <w:rsid w:val="00F070CD"/>
    <w:rsid w:val="00F10108"/>
    <w:rsid w:val="00F1075B"/>
    <w:rsid w:val="00F1077F"/>
    <w:rsid w:val="00F11CCA"/>
    <w:rsid w:val="00F11F27"/>
    <w:rsid w:val="00F131D5"/>
    <w:rsid w:val="00F13445"/>
    <w:rsid w:val="00F1575E"/>
    <w:rsid w:val="00F15D91"/>
    <w:rsid w:val="00F17073"/>
    <w:rsid w:val="00F17821"/>
    <w:rsid w:val="00F20F5C"/>
    <w:rsid w:val="00F24FCD"/>
    <w:rsid w:val="00F2503F"/>
    <w:rsid w:val="00F25188"/>
    <w:rsid w:val="00F25190"/>
    <w:rsid w:val="00F258C0"/>
    <w:rsid w:val="00F25A71"/>
    <w:rsid w:val="00F25EB4"/>
    <w:rsid w:val="00F2786F"/>
    <w:rsid w:val="00F278A0"/>
    <w:rsid w:val="00F3111F"/>
    <w:rsid w:val="00F319BE"/>
    <w:rsid w:val="00F31A1B"/>
    <w:rsid w:val="00F364DE"/>
    <w:rsid w:val="00F36673"/>
    <w:rsid w:val="00F41076"/>
    <w:rsid w:val="00F41F6D"/>
    <w:rsid w:val="00F43497"/>
    <w:rsid w:val="00F44E7D"/>
    <w:rsid w:val="00F50D78"/>
    <w:rsid w:val="00F5147A"/>
    <w:rsid w:val="00F5177D"/>
    <w:rsid w:val="00F52BD5"/>
    <w:rsid w:val="00F532A3"/>
    <w:rsid w:val="00F57213"/>
    <w:rsid w:val="00F60BE8"/>
    <w:rsid w:val="00F60C82"/>
    <w:rsid w:val="00F61D33"/>
    <w:rsid w:val="00F6401A"/>
    <w:rsid w:val="00F64674"/>
    <w:rsid w:val="00F649F8"/>
    <w:rsid w:val="00F64E27"/>
    <w:rsid w:val="00F652CC"/>
    <w:rsid w:val="00F65F0D"/>
    <w:rsid w:val="00F67DF2"/>
    <w:rsid w:val="00F709CD"/>
    <w:rsid w:val="00F755A0"/>
    <w:rsid w:val="00F76F40"/>
    <w:rsid w:val="00F77278"/>
    <w:rsid w:val="00F77E80"/>
    <w:rsid w:val="00F803F5"/>
    <w:rsid w:val="00F82251"/>
    <w:rsid w:val="00F838A2"/>
    <w:rsid w:val="00F83CB2"/>
    <w:rsid w:val="00F9091C"/>
    <w:rsid w:val="00F96BF5"/>
    <w:rsid w:val="00F96E67"/>
    <w:rsid w:val="00FA4A34"/>
    <w:rsid w:val="00FA5B9B"/>
    <w:rsid w:val="00FA6293"/>
    <w:rsid w:val="00FA6D9A"/>
    <w:rsid w:val="00FB0E90"/>
    <w:rsid w:val="00FB36B8"/>
    <w:rsid w:val="00FB3AC4"/>
    <w:rsid w:val="00FB4AFE"/>
    <w:rsid w:val="00FB4FCA"/>
    <w:rsid w:val="00FC0AF4"/>
    <w:rsid w:val="00FC1539"/>
    <w:rsid w:val="00FC7ED3"/>
    <w:rsid w:val="00FD071B"/>
    <w:rsid w:val="00FD4D08"/>
    <w:rsid w:val="00FD6F8A"/>
    <w:rsid w:val="00FD74CB"/>
    <w:rsid w:val="00FE03D4"/>
    <w:rsid w:val="00FE247C"/>
    <w:rsid w:val="00FE6B83"/>
    <w:rsid w:val="00FE70A1"/>
    <w:rsid w:val="00FE7C63"/>
    <w:rsid w:val="00FF12AA"/>
    <w:rsid w:val="00FF211E"/>
    <w:rsid w:val="00FF5E43"/>
    <w:rsid w:val="00FF6ACA"/>
    <w:rsid w:val="00FF6DAB"/>
    <w:rsid w:val="00FF6E0A"/>
    <w:rsid w:val="00FF7A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4A01846"/>
  <w15:chartTrackingRefBased/>
  <w15:docId w15:val="{80CD2A4C-F689-4781-9D10-687F9C13E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3E77"/>
    <w:pPr>
      <w:spacing w:line="360" w:lineRule="auto"/>
      <w:jc w:val="both"/>
    </w:pPr>
    <w:rPr>
      <w:rFonts w:ascii="Arial" w:hAnsi="Arial"/>
      <w:iCs/>
      <w:color w:val="000000" w:themeColor="text1"/>
      <w:sz w:val="24"/>
      <w:szCs w:val="24"/>
      <w:lang w:val="en-GB"/>
    </w:rPr>
  </w:style>
  <w:style w:type="paragraph" w:styleId="Heading1">
    <w:name w:val="heading 1"/>
    <w:basedOn w:val="Normal"/>
    <w:next w:val="Normal"/>
    <w:link w:val="Heading1Char"/>
    <w:uiPriority w:val="9"/>
    <w:qFormat/>
    <w:rsid w:val="00897620"/>
    <w:pPr>
      <w:outlineLvl w:val="0"/>
    </w:pPr>
    <w:rPr>
      <w:rFonts w:cs="Arial"/>
      <w:b/>
      <w:sz w:val="28"/>
      <w:szCs w:val="28"/>
    </w:rPr>
  </w:style>
  <w:style w:type="paragraph" w:styleId="Heading2">
    <w:name w:val="heading 2"/>
    <w:basedOn w:val="Normal"/>
    <w:next w:val="Normal"/>
    <w:link w:val="Heading2Char"/>
    <w:uiPriority w:val="9"/>
    <w:unhideWhenUsed/>
    <w:qFormat/>
    <w:rsid w:val="004F2542"/>
    <w:pPr>
      <w:outlineLvl w:val="1"/>
    </w:pPr>
    <w:rPr>
      <w:rFonts w:cs="Arial"/>
      <w:b/>
    </w:rPr>
  </w:style>
  <w:style w:type="paragraph" w:styleId="Heading3">
    <w:name w:val="heading 3"/>
    <w:basedOn w:val="Normal"/>
    <w:next w:val="Normal"/>
    <w:link w:val="Heading3Char"/>
    <w:uiPriority w:val="9"/>
    <w:unhideWhenUsed/>
    <w:qFormat/>
    <w:rsid w:val="00814753"/>
    <w:pPr>
      <w:outlineLvl w:val="2"/>
    </w:pPr>
    <w:rPr>
      <w:b/>
      <w:sz w:val="22"/>
    </w:rPr>
  </w:style>
  <w:style w:type="paragraph" w:styleId="Heading4">
    <w:name w:val="heading 4"/>
    <w:basedOn w:val="Normal"/>
    <w:next w:val="Normal"/>
    <w:link w:val="Heading4Char"/>
    <w:uiPriority w:val="9"/>
    <w:unhideWhenUsed/>
    <w:qFormat/>
    <w:rsid w:val="000D7D3D"/>
    <w:pPr>
      <w:keepNext/>
      <w:keepLines/>
      <w:spacing w:before="40" w:after="0"/>
      <w:outlineLvl w:val="3"/>
    </w:pPr>
    <w:rPr>
      <w:rFonts w:asciiTheme="majorHAnsi" w:eastAsiaTheme="majorEastAsia" w:hAnsiTheme="majorHAnsi" w:cstheme="majorBidi"/>
      <w:i/>
      <w:iCs w:val="0"/>
      <w:color w:val="2E74B5" w:themeColor="accent1" w:themeShade="BF"/>
    </w:rPr>
  </w:style>
  <w:style w:type="paragraph" w:styleId="Heading5">
    <w:name w:val="heading 5"/>
    <w:basedOn w:val="Normal"/>
    <w:next w:val="Normal"/>
    <w:link w:val="Heading5Char"/>
    <w:uiPriority w:val="9"/>
    <w:unhideWhenUsed/>
    <w:qFormat/>
    <w:rsid w:val="000D7D3D"/>
    <w:pPr>
      <w:keepNext/>
      <w:keepLines/>
      <w:spacing w:before="40" w:after="0"/>
      <w:outlineLvl w:val="4"/>
    </w:pPr>
    <w:rPr>
      <w:rFonts w:asciiTheme="majorHAnsi" w:eastAsiaTheme="majorEastAsia" w:hAnsiTheme="majorHAnsi" w:cstheme="majorBidi"/>
      <w:iCs w:val="0"/>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F2542"/>
    <w:pPr>
      <w:contextualSpacing/>
      <w:outlineLvl w:val="0"/>
    </w:pPr>
    <w:rPr>
      <w:rFonts w:eastAsiaTheme="majorEastAsia" w:cs="Arial"/>
      <w:b/>
      <w:spacing w:val="-10"/>
      <w:kern w:val="28"/>
      <w:sz w:val="32"/>
      <w:szCs w:val="32"/>
    </w:rPr>
  </w:style>
  <w:style w:type="character" w:customStyle="1" w:styleId="TitleChar">
    <w:name w:val="Title Char"/>
    <w:basedOn w:val="DefaultParagraphFont"/>
    <w:link w:val="Title"/>
    <w:uiPriority w:val="10"/>
    <w:rsid w:val="004F2542"/>
    <w:rPr>
      <w:rFonts w:ascii="Arial" w:eastAsiaTheme="majorEastAsia" w:hAnsi="Arial" w:cs="Arial"/>
      <w:b/>
      <w:color w:val="000000" w:themeColor="text1"/>
      <w:spacing w:val="-10"/>
      <w:kern w:val="28"/>
      <w:sz w:val="32"/>
      <w:szCs w:val="32"/>
      <w:lang w:val="en-GB"/>
    </w:rPr>
  </w:style>
  <w:style w:type="character" w:customStyle="1" w:styleId="Heading1Char">
    <w:name w:val="Heading 1 Char"/>
    <w:basedOn w:val="DefaultParagraphFont"/>
    <w:link w:val="Heading1"/>
    <w:uiPriority w:val="9"/>
    <w:rsid w:val="00897620"/>
    <w:rPr>
      <w:rFonts w:ascii="Arial" w:hAnsi="Arial" w:cs="Arial"/>
      <w:b/>
      <w:sz w:val="28"/>
      <w:szCs w:val="28"/>
      <w:lang w:val="en-GB"/>
    </w:rPr>
  </w:style>
  <w:style w:type="character" w:customStyle="1" w:styleId="Heading2Char">
    <w:name w:val="Heading 2 Char"/>
    <w:basedOn w:val="DefaultParagraphFont"/>
    <w:link w:val="Heading2"/>
    <w:uiPriority w:val="9"/>
    <w:rsid w:val="004F2542"/>
    <w:rPr>
      <w:rFonts w:ascii="Arial" w:hAnsi="Arial" w:cs="Arial"/>
      <w:b/>
      <w:color w:val="000000" w:themeColor="text1"/>
      <w:sz w:val="24"/>
      <w:szCs w:val="24"/>
      <w:lang w:val="en-GB"/>
    </w:rPr>
  </w:style>
  <w:style w:type="character" w:customStyle="1" w:styleId="Heading3Char">
    <w:name w:val="Heading 3 Char"/>
    <w:basedOn w:val="DefaultParagraphFont"/>
    <w:link w:val="Heading3"/>
    <w:uiPriority w:val="9"/>
    <w:rsid w:val="00814753"/>
    <w:rPr>
      <w:rFonts w:ascii="Arial" w:hAnsi="Arial"/>
      <w:b/>
      <w:iCs/>
      <w:color w:val="000000" w:themeColor="text1"/>
      <w:szCs w:val="24"/>
      <w:lang w:val="en-GB"/>
    </w:rPr>
  </w:style>
  <w:style w:type="numbering" w:customStyle="1" w:styleId="NoList1">
    <w:name w:val="No List1"/>
    <w:next w:val="NoList"/>
    <w:uiPriority w:val="99"/>
    <w:semiHidden/>
    <w:unhideWhenUsed/>
    <w:rsid w:val="000D7D3D"/>
  </w:style>
  <w:style w:type="paragraph" w:styleId="FootnoteText">
    <w:name w:val="footnote text"/>
    <w:basedOn w:val="Normal"/>
    <w:link w:val="FootnoteTextChar"/>
    <w:uiPriority w:val="99"/>
    <w:unhideWhenUsed/>
    <w:rsid w:val="000D7D3D"/>
    <w:pPr>
      <w:spacing w:line="240" w:lineRule="auto"/>
      <w:ind w:firstLine="720"/>
    </w:pPr>
    <w:rPr>
      <w:rFonts w:cs="Arial"/>
      <w:sz w:val="20"/>
      <w:szCs w:val="20"/>
    </w:rPr>
  </w:style>
  <w:style w:type="character" w:customStyle="1" w:styleId="FootnoteTextChar">
    <w:name w:val="Footnote Text Char"/>
    <w:basedOn w:val="DefaultParagraphFont"/>
    <w:link w:val="FootnoteText"/>
    <w:uiPriority w:val="99"/>
    <w:rsid w:val="000D7D3D"/>
    <w:rPr>
      <w:rFonts w:ascii="Arial" w:hAnsi="Arial" w:cs="Arial"/>
      <w:color w:val="000000" w:themeColor="text1"/>
      <w:sz w:val="20"/>
      <w:szCs w:val="20"/>
      <w:lang w:val="en-GB"/>
    </w:rPr>
  </w:style>
  <w:style w:type="character" w:styleId="FootnoteReference">
    <w:name w:val="footnote reference"/>
    <w:basedOn w:val="DefaultParagraphFont"/>
    <w:uiPriority w:val="99"/>
    <w:semiHidden/>
    <w:unhideWhenUsed/>
    <w:rsid w:val="000D7D3D"/>
    <w:rPr>
      <w:vertAlign w:val="superscript"/>
    </w:rPr>
  </w:style>
  <w:style w:type="character" w:customStyle="1" w:styleId="selectable">
    <w:name w:val="selectable"/>
    <w:basedOn w:val="DefaultParagraphFont"/>
    <w:rsid w:val="000D7D3D"/>
  </w:style>
  <w:style w:type="character" w:styleId="EndnoteReference">
    <w:name w:val="endnote reference"/>
    <w:basedOn w:val="DefaultParagraphFont"/>
    <w:uiPriority w:val="99"/>
    <w:semiHidden/>
    <w:unhideWhenUsed/>
    <w:rsid w:val="000D7D3D"/>
    <w:rPr>
      <w:vertAlign w:val="superscript"/>
    </w:rPr>
  </w:style>
  <w:style w:type="paragraph" w:styleId="NoSpacing">
    <w:name w:val="No Spacing"/>
    <w:uiPriority w:val="1"/>
    <w:qFormat/>
    <w:rsid w:val="000D7D3D"/>
    <w:pPr>
      <w:spacing w:line="240" w:lineRule="auto"/>
      <w:ind w:firstLine="720"/>
      <w:jc w:val="both"/>
    </w:pPr>
    <w:rPr>
      <w:rFonts w:ascii="Arial" w:hAnsi="Arial" w:cs="Arial"/>
      <w:color w:val="000000" w:themeColor="text1"/>
      <w:sz w:val="24"/>
      <w:szCs w:val="24"/>
    </w:rPr>
  </w:style>
  <w:style w:type="character" w:customStyle="1" w:styleId="normaltextrun">
    <w:name w:val="normaltextrun"/>
    <w:basedOn w:val="DefaultParagraphFont"/>
    <w:rsid w:val="000D7D3D"/>
  </w:style>
  <w:style w:type="paragraph" w:styleId="Header">
    <w:name w:val="header"/>
    <w:basedOn w:val="Normal"/>
    <w:link w:val="HeaderChar"/>
    <w:uiPriority w:val="99"/>
    <w:unhideWhenUsed/>
    <w:rsid w:val="000D7D3D"/>
    <w:pPr>
      <w:tabs>
        <w:tab w:val="center" w:pos="4513"/>
        <w:tab w:val="right" w:pos="9026"/>
      </w:tabs>
      <w:spacing w:after="0" w:line="240" w:lineRule="auto"/>
      <w:ind w:firstLine="720"/>
    </w:pPr>
    <w:rPr>
      <w:rFonts w:cs="Arial"/>
    </w:rPr>
  </w:style>
  <w:style w:type="character" w:customStyle="1" w:styleId="HeaderChar">
    <w:name w:val="Header Char"/>
    <w:basedOn w:val="DefaultParagraphFont"/>
    <w:link w:val="Header"/>
    <w:uiPriority w:val="99"/>
    <w:rsid w:val="000D7D3D"/>
    <w:rPr>
      <w:rFonts w:ascii="Arial" w:hAnsi="Arial" w:cs="Arial"/>
      <w:color w:val="000000" w:themeColor="text1"/>
      <w:sz w:val="24"/>
      <w:szCs w:val="24"/>
      <w:lang w:val="en-GB"/>
    </w:rPr>
  </w:style>
  <w:style w:type="paragraph" w:styleId="Footer">
    <w:name w:val="footer"/>
    <w:basedOn w:val="Normal"/>
    <w:link w:val="FooterChar"/>
    <w:uiPriority w:val="99"/>
    <w:unhideWhenUsed/>
    <w:rsid w:val="000D7D3D"/>
    <w:pPr>
      <w:tabs>
        <w:tab w:val="center" w:pos="4513"/>
        <w:tab w:val="right" w:pos="9026"/>
      </w:tabs>
      <w:spacing w:after="0" w:line="240" w:lineRule="auto"/>
      <w:ind w:firstLine="720"/>
    </w:pPr>
    <w:rPr>
      <w:rFonts w:cs="Arial"/>
    </w:rPr>
  </w:style>
  <w:style w:type="character" w:customStyle="1" w:styleId="FooterChar">
    <w:name w:val="Footer Char"/>
    <w:basedOn w:val="DefaultParagraphFont"/>
    <w:link w:val="Footer"/>
    <w:uiPriority w:val="99"/>
    <w:rsid w:val="000D7D3D"/>
    <w:rPr>
      <w:rFonts w:ascii="Arial" w:hAnsi="Arial" w:cs="Arial"/>
      <w:color w:val="000000" w:themeColor="text1"/>
      <w:sz w:val="24"/>
      <w:szCs w:val="24"/>
      <w:lang w:val="en-GB"/>
    </w:rPr>
  </w:style>
  <w:style w:type="character" w:styleId="CommentReference">
    <w:name w:val="annotation reference"/>
    <w:basedOn w:val="DefaultParagraphFont"/>
    <w:rsid w:val="000D7D3D"/>
    <w:rPr>
      <w:sz w:val="16"/>
      <w:szCs w:val="16"/>
    </w:rPr>
  </w:style>
  <w:style w:type="paragraph" w:styleId="CommentText">
    <w:name w:val="annotation text"/>
    <w:basedOn w:val="Normal"/>
    <w:link w:val="CommentTextChar"/>
    <w:uiPriority w:val="99"/>
    <w:unhideWhenUsed/>
    <w:rsid w:val="000D7D3D"/>
    <w:pPr>
      <w:spacing w:line="240" w:lineRule="auto"/>
      <w:ind w:firstLine="720"/>
    </w:pPr>
    <w:rPr>
      <w:rFonts w:cs="Arial"/>
      <w:sz w:val="20"/>
      <w:szCs w:val="20"/>
    </w:rPr>
  </w:style>
  <w:style w:type="character" w:customStyle="1" w:styleId="CommentTextChar">
    <w:name w:val="Comment Text Char"/>
    <w:basedOn w:val="DefaultParagraphFont"/>
    <w:link w:val="CommentText"/>
    <w:uiPriority w:val="99"/>
    <w:rsid w:val="000D7D3D"/>
    <w:rPr>
      <w:rFonts w:ascii="Arial" w:hAnsi="Arial" w:cs="Arial"/>
      <w:color w:val="000000" w:themeColor="text1"/>
      <w:sz w:val="20"/>
      <w:szCs w:val="20"/>
      <w:lang w:val="en-GB"/>
    </w:rPr>
  </w:style>
  <w:style w:type="paragraph" w:styleId="BalloonText">
    <w:name w:val="Balloon Text"/>
    <w:basedOn w:val="Normal"/>
    <w:link w:val="BalloonTextChar"/>
    <w:uiPriority w:val="99"/>
    <w:semiHidden/>
    <w:unhideWhenUsed/>
    <w:rsid w:val="000D7D3D"/>
    <w:pPr>
      <w:spacing w:after="0" w:line="240" w:lineRule="auto"/>
      <w:ind w:firstLine="72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7D3D"/>
    <w:rPr>
      <w:rFonts w:ascii="Segoe UI" w:hAnsi="Segoe UI" w:cs="Segoe UI"/>
      <w:color w:val="000000" w:themeColor="text1"/>
      <w:sz w:val="18"/>
      <w:szCs w:val="18"/>
      <w:lang w:val="en-GB"/>
    </w:rPr>
  </w:style>
  <w:style w:type="character" w:customStyle="1" w:styleId="tgc">
    <w:name w:val="_tgc"/>
    <w:basedOn w:val="DefaultParagraphFont"/>
    <w:rsid w:val="000D7D3D"/>
  </w:style>
  <w:style w:type="numbering" w:customStyle="1" w:styleId="NoList2">
    <w:name w:val="No List2"/>
    <w:next w:val="NoList"/>
    <w:uiPriority w:val="99"/>
    <w:semiHidden/>
    <w:unhideWhenUsed/>
    <w:rsid w:val="000D7D3D"/>
  </w:style>
  <w:style w:type="character" w:customStyle="1" w:styleId="CommentSubjectChar">
    <w:name w:val="Comment Subject Char"/>
    <w:basedOn w:val="CommentTextChar"/>
    <w:link w:val="CommentSubject"/>
    <w:uiPriority w:val="99"/>
    <w:semiHidden/>
    <w:rsid w:val="000D7D3D"/>
    <w:rPr>
      <w:rFonts w:ascii="Arial" w:hAnsi="Arial" w:cs="Arial"/>
      <w:b/>
      <w:bCs/>
      <w:color w:val="000000" w:themeColor="text1"/>
      <w:sz w:val="20"/>
      <w:szCs w:val="20"/>
      <w:lang w:val="en-GB"/>
    </w:rPr>
  </w:style>
  <w:style w:type="paragraph" w:styleId="CommentSubject">
    <w:name w:val="annotation subject"/>
    <w:basedOn w:val="CommentText"/>
    <w:next w:val="CommentText"/>
    <w:link w:val="CommentSubjectChar"/>
    <w:uiPriority w:val="99"/>
    <w:semiHidden/>
    <w:unhideWhenUsed/>
    <w:rsid w:val="000D7D3D"/>
    <w:pPr>
      <w:ind w:firstLine="0"/>
    </w:pPr>
    <w:rPr>
      <w:rFonts w:cstheme="minorBidi"/>
      <w:b/>
      <w:bCs/>
      <w:color w:val="auto"/>
    </w:rPr>
  </w:style>
  <w:style w:type="character" w:customStyle="1" w:styleId="CommentSubjectChar1">
    <w:name w:val="Comment Subject Char1"/>
    <w:basedOn w:val="CommentTextChar"/>
    <w:uiPriority w:val="99"/>
    <w:semiHidden/>
    <w:rsid w:val="000D7D3D"/>
    <w:rPr>
      <w:rFonts w:ascii="Arial" w:hAnsi="Arial" w:cs="Arial"/>
      <w:b/>
      <w:bCs/>
      <w:color w:val="000000" w:themeColor="text1"/>
      <w:sz w:val="20"/>
      <w:szCs w:val="20"/>
      <w:lang w:val="en-GB"/>
    </w:rPr>
  </w:style>
  <w:style w:type="paragraph" w:styleId="ListParagraph">
    <w:name w:val="List Paragraph"/>
    <w:basedOn w:val="Normal"/>
    <w:uiPriority w:val="34"/>
    <w:qFormat/>
    <w:rsid w:val="000D7D3D"/>
    <w:pPr>
      <w:ind w:left="720"/>
      <w:contextualSpacing/>
    </w:pPr>
  </w:style>
  <w:style w:type="paragraph" w:styleId="NormalWeb">
    <w:name w:val="Normal (Web)"/>
    <w:basedOn w:val="Normal"/>
    <w:uiPriority w:val="99"/>
    <w:unhideWhenUsed/>
    <w:rsid w:val="000D7D3D"/>
    <w:pPr>
      <w:spacing w:before="100" w:beforeAutospacing="1" w:after="100" w:afterAutospacing="1" w:line="240" w:lineRule="auto"/>
    </w:pPr>
    <w:rPr>
      <w:rFonts w:ascii="Times New Roman" w:eastAsiaTheme="minorEastAsia" w:hAnsi="Times New Roman" w:cs="Times New Roman"/>
      <w:lang w:eastAsia="en-GB"/>
    </w:rPr>
  </w:style>
  <w:style w:type="paragraph" w:styleId="Subtitle">
    <w:name w:val="Subtitle"/>
    <w:basedOn w:val="Normal"/>
    <w:next w:val="Normal"/>
    <w:link w:val="SubtitleChar"/>
    <w:uiPriority w:val="11"/>
    <w:qFormat/>
    <w:rsid w:val="002346A1"/>
    <w:rPr>
      <w:b/>
      <w:bCs/>
      <w:sz w:val="22"/>
    </w:rPr>
  </w:style>
  <w:style w:type="character" w:customStyle="1" w:styleId="SubtitleChar">
    <w:name w:val="Subtitle Char"/>
    <w:basedOn w:val="DefaultParagraphFont"/>
    <w:link w:val="Subtitle"/>
    <w:uiPriority w:val="11"/>
    <w:rsid w:val="002346A1"/>
    <w:rPr>
      <w:rFonts w:ascii="Arial" w:hAnsi="Arial"/>
      <w:b/>
      <w:bCs/>
      <w:iCs/>
      <w:color w:val="000000" w:themeColor="text1"/>
      <w:szCs w:val="24"/>
      <w:lang w:val="en-GB"/>
    </w:rPr>
  </w:style>
  <w:style w:type="table" w:styleId="TableGrid">
    <w:name w:val="Table Grid"/>
    <w:basedOn w:val="TableNormal"/>
    <w:uiPriority w:val="39"/>
    <w:rsid w:val="000D7D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0D7D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0D7D3D"/>
    <w:rPr>
      <w:rFonts w:ascii="Courier New" w:eastAsia="Times New Roman" w:hAnsi="Courier New" w:cs="Courier New"/>
      <w:sz w:val="20"/>
      <w:szCs w:val="20"/>
      <w:lang w:val="en-GB" w:eastAsia="en-GB"/>
    </w:rPr>
  </w:style>
  <w:style w:type="character" w:customStyle="1" w:styleId="st">
    <w:name w:val="st"/>
    <w:basedOn w:val="DefaultParagraphFont"/>
    <w:rsid w:val="000D7D3D"/>
  </w:style>
  <w:style w:type="character" w:styleId="Hyperlink">
    <w:name w:val="Hyperlink"/>
    <w:basedOn w:val="DefaultParagraphFont"/>
    <w:uiPriority w:val="99"/>
    <w:unhideWhenUsed/>
    <w:rsid w:val="000D7D3D"/>
    <w:rPr>
      <w:color w:val="0563C1"/>
      <w:u w:val="single"/>
    </w:rPr>
  </w:style>
  <w:style w:type="paragraph" w:customStyle="1" w:styleId="Default">
    <w:name w:val="Default"/>
    <w:rsid w:val="000D7D3D"/>
    <w:pPr>
      <w:autoSpaceDE w:val="0"/>
      <w:autoSpaceDN w:val="0"/>
      <w:adjustRightInd w:val="0"/>
      <w:spacing w:after="0" w:line="240" w:lineRule="auto"/>
    </w:pPr>
    <w:rPr>
      <w:rFonts w:ascii="Arial" w:hAnsi="Arial" w:cs="Arial"/>
      <w:color w:val="000000"/>
      <w:sz w:val="24"/>
      <w:szCs w:val="24"/>
      <w:lang w:val="en-GB"/>
    </w:rPr>
  </w:style>
  <w:style w:type="character" w:customStyle="1" w:styleId="Heading4Char">
    <w:name w:val="Heading 4 Char"/>
    <w:basedOn w:val="DefaultParagraphFont"/>
    <w:link w:val="Heading4"/>
    <w:uiPriority w:val="9"/>
    <w:rsid w:val="000D7D3D"/>
    <w:rPr>
      <w:rFonts w:asciiTheme="majorHAnsi" w:eastAsiaTheme="majorEastAsia" w:hAnsiTheme="majorHAnsi" w:cstheme="majorBidi"/>
      <w:i/>
      <w:iCs/>
      <w:color w:val="2E74B5" w:themeColor="accent1" w:themeShade="BF"/>
      <w:lang w:val="en-GB"/>
    </w:rPr>
  </w:style>
  <w:style w:type="numbering" w:customStyle="1" w:styleId="NoList3">
    <w:name w:val="No List3"/>
    <w:next w:val="NoList"/>
    <w:uiPriority w:val="99"/>
    <w:semiHidden/>
    <w:unhideWhenUsed/>
    <w:rsid w:val="000D7D3D"/>
  </w:style>
  <w:style w:type="table" w:customStyle="1" w:styleId="TableGrid1">
    <w:name w:val="Table Grid1"/>
    <w:basedOn w:val="TableNormal"/>
    <w:next w:val="TableGrid"/>
    <w:uiPriority w:val="39"/>
    <w:rsid w:val="000D7D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0D7D3D"/>
  </w:style>
  <w:style w:type="numbering" w:customStyle="1" w:styleId="NoList11">
    <w:name w:val="No List11"/>
    <w:next w:val="NoList"/>
    <w:uiPriority w:val="99"/>
    <w:semiHidden/>
    <w:unhideWhenUsed/>
    <w:rsid w:val="000D7D3D"/>
  </w:style>
  <w:style w:type="table" w:customStyle="1" w:styleId="TableGrid2">
    <w:name w:val="Table Grid2"/>
    <w:basedOn w:val="TableNormal"/>
    <w:next w:val="TableGrid"/>
    <w:uiPriority w:val="39"/>
    <w:rsid w:val="000D7D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0D7D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0D7D3D"/>
    <w:rPr>
      <w:rFonts w:asciiTheme="majorHAnsi" w:eastAsiaTheme="majorEastAsia" w:hAnsiTheme="majorHAnsi" w:cstheme="majorBidi"/>
      <w:iCs/>
      <w:color w:val="2E74B5" w:themeColor="accent1" w:themeShade="BF"/>
      <w:sz w:val="24"/>
      <w:szCs w:val="24"/>
      <w:lang w:val="en-GB"/>
    </w:rPr>
  </w:style>
  <w:style w:type="numbering" w:customStyle="1" w:styleId="NoList5">
    <w:name w:val="No List5"/>
    <w:next w:val="NoList"/>
    <w:uiPriority w:val="99"/>
    <w:semiHidden/>
    <w:unhideWhenUsed/>
    <w:rsid w:val="000D7D3D"/>
  </w:style>
  <w:style w:type="character" w:styleId="SubtleEmphasis">
    <w:name w:val="Subtle Emphasis"/>
    <w:uiPriority w:val="19"/>
    <w:qFormat/>
    <w:rsid w:val="000D7D3D"/>
  </w:style>
  <w:style w:type="table" w:customStyle="1" w:styleId="TableGrid3">
    <w:name w:val="Table Grid3"/>
    <w:basedOn w:val="TableNormal"/>
    <w:next w:val="TableGrid"/>
    <w:uiPriority w:val="39"/>
    <w:rsid w:val="000D7D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223DC5"/>
  </w:style>
  <w:style w:type="paragraph" w:styleId="TOC2">
    <w:name w:val="toc 2"/>
    <w:basedOn w:val="Normal"/>
    <w:next w:val="Normal"/>
    <w:autoRedefine/>
    <w:uiPriority w:val="39"/>
    <w:unhideWhenUsed/>
    <w:rsid w:val="00AF36E4"/>
    <w:pPr>
      <w:spacing w:after="100"/>
      <w:ind w:left="240"/>
    </w:pPr>
    <w:rPr>
      <w:b/>
      <w:sz w:val="22"/>
    </w:rPr>
  </w:style>
  <w:style w:type="paragraph" w:styleId="TOC1">
    <w:name w:val="toc 1"/>
    <w:basedOn w:val="Normal"/>
    <w:next w:val="Normal"/>
    <w:autoRedefine/>
    <w:uiPriority w:val="39"/>
    <w:unhideWhenUsed/>
    <w:rsid w:val="00F278A0"/>
    <w:pPr>
      <w:spacing w:after="100"/>
    </w:pPr>
    <w:rPr>
      <w:b/>
      <w:sz w:val="28"/>
    </w:rPr>
  </w:style>
  <w:style w:type="paragraph" w:styleId="TOC3">
    <w:name w:val="toc 3"/>
    <w:basedOn w:val="Normal"/>
    <w:next w:val="Normal"/>
    <w:autoRedefine/>
    <w:uiPriority w:val="39"/>
    <w:unhideWhenUsed/>
    <w:rsid w:val="00F278A0"/>
    <w:pPr>
      <w:spacing w:after="100"/>
      <w:ind w:left="480"/>
    </w:pPr>
    <w:rPr>
      <w:sz w:val="20"/>
    </w:rPr>
  </w:style>
  <w:style w:type="paragraph" w:styleId="TOC4">
    <w:name w:val="toc 4"/>
    <w:basedOn w:val="Normal"/>
    <w:next w:val="Normal"/>
    <w:autoRedefine/>
    <w:uiPriority w:val="39"/>
    <w:unhideWhenUsed/>
    <w:rsid w:val="00AF36E4"/>
    <w:pPr>
      <w:spacing w:after="100"/>
      <w:ind w:left="720"/>
    </w:pPr>
    <w:rPr>
      <w:sz w:val="18"/>
    </w:rPr>
  </w:style>
  <w:style w:type="paragraph" w:styleId="TOC5">
    <w:name w:val="toc 5"/>
    <w:basedOn w:val="Normal"/>
    <w:next w:val="Normal"/>
    <w:autoRedefine/>
    <w:uiPriority w:val="39"/>
    <w:unhideWhenUsed/>
    <w:rsid w:val="00AF36E4"/>
    <w:pPr>
      <w:spacing w:after="100" w:line="259" w:lineRule="auto"/>
      <w:ind w:left="880"/>
      <w:jc w:val="left"/>
    </w:pPr>
    <w:rPr>
      <w:rFonts w:asciiTheme="minorHAnsi" w:eastAsiaTheme="minorEastAsia" w:hAnsiTheme="minorHAnsi"/>
      <w:iCs w:val="0"/>
      <w:color w:val="auto"/>
      <w:sz w:val="22"/>
      <w:szCs w:val="22"/>
      <w:lang w:eastAsia="en-GB"/>
    </w:rPr>
  </w:style>
  <w:style w:type="paragraph" w:styleId="TOC6">
    <w:name w:val="toc 6"/>
    <w:basedOn w:val="Normal"/>
    <w:next w:val="Normal"/>
    <w:autoRedefine/>
    <w:uiPriority w:val="39"/>
    <w:unhideWhenUsed/>
    <w:rsid w:val="00AF36E4"/>
    <w:pPr>
      <w:spacing w:after="100" w:line="259" w:lineRule="auto"/>
      <w:ind w:left="1100"/>
      <w:jc w:val="left"/>
    </w:pPr>
    <w:rPr>
      <w:rFonts w:asciiTheme="minorHAnsi" w:eastAsiaTheme="minorEastAsia" w:hAnsiTheme="minorHAnsi"/>
      <w:iCs w:val="0"/>
      <w:color w:val="auto"/>
      <w:sz w:val="22"/>
      <w:szCs w:val="22"/>
      <w:lang w:eastAsia="en-GB"/>
    </w:rPr>
  </w:style>
  <w:style w:type="paragraph" w:styleId="TOC7">
    <w:name w:val="toc 7"/>
    <w:basedOn w:val="Normal"/>
    <w:next w:val="Normal"/>
    <w:autoRedefine/>
    <w:uiPriority w:val="39"/>
    <w:unhideWhenUsed/>
    <w:rsid w:val="00AF36E4"/>
    <w:pPr>
      <w:spacing w:after="100" w:line="259" w:lineRule="auto"/>
      <w:ind w:left="1320"/>
      <w:jc w:val="left"/>
    </w:pPr>
    <w:rPr>
      <w:rFonts w:asciiTheme="minorHAnsi" w:eastAsiaTheme="minorEastAsia" w:hAnsiTheme="minorHAnsi"/>
      <w:iCs w:val="0"/>
      <w:color w:val="auto"/>
      <w:sz w:val="22"/>
      <w:szCs w:val="22"/>
      <w:lang w:eastAsia="en-GB"/>
    </w:rPr>
  </w:style>
  <w:style w:type="paragraph" w:styleId="TOC8">
    <w:name w:val="toc 8"/>
    <w:basedOn w:val="Normal"/>
    <w:next w:val="Normal"/>
    <w:autoRedefine/>
    <w:uiPriority w:val="39"/>
    <w:unhideWhenUsed/>
    <w:rsid w:val="00AF36E4"/>
    <w:pPr>
      <w:spacing w:after="100" w:line="259" w:lineRule="auto"/>
      <w:ind w:left="1540"/>
      <w:jc w:val="left"/>
    </w:pPr>
    <w:rPr>
      <w:rFonts w:asciiTheme="minorHAnsi" w:eastAsiaTheme="minorEastAsia" w:hAnsiTheme="minorHAnsi"/>
      <w:iCs w:val="0"/>
      <w:color w:val="auto"/>
      <w:sz w:val="22"/>
      <w:szCs w:val="22"/>
      <w:lang w:eastAsia="en-GB"/>
    </w:rPr>
  </w:style>
  <w:style w:type="paragraph" w:styleId="TOC9">
    <w:name w:val="toc 9"/>
    <w:basedOn w:val="Normal"/>
    <w:next w:val="Normal"/>
    <w:autoRedefine/>
    <w:uiPriority w:val="39"/>
    <w:unhideWhenUsed/>
    <w:rsid w:val="00AF36E4"/>
    <w:pPr>
      <w:spacing w:after="100" w:line="259" w:lineRule="auto"/>
      <w:ind w:left="1760"/>
      <w:jc w:val="left"/>
    </w:pPr>
    <w:rPr>
      <w:rFonts w:asciiTheme="minorHAnsi" w:eastAsiaTheme="minorEastAsia" w:hAnsiTheme="minorHAnsi"/>
      <w:iCs w:val="0"/>
      <w:color w:val="auto"/>
      <w:sz w:val="22"/>
      <w:szCs w:val="22"/>
      <w:lang w:eastAsia="en-GB"/>
    </w:rPr>
  </w:style>
  <w:style w:type="paragraph" w:styleId="Revision">
    <w:name w:val="Revision"/>
    <w:hidden/>
    <w:uiPriority w:val="99"/>
    <w:semiHidden/>
    <w:rsid w:val="007A4607"/>
    <w:pPr>
      <w:spacing w:after="0" w:line="240" w:lineRule="auto"/>
    </w:pPr>
    <w:rPr>
      <w:rFonts w:ascii="Arial" w:hAnsi="Arial"/>
      <w:iCs/>
      <w:color w:val="000000" w:themeColor="text1"/>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2623988">
      <w:bodyDiv w:val="1"/>
      <w:marLeft w:val="0"/>
      <w:marRight w:val="0"/>
      <w:marTop w:val="0"/>
      <w:marBottom w:val="0"/>
      <w:divBdr>
        <w:top w:val="none" w:sz="0" w:space="0" w:color="auto"/>
        <w:left w:val="none" w:sz="0" w:space="0" w:color="auto"/>
        <w:bottom w:val="none" w:sz="0" w:space="0" w:color="auto"/>
        <w:right w:val="none" w:sz="0" w:space="0" w:color="auto"/>
      </w:divBdr>
      <w:divsChild>
        <w:div w:id="111940953">
          <w:marLeft w:val="0"/>
          <w:marRight w:val="0"/>
          <w:marTop w:val="0"/>
          <w:marBottom w:val="0"/>
          <w:divBdr>
            <w:top w:val="none" w:sz="0" w:space="0" w:color="auto"/>
            <w:left w:val="none" w:sz="0" w:space="0" w:color="auto"/>
            <w:bottom w:val="none" w:sz="0" w:space="0" w:color="auto"/>
            <w:right w:val="none" w:sz="0" w:space="0" w:color="auto"/>
          </w:divBdr>
        </w:div>
        <w:div w:id="268389267">
          <w:marLeft w:val="0"/>
          <w:marRight w:val="0"/>
          <w:marTop w:val="0"/>
          <w:marBottom w:val="0"/>
          <w:divBdr>
            <w:top w:val="none" w:sz="0" w:space="0" w:color="auto"/>
            <w:left w:val="none" w:sz="0" w:space="0" w:color="auto"/>
            <w:bottom w:val="none" w:sz="0" w:space="0" w:color="auto"/>
            <w:right w:val="none" w:sz="0" w:space="0" w:color="auto"/>
          </w:divBdr>
        </w:div>
        <w:div w:id="372853612">
          <w:marLeft w:val="0"/>
          <w:marRight w:val="0"/>
          <w:marTop w:val="0"/>
          <w:marBottom w:val="0"/>
          <w:divBdr>
            <w:top w:val="none" w:sz="0" w:space="0" w:color="auto"/>
            <w:left w:val="none" w:sz="0" w:space="0" w:color="auto"/>
            <w:bottom w:val="none" w:sz="0" w:space="0" w:color="auto"/>
            <w:right w:val="none" w:sz="0" w:space="0" w:color="auto"/>
          </w:divBdr>
        </w:div>
        <w:div w:id="577789048">
          <w:marLeft w:val="0"/>
          <w:marRight w:val="0"/>
          <w:marTop w:val="0"/>
          <w:marBottom w:val="0"/>
          <w:divBdr>
            <w:top w:val="none" w:sz="0" w:space="0" w:color="auto"/>
            <w:left w:val="none" w:sz="0" w:space="0" w:color="auto"/>
            <w:bottom w:val="none" w:sz="0" w:space="0" w:color="auto"/>
            <w:right w:val="none" w:sz="0" w:space="0" w:color="auto"/>
          </w:divBdr>
        </w:div>
        <w:div w:id="675230241">
          <w:marLeft w:val="0"/>
          <w:marRight w:val="0"/>
          <w:marTop w:val="0"/>
          <w:marBottom w:val="0"/>
          <w:divBdr>
            <w:top w:val="none" w:sz="0" w:space="0" w:color="auto"/>
            <w:left w:val="none" w:sz="0" w:space="0" w:color="auto"/>
            <w:bottom w:val="none" w:sz="0" w:space="0" w:color="auto"/>
            <w:right w:val="none" w:sz="0" w:space="0" w:color="auto"/>
          </w:divBdr>
        </w:div>
        <w:div w:id="1153134099">
          <w:marLeft w:val="0"/>
          <w:marRight w:val="0"/>
          <w:marTop w:val="0"/>
          <w:marBottom w:val="0"/>
          <w:divBdr>
            <w:top w:val="none" w:sz="0" w:space="0" w:color="auto"/>
            <w:left w:val="none" w:sz="0" w:space="0" w:color="auto"/>
            <w:bottom w:val="none" w:sz="0" w:space="0" w:color="auto"/>
            <w:right w:val="none" w:sz="0" w:space="0" w:color="auto"/>
          </w:divBdr>
        </w:div>
        <w:div w:id="1453282563">
          <w:marLeft w:val="0"/>
          <w:marRight w:val="0"/>
          <w:marTop w:val="0"/>
          <w:marBottom w:val="0"/>
          <w:divBdr>
            <w:top w:val="none" w:sz="0" w:space="0" w:color="auto"/>
            <w:left w:val="none" w:sz="0" w:space="0" w:color="auto"/>
            <w:bottom w:val="none" w:sz="0" w:space="0" w:color="auto"/>
            <w:right w:val="none" w:sz="0" w:space="0" w:color="auto"/>
          </w:divBdr>
        </w:div>
        <w:div w:id="1501775855">
          <w:marLeft w:val="0"/>
          <w:marRight w:val="0"/>
          <w:marTop w:val="0"/>
          <w:marBottom w:val="0"/>
          <w:divBdr>
            <w:top w:val="none" w:sz="0" w:space="0" w:color="auto"/>
            <w:left w:val="none" w:sz="0" w:space="0" w:color="auto"/>
            <w:bottom w:val="none" w:sz="0" w:space="0" w:color="auto"/>
            <w:right w:val="none" w:sz="0" w:space="0" w:color="auto"/>
          </w:divBdr>
        </w:div>
        <w:div w:id="1517421684">
          <w:marLeft w:val="0"/>
          <w:marRight w:val="0"/>
          <w:marTop w:val="0"/>
          <w:marBottom w:val="0"/>
          <w:divBdr>
            <w:top w:val="none" w:sz="0" w:space="0" w:color="auto"/>
            <w:left w:val="none" w:sz="0" w:space="0" w:color="auto"/>
            <w:bottom w:val="none" w:sz="0" w:space="0" w:color="auto"/>
            <w:right w:val="none" w:sz="0" w:space="0" w:color="auto"/>
          </w:divBdr>
        </w:div>
        <w:div w:id="1638878676">
          <w:marLeft w:val="0"/>
          <w:marRight w:val="0"/>
          <w:marTop w:val="0"/>
          <w:marBottom w:val="0"/>
          <w:divBdr>
            <w:top w:val="none" w:sz="0" w:space="0" w:color="auto"/>
            <w:left w:val="none" w:sz="0" w:space="0" w:color="auto"/>
            <w:bottom w:val="none" w:sz="0" w:space="0" w:color="auto"/>
            <w:right w:val="none" w:sz="0" w:space="0" w:color="auto"/>
          </w:divBdr>
        </w:div>
        <w:div w:id="1694187953">
          <w:marLeft w:val="0"/>
          <w:marRight w:val="0"/>
          <w:marTop w:val="0"/>
          <w:marBottom w:val="0"/>
          <w:divBdr>
            <w:top w:val="none" w:sz="0" w:space="0" w:color="auto"/>
            <w:left w:val="none" w:sz="0" w:space="0" w:color="auto"/>
            <w:bottom w:val="none" w:sz="0" w:space="0" w:color="auto"/>
            <w:right w:val="none" w:sz="0" w:space="0" w:color="auto"/>
          </w:divBdr>
        </w:div>
        <w:div w:id="20411290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hyperlink" Target="https://metlin.scripps.edu/" TargetMode="External"/><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www.metaboanalyst.ca/" TargetMode="External"/><Relationship Id="rId45" Type="http://schemas.openxmlformats.org/officeDocument/2006/relationships/image" Target="media/image34.emf"/><Relationship Id="rId53" Type="http://schemas.openxmlformats.org/officeDocument/2006/relationships/image" Target="media/image42.png"/><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image" Target="media/image1.jpeg"/><Relationship Id="rId51" Type="http://schemas.openxmlformats.org/officeDocument/2006/relationships/image" Target="media/image40.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6CD1C8-7E71-458B-B64C-9C4C222E53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265</Pages>
  <Words>275566</Words>
  <Characters>1570729</Characters>
  <Application>Microsoft Office Word</Application>
  <DocSecurity>0</DocSecurity>
  <Lines>13089</Lines>
  <Paragraphs>3685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1842610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CP</dc:creator>
  <cp:keywords/>
  <dc:description/>
  <cp:lastModifiedBy>CP</cp:lastModifiedBy>
  <cp:revision>2</cp:revision>
  <cp:lastPrinted>2018-07-06T12:44:00Z</cp:lastPrinted>
  <dcterms:created xsi:type="dcterms:W3CDTF">2018-07-31T21:49:00Z</dcterms:created>
  <dcterms:modified xsi:type="dcterms:W3CDTF">2018-07-31T21:49:00Z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16th edition (author-date)</vt:lpwstr>
  </property>
  <property fmtid="{D5CDD505-2E9C-101B-9397-08002B2CF9AE}" pid="6" name="Mendeley Recent Style Id 2_1">
    <vt:lpwstr>http://www.zotero.org/styles/fungal-biology-and-biotechnology</vt:lpwstr>
  </property>
  <property fmtid="{D5CDD505-2E9C-101B-9397-08002B2CF9AE}" pid="7" name="Mendeley Recent Style Name 2_1">
    <vt:lpwstr>Fungal Biology and Biotechnology</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(author-date)</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7th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http://www.zotero.org/styles/new-phytologist</vt:lpwstr>
  </property>
  <property fmtid="{D5CDD505-2E9C-101B-9397-08002B2CF9AE}" pid="19" name="Mendeley Recent Style Name 8_1">
    <vt:lpwstr>New Phytologist</vt:lpwstr>
  </property>
  <property fmtid="{D5CDD505-2E9C-101B-9397-08002B2CF9AE}" pid="20" name="Mendeley Recent Style Id 9_1">
    <vt:lpwstr>http://www.zotero.org/styles/the-plant-cell</vt:lpwstr>
  </property>
  <property fmtid="{D5CDD505-2E9C-101B-9397-08002B2CF9AE}" pid="21" name="Mendeley Recent Style Name 9_1">
    <vt:lpwstr>The Plant Cell</vt:lpwstr>
  </property>
  <property fmtid="{D5CDD505-2E9C-101B-9397-08002B2CF9AE}" pid="22" name="Mendeley Document_1">
    <vt:lpwstr>True</vt:lpwstr>
  </property>
  <property fmtid="{D5CDD505-2E9C-101B-9397-08002B2CF9AE}" pid="23" name="Mendeley Unique User Id_1">
    <vt:lpwstr>3aba4a4c-8fe7-380d-b983-2e13b3374178</vt:lpwstr>
  </property>
  <property fmtid="{D5CDD505-2E9C-101B-9397-08002B2CF9AE}" pid="24" name="Mendeley Citation Style_1">
    <vt:lpwstr>http://www.zotero.org/styles/the-plant-cell</vt:lpwstr>
  </property>
</Properties>
</file>